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9C695" w14:textId="33C181C1" w:rsidR="00A31364" w:rsidRDefault="00A31364" w:rsidP="00A31364">
      <w:pPr>
        <w:jc w:val="right"/>
        <w:rPr>
          <w:rFonts w:cstheme="minorHAnsi"/>
          <w:b/>
          <w:color w:val="000000" w:themeColor="text1"/>
          <w:sz w:val="48"/>
          <w:szCs w:val="48"/>
        </w:rPr>
      </w:pPr>
      <w:bookmarkStart w:id="0" w:name="_Hlk46227572"/>
    </w:p>
    <w:p w14:paraId="219B8FFF" w14:textId="77777777" w:rsidR="007C44EB" w:rsidRPr="00215D30" w:rsidRDefault="007C44EB" w:rsidP="00A31364">
      <w:pPr>
        <w:jc w:val="right"/>
        <w:rPr>
          <w:rFonts w:cstheme="minorHAnsi"/>
          <w:b/>
          <w:color w:val="000000" w:themeColor="text1"/>
          <w:sz w:val="48"/>
          <w:szCs w:val="48"/>
        </w:rPr>
      </w:pPr>
    </w:p>
    <w:p w14:paraId="45143392" w14:textId="3F27C726" w:rsidR="00A31364" w:rsidRDefault="00A31364" w:rsidP="00A31364">
      <w:pPr>
        <w:jc w:val="right"/>
        <w:rPr>
          <w:rFonts w:cstheme="minorHAnsi"/>
          <w:b/>
          <w:color w:val="000000" w:themeColor="text1"/>
          <w:sz w:val="48"/>
          <w:szCs w:val="48"/>
        </w:rPr>
      </w:pPr>
    </w:p>
    <w:p w14:paraId="7ED9A1B4" w14:textId="77777777" w:rsidR="00980ED4" w:rsidRPr="00980ED4" w:rsidRDefault="00980ED4" w:rsidP="00980ED4">
      <w:pPr>
        <w:jc w:val="right"/>
        <w:rPr>
          <w:rFonts w:cstheme="minorHAnsi"/>
          <w:b/>
          <w:color w:val="000000" w:themeColor="text1"/>
          <w:sz w:val="48"/>
          <w:szCs w:val="48"/>
        </w:rPr>
      </w:pPr>
      <w:r w:rsidRPr="00980ED4">
        <w:rPr>
          <w:rFonts w:cstheme="minorHAnsi"/>
          <w:b/>
          <w:color w:val="000000" w:themeColor="text1"/>
          <w:sz w:val="48"/>
          <w:szCs w:val="48"/>
        </w:rPr>
        <w:t>Section 32 Evaluation Report</w:t>
      </w:r>
    </w:p>
    <w:p w14:paraId="7E1D837A" w14:textId="77777777" w:rsidR="00980ED4" w:rsidRPr="00980ED4" w:rsidRDefault="00980ED4" w:rsidP="00980ED4">
      <w:pPr>
        <w:jc w:val="right"/>
        <w:rPr>
          <w:rFonts w:cstheme="minorHAnsi"/>
          <w:b/>
          <w:color w:val="000000" w:themeColor="text1"/>
          <w:sz w:val="40"/>
          <w:szCs w:val="36"/>
        </w:rPr>
      </w:pPr>
      <w:r w:rsidRPr="00980ED4">
        <w:rPr>
          <w:rFonts w:cstheme="minorHAnsi"/>
          <w:b/>
          <w:color w:val="000000" w:themeColor="text1"/>
          <w:sz w:val="40"/>
          <w:szCs w:val="36"/>
        </w:rPr>
        <w:t xml:space="preserve">Consideration of alternatives, </w:t>
      </w:r>
      <w:proofErr w:type="gramStart"/>
      <w:r w:rsidRPr="00980ED4">
        <w:rPr>
          <w:rFonts w:cstheme="minorHAnsi"/>
          <w:b/>
          <w:color w:val="000000" w:themeColor="text1"/>
          <w:sz w:val="40"/>
          <w:szCs w:val="36"/>
        </w:rPr>
        <w:t>benefits</w:t>
      </w:r>
      <w:proofErr w:type="gramEnd"/>
      <w:r w:rsidRPr="00980ED4">
        <w:rPr>
          <w:rFonts w:cstheme="minorHAnsi"/>
          <w:b/>
          <w:color w:val="000000" w:themeColor="text1"/>
          <w:sz w:val="40"/>
          <w:szCs w:val="36"/>
        </w:rPr>
        <w:t xml:space="preserve"> and costs</w:t>
      </w:r>
    </w:p>
    <w:p w14:paraId="740FDE82" w14:textId="78BCD36A" w:rsidR="00B632FF" w:rsidRDefault="00B632FF" w:rsidP="00A31364">
      <w:pPr>
        <w:jc w:val="right"/>
        <w:rPr>
          <w:rFonts w:cstheme="minorHAnsi"/>
          <w:b/>
          <w:color w:val="000000" w:themeColor="text1"/>
          <w:sz w:val="48"/>
          <w:szCs w:val="48"/>
        </w:rPr>
      </w:pPr>
    </w:p>
    <w:p w14:paraId="7F077879" w14:textId="77777777" w:rsidR="00980ED4" w:rsidRPr="00215D30" w:rsidRDefault="00980ED4" w:rsidP="00A31364">
      <w:pPr>
        <w:jc w:val="right"/>
        <w:rPr>
          <w:rFonts w:cstheme="minorHAnsi"/>
          <w:b/>
          <w:color w:val="000000" w:themeColor="text1"/>
          <w:sz w:val="48"/>
          <w:szCs w:val="48"/>
        </w:rPr>
      </w:pPr>
    </w:p>
    <w:p w14:paraId="5C745060" w14:textId="4B9BCE97" w:rsidR="00980ED4" w:rsidRPr="00442EBE" w:rsidRDefault="00C86389" w:rsidP="00980ED4">
      <w:pPr>
        <w:jc w:val="right"/>
        <w:rPr>
          <w:rFonts w:cstheme="minorHAnsi"/>
          <w:b/>
          <w:bCs/>
          <w:color w:val="000000" w:themeColor="text1"/>
          <w:sz w:val="32"/>
          <w:szCs w:val="32"/>
        </w:rPr>
      </w:pPr>
      <w:r>
        <w:rPr>
          <w:rFonts w:cstheme="minorHAnsi"/>
          <w:b/>
          <w:bCs/>
          <w:color w:val="000000" w:themeColor="text1"/>
          <w:sz w:val="32"/>
          <w:szCs w:val="32"/>
        </w:rPr>
        <w:t xml:space="preserve"> Parts </w:t>
      </w:r>
      <w:r w:rsidR="00533C28">
        <w:rPr>
          <w:rFonts w:cstheme="minorHAnsi"/>
          <w:b/>
          <w:bCs/>
          <w:color w:val="000000" w:themeColor="text1"/>
          <w:sz w:val="32"/>
          <w:szCs w:val="32"/>
        </w:rPr>
        <w:t>that relate</w:t>
      </w:r>
      <w:r w:rsidR="00664577">
        <w:rPr>
          <w:rFonts w:cstheme="minorHAnsi"/>
          <w:b/>
          <w:bCs/>
          <w:color w:val="000000" w:themeColor="text1"/>
          <w:sz w:val="32"/>
          <w:szCs w:val="32"/>
        </w:rPr>
        <w:t xml:space="preserve"> to the part </w:t>
      </w:r>
      <w:r>
        <w:rPr>
          <w:rFonts w:cstheme="minorHAnsi"/>
          <w:b/>
          <w:bCs/>
          <w:color w:val="000000" w:themeColor="text1"/>
          <w:sz w:val="32"/>
          <w:szCs w:val="32"/>
        </w:rPr>
        <w:t xml:space="preserve">of the </w:t>
      </w:r>
      <w:r w:rsidR="00A31364" w:rsidRPr="00442EBE">
        <w:rPr>
          <w:rFonts w:cstheme="minorHAnsi"/>
          <w:b/>
          <w:bCs/>
          <w:color w:val="000000" w:themeColor="text1"/>
          <w:sz w:val="32"/>
          <w:szCs w:val="32"/>
        </w:rPr>
        <w:t xml:space="preserve">Proposed </w:t>
      </w:r>
      <w:r w:rsidR="005736A6">
        <w:rPr>
          <w:rFonts w:cstheme="minorHAnsi"/>
          <w:b/>
          <w:bCs/>
          <w:color w:val="000000" w:themeColor="text1"/>
          <w:sz w:val="32"/>
          <w:szCs w:val="32"/>
        </w:rPr>
        <w:t>Otago Regional Policy Statement 202</w:t>
      </w:r>
      <w:r w:rsidR="001C036B">
        <w:rPr>
          <w:rFonts w:cstheme="minorHAnsi"/>
          <w:b/>
          <w:bCs/>
          <w:color w:val="000000" w:themeColor="text1"/>
          <w:sz w:val="32"/>
          <w:szCs w:val="32"/>
        </w:rPr>
        <w:t>1</w:t>
      </w:r>
      <w:r>
        <w:rPr>
          <w:rFonts w:cstheme="minorHAnsi"/>
          <w:b/>
          <w:bCs/>
          <w:color w:val="000000" w:themeColor="text1"/>
          <w:sz w:val="32"/>
          <w:szCs w:val="32"/>
        </w:rPr>
        <w:t xml:space="preserve"> c</w:t>
      </w:r>
      <w:r w:rsidR="00664577">
        <w:rPr>
          <w:rFonts w:cstheme="minorHAnsi"/>
          <w:b/>
          <w:bCs/>
          <w:color w:val="000000" w:themeColor="text1"/>
          <w:sz w:val="32"/>
          <w:szCs w:val="32"/>
        </w:rPr>
        <w:t>onsidered to be a Freshwater Planning Instrument under Section 80A of the Resource Management Act 1991</w:t>
      </w:r>
    </w:p>
    <w:p w14:paraId="61F426BA" w14:textId="77777777" w:rsidR="00A31364" w:rsidRPr="00215D30" w:rsidRDefault="00A31364" w:rsidP="00664577">
      <w:pPr>
        <w:outlineLvl w:val="0"/>
        <w:rPr>
          <w:rFonts w:cstheme="minorHAnsi"/>
          <w:color w:val="000000" w:themeColor="text1"/>
          <w:sz w:val="48"/>
          <w:szCs w:val="48"/>
        </w:rPr>
      </w:pPr>
    </w:p>
    <w:p w14:paraId="5BDCF302" w14:textId="77777777" w:rsidR="00A31364" w:rsidRPr="00215D30" w:rsidRDefault="00A31364" w:rsidP="00A31364">
      <w:pPr>
        <w:jc w:val="right"/>
        <w:rPr>
          <w:rFonts w:cstheme="minorHAnsi"/>
          <w:color w:val="000000" w:themeColor="text1"/>
          <w:sz w:val="48"/>
          <w:szCs w:val="48"/>
        </w:rPr>
      </w:pPr>
    </w:p>
    <w:p w14:paraId="775B0282" w14:textId="7C34082E" w:rsidR="00215D30" w:rsidRPr="00D03131" w:rsidRDefault="00A31364" w:rsidP="00D03131">
      <w:pPr>
        <w:autoSpaceDE w:val="0"/>
        <w:autoSpaceDN w:val="0"/>
        <w:adjustRightInd w:val="0"/>
        <w:jc w:val="center"/>
        <w:rPr>
          <w:rFonts w:cstheme="minorHAnsi"/>
          <w:bCs/>
          <w:i/>
          <w:iCs/>
          <w:color w:val="000000" w:themeColor="text1"/>
          <w:sz w:val="28"/>
          <w:szCs w:val="24"/>
        </w:rPr>
      </w:pPr>
      <w:r w:rsidRPr="00D03131">
        <w:rPr>
          <w:rFonts w:cstheme="minorHAnsi"/>
          <w:bCs/>
          <w:i/>
          <w:iCs/>
          <w:color w:val="000000" w:themeColor="text1"/>
          <w:sz w:val="28"/>
          <w:szCs w:val="24"/>
        </w:rPr>
        <w:t>This Section 32 Evaluation Report should be read in conjunction with</w:t>
      </w:r>
      <w:r w:rsidR="005736A6">
        <w:rPr>
          <w:rFonts w:cstheme="minorHAnsi"/>
          <w:bCs/>
          <w:i/>
          <w:iCs/>
          <w:color w:val="000000" w:themeColor="text1"/>
          <w:sz w:val="28"/>
          <w:szCs w:val="24"/>
        </w:rPr>
        <w:t xml:space="preserve"> the Proposed Otago Regional Policy Statement 202</w:t>
      </w:r>
      <w:r w:rsidR="001C036B">
        <w:rPr>
          <w:rFonts w:cstheme="minorHAnsi"/>
          <w:bCs/>
          <w:i/>
          <w:iCs/>
          <w:color w:val="000000" w:themeColor="text1"/>
          <w:sz w:val="28"/>
          <w:szCs w:val="24"/>
        </w:rPr>
        <w:t>1</w:t>
      </w:r>
    </w:p>
    <w:p w14:paraId="790E4048" w14:textId="32C50A0F" w:rsidR="00980ED4" w:rsidRDefault="00980ED4" w:rsidP="00980ED4">
      <w:pPr>
        <w:autoSpaceDE w:val="0"/>
        <w:autoSpaceDN w:val="0"/>
        <w:adjustRightInd w:val="0"/>
        <w:jc w:val="center"/>
        <w:rPr>
          <w:rFonts w:cstheme="minorHAnsi"/>
          <w:bCs/>
          <w:i/>
          <w:iCs/>
          <w:color w:val="000000" w:themeColor="text1"/>
          <w:sz w:val="24"/>
          <w:szCs w:val="24"/>
        </w:rPr>
      </w:pPr>
    </w:p>
    <w:p w14:paraId="4C1FBDAF" w14:textId="77777777" w:rsidR="00980ED4" w:rsidRPr="00980ED4" w:rsidRDefault="00980ED4" w:rsidP="00980ED4">
      <w:pPr>
        <w:autoSpaceDE w:val="0"/>
        <w:autoSpaceDN w:val="0"/>
        <w:adjustRightInd w:val="0"/>
        <w:jc w:val="center"/>
        <w:rPr>
          <w:rFonts w:cstheme="minorHAnsi"/>
          <w:bCs/>
          <w:i/>
          <w:iCs/>
          <w:color w:val="000000" w:themeColor="text1"/>
          <w:sz w:val="24"/>
          <w:szCs w:val="24"/>
        </w:rPr>
      </w:pPr>
    </w:p>
    <w:p w14:paraId="2A6E6D7D" w14:textId="14C30F0D" w:rsidR="00215D30" w:rsidRDefault="00215D30" w:rsidP="00980ED4">
      <w:pPr>
        <w:rPr>
          <w:rFonts w:cstheme="minorHAnsi"/>
          <w:color w:val="000000" w:themeColor="text1"/>
          <w:sz w:val="24"/>
          <w:szCs w:val="24"/>
        </w:rPr>
      </w:pPr>
    </w:p>
    <w:p w14:paraId="1A2532FA" w14:textId="20215EB7" w:rsidR="00CE07CE" w:rsidRDefault="00CE07CE" w:rsidP="00980ED4">
      <w:pPr>
        <w:rPr>
          <w:rFonts w:cstheme="minorHAnsi"/>
          <w:color w:val="000000" w:themeColor="text1"/>
          <w:sz w:val="24"/>
          <w:szCs w:val="24"/>
        </w:rPr>
      </w:pPr>
    </w:p>
    <w:p w14:paraId="3B3B474E" w14:textId="6C2B5758" w:rsidR="00CE07CE" w:rsidRDefault="00CE07CE" w:rsidP="00980ED4">
      <w:pPr>
        <w:rPr>
          <w:rFonts w:cstheme="minorHAnsi"/>
          <w:color w:val="000000" w:themeColor="text1"/>
          <w:sz w:val="24"/>
          <w:szCs w:val="24"/>
        </w:rPr>
      </w:pPr>
    </w:p>
    <w:p w14:paraId="55C2CD45" w14:textId="77777777" w:rsidR="00CE07CE" w:rsidRPr="00215D30" w:rsidRDefault="00CE07CE" w:rsidP="00980ED4">
      <w:pPr>
        <w:rPr>
          <w:rFonts w:cstheme="minorHAnsi"/>
          <w:color w:val="000000" w:themeColor="text1"/>
          <w:sz w:val="24"/>
          <w:szCs w:val="24"/>
        </w:rPr>
      </w:pPr>
    </w:p>
    <w:p w14:paraId="26B42401" w14:textId="772EB032" w:rsidR="00215D30" w:rsidRPr="00247F85" w:rsidRDefault="00215D30" w:rsidP="007C44EB">
      <w:pPr>
        <w:tabs>
          <w:tab w:val="left" w:pos="0"/>
        </w:tabs>
        <w:autoSpaceDE w:val="0"/>
        <w:autoSpaceDN w:val="0"/>
        <w:adjustRightInd w:val="0"/>
        <w:jc w:val="center"/>
        <w:rPr>
          <w:rFonts w:cs="Times New Roman"/>
          <w:b/>
          <w:bCs/>
          <w:color w:val="000000" w:themeColor="text1"/>
          <w:sz w:val="36"/>
          <w:szCs w:val="36"/>
        </w:rPr>
      </w:pPr>
      <w:r w:rsidRPr="00215D30">
        <w:rPr>
          <w:rFonts w:cstheme="minorHAnsi"/>
          <w:b/>
          <w:bCs/>
          <w:i/>
          <w:iCs/>
          <w:noProof/>
          <w:color w:val="000000" w:themeColor="text1"/>
          <w:szCs w:val="24"/>
          <w:lang w:eastAsia="en-NZ"/>
        </w:rPr>
        <w:drawing>
          <wp:inline distT="0" distB="0" distL="0" distR="0" wp14:anchorId="4D3DD7F7" wp14:editId="58930455">
            <wp:extent cx="1363182" cy="722954"/>
            <wp:effectExtent l="19050" t="0" r="841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363654" cy="723204"/>
                    </a:xfrm>
                    <a:prstGeom prst="rect">
                      <a:avLst/>
                    </a:prstGeom>
                    <a:noFill/>
                    <a:ln w="9525">
                      <a:noFill/>
                      <a:miter lim="800000"/>
                      <a:headEnd/>
                      <a:tailEnd/>
                    </a:ln>
                  </pic:spPr>
                </pic:pic>
              </a:graphicData>
            </a:graphic>
          </wp:inline>
        </w:drawing>
      </w:r>
      <w:r w:rsidRPr="00215D30">
        <w:rPr>
          <w:rFonts w:cstheme="minorHAnsi"/>
          <w:color w:val="000000" w:themeColor="text1"/>
          <w:sz w:val="24"/>
          <w:szCs w:val="24"/>
        </w:rPr>
        <w:tab/>
      </w:r>
      <w:r w:rsidRPr="00215D30">
        <w:rPr>
          <w:rFonts w:cstheme="minorHAnsi"/>
          <w:color w:val="000000" w:themeColor="text1"/>
          <w:sz w:val="24"/>
          <w:szCs w:val="24"/>
        </w:rPr>
        <w:tab/>
      </w:r>
      <w:r w:rsidRPr="00215D30">
        <w:rPr>
          <w:rFonts w:cstheme="minorHAnsi"/>
          <w:color w:val="000000" w:themeColor="text1"/>
          <w:sz w:val="24"/>
          <w:szCs w:val="24"/>
        </w:rPr>
        <w:tab/>
      </w:r>
      <w:r w:rsidRPr="00215D30">
        <w:rPr>
          <w:rFonts w:cstheme="minorHAnsi"/>
          <w:color w:val="000000" w:themeColor="text1"/>
          <w:sz w:val="24"/>
          <w:szCs w:val="24"/>
        </w:rPr>
        <w:tab/>
      </w:r>
      <w:r w:rsidRPr="00215D30">
        <w:rPr>
          <w:rFonts w:cstheme="minorHAnsi"/>
          <w:color w:val="000000" w:themeColor="text1"/>
          <w:sz w:val="24"/>
          <w:szCs w:val="24"/>
        </w:rPr>
        <w:tab/>
      </w:r>
      <w:r w:rsidRPr="00215D30">
        <w:rPr>
          <w:rFonts w:cstheme="minorHAnsi"/>
          <w:color w:val="000000" w:themeColor="text1"/>
          <w:sz w:val="24"/>
          <w:szCs w:val="24"/>
        </w:rPr>
        <w:tab/>
      </w:r>
      <w:r w:rsidR="00664577">
        <w:rPr>
          <w:rFonts w:cs="Times New Roman"/>
          <w:b/>
          <w:bCs/>
          <w:color w:val="000000" w:themeColor="text1"/>
          <w:sz w:val="36"/>
          <w:szCs w:val="36"/>
        </w:rPr>
        <w:t>September 2022</w:t>
      </w:r>
    </w:p>
    <w:bookmarkEnd w:id="0"/>
    <w:p w14:paraId="7221064F" w14:textId="368BA7E1" w:rsidR="00215D30" w:rsidRPr="00215D30" w:rsidRDefault="00215D30" w:rsidP="00215D30">
      <w:pPr>
        <w:rPr>
          <w:rFonts w:cstheme="minorHAnsi"/>
          <w:color w:val="000000" w:themeColor="text1"/>
          <w:sz w:val="24"/>
          <w:szCs w:val="24"/>
        </w:rPr>
        <w:sectPr w:rsidR="00215D30" w:rsidRPr="00215D30" w:rsidSect="00016051">
          <w:headerReference w:type="even" r:id="rId14"/>
          <w:headerReference w:type="default" r:id="rId15"/>
          <w:footerReference w:type="even" r:id="rId16"/>
          <w:footerReference w:type="default" r:id="rId17"/>
          <w:pgSz w:w="11906" w:h="16838"/>
          <w:pgMar w:top="1440" w:right="1440" w:bottom="1440" w:left="1440" w:header="708" w:footer="708" w:gutter="0"/>
          <w:cols w:space="708"/>
          <w:titlePg/>
          <w:docGrid w:linePitch="360"/>
        </w:sectPr>
      </w:pPr>
    </w:p>
    <w:p w14:paraId="260B045C" w14:textId="77777777" w:rsidR="00533C28" w:rsidRPr="00472578" w:rsidRDefault="00533C28" w:rsidP="00533C28">
      <w:pPr>
        <w:pStyle w:val="Heading3"/>
        <w:numPr>
          <w:ilvl w:val="0"/>
          <w:numId w:val="0"/>
        </w:numPr>
        <w:ind w:left="709" w:hanging="709"/>
        <w:jc w:val="both"/>
      </w:pPr>
      <w:r w:rsidRPr="00472578">
        <w:lastRenderedPageBreak/>
        <w:t>Key</w:t>
      </w:r>
    </w:p>
    <w:tbl>
      <w:tblPr>
        <w:tblStyle w:val="TableGrid"/>
        <w:tblW w:w="0" w:type="auto"/>
        <w:tblLook w:val="04A0" w:firstRow="1" w:lastRow="0" w:firstColumn="1" w:lastColumn="0" w:noHBand="0" w:noVBand="1"/>
      </w:tblPr>
      <w:tblGrid>
        <w:gridCol w:w="3464"/>
        <w:gridCol w:w="5552"/>
      </w:tblGrid>
      <w:tr w:rsidR="00533C28" w:rsidRPr="00472578" w14:paraId="51364D63" w14:textId="77777777" w:rsidTr="00BB7E4C">
        <w:tc>
          <w:tcPr>
            <w:tcW w:w="3464" w:type="dxa"/>
          </w:tcPr>
          <w:p w14:paraId="0FB2FBEA" w14:textId="77777777" w:rsidR="00533C28" w:rsidRPr="00472578" w:rsidRDefault="00533C28" w:rsidP="00BB7E4C">
            <w:pPr>
              <w:spacing w:before="60" w:after="60"/>
              <w:jc w:val="both"/>
              <w:rPr>
                <w:b/>
                <w:bCs/>
              </w:rPr>
            </w:pPr>
            <w:r w:rsidRPr="00472578">
              <w:rPr>
                <w:b/>
                <w:bCs/>
              </w:rPr>
              <w:t>Appearance</w:t>
            </w:r>
          </w:p>
        </w:tc>
        <w:tc>
          <w:tcPr>
            <w:tcW w:w="5552" w:type="dxa"/>
          </w:tcPr>
          <w:p w14:paraId="60770637" w14:textId="77777777" w:rsidR="00533C28" w:rsidRPr="00472578" w:rsidRDefault="00533C28" w:rsidP="00BB7E4C">
            <w:pPr>
              <w:spacing w:before="60" w:after="60"/>
              <w:jc w:val="both"/>
              <w:rPr>
                <w:b/>
                <w:bCs/>
              </w:rPr>
            </w:pPr>
            <w:r w:rsidRPr="00472578">
              <w:rPr>
                <w:b/>
                <w:bCs/>
              </w:rPr>
              <w:t>Explanation</w:t>
            </w:r>
          </w:p>
        </w:tc>
      </w:tr>
      <w:tr w:rsidR="00533C28" w:rsidRPr="00472578" w14:paraId="03FA4D2F" w14:textId="77777777" w:rsidTr="00BB7E4C">
        <w:tc>
          <w:tcPr>
            <w:tcW w:w="3464" w:type="dxa"/>
          </w:tcPr>
          <w:p w14:paraId="2B43ADE7" w14:textId="77777777" w:rsidR="00533C28" w:rsidRPr="00472578" w:rsidRDefault="00533C28" w:rsidP="00BB7E4C">
            <w:pPr>
              <w:spacing w:before="60" w:after="60"/>
              <w:jc w:val="both"/>
            </w:pPr>
            <w:r w:rsidRPr="00472578">
              <w:t>Black text</w:t>
            </w:r>
            <w:r>
              <w:t xml:space="preserve"> with no shading</w:t>
            </w:r>
          </w:p>
        </w:tc>
        <w:tc>
          <w:tcPr>
            <w:tcW w:w="5552" w:type="dxa"/>
          </w:tcPr>
          <w:p w14:paraId="5E732FB6" w14:textId="6C34461A" w:rsidR="00533C28" w:rsidRPr="000B11E3" w:rsidRDefault="00533C28" w:rsidP="00BB7E4C">
            <w:pPr>
              <w:spacing w:before="60" w:after="60"/>
              <w:jc w:val="both"/>
            </w:pPr>
            <w:r w:rsidRPr="00472578">
              <w:t xml:space="preserve">Parts of the </w:t>
            </w:r>
            <w:r>
              <w:t xml:space="preserve">Section 32 Evaluation Report that relate to parts of the </w:t>
            </w:r>
            <w:r w:rsidRPr="00472578">
              <w:t xml:space="preserve">Proposed Otago Regional Policy Statement </w:t>
            </w:r>
            <w:r>
              <w:t>notified</w:t>
            </w:r>
            <w:r w:rsidRPr="00472578">
              <w:t xml:space="preserve"> on 26 June 2021</w:t>
            </w:r>
            <w:r>
              <w:t xml:space="preserve"> that </w:t>
            </w:r>
            <w:r w:rsidRPr="000B11E3">
              <w:rPr>
                <w:b/>
                <w:bCs/>
                <w:u w:val="single"/>
              </w:rPr>
              <w:t xml:space="preserve">are </w:t>
            </w:r>
            <w:r>
              <w:rPr>
                <w:b/>
                <w:bCs/>
                <w:u w:val="single"/>
              </w:rPr>
              <w:t>not</w:t>
            </w:r>
            <w:r>
              <w:t xml:space="preserve"> a freshwater planning instrument.</w:t>
            </w:r>
          </w:p>
        </w:tc>
      </w:tr>
      <w:tr w:rsidR="00533C28" w:rsidRPr="00472578" w14:paraId="6024495A" w14:textId="77777777" w:rsidTr="00BB7E4C">
        <w:tc>
          <w:tcPr>
            <w:tcW w:w="3464" w:type="dxa"/>
            <w:shd w:val="clear" w:color="auto" w:fill="DEEAF6" w:themeFill="accent5" w:themeFillTint="33"/>
          </w:tcPr>
          <w:p w14:paraId="346FC56A" w14:textId="77777777" w:rsidR="00533C28" w:rsidRPr="000B11E3" w:rsidRDefault="00533C28" w:rsidP="00BB7E4C">
            <w:pPr>
              <w:spacing w:before="60" w:after="60"/>
              <w:jc w:val="both"/>
            </w:pPr>
            <w:r>
              <w:t>Black text with blue shading</w:t>
            </w:r>
          </w:p>
        </w:tc>
        <w:tc>
          <w:tcPr>
            <w:tcW w:w="5552" w:type="dxa"/>
          </w:tcPr>
          <w:p w14:paraId="3EF535F8" w14:textId="2CB66245" w:rsidR="00533C28" w:rsidRPr="00472578" w:rsidRDefault="00533C28" w:rsidP="00BB7E4C">
            <w:pPr>
              <w:spacing w:before="60" w:after="60"/>
              <w:jc w:val="both"/>
            </w:pPr>
            <w:r w:rsidRPr="00472578">
              <w:t xml:space="preserve">Parts of the </w:t>
            </w:r>
            <w:r>
              <w:t xml:space="preserve">Section 32 Evaluation Report that relate to parts of the </w:t>
            </w:r>
            <w:r w:rsidRPr="00472578">
              <w:t xml:space="preserve">Proposed Otago Regional Policy Statement </w:t>
            </w:r>
            <w:r>
              <w:t>notified</w:t>
            </w:r>
            <w:r w:rsidRPr="00472578">
              <w:t xml:space="preserve"> on 26 June 2021</w:t>
            </w:r>
            <w:r>
              <w:t xml:space="preserve"> that </w:t>
            </w:r>
            <w:r w:rsidRPr="000B11E3">
              <w:rPr>
                <w:b/>
                <w:bCs/>
                <w:u w:val="single"/>
              </w:rPr>
              <w:t>are</w:t>
            </w:r>
            <w:r>
              <w:t xml:space="preserve"> a freshwater planning instrument.</w:t>
            </w:r>
          </w:p>
        </w:tc>
      </w:tr>
    </w:tbl>
    <w:p w14:paraId="08C736DD" w14:textId="77777777" w:rsidR="00533C28" w:rsidRDefault="00533C28">
      <w:pPr>
        <w:rPr>
          <w:rFonts w:asciiTheme="majorHAnsi" w:hAnsiTheme="majorHAnsi" w:cstheme="majorHAnsi"/>
          <w:color w:val="2F5496" w:themeColor="accent1" w:themeShade="BF"/>
          <w:sz w:val="32"/>
          <w:szCs w:val="32"/>
        </w:rPr>
      </w:pPr>
      <w:r>
        <w:rPr>
          <w:rFonts w:asciiTheme="majorHAnsi" w:hAnsiTheme="majorHAnsi" w:cstheme="majorHAnsi"/>
          <w:color w:val="2F5496" w:themeColor="accent1" w:themeShade="BF"/>
          <w:sz w:val="32"/>
          <w:szCs w:val="32"/>
        </w:rPr>
        <w:br w:type="page"/>
      </w:r>
    </w:p>
    <w:p w14:paraId="77FBE67A" w14:textId="7B4B09E3" w:rsidR="00A31364" w:rsidRPr="00932DEA" w:rsidRDefault="00932DEA" w:rsidP="00932DEA">
      <w:pPr>
        <w:rPr>
          <w:rFonts w:asciiTheme="majorHAnsi" w:hAnsiTheme="majorHAnsi" w:cstheme="majorHAnsi"/>
          <w:color w:val="2F5496" w:themeColor="accent1" w:themeShade="BF"/>
          <w:sz w:val="32"/>
          <w:szCs w:val="32"/>
        </w:rPr>
      </w:pPr>
      <w:r w:rsidRPr="00932DEA">
        <w:rPr>
          <w:rFonts w:asciiTheme="majorHAnsi" w:hAnsiTheme="majorHAnsi" w:cstheme="majorHAnsi"/>
          <w:color w:val="2F5496" w:themeColor="accent1" w:themeShade="BF"/>
          <w:sz w:val="32"/>
          <w:szCs w:val="32"/>
        </w:rPr>
        <w:lastRenderedPageBreak/>
        <w:t>Table of contents</w:t>
      </w:r>
    </w:p>
    <w:sdt>
      <w:sdtPr>
        <w:rPr>
          <w:b w:val="0"/>
        </w:rPr>
        <w:id w:val="1757857041"/>
        <w:docPartObj>
          <w:docPartGallery w:val="Table of Contents"/>
          <w:docPartUnique/>
        </w:docPartObj>
      </w:sdtPr>
      <w:sdtEndPr>
        <w:rPr>
          <w:b/>
          <w:bCs/>
          <w:noProof/>
        </w:rPr>
      </w:sdtEndPr>
      <w:sdtContent>
        <w:p w14:paraId="014F28E8" w14:textId="465E6107" w:rsidR="00C652CD" w:rsidRDefault="00E86187" w:rsidP="008E6DDB">
          <w:pPr>
            <w:pStyle w:val="TOC1"/>
            <w:shd w:val="clear" w:color="auto" w:fill="DEEAF6" w:themeFill="accent5" w:themeFillTint="33"/>
            <w:rPr>
              <w:rFonts w:eastAsiaTheme="minorEastAsia"/>
              <w:b w:val="0"/>
              <w:noProof/>
              <w:lang w:eastAsia="en-NZ"/>
            </w:rPr>
          </w:pPr>
          <w:r>
            <w:rPr>
              <w:rFonts w:asciiTheme="majorHAnsi" w:eastAsiaTheme="majorEastAsia" w:hAnsiTheme="majorHAnsi" w:cstheme="majorBidi"/>
              <w:b w:val="0"/>
              <w:color w:val="2F5496" w:themeColor="accent1" w:themeShade="BF"/>
              <w:sz w:val="32"/>
              <w:szCs w:val="32"/>
            </w:rPr>
            <w:fldChar w:fldCharType="begin"/>
          </w:r>
          <w:r>
            <w:rPr>
              <w:rFonts w:asciiTheme="majorHAnsi" w:eastAsiaTheme="majorEastAsia" w:hAnsiTheme="majorHAnsi" w:cstheme="majorBidi"/>
              <w:b w:val="0"/>
              <w:color w:val="2F5496" w:themeColor="accent1" w:themeShade="BF"/>
              <w:sz w:val="32"/>
              <w:szCs w:val="32"/>
            </w:rPr>
            <w:instrText xml:space="preserve"> TOC \o "1-2" \h \z \u </w:instrText>
          </w:r>
          <w:r>
            <w:rPr>
              <w:rFonts w:asciiTheme="majorHAnsi" w:eastAsiaTheme="majorEastAsia" w:hAnsiTheme="majorHAnsi" w:cstheme="majorBidi"/>
              <w:b w:val="0"/>
              <w:color w:val="2F5496" w:themeColor="accent1" w:themeShade="BF"/>
              <w:sz w:val="32"/>
              <w:szCs w:val="32"/>
            </w:rPr>
            <w:fldChar w:fldCharType="separate"/>
          </w:r>
          <w:hyperlink w:anchor="_Toc72507613" w:history="1">
            <w:r w:rsidR="00C652CD" w:rsidRPr="00A03906">
              <w:rPr>
                <w:rStyle w:val="Hyperlink"/>
                <w:noProof/>
              </w:rPr>
              <w:t>Abbreviations</w:t>
            </w:r>
            <w:r w:rsidR="00C652CD">
              <w:rPr>
                <w:noProof/>
                <w:webHidden/>
              </w:rPr>
              <w:tab/>
            </w:r>
            <w:r w:rsidR="00C652CD">
              <w:rPr>
                <w:noProof/>
                <w:webHidden/>
              </w:rPr>
              <w:fldChar w:fldCharType="begin"/>
            </w:r>
            <w:r w:rsidR="00C652CD">
              <w:rPr>
                <w:noProof/>
                <w:webHidden/>
              </w:rPr>
              <w:instrText xml:space="preserve"> PAGEREF _Toc72507613 \h </w:instrText>
            </w:r>
            <w:r w:rsidR="00C652CD">
              <w:rPr>
                <w:noProof/>
                <w:webHidden/>
              </w:rPr>
            </w:r>
            <w:r w:rsidR="00C652CD">
              <w:rPr>
                <w:noProof/>
                <w:webHidden/>
              </w:rPr>
              <w:fldChar w:fldCharType="separate"/>
            </w:r>
            <w:r w:rsidR="002A7A16">
              <w:rPr>
                <w:noProof/>
                <w:webHidden/>
              </w:rPr>
              <w:t>1</w:t>
            </w:r>
            <w:r w:rsidR="00C652CD">
              <w:rPr>
                <w:noProof/>
                <w:webHidden/>
              </w:rPr>
              <w:fldChar w:fldCharType="end"/>
            </w:r>
          </w:hyperlink>
        </w:p>
        <w:p w14:paraId="54E10FDE" w14:textId="1B74782E"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14" w:history="1">
            <w:r w:rsidR="00C652CD" w:rsidRPr="00A03906">
              <w:rPr>
                <w:rStyle w:val="Hyperlink"/>
                <w:noProof/>
              </w:rPr>
              <w:t>1.</w:t>
            </w:r>
            <w:r w:rsidR="00C652CD">
              <w:rPr>
                <w:rFonts w:eastAsiaTheme="minorEastAsia"/>
                <w:b w:val="0"/>
                <w:noProof/>
                <w:lang w:eastAsia="en-NZ"/>
              </w:rPr>
              <w:tab/>
            </w:r>
            <w:r w:rsidR="00C652CD" w:rsidRPr="00A03906">
              <w:rPr>
                <w:rStyle w:val="Hyperlink"/>
                <w:noProof/>
              </w:rPr>
              <w:t>Introduction</w:t>
            </w:r>
            <w:r w:rsidR="00C652CD">
              <w:rPr>
                <w:noProof/>
                <w:webHidden/>
              </w:rPr>
              <w:tab/>
            </w:r>
            <w:r w:rsidR="00C652CD">
              <w:rPr>
                <w:noProof/>
                <w:webHidden/>
              </w:rPr>
              <w:fldChar w:fldCharType="begin"/>
            </w:r>
            <w:r w:rsidR="00C652CD">
              <w:rPr>
                <w:noProof/>
                <w:webHidden/>
              </w:rPr>
              <w:instrText xml:space="preserve"> PAGEREF _Toc72507614 \h </w:instrText>
            </w:r>
            <w:r w:rsidR="00C652CD">
              <w:rPr>
                <w:noProof/>
                <w:webHidden/>
              </w:rPr>
            </w:r>
            <w:r w:rsidR="00C652CD">
              <w:rPr>
                <w:noProof/>
                <w:webHidden/>
              </w:rPr>
              <w:fldChar w:fldCharType="separate"/>
            </w:r>
            <w:r w:rsidR="002A7A16">
              <w:rPr>
                <w:noProof/>
                <w:webHidden/>
              </w:rPr>
              <w:t>3</w:t>
            </w:r>
            <w:r w:rsidR="00C652CD">
              <w:rPr>
                <w:noProof/>
                <w:webHidden/>
              </w:rPr>
              <w:fldChar w:fldCharType="end"/>
            </w:r>
          </w:hyperlink>
        </w:p>
        <w:p w14:paraId="592A8B58" w14:textId="18ECB274"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15" w:history="1">
            <w:r w:rsidR="00C652CD" w:rsidRPr="00A03906">
              <w:rPr>
                <w:rStyle w:val="Hyperlink"/>
                <w:noProof/>
              </w:rPr>
              <w:t>1.1.</w:t>
            </w:r>
            <w:r w:rsidR="00C652CD">
              <w:rPr>
                <w:rFonts w:eastAsiaTheme="minorEastAsia"/>
                <w:noProof/>
                <w:lang w:eastAsia="en-NZ"/>
              </w:rPr>
              <w:tab/>
            </w:r>
            <w:r w:rsidR="00C652CD" w:rsidRPr="00A03906">
              <w:rPr>
                <w:rStyle w:val="Hyperlink"/>
                <w:noProof/>
              </w:rPr>
              <w:t>Purpose</w:t>
            </w:r>
            <w:r w:rsidR="00C652CD">
              <w:rPr>
                <w:noProof/>
                <w:webHidden/>
              </w:rPr>
              <w:tab/>
            </w:r>
            <w:r w:rsidR="00C652CD">
              <w:rPr>
                <w:noProof/>
                <w:webHidden/>
              </w:rPr>
              <w:fldChar w:fldCharType="begin"/>
            </w:r>
            <w:r w:rsidR="00C652CD">
              <w:rPr>
                <w:noProof/>
                <w:webHidden/>
              </w:rPr>
              <w:instrText xml:space="preserve"> PAGEREF _Toc72507615 \h </w:instrText>
            </w:r>
            <w:r w:rsidR="00C652CD">
              <w:rPr>
                <w:noProof/>
                <w:webHidden/>
              </w:rPr>
            </w:r>
            <w:r w:rsidR="00C652CD">
              <w:rPr>
                <w:noProof/>
                <w:webHidden/>
              </w:rPr>
              <w:fldChar w:fldCharType="separate"/>
            </w:r>
            <w:r w:rsidR="002A7A16">
              <w:rPr>
                <w:noProof/>
                <w:webHidden/>
              </w:rPr>
              <w:t>3</w:t>
            </w:r>
            <w:r w:rsidR="00C652CD">
              <w:rPr>
                <w:noProof/>
                <w:webHidden/>
              </w:rPr>
              <w:fldChar w:fldCharType="end"/>
            </w:r>
          </w:hyperlink>
        </w:p>
        <w:p w14:paraId="50309026" w14:textId="0B2165B2"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16" w:history="1">
            <w:r w:rsidR="00C652CD" w:rsidRPr="00A03906">
              <w:rPr>
                <w:rStyle w:val="Hyperlink"/>
                <w:noProof/>
              </w:rPr>
              <w:t>1.2.</w:t>
            </w:r>
            <w:r w:rsidR="00C652CD">
              <w:rPr>
                <w:rFonts w:eastAsiaTheme="minorEastAsia"/>
                <w:noProof/>
                <w:lang w:eastAsia="en-NZ"/>
              </w:rPr>
              <w:tab/>
            </w:r>
            <w:r w:rsidR="00C652CD" w:rsidRPr="00A03906">
              <w:rPr>
                <w:rStyle w:val="Hyperlink"/>
                <w:noProof/>
              </w:rPr>
              <w:t>Structure</w:t>
            </w:r>
            <w:r w:rsidR="00C652CD">
              <w:rPr>
                <w:noProof/>
                <w:webHidden/>
              </w:rPr>
              <w:tab/>
            </w:r>
            <w:r w:rsidR="00C652CD">
              <w:rPr>
                <w:noProof/>
                <w:webHidden/>
              </w:rPr>
              <w:fldChar w:fldCharType="begin"/>
            </w:r>
            <w:r w:rsidR="00C652CD">
              <w:rPr>
                <w:noProof/>
                <w:webHidden/>
              </w:rPr>
              <w:instrText xml:space="preserve"> PAGEREF _Toc72507616 \h </w:instrText>
            </w:r>
            <w:r w:rsidR="00C652CD">
              <w:rPr>
                <w:noProof/>
                <w:webHidden/>
              </w:rPr>
            </w:r>
            <w:r w:rsidR="00C652CD">
              <w:rPr>
                <w:noProof/>
                <w:webHidden/>
              </w:rPr>
              <w:fldChar w:fldCharType="separate"/>
            </w:r>
            <w:r w:rsidR="002A7A16">
              <w:rPr>
                <w:noProof/>
                <w:webHidden/>
              </w:rPr>
              <w:t>3</w:t>
            </w:r>
            <w:r w:rsidR="00C652CD">
              <w:rPr>
                <w:noProof/>
                <w:webHidden/>
              </w:rPr>
              <w:fldChar w:fldCharType="end"/>
            </w:r>
          </w:hyperlink>
        </w:p>
        <w:p w14:paraId="7216F232" w14:textId="1063A403"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17" w:history="1">
            <w:r w:rsidR="00C652CD" w:rsidRPr="00A03906">
              <w:rPr>
                <w:rStyle w:val="Hyperlink"/>
                <w:noProof/>
              </w:rPr>
              <w:t>1.3.</w:t>
            </w:r>
            <w:r w:rsidR="00C652CD">
              <w:rPr>
                <w:rFonts w:eastAsiaTheme="minorEastAsia"/>
                <w:noProof/>
                <w:lang w:eastAsia="en-NZ"/>
              </w:rPr>
              <w:tab/>
            </w:r>
            <w:r w:rsidR="00C652CD" w:rsidRPr="00A03906">
              <w:rPr>
                <w:rStyle w:val="Hyperlink"/>
                <w:noProof/>
              </w:rPr>
              <w:t>Background</w:t>
            </w:r>
            <w:r w:rsidR="00C652CD">
              <w:rPr>
                <w:noProof/>
                <w:webHidden/>
              </w:rPr>
              <w:tab/>
            </w:r>
            <w:r w:rsidR="00C652CD">
              <w:rPr>
                <w:noProof/>
                <w:webHidden/>
              </w:rPr>
              <w:fldChar w:fldCharType="begin"/>
            </w:r>
            <w:r w:rsidR="00C652CD">
              <w:rPr>
                <w:noProof/>
                <w:webHidden/>
              </w:rPr>
              <w:instrText xml:space="preserve"> PAGEREF _Toc72507617 \h </w:instrText>
            </w:r>
            <w:r w:rsidR="00C652CD">
              <w:rPr>
                <w:noProof/>
                <w:webHidden/>
              </w:rPr>
            </w:r>
            <w:r w:rsidR="00C652CD">
              <w:rPr>
                <w:noProof/>
                <w:webHidden/>
              </w:rPr>
              <w:fldChar w:fldCharType="separate"/>
            </w:r>
            <w:r w:rsidR="002A7A16">
              <w:rPr>
                <w:noProof/>
                <w:webHidden/>
              </w:rPr>
              <w:t>3</w:t>
            </w:r>
            <w:r w:rsidR="00C652CD">
              <w:rPr>
                <w:noProof/>
                <w:webHidden/>
              </w:rPr>
              <w:fldChar w:fldCharType="end"/>
            </w:r>
          </w:hyperlink>
        </w:p>
        <w:p w14:paraId="755653AF" w14:textId="2E0810E6"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18" w:history="1">
            <w:r w:rsidR="00C652CD" w:rsidRPr="00A03906">
              <w:rPr>
                <w:rStyle w:val="Hyperlink"/>
                <w:noProof/>
              </w:rPr>
              <w:t>1.4.</w:t>
            </w:r>
            <w:r w:rsidR="00C652CD">
              <w:rPr>
                <w:rFonts w:eastAsiaTheme="minorEastAsia"/>
                <w:noProof/>
                <w:lang w:eastAsia="en-NZ"/>
              </w:rPr>
              <w:tab/>
            </w:r>
            <w:r w:rsidR="00C652CD" w:rsidRPr="00A03906">
              <w:rPr>
                <w:rStyle w:val="Hyperlink"/>
                <w:noProof/>
              </w:rPr>
              <w:t>Requirements of section 32 of the RMA</w:t>
            </w:r>
            <w:r w:rsidR="00C652CD">
              <w:rPr>
                <w:noProof/>
                <w:webHidden/>
              </w:rPr>
              <w:tab/>
            </w:r>
            <w:r w:rsidR="00C652CD">
              <w:rPr>
                <w:noProof/>
                <w:webHidden/>
              </w:rPr>
              <w:fldChar w:fldCharType="begin"/>
            </w:r>
            <w:r w:rsidR="00C652CD">
              <w:rPr>
                <w:noProof/>
                <w:webHidden/>
              </w:rPr>
              <w:instrText xml:space="preserve"> PAGEREF _Toc72507618 \h </w:instrText>
            </w:r>
            <w:r w:rsidR="00C652CD">
              <w:rPr>
                <w:noProof/>
                <w:webHidden/>
              </w:rPr>
            </w:r>
            <w:r w:rsidR="00C652CD">
              <w:rPr>
                <w:noProof/>
                <w:webHidden/>
              </w:rPr>
              <w:fldChar w:fldCharType="separate"/>
            </w:r>
            <w:r w:rsidR="002A7A16">
              <w:rPr>
                <w:noProof/>
                <w:webHidden/>
              </w:rPr>
              <w:t>6</w:t>
            </w:r>
            <w:r w:rsidR="00C652CD">
              <w:rPr>
                <w:noProof/>
                <w:webHidden/>
              </w:rPr>
              <w:fldChar w:fldCharType="end"/>
            </w:r>
          </w:hyperlink>
        </w:p>
        <w:p w14:paraId="0BD55398" w14:textId="0868BD86"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19" w:history="1">
            <w:r w:rsidR="00C652CD" w:rsidRPr="00A03906">
              <w:rPr>
                <w:rStyle w:val="Hyperlink"/>
                <w:noProof/>
              </w:rPr>
              <w:t>2.</w:t>
            </w:r>
            <w:r w:rsidR="00C652CD">
              <w:rPr>
                <w:rFonts w:eastAsiaTheme="minorEastAsia"/>
                <w:b w:val="0"/>
                <w:noProof/>
                <w:lang w:eastAsia="en-NZ"/>
              </w:rPr>
              <w:tab/>
            </w:r>
            <w:r w:rsidR="00C652CD" w:rsidRPr="00A03906">
              <w:rPr>
                <w:rStyle w:val="Hyperlink"/>
                <w:noProof/>
              </w:rPr>
              <w:t>Development and consultation</w:t>
            </w:r>
            <w:r w:rsidR="00C652CD">
              <w:rPr>
                <w:noProof/>
                <w:webHidden/>
              </w:rPr>
              <w:tab/>
            </w:r>
            <w:r w:rsidR="00C652CD">
              <w:rPr>
                <w:noProof/>
                <w:webHidden/>
              </w:rPr>
              <w:fldChar w:fldCharType="begin"/>
            </w:r>
            <w:r w:rsidR="00C652CD">
              <w:rPr>
                <w:noProof/>
                <w:webHidden/>
              </w:rPr>
              <w:instrText xml:space="preserve"> PAGEREF _Toc72507619 \h </w:instrText>
            </w:r>
            <w:r w:rsidR="00C652CD">
              <w:rPr>
                <w:noProof/>
                <w:webHidden/>
              </w:rPr>
            </w:r>
            <w:r w:rsidR="00C652CD">
              <w:rPr>
                <w:noProof/>
                <w:webHidden/>
              </w:rPr>
              <w:fldChar w:fldCharType="separate"/>
            </w:r>
            <w:r w:rsidR="002A7A16">
              <w:rPr>
                <w:noProof/>
                <w:webHidden/>
              </w:rPr>
              <w:t>8</w:t>
            </w:r>
            <w:r w:rsidR="00C652CD">
              <w:rPr>
                <w:noProof/>
                <w:webHidden/>
              </w:rPr>
              <w:fldChar w:fldCharType="end"/>
            </w:r>
          </w:hyperlink>
        </w:p>
        <w:p w14:paraId="11F49ACE" w14:textId="44EF5783"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0" w:history="1">
            <w:r w:rsidR="00C652CD" w:rsidRPr="00A03906">
              <w:rPr>
                <w:rStyle w:val="Hyperlink"/>
                <w:noProof/>
              </w:rPr>
              <w:t>2.1.</w:t>
            </w:r>
            <w:r w:rsidR="00C652CD">
              <w:rPr>
                <w:rFonts w:eastAsiaTheme="minorEastAsia"/>
                <w:noProof/>
                <w:lang w:eastAsia="en-NZ"/>
              </w:rPr>
              <w:tab/>
            </w:r>
            <w:r w:rsidR="00C652CD" w:rsidRPr="00A03906">
              <w:rPr>
                <w:rStyle w:val="Hyperlink"/>
                <w:noProof/>
              </w:rPr>
              <w:t>Iwi involvement</w:t>
            </w:r>
            <w:r w:rsidR="00C652CD">
              <w:rPr>
                <w:noProof/>
                <w:webHidden/>
              </w:rPr>
              <w:tab/>
            </w:r>
            <w:r w:rsidR="00C652CD">
              <w:rPr>
                <w:noProof/>
                <w:webHidden/>
              </w:rPr>
              <w:fldChar w:fldCharType="begin"/>
            </w:r>
            <w:r w:rsidR="00C652CD">
              <w:rPr>
                <w:noProof/>
                <w:webHidden/>
              </w:rPr>
              <w:instrText xml:space="preserve"> PAGEREF _Toc72507620 \h </w:instrText>
            </w:r>
            <w:r w:rsidR="00C652CD">
              <w:rPr>
                <w:noProof/>
                <w:webHidden/>
              </w:rPr>
            </w:r>
            <w:r w:rsidR="00C652CD">
              <w:rPr>
                <w:noProof/>
                <w:webHidden/>
              </w:rPr>
              <w:fldChar w:fldCharType="separate"/>
            </w:r>
            <w:r w:rsidR="002A7A16">
              <w:rPr>
                <w:noProof/>
                <w:webHidden/>
              </w:rPr>
              <w:t>8</w:t>
            </w:r>
            <w:r w:rsidR="00C652CD">
              <w:rPr>
                <w:noProof/>
                <w:webHidden/>
              </w:rPr>
              <w:fldChar w:fldCharType="end"/>
            </w:r>
          </w:hyperlink>
        </w:p>
        <w:p w14:paraId="6FE3873B" w14:textId="05D37A4F"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1" w:history="1">
            <w:r w:rsidR="00C652CD" w:rsidRPr="00A03906">
              <w:rPr>
                <w:rStyle w:val="Hyperlink"/>
                <w:noProof/>
              </w:rPr>
              <w:t>2.2.</w:t>
            </w:r>
            <w:r w:rsidR="00C652CD">
              <w:rPr>
                <w:rFonts w:eastAsiaTheme="minorEastAsia"/>
                <w:noProof/>
                <w:lang w:eastAsia="en-NZ"/>
              </w:rPr>
              <w:tab/>
            </w:r>
            <w:r w:rsidR="00C652CD" w:rsidRPr="00A03906">
              <w:rPr>
                <w:rStyle w:val="Hyperlink"/>
                <w:noProof/>
              </w:rPr>
              <w:t>Phases 1 and 2: January to March 2020</w:t>
            </w:r>
            <w:r w:rsidR="00C652CD">
              <w:rPr>
                <w:noProof/>
                <w:webHidden/>
              </w:rPr>
              <w:tab/>
            </w:r>
            <w:r w:rsidR="00C652CD">
              <w:rPr>
                <w:noProof/>
                <w:webHidden/>
              </w:rPr>
              <w:fldChar w:fldCharType="begin"/>
            </w:r>
            <w:r w:rsidR="00C652CD">
              <w:rPr>
                <w:noProof/>
                <w:webHidden/>
              </w:rPr>
              <w:instrText xml:space="preserve"> PAGEREF _Toc72507621 \h </w:instrText>
            </w:r>
            <w:r w:rsidR="00C652CD">
              <w:rPr>
                <w:noProof/>
                <w:webHidden/>
              </w:rPr>
            </w:r>
            <w:r w:rsidR="00C652CD">
              <w:rPr>
                <w:noProof/>
                <w:webHidden/>
              </w:rPr>
              <w:fldChar w:fldCharType="separate"/>
            </w:r>
            <w:r w:rsidR="002A7A16">
              <w:rPr>
                <w:noProof/>
                <w:webHidden/>
              </w:rPr>
              <w:t>11</w:t>
            </w:r>
            <w:r w:rsidR="00C652CD">
              <w:rPr>
                <w:noProof/>
                <w:webHidden/>
              </w:rPr>
              <w:fldChar w:fldCharType="end"/>
            </w:r>
          </w:hyperlink>
        </w:p>
        <w:p w14:paraId="06C7DDB2" w14:textId="4F4096EB"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2" w:history="1">
            <w:r w:rsidR="00C652CD" w:rsidRPr="00A03906">
              <w:rPr>
                <w:rStyle w:val="Hyperlink"/>
                <w:noProof/>
              </w:rPr>
              <w:t>2.3.</w:t>
            </w:r>
            <w:r w:rsidR="00C652CD">
              <w:rPr>
                <w:rFonts w:eastAsiaTheme="minorEastAsia"/>
                <w:noProof/>
                <w:lang w:eastAsia="en-NZ"/>
              </w:rPr>
              <w:tab/>
            </w:r>
            <w:r w:rsidR="00C652CD" w:rsidRPr="00A03906">
              <w:rPr>
                <w:rStyle w:val="Hyperlink"/>
                <w:noProof/>
              </w:rPr>
              <w:t>Phase 3: June – August 2020</w:t>
            </w:r>
            <w:r w:rsidR="00C652CD">
              <w:rPr>
                <w:noProof/>
                <w:webHidden/>
              </w:rPr>
              <w:tab/>
            </w:r>
            <w:r w:rsidR="00C652CD">
              <w:rPr>
                <w:noProof/>
                <w:webHidden/>
              </w:rPr>
              <w:fldChar w:fldCharType="begin"/>
            </w:r>
            <w:r w:rsidR="00C652CD">
              <w:rPr>
                <w:noProof/>
                <w:webHidden/>
              </w:rPr>
              <w:instrText xml:space="preserve"> PAGEREF _Toc72507622 \h </w:instrText>
            </w:r>
            <w:r w:rsidR="00C652CD">
              <w:rPr>
                <w:noProof/>
                <w:webHidden/>
              </w:rPr>
            </w:r>
            <w:r w:rsidR="00C652CD">
              <w:rPr>
                <w:noProof/>
                <w:webHidden/>
              </w:rPr>
              <w:fldChar w:fldCharType="separate"/>
            </w:r>
            <w:r w:rsidR="002A7A16">
              <w:rPr>
                <w:noProof/>
                <w:webHidden/>
              </w:rPr>
              <w:t>12</w:t>
            </w:r>
            <w:r w:rsidR="00C652CD">
              <w:rPr>
                <w:noProof/>
                <w:webHidden/>
              </w:rPr>
              <w:fldChar w:fldCharType="end"/>
            </w:r>
          </w:hyperlink>
        </w:p>
        <w:p w14:paraId="3C90A17F" w14:textId="726D864D"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3" w:history="1">
            <w:r w:rsidR="00C652CD" w:rsidRPr="00A03906">
              <w:rPr>
                <w:rStyle w:val="Hyperlink"/>
                <w:noProof/>
              </w:rPr>
              <w:t>2.4.</w:t>
            </w:r>
            <w:r w:rsidR="00C652CD">
              <w:rPr>
                <w:rFonts w:eastAsiaTheme="minorEastAsia"/>
                <w:noProof/>
                <w:lang w:eastAsia="en-NZ"/>
              </w:rPr>
              <w:tab/>
            </w:r>
            <w:r w:rsidR="00C652CD" w:rsidRPr="00A03906">
              <w:rPr>
                <w:rStyle w:val="Hyperlink"/>
                <w:noProof/>
              </w:rPr>
              <w:t>Phase 4: Freshwater visions consultation</w:t>
            </w:r>
            <w:r w:rsidR="00C652CD">
              <w:rPr>
                <w:noProof/>
                <w:webHidden/>
              </w:rPr>
              <w:tab/>
            </w:r>
            <w:r w:rsidR="00C652CD">
              <w:rPr>
                <w:noProof/>
                <w:webHidden/>
              </w:rPr>
              <w:fldChar w:fldCharType="begin"/>
            </w:r>
            <w:r w:rsidR="00C652CD">
              <w:rPr>
                <w:noProof/>
                <w:webHidden/>
              </w:rPr>
              <w:instrText xml:space="preserve"> PAGEREF _Toc72507623 \h </w:instrText>
            </w:r>
            <w:r w:rsidR="00C652CD">
              <w:rPr>
                <w:noProof/>
                <w:webHidden/>
              </w:rPr>
            </w:r>
            <w:r w:rsidR="00C652CD">
              <w:rPr>
                <w:noProof/>
                <w:webHidden/>
              </w:rPr>
              <w:fldChar w:fldCharType="separate"/>
            </w:r>
            <w:r w:rsidR="002A7A16">
              <w:rPr>
                <w:noProof/>
                <w:webHidden/>
              </w:rPr>
              <w:t>13</w:t>
            </w:r>
            <w:r w:rsidR="00C652CD">
              <w:rPr>
                <w:noProof/>
                <w:webHidden/>
              </w:rPr>
              <w:fldChar w:fldCharType="end"/>
            </w:r>
          </w:hyperlink>
        </w:p>
        <w:p w14:paraId="139068F2" w14:textId="43D37A33"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4" w:history="1">
            <w:r w:rsidR="00C652CD" w:rsidRPr="00A03906">
              <w:rPr>
                <w:rStyle w:val="Hyperlink"/>
                <w:noProof/>
              </w:rPr>
              <w:t>2.5.</w:t>
            </w:r>
            <w:r w:rsidR="00C652CD">
              <w:rPr>
                <w:rFonts w:eastAsiaTheme="minorEastAsia"/>
                <w:noProof/>
                <w:lang w:eastAsia="en-NZ"/>
              </w:rPr>
              <w:tab/>
            </w:r>
            <w:r w:rsidR="00C652CD" w:rsidRPr="00A03906">
              <w:rPr>
                <w:rStyle w:val="Hyperlink"/>
                <w:noProof/>
              </w:rPr>
              <w:t>Phase 5: RMA pre-notification consultation</w:t>
            </w:r>
            <w:r w:rsidR="00C652CD">
              <w:rPr>
                <w:noProof/>
                <w:webHidden/>
              </w:rPr>
              <w:tab/>
            </w:r>
            <w:r w:rsidR="00C652CD">
              <w:rPr>
                <w:noProof/>
                <w:webHidden/>
              </w:rPr>
              <w:fldChar w:fldCharType="begin"/>
            </w:r>
            <w:r w:rsidR="00C652CD">
              <w:rPr>
                <w:noProof/>
                <w:webHidden/>
              </w:rPr>
              <w:instrText xml:space="preserve"> PAGEREF _Toc72507624 \h </w:instrText>
            </w:r>
            <w:r w:rsidR="00C652CD">
              <w:rPr>
                <w:noProof/>
                <w:webHidden/>
              </w:rPr>
            </w:r>
            <w:r w:rsidR="00C652CD">
              <w:rPr>
                <w:noProof/>
                <w:webHidden/>
              </w:rPr>
              <w:fldChar w:fldCharType="separate"/>
            </w:r>
            <w:r w:rsidR="002A7A16">
              <w:rPr>
                <w:noProof/>
                <w:webHidden/>
              </w:rPr>
              <w:t>14</w:t>
            </w:r>
            <w:r w:rsidR="00C652CD">
              <w:rPr>
                <w:noProof/>
                <w:webHidden/>
              </w:rPr>
              <w:fldChar w:fldCharType="end"/>
            </w:r>
          </w:hyperlink>
        </w:p>
        <w:p w14:paraId="2616BD4B" w14:textId="6593E9DA"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25" w:history="1">
            <w:r w:rsidR="00C652CD" w:rsidRPr="00A03906">
              <w:rPr>
                <w:rStyle w:val="Hyperlink"/>
                <w:noProof/>
              </w:rPr>
              <w:t>3.</w:t>
            </w:r>
            <w:r w:rsidR="00C652CD">
              <w:rPr>
                <w:rFonts w:eastAsiaTheme="minorEastAsia"/>
                <w:b w:val="0"/>
                <w:noProof/>
                <w:lang w:eastAsia="en-NZ"/>
              </w:rPr>
              <w:tab/>
            </w:r>
            <w:r w:rsidR="00C652CD" w:rsidRPr="00A03906">
              <w:rPr>
                <w:rStyle w:val="Hyperlink"/>
                <w:noProof/>
              </w:rPr>
              <w:t>Issues</w:t>
            </w:r>
            <w:r w:rsidR="00C652CD">
              <w:rPr>
                <w:noProof/>
                <w:webHidden/>
              </w:rPr>
              <w:tab/>
            </w:r>
            <w:r w:rsidR="00C652CD">
              <w:rPr>
                <w:noProof/>
                <w:webHidden/>
              </w:rPr>
              <w:fldChar w:fldCharType="begin"/>
            </w:r>
            <w:r w:rsidR="00C652CD">
              <w:rPr>
                <w:noProof/>
                <w:webHidden/>
              </w:rPr>
              <w:instrText xml:space="preserve"> PAGEREF _Toc72507625 \h </w:instrText>
            </w:r>
            <w:r w:rsidR="00C652CD">
              <w:rPr>
                <w:noProof/>
                <w:webHidden/>
              </w:rPr>
            </w:r>
            <w:r w:rsidR="00C652CD">
              <w:rPr>
                <w:noProof/>
                <w:webHidden/>
              </w:rPr>
              <w:fldChar w:fldCharType="separate"/>
            </w:r>
            <w:r w:rsidR="002A7A16">
              <w:rPr>
                <w:noProof/>
                <w:webHidden/>
              </w:rPr>
              <w:t>17</w:t>
            </w:r>
            <w:r w:rsidR="00C652CD">
              <w:rPr>
                <w:noProof/>
                <w:webHidden/>
              </w:rPr>
              <w:fldChar w:fldCharType="end"/>
            </w:r>
          </w:hyperlink>
        </w:p>
        <w:p w14:paraId="5168B49F" w14:textId="09B59357"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6" w:history="1">
            <w:r w:rsidR="00C652CD" w:rsidRPr="00A03906">
              <w:rPr>
                <w:rStyle w:val="Hyperlink"/>
                <w:noProof/>
              </w:rPr>
              <w:t>3.1.</w:t>
            </w:r>
            <w:r w:rsidR="00C652CD">
              <w:rPr>
                <w:rFonts w:eastAsiaTheme="minorEastAsia"/>
                <w:noProof/>
                <w:lang w:eastAsia="en-NZ"/>
              </w:rPr>
              <w:tab/>
            </w:r>
            <w:r w:rsidR="00C652CD" w:rsidRPr="00A03906">
              <w:rPr>
                <w:rStyle w:val="Hyperlink"/>
                <w:noProof/>
              </w:rPr>
              <w:t>Significant resource management issues for the region</w:t>
            </w:r>
            <w:r w:rsidR="00C652CD">
              <w:rPr>
                <w:noProof/>
                <w:webHidden/>
              </w:rPr>
              <w:tab/>
            </w:r>
            <w:r w:rsidR="00C652CD">
              <w:rPr>
                <w:noProof/>
                <w:webHidden/>
              </w:rPr>
              <w:fldChar w:fldCharType="begin"/>
            </w:r>
            <w:r w:rsidR="00C652CD">
              <w:rPr>
                <w:noProof/>
                <w:webHidden/>
              </w:rPr>
              <w:instrText xml:space="preserve"> PAGEREF _Toc72507626 \h </w:instrText>
            </w:r>
            <w:r w:rsidR="00C652CD">
              <w:rPr>
                <w:noProof/>
                <w:webHidden/>
              </w:rPr>
            </w:r>
            <w:r w:rsidR="00C652CD">
              <w:rPr>
                <w:noProof/>
                <w:webHidden/>
              </w:rPr>
              <w:fldChar w:fldCharType="separate"/>
            </w:r>
            <w:r w:rsidR="002A7A16">
              <w:rPr>
                <w:noProof/>
                <w:webHidden/>
              </w:rPr>
              <w:t>17</w:t>
            </w:r>
            <w:r w:rsidR="00C652CD">
              <w:rPr>
                <w:noProof/>
                <w:webHidden/>
              </w:rPr>
              <w:fldChar w:fldCharType="end"/>
            </w:r>
          </w:hyperlink>
        </w:p>
        <w:p w14:paraId="38E61174" w14:textId="1DF11DED"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7" w:history="1">
            <w:r w:rsidR="00C652CD" w:rsidRPr="00A03906">
              <w:rPr>
                <w:rStyle w:val="Hyperlink"/>
                <w:noProof/>
              </w:rPr>
              <w:t>3.2.</w:t>
            </w:r>
            <w:r w:rsidR="00C652CD">
              <w:rPr>
                <w:rFonts w:eastAsiaTheme="minorEastAsia"/>
                <w:noProof/>
                <w:lang w:eastAsia="en-NZ"/>
              </w:rPr>
              <w:tab/>
            </w:r>
            <w:r w:rsidR="00C652CD" w:rsidRPr="00A03906">
              <w:rPr>
                <w:rStyle w:val="Hyperlink"/>
                <w:noProof/>
              </w:rPr>
              <w:t>Resource management issues of significance to iwi authorities</w:t>
            </w:r>
            <w:r w:rsidR="00C652CD">
              <w:rPr>
                <w:noProof/>
                <w:webHidden/>
              </w:rPr>
              <w:tab/>
            </w:r>
            <w:r w:rsidR="00C652CD">
              <w:rPr>
                <w:noProof/>
                <w:webHidden/>
              </w:rPr>
              <w:fldChar w:fldCharType="begin"/>
            </w:r>
            <w:r w:rsidR="00C652CD">
              <w:rPr>
                <w:noProof/>
                <w:webHidden/>
              </w:rPr>
              <w:instrText xml:space="preserve"> PAGEREF _Toc72507627 \h </w:instrText>
            </w:r>
            <w:r w:rsidR="00C652CD">
              <w:rPr>
                <w:noProof/>
                <w:webHidden/>
              </w:rPr>
            </w:r>
            <w:r w:rsidR="00C652CD">
              <w:rPr>
                <w:noProof/>
                <w:webHidden/>
              </w:rPr>
              <w:fldChar w:fldCharType="separate"/>
            </w:r>
            <w:r w:rsidR="002A7A16">
              <w:rPr>
                <w:noProof/>
                <w:webHidden/>
              </w:rPr>
              <w:t>18</w:t>
            </w:r>
            <w:r w:rsidR="00C652CD">
              <w:rPr>
                <w:noProof/>
                <w:webHidden/>
              </w:rPr>
              <w:fldChar w:fldCharType="end"/>
            </w:r>
          </w:hyperlink>
        </w:p>
        <w:p w14:paraId="6D3852E0" w14:textId="4E2A3AD0"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28" w:history="1">
            <w:r w:rsidR="00C652CD" w:rsidRPr="00A03906">
              <w:rPr>
                <w:rStyle w:val="Hyperlink"/>
                <w:noProof/>
              </w:rPr>
              <w:t>4.</w:t>
            </w:r>
            <w:r w:rsidR="00C652CD">
              <w:rPr>
                <w:rFonts w:eastAsiaTheme="minorEastAsia"/>
                <w:b w:val="0"/>
                <w:noProof/>
                <w:lang w:eastAsia="en-NZ"/>
              </w:rPr>
              <w:tab/>
            </w:r>
            <w:r w:rsidR="00C652CD" w:rsidRPr="00A03906">
              <w:rPr>
                <w:rStyle w:val="Hyperlink"/>
                <w:noProof/>
              </w:rPr>
              <w:t>Evaluation of objectives</w:t>
            </w:r>
            <w:r w:rsidR="00C652CD">
              <w:rPr>
                <w:noProof/>
                <w:webHidden/>
              </w:rPr>
              <w:tab/>
            </w:r>
            <w:r w:rsidR="00C652CD">
              <w:rPr>
                <w:noProof/>
                <w:webHidden/>
              </w:rPr>
              <w:fldChar w:fldCharType="begin"/>
            </w:r>
            <w:r w:rsidR="00C652CD">
              <w:rPr>
                <w:noProof/>
                <w:webHidden/>
              </w:rPr>
              <w:instrText xml:space="preserve"> PAGEREF _Toc72507628 \h </w:instrText>
            </w:r>
            <w:r w:rsidR="00C652CD">
              <w:rPr>
                <w:noProof/>
                <w:webHidden/>
              </w:rPr>
            </w:r>
            <w:r w:rsidR="00C652CD">
              <w:rPr>
                <w:noProof/>
                <w:webHidden/>
              </w:rPr>
              <w:fldChar w:fldCharType="separate"/>
            </w:r>
            <w:r w:rsidR="002A7A16">
              <w:rPr>
                <w:noProof/>
                <w:webHidden/>
              </w:rPr>
              <w:t>22</w:t>
            </w:r>
            <w:r w:rsidR="00C652CD">
              <w:rPr>
                <w:noProof/>
                <w:webHidden/>
              </w:rPr>
              <w:fldChar w:fldCharType="end"/>
            </w:r>
          </w:hyperlink>
        </w:p>
        <w:p w14:paraId="24D03D02" w14:textId="53F725EB"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29" w:history="1">
            <w:r w:rsidR="00C652CD" w:rsidRPr="00A03906">
              <w:rPr>
                <w:rStyle w:val="Hyperlink"/>
                <w:noProof/>
              </w:rPr>
              <w:t>4.1.</w:t>
            </w:r>
            <w:r w:rsidR="00C652CD">
              <w:rPr>
                <w:rFonts w:eastAsiaTheme="minorEastAsia"/>
                <w:noProof/>
                <w:lang w:eastAsia="en-NZ"/>
              </w:rPr>
              <w:tab/>
            </w:r>
            <w:r w:rsidR="00C652CD" w:rsidRPr="00A03906">
              <w:rPr>
                <w:rStyle w:val="Hyperlink"/>
                <w:noProof/>
              </w:rPr>
              <w:t>Methodology</w:t>
            </w:r>
            <w:r w:rsidR="00C652CD">
              <w:rPr>
                <w:noProof/>
                <w:webHidden/>
              </w:rPr>
              <w:tab/>
            </w:r>
            <w:r w:rsidR="00C652CD">
              <w:rPr>
                <w:noProof/>
                <w:webHidden/>
              </w:rPr>
              <w:fldChar w:fldCharType="begin"/>
            </w:r>
            <w:r w:rsidR="00C652CD">
              <w:rPr>
                <w:noProof/>
                <w:webHidden/>
              </w:rPr>
              <w:instrText xml:space="preserve"> PAGEREF _Toc72507629 \h </w:instrText>
            </w:r>
            <w:r w:rsidR="00C652CD">
              <w:rPr>
                <w:noProof/>
                <w:webHidden/>
              </w:rPr>
            </w:r>
            <w:r w:rsidR="00C652CD">
              <w:rPr>
                <w:noProof/>
                <w:webHidden/>
              </w:rPr>
              <w:fldChar w:fldCharType="separate"/>
            </w:r>
            <w:r w:rsidR="002A7A16">
              <w:rPr>
                <w:noProof/>
                <w:webHidden/>
              </w:rPr>
              <w:t>22</w:t>
            </w:r>
            <w:r w:rsidR="00C652CD">
              <w:rPr>
                <w:noProof/>
                <w:webHidden/>
              </w:rPr>
              <w:fldChar w:fldCharType="end"/>
            </w:r>
          </w:hyperlink>
        </w:p>
        <w:p w14:paraId="63C14347" w14:textId="1D4E5934"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30" w:history="1">
            <w:r w:rsidR="00C652CD" w:rsidRPr="00A03906">
              <w:rPr>
                <w:rStyle w:val="Hyperlink"/>
                <w:noProof/>
              </w:rPr>
              <w:t>4.2.</w:t>
            </w:r>
            <w:r w:rsidR="00C652CD">
              <w:rPr>
                <w:rFonts w:eastAsiaTheme="minorEastAsia"/>
                <w:noProof/>
                <w:lang w:eastAsia="en-NZ"/>
              </w:rPr>
              <w:tab/>
            </w:r>
            <w:r w:rsidR="00C652CD" w:rsidRPr="00A03906">
              <w:rPr>
                <w:rStyle w:val="Hyperlink"/>
                <w:noProof/>
              </w:rPr>
              <w:t>Status quo</w:t>
            </w:r>
            <w:r w:rsidR="00C652CD">
              <w:rPr>
                <w:noProof/>
                <w:webHidden/>
              </w:rPr>
              <w:tab/>
            </w:r>
            <w:r w:rsidR="00C652CD">
              <w:rPr>
                <w:noProof/>
                <w:webHidden/>
              </w:rPr>
              <w:fldChar w:fldCharType="begin"/>
            </w:r>
            <w:r w:rsidR="00C652CD">
              <w:rPr>
                <w:noProof/>
                <w:webHidden/>
              </w:rPr>
              <w:instrText xml:space="preserve"> PAGEREF _Toc72507630 \h </w:instrText>
            </w:r>
            <w:r w:rsidR="00C652CD">
              <w:rPr>
                <w:noProof/>
                <w:webHidden/>
              </w:rPr>
            </w:r>
            <w:r w:rsidR="00C652CD">
              <w:rPr>
                <w:noProof/>
                <w:webHidden/>
              </w:rPr>
              <w:fldChar w:fldCharType="separate"/>
            </w:r>
            <w:r w:rsidR="002A7A16">
              <w:rPr>
                <w:noProof/>
                <w:webHidden/>
              </w:rPr>
              <w:t>22</w:t>
            </w:r>
            <w:r w:rsidR="00C652CD">
              <w:rPr>
                <w:noProof/>
                <w:webHidden/>
              </w:rPr>
              <w:fldChar w:fldCharType="end"/>
            </w:r>
          </w:hyperlink>
        </w:p>
        <w:p w14:paraId="083ED490" w14:textId="40FA6679"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31" w:history="1">
            <w:r w:rsidR="00C652CD" w:rsidRPr="00A03906">
              <w:rPr>
                <w:rStyle w:val="Hyperlink"/>
                <w:noProof/>
              </w:rPr>
              <w:t>4.3.</w:t>
            </w:r>
            <w:r w:rsidR="00C652CD">
              <w:rPr>
                <w:rFonts w:eastAsiaTheme="minorEastAsia"/>
                <w:noProof/>
                <w:lang w:eastAsia="en-NZ"/>
              </w:rPr>
              <w:tab/>
            </w:r>
            <w:r w:rsidR="00C652CD" w:rsidRPr="00A03906">
              <w:rPr>
                <w:rStyle w:val="Hyperlink"/>
                <w:noProof/>
              </w:rPr>
              <w:t>Evaluation</w:t>
            </w:r>
            <w:r w:rsidR="00C652CD">
              <w:rPr>
                <w:noProof/>
                <w:webHidden/>
              </w:rPr>
              <w:tab/>
            </w:r>
            <w:r w:rsidR="00C652CD">
              <w:rPr>
                <w:noProof/>
                <w:webHidden/>
              </w:rPr>
              <w:fldChar w:fldCharType="begin"/>
            </w:r>
            <w:r w:rsidR="00C652CD">
              <w:rPr>
                <w:noProof/>
                <w:webHidden/>
              </w:rPr>
              <w:instrText xml:space="preserve"> PAGEREF _Toc72507631 \h </w:instrText>
            </w:r>
            <w:r w:rsidR="00C652CD">
              <w:rPr>
                <w:noProof/>
                <w:webHidden/>
              </w:rPr>
            </w:r>
            <w:r w:rsidR="00C652CD">
              <w:rPr>
                <w:noProof/>
                <w:webHidden/>
              </w:rPr>
              <w:fldChar w:fldCharType="separate"/>
            </w:r>
            <w:r w:rsidR="002A7A16">
              <w:rPr>
                <w:noProof/>
                <w:webHidden/>
              </w:rPr>
              <w:t>23</w:t>
            </w:r>
            <w:r w:rsidR="00C652CD">
              <w:rPr>
                <w:noProof/>
                <w:webHidden/>
              </w:rPr>
              <w:fldChar w:fldCharType="end"/>
            </w:r>
          </w:hyperlink>
        </w:p>
        <w:p w14:paraId="6D6D3CA6" w14:textId="078E8BB4"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32" w:history="1">
            <w:r w:rsidR="00C652CD" w:rsidRPr="00A03906">
              <w:rPr>
                <w:rStyle w:val="Hyperlink"/>
                <w:noProof/>
              </w:rPr>
              <w:t>4.4.</w:t>
            </w:r>
            <w:r w:rsidR="00C652CD">
              <w:rPr>
                <w:rFonts w:eastAsiaTheme="minorEastAsia"/>
                <w:noProof/>
                <w:lang w:eastAsia="en-NZ"/>
              </w:rPr>
              <w:tab/>
            </w:r>
            <w:r w:rsidR="00C652CD" w:rsidRPr="00A03906">
              <w:rPr>
                <w:rStyle w:val="Hyperlink"/>
                <w:noProof/>
              </w:rPr>
              <w:t>Conclusion</w:t>
            </w:r>
            <w:r w:rsidR="00C652CD">
              <w:rPr>
                <w:noProof/>
                <w:webHidden/>
              </w:rPr>
              <w:tab/>
            </w:r>
            <w:r w:rsidR="00C652CD">
              <w:rPr>
                <w:noProof/>
                <w:webHidden/>
              </w:rPr>
              <w:fldChar w:fldCharType="begin"/>
            </w:r>
            <w:r w:rsidR="00C652CD">
              <w:rPr>
                <w:noProof/>
                <w:webHidden/>
              </w:rPr>
              <w:instrText xml:space="preserve"> PAGEREF _Toc72507632 \h </w:instrText>
            </w:r>
            <w:r w:rsidR="00C652CD">
              <w:rPr>
                <w:noProof/>
                <w:webHidden/>
              </w:rPr>
            </w:r>
            <w:r w:rsidR="00C652CD">
              <w:rPr>
                <w:noProof/>
                <w:webHidden/>
              </w:rPr>
              <w:fldChar w:fldCharType="separate"/>
            </w:r>
            <w:r w:rsidR="002A7A16">
              <w:rPr>
                <w:noProof/>
                <w:webHidden/>
              </w:rPr>
              <w:t>61</w:t>
            </w:r>
            <w:r w:rsidR="00C652CD">
              <w:rPr>
                <w:noProof/>
                <w:webHidden/>
              </w:rPr>
              <w:fldChar w:fldCharType="end"/>
            </w:r>
          </w:hyperlink>
        </w:p>
        <w:p w14:paraId="12BCB02E" w14:textId="3C9E35D7"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33" w:history="1">
            <w:r w:rsidR="00C652CD" w:rsidRPr="00A03906">
              <w:rPr>
                <w:rStyle w:val="Hyperlink"/>
                <w:noProof/>
              </w:rPr>
              <w:t>5.</w:t>
            </w:r>
            <w:r w:rsidR="00C652CD">
              <w:rPr>
                <w:rFonts w:eastAsiaTheme="minorEastAsia"/>
                <w:b w:val="0"/>
                <w:noProof/>
                <w:lang w:eastAsia="en-NZ"/>
              </w:rPr>
              <w:tab/>
            </w:r>
            <w:r w:rsidR="00C652CD" w:rsidRPr="00A03906">
              <w:rPr>
                <w:rStyle w:val="Hyperlink"/>
                <w:noProof/>
              </w:rPr>
              <w:t>Evaluation of provisions</w:t>
            </w:r>
            <w:r w:rsidR="00C652CD">
              <w:rPr>
                <w:noProof/>
                <w:webHidden/>
              </w:rPr>
              <w:tab/>
            </w:r>
            <w:r w:rsidR="00C652CD">
              <w:rPr>
                <w:noProof/>
                <w:webHidden/>
              </w:rPr>
              <w:fldChar w:fldCharType="begin"/>
            </w:r>
            <w:r w:rsidR="00C652CD">
              <w:rPr>
                <w:noProof/>
                <w:webHidden/>
              </w:rPr>
              <w:instrText xml:space="preserve"> PAGEREF _Toc72507633 \h </w:instrText>
            </w:r>
            <w:r w:rsidR="00C652CD">
              <w:rPr>
                <w:noProof/>
                <w:webHidden/>
              </w:rPr>
            </w:r>
            <w:r w:rsidR="00C652CD">
              <w:rPr>
                <w:noProof/>
                <w:webHidden/>
              </w:rPr>
              <w:fldChar w:fldCharType="separate"/>
            </w:r>
            <w:r w:rsidR="002A7A16">
              <w:rPr>
                <w:noProof/>
                <w:webHidden/>
              </w:rPr>
              <w:t>63</w:t>
            </w:r>
            <w:r w:rsidR="00C652CD">
              <w:rPr>
                <w:noProof/>
                <w:webHidden/>
              </w:rPr>
              <w:fldChar w:fldCharType="end"/>
            </w:r>
          </w:hyperlink>
        </w:p>
        <w:p w14:paraId="6BBFA28F" w14:textId="18165D21"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34" w:history="1">
            <w:r w:rsidR="00C652CD" w:rsidRPr="00A03906">
              <w:rPr>
                <w:rStyle w:val="Hyperlink"/>
                <w:noProof/>
              </w:rPr>
              <w:t>5.1.</w:t>
            </w:r>
            <w:r w:rsidR="00C652CD">
              <w:rPr>
                <w:rFonts w:eastAsiaTheme="minorEastAsia"/>
                <w:noProof/>
                <w:lang w:eastAsia="en-NZ"/>
              </w:rPr>
              <w:tab/>
            </w:r>
            <w:r w:rsidR="00C652CD" w:rsidRPr="00A03906">
              <w:rPr>
                <w:rStyle w:val="Hyperlink"/>
                <w:noProof/>
              </w:rPr>
              <w:t>Introduction</w:t>
            </w:r>
            <w:r w:rsidR="00C652CD">
              <w:rPr>
                <w:noProof/>
                <w:webHidden/>
              </w:rPr>
              <w:tab/>
            </w:r>
            <w:r w:rsidR="00C652CD">
              <w:rPr>
                <w:noProof/>
                <w:webHidden/>
              </w:rPr>
              <w:fldChar w:fldCharType="begin"/>
            </w:r>
            <w:r w:rsidR="00C652CD">
              <w:rPr>
                <w:noProof/>
                <w:webHidden/>
              </w:rPr>
              <w:instrText xml:space="preserve"> PAGEREF _Toc72507634 \h </w:instrText>
            </w:r>
            <w:r w:rsidR="00C652CD">
              <w:rPr>
                <w:noProof/>
                <w:webHidden/>
              </w:rPr>
            </w:r>
            <w:r w:rsidR="00C652CD">
              <w:rPr>
                <w:noProof/>
                <w:webHidden/>
              </w:rPr>
              <w:fldChar w:fldCharType="separate"/>
            </w:r>
            <w:r w:rsidR="002A7A16">
              <w:rPr>
                <w:noProof/>
                <w:webHidden/>
              </w:rPr>
              <w:t>63</w:t>
            </w:r>
            <w:r w:rsidR="00C652CD">
              <w:rPr>
                <w:noProof/>
                <w:webHidden/>
              </w:rPr>
              <w:fldChar w:fldCharType="end"/>
            </w:r>
          </w:hyperlink>
        </w:p>
        <w:p w14:paraId="31CC3D96" w14:textId="62A18A56"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35" w:history="1">
            <w:r w:rsidR="00C652CD" w:rsidRPr="00A03906">
              <w:rPr>
                <w:rStyle w:val="Hyperlink"/>
                <w:noProof/>
              </w:rPr>
              <w:t>5.2.</w:t>
            </w:r>
            <w:r w:rsidR="00C652CD">
              <w:rPr>
                <w:rFonts w:eastAsiaTheme="minorEastAsia"/>
                <w:noProof/>
                <w:lang w:eastAsia="en-NZ"/>
              </w:rPr>
              <w:tab/>
            </w:r>
            <w:r w:rsidR="00C652CD" w:rsidRPr="00A03906">
              <w:rPr>
                <w:rStyle w:val="Hyperlink"/>
                <w:noProof/>
              </w:rPr>
              <w:t>Limitations</w:t>
            </w:r>
            <w:r w:rsidR="00C652CD">
              <w:rPr>
                <w:noProof/>
                <w:webHidden/>
              </w:rPr>
              <w:tab/>
            </w:r>
            <w:r w:rsidR="00C652CD">
              <w:rPr>
                <w:noProof/>
                <w:webHidden/>
              </w:rPr>
              <w:fldChar w:fldCharType="begin"/>
            </w:r>
            <w:r w:rsidR="00C652CD">
              <w:rPr>
                <w:noProof/>
                <w:webHidden/>
              </w:rPr>
              <w:instrText xml:space="preserve"> PAGEREF _Toc72507635 \h </w:instrText>
            </w:r>
            <w:r w:rsidR="00C652CD">
              <w:rPr>
                <w:noProof/>
                <w:webHidden/>
              </w:rPr>
            </w:r>
            <w:r w:rsidR="00C652CD">
              <w:rPr>
                <w:noProof/>
                <w:webHidden/>
              </w:rPr>
              <w:fldChar w:fldCharType="separate"/>
            </w:r>
            <w:r w:rsidR="002A7A16">
              <w:rPr>
                <w:noProof/>
                <w:webHidden/>
              </w:rPr>
              <w:t>63</w:t>
            </w:r>
            <w:r w:rsidR="00C652CD">
              <w:rPr>
                <w:noProof/>
                <w:webHidden/>
              </w:rPr>
              <w:fldChar w:fldCharType="end"/>
            </w:r>
          </w:hyperlink>
        </w:p>
        <w:p w14:paraId="0363843B" w14:textId="6F1ADB34" w:rsidR="00C652CD" w:rsidRDefault="00000000">
          <w:pPr>
            <w:pStyle w:val="TOC2"/>
            <w:tabs>
              <w:tab w:val="left" w:pos="1134"/>
              <w:tab w:val="right" w:leader="dot" w:pos="9016"/>
            </w:tabs>
            <w:rPr>
              <w:rFonts w:eastAsiaTheme="minorEastAsia"/>
              <w:noProof/>
              <w:lang w:eastAsia="en-NZ"/>
            </w:rPr>
          </w:pPr>
          <w:hyperlink w:anchor="_Toc72507636" w:history="1">
            <w:r w:rsidR="00C652CD" w:rsidRPr="00A03906">
              <w:rPr>
                <w:rStyle w:val="Hyperlink"/>
                <w:noProof/>
              </w:rPr>
              <w:t>5.3.</w:t>
            </w:r>
            <w:r w:rsidR="00C652CD">
              <w:rPr>
                <w:rFonts w:eastAsiaTheme="minorEastAsia"/>
                <w:noProof/>
                <w:lang w:eastAsia="en-NZ"/>
              </w:rPr>
              <w:tab/>
            </w:r>
            <w:r w:rsidR="00C652CD" w:rsidRPr="00A03906">
              <w:rPr>
                <w:rStyle w:val="Hyperlink"/>
                <w:noProof/>
              </w:rPr>
              <w:t>MW – Mana whenua</w:t>
            </w:r>
            <w:r w:rsidR="00C652CD">
              <w:rPr>
                <w:noProof/>
                <w:webHidden/>
              </w:rPr>
              <w:tab/>
            </w:r>
            <w:r w:rsidR="00C652CD">
              <w:rPr>
                <w:noProof/>
                <w:webHidden/>
              </w:rPr>
              <w:fldChar w:fldCharType="begin"/>
            </w:r>
            <w:r w:rsidR="00C652CD">
              <w:rPr>
                <w:noProof/>
                <w:webHidden/>
              </w:rPr>
              <w:instrText xml:space="preserve"> PAGEREF _Toc72507636 \h </w:instrText>
            </w:r>
            <w:r w:rsidR="00C652CD">
              <w:rPr>
                <w:noProof/>
                <w:webHidden/>
              </w:rPr>
            </w:r>
            <w:r w:rsidR="00C652CD">
              <w:rPr>
                <w:noProof/>
                <w:webHidden/>
              </w:rPr>
              <w:fldChar w:fldCharType="separate"/>
            </w:r>
            <w:r w:rsidR="002A7A16">
              <w:rPr>
                <w:noProof/>
                <w:webHidden/>
              </w:rPr>
              <w:t>64</w:t>
            </w:r>
            <w:r w:rsidR="00C652CD">
              <w:rPr>
                <w:noProof/>
                <w:webHidden/>
              </w:rPr>
              <w:fldChar w:fldCharType="end"/>
            </w:r>
          </w:hyperlink>
        </w:p>
        <w:p w14:paraId="1BD46BA8" w14:textId="7B06CDBD" w:rsidR="00C652CD" w:rsidRDefault="00000000">
          <w:pPr>
            <w:pStyle w:val="TOC2"/>
            <w:tabs>
              <w:tab w:val="left" w:pos="1134"/>
              <w:tab w:val="right" w:leader="dot" w:pos="9016"/>
            </w:tabs>
            <w:rPr>
              <w:rFonts w:eastAsiaTheme="minorEastAsia"/>
              <w:noProof/>
              <w:lang w:eastAsia="en-NZ"/>
            </w:rPr>
          </w:pPr>
          <w:hyperlink w:anchor="_Toc72507637" w:history="1">
            <w:r w:rsidR="00C652CD" w:rsidRPr="00A03906">
              <w:rPr>
                <w:rStyle w:val="Hyperlink"/>
                <w:noProof/>
              </w:rPr>
              <w:t>5.4.</w:t>
            </w:r>
            <w:r w:rsidR="00C652CD">
              <w:rPr>
                <w:rFonts w:eastAsiaTheme="minorEastAsia"/>
                <w:noProof/>
                <w:lang w:eastAsia="en-NZ"/>
              </w:rPr>
              <w:tab/>
            </w:r>
            <w:r w:rsidR="00C652CD" w:rsidRPr="00A03906">
              <w:rPr>
                <w:rStyle w:val="Hyperlink"/>
                <w:noProof/>
              </w:rPr>
              <w:t>IM – Integrated management</w:t>
            </w:r>
            <w:r w:rsidR="00C652CD">
              <w:rPr>
                <w:noProof/>
                <w:webHidden/>
              </w:rPr>
              <w:tab/>
            </w:r>
            <w:r w:rsidR="00C652CD">
              <w:rPr>
                <w:noProof/>
                <w:webHidden/>
              </w:rPr>
              <w:fldChar w:fldCharType="begin"/>
            </w:r>
            <w:r w:rsidR="00C652CD">
              <w:rPr>
                <w:noProof/>
                <w:webHidden/>
              </w:rPr>
              <w:instrText xml:space="preserve"> PAGEREF _Toc72507637 \h </w:instrText>
            </w:r>
            <w:r w:rsidR="00C652CD">
              <w:rPr>
                <w:noProof/>
                <w:webHidden/>
              </w:rPr>
            </w:r>
            <w:r w:rsidR="00C652CD">
              <w:rPr>
                <w:noProof/>
                <w:webHidden/>
              </w:rPr>
              <w:fldChar w:fldCharType="separate"/>
            </w:r>
            <w:r w:rsidR="002A7A16">
              <w:rPr>
                <w:noProof/>
                <w:webHidden/>
              </w:rPr>
              <w:t>69</w:t>
            </w:r>
            <w:r w:rsidR="00C652CD">
              <w:rPr>
                <w:noProof/>
                <w:webHidden/>
              </w:rPr>
              <w:fldChar w:fldCharType="end"/>
            </w:r>
          </w:hyperlink>
        </w:p>
        <w:p w14:paraId="3F32C38E" w14:textId="29FBC6D4" w:rsidR="00C652CD" w:rsidRDefault="00000000">
          <w:pPr>
            <w:pStyle w:val="TOC2"/>
            <w:tabs>
              <w:tab w:val="left" w:pos="1134"/>
              <w:tab w:val="right" w:leader="dot" w:pos="9016"/>
            </w:tabs>
            <w:rPr>
              <w:rFonts w:eastAsiaTheme="minorEastAsia"/>
              <w:noProof/>
              <w:lang w:eastAsia="en-NZ"/>
            </w:rPr>
          </w:pPr>
          <w:hyperlink w:anchor="_Toc72507638" w:history="1">
            <w:r w:rsidR="00C652CD" w:rsidRPr="00A03906">
              <w:rPr>
                <w:rStyle w:val="Hyperlink"/>
                <w:noProof/>
              </w:rPr>
              <w:t>5.5.</w:t>
            </w:r>
            <w:r w:rsidR="00C652CD">
              <w:rPr>
                <w:rFonts w:eastAsiaTheme="minorEastAsia"/>
                <w:noProof/>
                <w:lang w:eastAsia="en-NZ"/>
              </w:rPr>
              <w:tab/>
            </w:r>
            <w:r w:rsidR="00C652CD" w:rsidRPr="00A03906">
              <w:rPr>
                <w:rStyle w:val="Hyperlink"/>
                <w:noProof/>
              </w:rPr>
              <w:t>AIR – Air</w:t>
            </w:r>
            <w:r w:rsidR="00C652CD">
              <w:rPr>
                <w:noProof/>
                <w:webHidden/>
              </w:rPr>
              <w:tab/>
            </w:r>
            <w:r w:rsidR="00C652CD">
              <w:rPr>
                <w:noProof/>
                <w:webHidden/>
              </w:rPr>
              <w:fldChar w:fldCharType="begin"/>
            </w:r>
            <w:r w:rsidR="00C652CD">
              <w:rPr>
                <w:noProof/>
                <w:webHidden/>
              </w:rPr>
              <w:instrText xml:space="preserve"> PAGEREF _Toc72507638 \h </w:instrText>
            </w:r>
            <w:r w:rsidR="00C652CD">
              <w:rPr>
                <w:noProof/>
                <w:webHidden/>
              </w:rPr>
            </w:r>
            <w:r w:rsidR="00C652CD">
              <w:rPr>
                <w:noProof/>
                <w:webHidden/>
              </w:rPr>
              <w:fldChar w:fldCharType="separate"/>
            </w:r>
            <w:r w:rsidR="002A7A16">
              <w:rPr>
                <w:noProof/>
                <w:webHidden/>
              </w:rPr>
              <w:t>80</w:t>
            </w:r>
            <w:r w:rsidR="00C652CD">
              <w:rPr>
                <w:noProof/>
                <w:webHidden/>
              </w:rPr>
              <w:fldChar w:fldCharType="end"/>
            </w:r>
          </w:hyperlink>
        </w:p>
        <w:p w14:paraId="1984E8EB" w14:textId="2B54A380" w:rsidR="00C652CD" w:rsidRDefault="00000000">
          <w:pPr>
            <w:pStyle w:val="TOC2"/>
            <w:tabs>
              <w:tab w:val="left" w:pos="1134"/>
              <w:tab w:val="right" w:leader="dot" w:pos="9016"/>
            </w:tabs>
            <w:rPr>
              <w:rFonts w:eastAsiaTheme="minorEastAsia"/>
              <w:noProof/>
              <w:lang w:eastAsia="en-NZ"/>
            </w:rPr>
          </w:pPr>
          <w:hyperlink w:anchor="_Toc72507639" w:history="1">
            <w:r w:rsidR="00C652CD" w:rsidRPr="00A03906">
              <w:rPr>
                <w:rStyle w:val="Hyperlink"/>
                <w:noProof/>
              </w:rPr>
              <w:t>5.6.</w:t>
            </w:r>
            <w:r w:rsidR="00C652CD">
              <w:rPr>
                <w:rFonts w:eastAsiaTheme="minorEastAsia"/>
                <w:noProof/>
                <w:lang w:eastAsia="en-NZ"/>
              </w:rPr>
              <w:tab/>
            </w:r>
            <w:r w:rsidR="00C652CD" w:rsidRPr="00A03906">
              <w:rPr>
                <w:rStyle w:val="Hyperlink"/>
                <w:noProof/>
              </w:rPr>
              <w:t>CE – Coastal environment</w:t>
            </w:r>
            <w:r w:rsidR="00C652CD">
              <w:rPr>
                <w:noProof/>
                <w:webHidden/>
              </w:rPr>
              <w:tab/>
            </w:r>
            <w:r w:rsidR="00C652CD">
              <w:rPr>
                <w:noProof/>
                <w:webHidden/>
              </w:rPr>
              <w:fldChar w:fldCharType="begin"/>
            </w:r>
            <w:r w:rsidR="00C652CD">
              <w:rPr>
                <w:noProof/>
                <w:webHidden/>
              </w:rPr>
              <w:instrText xml:space="preserve"> PAGEREF _Toc72507639 \h </w:instrText>
            </w:r>
            <w:r w:rsidR="00C652CD">
              <w:rPr>
                <w:noProof/>
                <w:webHidden/>
              </w:rPr>
            </w:r>
            <w:r w:rsidR="00C652CD">
              <w:rPr>
                <w:noProof/>
                <w:webHidden/>
              </w:rPr>
              <w:fldChar w:fldCharType="separate"/>
            </w:r>
            <w:r w:rsidR="002A7A16">
              <w:rPr>
                <w:noProof/>
                <w:webHidden/>
              </w:rPr>
              <w:t>89</w:t>
            </w:r>
            <w:r w:rsidR="00C652CD">
              <w:rPr>
                <w:noProof/>
                <w:webHidden/>
              </w:rPr>
              <w:fldChar w:fldCharType="end"/>
            </w:r>
          </w:hyperlink>
        </w:p>
        <w:p w14:paraId="1AE83A0B" w14:textId="5308BD2F"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40" w:history="1">
            <w:r w:rsidR="00C652CD" w:rsidRPr="00A03906">
              <w:rPr>
                <w:rStyle w:val="Hyperlink"/>
                <w:noProof/>
              </w:rPr>
              <w:t>5.7.</w:t>
            </w:r>
            <w:r w:rsidR="00C652CD">
              <w:rPr>
                <w:rFonts w:eastAsiaTheme="minorEastAsia"/>
                <w:noProof/>
                <w:lang w:eastAsia="en-NZ"/>
              </w:rPr>
              <w:tab/>
            </w:r>
            <w:r w:rsidR="00C652CD" w:rsidRPr="00A03906">
              <w:rPr>
                <w:rStyle w:val="Hyperlink"/>
                <w:noProof/>
              </w:rPr>
              <w:t>LF – Land and fresh water</w:t>
            </w:r>
            <w:r w:rsidR="00C652CD">
              <w:rPr>
                <w:noProof/>
                <w:webHidden/>
              </w:rPr>
              <w:tab/>
            </w:r>
            <w:r w:rsidR="00C652CD">
              <w:rPr>
                <w:noProof/>
                <w:webHidden/>
              </w:rPr>
              <w:fldChar w:fldCharType="begin"/>
            </w:r>
            <w:r w:rsidR="00C652CD">
              <w:rPr>
                <w:noProof/>
                <w:webHidden/>
              </w:rPr>
              <w:instrText xml:space="preserve"> PAGEREF _Toc72507640 \h </w:instrText>
            </w:r>
            <w:r w:rsidR="00C652CD">
              <w:rPr>
                <w:noProof/>
                <w:webHidden/>
              </w:rPr>
            </w:r>
            <w:r w:rsidR="00C652CD">
              <w:rPr>
                <w:noProof/>
                <w:webHidden/>
              </w:rPr>
              <w:fldChar w:fldCharType="separate"/>
            </w:r>
            <w:r w:rsidR="002A7A16">
              <w:rPr>
                <w:noProof/>
                <w:webHidden/>
              </w:rPr>
              <w:t>104</w:t>
            </w:r>
            <w:r w:rsidR="00C652CD">
              <w:rPr>
                <w:noProof/>
                <w:webHidden/>
              </w:rPr>
              <w:fldChar w:fldCharType="end"/>
            </w:r>
          </w:hyperlink>
        </w:p>
        <w:p w14:paraId="5A077416" w14:textId="11758FD7" w:rsidR="00C652CD" w:rsidRDefault="00000000">
          <w:pPr>
            <w:pStyle w:val="TOC2"/>
            <w:tabs>
              <w:tab w:val="left" w:pos="1134"/>
              <w:tab w:val="right" w:leader="dot" w:pos="9016"/>
            </w:tabs>
            <w:rPr>
              <w:rFonts w:eastAsiaTheme="minorEastAsia"/>
              <w:noProof/>
              <w:lang w:eastAsia="en-NZ"/>
            </w:rPr>
          </w:pPr>
          <w:hyperlink w:anchor="_Toc72507641" w:history="1">
            <w:r w:rsidR="00C652CD" w:rsidRPr="00A03906">
              <w:rPr>
                <w:rStyle w:val="Hyperlink"/>
                <w:noProof/>
              </w:rPr>
              <w:t>5.8.</w:t>
            </w:r>
            <w:r w:rsidR="00C652CD">
              <w:rPr>
                <w:rFonts w:eastAsiaTheme="minorEastAsia"/>
                <w:noProof/>
                <w:lang w:eastAsia="en-NZ"/>
              </w:rPr>
              <w:tab/>
            </w:r>
            <w:r w:rsidR="00C652CD" w:rsidRPr="00A03906">
              <w:rPr>
                <w:rStyle w:val="Hyperlink"/>
                <w:noProof/>
              </w:rPr>
              <w:t>ECO – Ecosystems and indigenous biodiversity</w:t>
            </w:r>
            <w:r w:rsidR="00C652CD">
              <w:rPr>
                <w:noProof/>
                <w:webHidden/>
              </w:rPr>
              <w:tab/>
            </w:r>
            <w:r w:rsidR="00C652CD">
              <w:rPr>
                <w:noProof/>
                <w:webHidden/>
              </w:rPr>
              <w:fldChar w:fldCharType="begin"/>
            </w:r>
            <w:r w:rsidR="00C652CD">
              <w:rPr>
                <w:noProof/>
                <w:webHidden/>
              </w:rPr>
              <w:instrText xml:space="preserve"> PAGEREF _Toc72507641 \h </w:instrText>
            </w:r>
            <w:r w:rsidR="00C652CD">
              <w:rPr>
                <w:noProof/>
                <w:webHidden/>
              </w:rPr>
            </w:r>
            <w:r w:rsidR="00C652CD">
              <w:rPr>
                <w:noProof/>
                <w:webHidden/>
              </w:rPr>
              <w:fldChar w:fldCharType="separate"/>
            </w:r>
            <w:r w:rsidR="002A7A16">
              <w:rPr>
                <w:noProof/>
                <w:webHidden/>
              </w:rPr>
              <w:t>126</w:t>
            </w:r>
            <w:r w:rsidR="00C652CD">
              <w:rPr>
                <w:noProof/>
                <w:webHidden/>
              </w:rPr>
              <w:fldChar w:fldCharType="end"/>
            </w:r>
          </w:hyperlink>
        </w:p>
        <w:p w14:paraId="6AFD63C1" w14:textId="598105E8" w:rsidR="00C652CD" w:rsidRDefault="00000000">
          <w:pPr>
            <w:pStyle w:val="TOC2"/>
            <w:tabs>
              <w:tab w:val="left" w:pos="1134"/>
              <w:tab w:val="right" w:leader="dot" w:pos="9016"/>
            </w:tabs>
            <w:rPr>
              <w:rFonts w:eastAsiaTheme="minorEastAsia"/>
              <w:noProof/>
              <w:lang w:eastAsia="en-NZ"/>
            </w:rPr>
          </w:pPr>
          <w:hyperlink w:anchor="_Toc72507642" w:history="1">
            <w:r w:rsidR="00C652CD" w:rsidRPr="00A03906">
              <w:rPr>
                <w:rStyle w:val="Hyperlink"/>
                <w:noProof/>
              </w:rPr>
              <w:t>5.9.</w:t>
            </w:r>
            <w:r w:rsidR="00C652CD">
              <w:rPr>
                <w:rFonts w:eastAsiaTheme="minorEastAsia"/>
                <w:noProof/>
                <w:lang w:eastAsia="en-NZ"/>
              </w:rPr>
              <w:tab/>
            </w:r>
            <w:r w:rsidR="00C652CD" w:rsidRPr="00A03906">
              <w:rPr>
                <w:rStyle w:val="Hyperlink"/>
                <w:noProof/>
              </w:rPr>
              <w:t>EIT – Energy, infrastructure, and transport</w:t>
            </w:r>
            <w:r w:rsidR="00C652CD">
              <w:rPr>
                <w:noProof/>
                <w:webHidden/>
              </w:rPr>
              <w:tab/>
            </w:r>
            <w:r w:rsidR="00C652CD">
              <w:rPr>
                <w:noProof/>
                <w:webHidden/>
              </w:rPr>
              <w:fldChar w:fldCharType="begin"/>
            </w:r>
            <w:r w:rsidR="00C652CD">
              <w:rPr>
                <w:noProof/>
                <w:webHidden/>
              </w:rPr>
              <w:instrText xml:space="preserve"> PAGEREF _Toc72507642 \h </w:instrText>
            </w:r>
            <w:r w:rsidR="00C652CD">
              <w:rPr>
                <w:noProof/>
                <w:webHidden/>
              </w:rPr>
            </w:r>
            <w:r w:rsidR="00C652CD">
              <w:rPr>
                <w:noProof/>
                <w:webHidden/>
              </w:rPr>
              <w:fldChar w:fldCharType="separate"/>
            </w:r>
            <w:r w:rsidR="002A7A16">
              <w:rPr>
                <w:noProof/>
                <w:webHidden/>
              </w:rPr>
              <w:t>138</w:t>
            </w:r>
            <w:r w:rsidR="00C652CD">
              <w:rPr>
                <w:noProof/>
                <w:webHidden/>
              </w:rPr>
              <w:fldChar w:fldCharType="end"/>
            </w:r>
          </w:hyperlink>
        </w:p>
        <w:p w14:paraId="15E8D54F" w14:textId="51C3C7EC" w:rsidR="00C652CD" w:rsidRDefault="00000000">
          <w:pPr>
            <w:pStyle w:val="TOC2"/>
            <w:tabs>
              <w:tab w:val="left" w:pos="1320"/>
              <w:tab w:val="right" w:leader="dot" w:pos="9016"/>
            </w:tabs>
            <w:rPr>
              <w:rFonts w:eastAsiaTheme="minorEastAsia"/>
              <w:noProof/>
              <w:lang w:eastAsia="en-NZ"/>
            </w:rPr>
          </w:pPr>
          <w:hyperlink w:anchor="_Toc72507643" w:history="1">
            <w:r w:rsidR="00C652CD" w:rsidRPr="00A03906">
              <w:rPr>
                <w:rStyle w:val="Hyperlink"/>
                <w:noProof/>
              </w:rPr>
              <w:t>5.10.</w:t>
            </w:r>
            <w:r w:rsidR="00C652CD">
              <w:rPr>
                <w:rFonts w:eastAsiaTheme="minorEastAsia"/>
                <w:noProof/>
                <w:lang w:eastAsia="en-NZ"/>
              </w:rPr>
              <w:tab/>
            </w:r>
            <w:r w:rsidR="00C652CD" w:rsidRPr="00A03906">
              <w:rPr>
                <w:rStyle w:val="Hyperlink"/>
                <w:noProof/>
              </w:rPr>
              <w:t>HAZ – Hazards and risks</w:t>
            </w:r>
            <w:r w:rsidR="00C652CD">
              <w:rPr>
                <w:noProof/>
                <w:webHidden/>
              </w:rPr>
              <w:tab/>
            </w:r>
            <w:r w:rsidR="00C652CD">
              <w:rPr>
                <w:noProof/>
                <w:webHidden/>
              </w:rPr>
              <w:fldChar w:fldCharType="begin"/>
            </w:r>
            <w:r w:rsidR="00C652CD">
              <w:rPr>
                <w:noProof/>
                <w:webHidden/>
              </w:rPr>
              <w:instrText xml:space="preserve"> PAGEREF _Toc72507643 \h </w:instrText>
            </w:r>
            <w:r w:rsidR="00C652CD">
              <w:rPr>
                <w:noProof/>
                <w:webHidden/>
              </w:rPr>
            </w:r>
            <w:r w:rsidR="00C652CD">
              <w:rPr>
                <w:noProof/>
                <w:webHidden/>
              </w:rPr>
              <w:fldChar w:fldCharType="separate"/>
            </w:r>
            <w:r w:rsidR="002A7A16">
              <w:rPr>
                <w:noProof/>
                <w:webHidden/>
              </w:rPr>
              <w:t>163</w:t>
            </w:r>
            <w:r w:rsidR="00C652CD">
              <w:rPr>
                <w:noProof/>
                <w:webHidden/>
              </w:rPr>
              <w:fldChar w:fldCharType="end"/>
            </w:r>
          </w:hyperlink>
        </w:p>
        <w:p w14:paraId="204BE449" w14:textId="57EF0488" w:rsidR="00C652CD" w:rsidRDefault="00000000">
          <w:pPr>
            <w:pStyle w:val="TOC2"/>
            <w:tabs>
              <w:tab w:val="left" w:pos="1320"/>
              <w:tab w:val="right" w:leader="dot" w:pos="9016"/>
            </w:tabs>
            <w:rPr>
              <w:rFonts w:eastAsiaTheme="minorEastAsia"/>
              <w:noProof/>
              <w:lang w:eastAsia="en-NZ"/>
            </w:rPr>
          </w:pPr>
          <w:hyperlink w:anchor="_Toc72507644" w:history="1">
            <w:r w:rsidR="00C652CD" w:rsidRPr="00A03906">
              <w:rPr>
                <w:rStyle w:val="Hyperlink"/>
                <w:noProof/>
              </w:rPr>
              <w:t>5.11.</w:t>
            </w:r>
            <w:r w:rsidR="00C652CD">
              <w:rPr>
                <w:rFonts w:eastAsiaTheme="minorEastAsia"/>
                <w:noProof/>
                <w:lang w:eastAsia="en-NZ"/>
              </w:rPr>
              <w:tab/>
            </w:r>
            <w:r w:rsidR="00C652CD" w:rsidRPr="00A03906">
              <w:rPr>
                <w:rStyle w:val="Hyperlink"/>
                <w:noProof/>
              </w:rPr>
              <w:t>HCV – Historical and cultural values</w:t>
            </w:r>
            <w:r w:rsidR="00C652CD">
              <w:rPr>
                <w:noProof/>
                <w:webHidden/>
              </w:rPr>
              <w:tab/>
            </w:r>
            <w:r w:rsidR="00C652CD">
              <w:rPr>
                <w:noProof/>
                <w:webHidden/>
              </w:rPr>
              <w:fldChar w:fldCharType="begin"/>
            </w:r>
            <w:r w:rsidR="00C652CD">
              <w:rPr>
                <w:noProof/>
                <w:webHidden/>
              </w:rPr>
              <w:instrText xml:space="preserve"> PAGEREF _Toc72507644 \h </w:instrText>
            </w:r>
            <w:r w:rsidR="00C652CD">
              <w:rPr>
                <w:noProof/>
                <w:webHidden/>
              </w:rPr>
            </w:r>
            <w:r w:rsidR="00C652CD">
              <w:rPr>
                <w:noProof/>
                <w:webHidden/>
              </w:rPr>
              <w:fldChar w:fldCharType="separate"/>
            </w:r>
            <w:r w:rsidR="002A7A16">
              <w:rPr>
                <w:noProof/>
                <w:webHidden/>
              </w:rPr>
              <w:t>177</w:t>
            </w:r>
            <w:r w:rsidR="00C652CD">
              <w:rPr>
                <w:noProof/>
                <w:webHidden/>
              </w:rPr>
              <w:fldChar w:fldCharType="end"/>
            </w:r>
          </w:hyperlink>
        </w:p>
        <w:p w14:paraId="1A817AEC" w14:textId="645A5519" w:rsidR="00C652CD" w:rsidRDefault="00000000">
          <w:pPr>
            <w:pStyle w:val="TOC2"/>
            <w:tabs>
              <w:tab w:val="left" w:pos="1320"/>
              <w:tab w:val="right" w:leader="dot" w:pos="9016"/>
            </w:tabs>
            <w:rPr>
              <w:rFonts w:eastAsiaTheme="minorEastAsia"/>
              <w:noProof/>
              <w:lang w:eastAsia="en-NZ"/>
            </w:rPr>
          </w:pPr>
          <w:hyperlink w:anchor="_Toc72507645" w:history="1">
            <w:r w:rsidR="00C652CD" w:rsidRPr="00A03906">
              <w:rPr>
                <w:rStyle w:val="Hyperlink"/>
                <w:noProof/>
              </w:rPr>
              <w:t>5.12.</w:t>
            </w:r>
            <w:r w:rsidR="00C652CD">
              <w:rPr>
                <w:rFonts w:eastAsiaTheme="minorEastAsia"/>
                <w:noProof/>
                <w:lang w:eastAsia="en-NZ"/>
              </w:rPr>
              <w:tab/>
            </w:r>
            <w:r w:rsidR="00C652CD" w:rsidRPr="00A03906">
              <w:rPr>
                <w:rStyle w:val="Hyperlink"/>
                <w:noProof/>
              </w:rPr>
              <w:t>NFL – Natural features and landscapes</w:t>
            </w:r>
            <w:r w:rsidR="00C652CD">
              <w:rPr>
                <w:noProof/>
                <w:webHidden/>
              </w:rPr>
              <w:tab/>
            </w:r>
            <w:r w:rsidR="00C652CD">
              <w:rPr>
                <w:noProof/>
                <w:webHidden/>
              </w:rPr>
              <w:fldChar w:fldCharType="begin"/>
            </w:r>
            <w:r w:rsidR="00C652CD">
              <w:rPr>
                <w:noProof/>
                <w:webHidden/>
              </w:rPr>
              <w:instrText xml:space="preserve"> PAGEREF _Toc72507645 \h </w:instrText>
            </w:r>
            <w:r w:rsidR="00C652CD">
              <w:rPr>
                <w:noProof/>
                <w:webHidden/>
              </w:rPr>
            </w:r>
            <w:r w:rsidR="00C652CD">
              <w:rPr>
                <w:noProof/>
                <w:webHidden/>
              </w:rPr>
              <w:fldChar w:fldCharType="separate"/>
            </w:r>
            <w:r w:rsidR="002A7A16">
              <w:rPr>
                <w:noProof/>
                <w:webHidden/>
              </w:rPr>
              <w:t>188</w:t>
            </w:r>
            <w:r w:rsidR="00C652CD">
              <w:rPr>
                <w:noProof/>
                <w:webHidden/>
              </w:rPr>
              <w:fldChar w:fldCharType="end"/>
            </w:r>
          </w:hyperlink>
        </w:p>
        <w:p w14:paraId="74555E43" w14:textId="4D9A82B9" w:rsidR="00C652CD" w:rsidRDefault="00000000">
          <w:pPr>
            <w:pStyle w:val="TOC2"/>
            <w:tabs>
              <w:tab w:val="left" w:pos="1320"/>
              <w:tab w:val="right" w:leader="dot" w:pos="9016"/>
            </w:tabs>
            <w:rPr>
              <w:rFonts w:eastAsiaTheme="minorEastAsia"/>
              <w:noProof/>
              <w:lang w:eastAsia="en-NZ"/>
            </w:rPr>
          </w:pPr>
          <w:hyperlink w:anchor="_Toc72507646" w:history="1">
            <w:r w:rsidR="00C652CD" w:rsidRPr="00A03906">
              <w:rPr>
                <w:rStyle w:val="Hyperlink"/>
                <w:noProof/>
              </w:rPr>
              <w:t>5.13.</w:t>
            </w:r>
            <w:r w:rsidR="00C652CD">
              <w:rPr>
                <w:rFonts w:eastAsiaTheme="minorEastAsia"/>
                <w:noProof/>
                <w:lang w:eastAsia="en-NZ"/>
              </w:rPr>
              <w:tab/>
            </w:r>
            <w:r w:rsidR="00C652CD" w:rsidRPr="00A03906">
              <w:rPr>
                <w:rStyle w:val="Hyperlink"/>
                <w:noProof/>
              </w:rPr>
              <w:t>UFD – Urban form and development</w:t>
            </w:r>
            <w:r w:rsidR="00C652CD">
              <w:rPr>
                <w:noProof/>
                <w:webHidden/>
              </w:rPr>
              <w:tab/>
            </w:r>
            <w:r w:rsidR="00C652CD">
              <w:rPr>
                <w:noProof/>
                <w:webHidden/>
              </w:rPr>
              <w:fldChar w:fldCharType="begin"/>
            </w:r>
            <w:r w:rsidR="00C652CD">
              <w:rPr>
                <w:noProof/>
                <w:webHidden/>
              </w:rPr>
              <w:instrText xml:space="preserve"> PAGEREF _Toc72507646 \h </w:instrText>
            </w:r>
            <w:r w:rsidR="00C652CD">
              <w:rPr>
                <w:noProof/>
                <w:webHidden/>
              </w:rPr>
            </w:r>
            <w:r w:rsidR="00C652CD">
              <w:rPr>
                <w:noProof/>
                <w:webHidden/>
              </w:rPr>
              <w:fldChar w:fldCharType="separate"/>
            </w:r>
            <w:r w:rsidR="002A7A16">
              <w:rPr>
                <w:noProof/>
                <w:webHidden/>
              </w:rPr>
              <w:t>195</w:t>
            </w:r>
            <w:r w:rsidR="00C652CD">
              <w:rPr>
                <w:noProof/>
                <w:webHidden/>
              </w:rPr>
              <w:fldChar w:fldCharType="end"/>
            </w:r>
          </w:hyperlink>
        </w:p>
        <w:p w14:paraId="0A0E28D4" w14:textId="0051EFB8"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47" w:history="1">
            <w:r w:rsidR="00C652CD" w:rsidRPr="00A03906">
              <w:rPr>
                <w:rStyle w:val="Hyperlink"/>
                <w:noProof/>
              </w:rPr>
              <w:t>6.</w:t>
            </w:r>
            <w:r w:rsidR="00C652CD">
              <w:rPr>
                <w:rFonts w:eastAsiaTheme="minorEastAsia"/>
                <w:b w:val="0"/>
                <w:noProof/>
                <w:lang w:eastAsia="en-NZ"/>
              </w:rPr>
              <w:tab/>
            </w:r>
            <w:r w:rsidR="00C652CD" w:rsidRPr="00A03906">
              <w:rPr>
                <w:rStyle w:val="Hyperlink"/>
                <w:noProof/>
              </w:rPr>
              <w:t>Planning context</w:t>
            </w:r>
            <w:r w:rsidR="00C652CD">
              <w:rPr>
                <w:noProof/>
                <w:webHidden/>
              </w:rPr>
              <w:tab/>
            </w:r>
            <w:r w:rsidR="00C652CD">
              <w:rPr>
                <w:noProof/>
                <w:webHidden/>
              </w:rPr>
              <w:fldChar w:fldCharType="begin"/>
            </w:r>
            <w:r w:rsidR="00C652CD">
              <w:rPr>
                <w:noProof/>
                <w:webHidden/>
              </w:rPr>
              <w:instrText xml:space="preserve"> PAGEREF _Toc72507647 \h </w:instrText>
            </w:r>
            <w:r w:rsidR="00C652CD">
              <w:rPr>
                <w:noProof/>
                <w:webHidden/>
              </w:rPr>
            </w:r>
            <w:r w:rsidR="00C652CD">
              <w:rPr>
                <w:noProof/>
                <w:webHidden/>
              </w:rPr>
              <w:fldChar w:fldCharType="separate"/>
            </w:r>
            <w:r w:rsidR="002A7A16">
              <w:rPr>
                <w:noProof/>
                <w:webHidden/>
              </w:rPr>
              <w:t>207</w:t>
            </w:r>
            <w:r w:rsidR="00C652CD">
              <w:rPr>
                <w:noProof/>
                <w:webHidden/>
              </w:rPr>
              <w:fldChar w:fldCharType="end"/>
            </w:r>
          </w:hyperlink>
        </w:p>
        <w:p w14:paraId="5C41037D" w14:textId="03CEDA7B"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48" w:history="1">
            <w:r w:rsidR="00C652CD" w:rsidRPr="00A03906">
              <w:rPr>
                <w:rStyle w:val="Hyperlink"/>
                <w:noProof/>
              </w:rPr>
              <w:t>6.1.</w:t>
            </w:r>
            <w:r w:rsidR="00C652CD">
              <w:rPr>
                <w:rFonts w:eastAsiaTheme="minorEastAsia"/>
                <w:noProof/>
                <w:lang w:eastAsia="en-NZ"/>
              </w:rPr>
              <w:tab/>
            </w:r>
            <w:r w:rsidR="00C652CD" w:rsidRPr="00A03906">
              <w:rPr>
                <w:rStyle w:val="Hyperlink"/>
                <w:noProof/>
              </w:rPr>
              <w:t>Introduction</w:t>
            </w:r>
            <w:r w:rsidR="00C652CD">
              <w:rPr>
                <w:noProof/>
                <w:webHidden/>
              </w:rPr>
              <w:tab/>
            </w:r>
            <w:r w:rsidR="00C652CD">
              <w:rPr>
                <w:noProof/>
                <w:webHidden/>
              </w:rPr>
              <w:fldChar w:fldCharType="begin"/>
            </w:r>
            <w:r w:rsidR="00C652CD">
              <w:rPr>
                <w:noProof/>
                <w:webHidden/>
              </w:rPr>
              <w:instrText xml:space="preserve"> PAGEREF _Toc72507648 \h </w:instrText>
            </w:r>
            <w:r w:rsidR="00C652CD">
              <w:rPr>
                <w:noProof/>
                <w:webHidden/>
              </w:rPr>
            </w:r>
            <w:r w:rsidR="00C652CD">
              <w:rPr>
                <w:noProof/>
                <w:webHidden/>
              </w:rPr>
              <w:fldChar w:fldCharType="separate"/>
            </w:r>
            <w:r w:rsidR="002A7A16">
              <w:rPr>
                <w:noProof/>
                <w:webHidden/>
              </w:rPr>
              <w:t>207</w:t>
            </w:r>
            <w:r w:rsidR="00C652CD">
              <w:rPr>
                <w:noProof/>
                <w:webHidden/>
              </w:rPr>
              <w:fldChar w:fldCharType="end"/>
            </w:r>
          </w:hyperlink>
        </w:p>
        <w:p w14:paraId="452FAE46" w14:textId="6F5EF3D7"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49" w:history="1">
            <w:r w:rsidR="00C652CD" w:rsidRPr="00A03906">
              <w:rPr>
                <w:rStyle w:val="Hyperlink"/>
                <w:noProof/>
              </w:rPr>
              <w:t>6.2.</w:t>
            </w:r>
            <w:r w:rsidR="00C652CD">
              <w:rPr>
                <w:rFonts w:eastAsiaTheme="minorEastAsia"/>
                <w:noProof/>
                <w:lang w:eastAsia="en-NZ"/>
              </w:rPr>
              <w:tab/>
            </w:r>
            <w:r w:rsidR="00C652CD" w:rsidRPr="00A03906">
              <w:rPr>
                <w:rStyle w:val="Hyperlink"/>
                <w:noProof/>
              </w:rPr>
              <w:t>Resource Management Act 1991:  Part 2 (Purpose and Principles)</w:t>
            </w:r>
            <w:r w:rsidR="00C652CD">
              <w:rPr>
                <w:noProof/>
                <w:webHidden/>
              </w:rPr>
              <w:tab/>
            </w:r>
            <w:r w:rsidR="00C652CD">
              <w:rPr>
                <w:noProof/>
                <w:webHidden/>
              </w:rPr>
              <w:fldChar w:fldCharType="begin"/>
            </w:r>
            <w:r w:rsidR="00C652CD">
              <w:rPr>
                <w:noProof/>
                <w:webHidden/>
              </w:rPr>
              <w:instrText xml:space="preserve"> PAGEREF _Toc72507649 \h </w:instrText>
            </w:r>
            <w:r w:rsidR="00C652CD">
              <w:rPr>
                <w:noProof/>
                <w:webHidden/>
              </w:rPr>
            </w:r>
            <w:r w:rsidR="00C652CD">
              <w:rPr>
                <w:noProof/>
                <w:webHidden/>
              </w:rPr>
              <w:fldChar w:fldCharType="separate"/>
            </w:r>
            <w:r w:rsidR="002A7A16">
              <w:rPr>
                <w:noProof/>
                <w:webHidden/>
              </w:rPr>
              <w:t>207</w:t>
            </w:r>
            <w:r w:rsidR="00C652CD">
              <w:rPr>
                <w:noProof/>
                <w:webHidden/>
              </w:rPr>
              <w:fldChar w:fldCharType="end"/>
            </w:r>
          </w:hyperlink>
        </w:p>
        <w:p w14:paraId="513D816E" w14:textId="055A3306"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0" w:history="1">
            <w:r w:rsidR="00C652CD" w:rsidRPr="00A03906">
              <w:rPr>
                <w:rStyle w:val="Hyperlink"/>
                <w:noProof/>
              </w:rPr>
              <w:t>6.3.</w:t>
            </w:r>
            <w:r w:rsidR="00C652CD">
              <w:rPr>
                <w:rFonts w:eastAsiaTheme="minorEastAsia"/>
                <w:noProof/>
                <w:lang w:eastAsia="en-NZ"/>
              </w:rPr>
              <w:tab/>
            </w:r>
            <w:r w:rsidR="00C652CD" w:rsidRPr="00A03906">
              <w:rPr>
                <w:rStyle w:val="Hyperlink"/>
                <w:noProof/>
              </w:rPr>
              <w:t>Resource Management Act 1991: Functions of ORC</w:t>
            </w:r>
            <w:r w:rsidR="00C652CD">
              <w:rPr>
                <w:noProof/>
                <w:webHidden/>
              </w:rPr>
              <w:tab/>
            </w:r>
            <w:r w:rsidR="00C652CD">
              <w:rPr>
                <w:noProof/>
                <w:webHidden/>
              </w:rPr>
              <w:fldChar w:fldCharType="begin"/>
            </w:r>
            <w:r w:rsidR="00C652CD">
              <w:rPr>
                <w:noProof/>
                <w:webHidden/>
              </w:rPr>
              <w:instrText xml:space="preserve"> PAGEREF _Toc72507650 \h </w:instrText>
            </w:r>
            <w:r w:rsidR="00C652CD">
              <w:rPr>
                <w:noProof/>
                <w:webHidden/>
              </w:rPr>
            </w:r>
            <w:r w:rsidR="00C652CD">
              <w:rPr>
                <w:noProof/>
                <w:webHidden/>
              </w:rPr>
              <w:fldChar w:fldCharType="separate"/>
            </w:r>
            <w:r w:rsidR="002A7A16">
              <w:rPr>
                <w:noProof/>
                <w:webHidden/>
              </w:rPr>
              <w:t>209</w:t>
            </w:r>
            <w:r w:rsidR="00C652CD">
              <w:rPr>
                <w:noProof/>
                <w:webHidden/>
              </w:rPr>
              <w:fldChar w:fldCharType="end"/>
            </w:r>
          </w:hyperlink>
        </w:p>
        <w:p w14:paraId="3F9B362C" w14:textId="4C81FBFD" w:rsidR="00C652CD" w:rsidRDefault="00000000">
          <w:pPr>
            <w:pStyle w:val="TOC2"/>
            <w:tabs>
              <w:tab w:val="left" w:pos="1134"/>
              <w:tab w:val="right" w:leader="dot" w:pos="9016"/>
            </w:tabs>
            <w:rPr>
              <w:rFonts w:eastAsiaTheme="minorEastAsia"/>
              <w:noProof/>
              <w:lang w:eastAsia="en-NZ"/>
            </w:rPr>
          </w:pPr>
          <w:hyperlink w:anchor="_Toc72507651" w:history="1">
            <w:r w:rsidR="00C652CD" w:rsidRPr="00A03906">
              <w:rPr>
                <w:rStyle w:val="Hyperlink"/>
                <w:noProof/>
              </w:rPr>
              <w:t>6.4.</w:t>
            </w:r>
            <w:r w:rsidR="00C652CD">
              <w:rPr>
                <w:rFonts w:eastAsiaTheme="minorEastAsia"/>
                <w:noProof/>
                <w:lang w:eastAsia="en-NZ"/>
              </w:rPr>
              <w:tab/>
            </w:r>
            <w:r w:rsidR="00C652CD" w:rsidRPr="00A03906">
              <w:rPr>
                <w:rStyle w:val="Hyperlink"/>
                <w:noProof/>
              </w:rPr>
              <w:t>New Zealand Coastal Policy Statement 2010 (NZCPS)</w:t>
            </w:r>
            <w:r w:rsidR="00C652CD">
              <w:rPr>
                <w:noProof/>
                <w:webHidden/>
              </w:rPr>
              <w:tab/>
            </w:r>
            <w:r w:rsidR="00C652CD">
              <w:rPr>
                <w:noProof/>
                <w:webHidden/>
              </w:rPr>
              <w:fldChar w:fldCharType="begin"/>
            </w:r>
            <w:r w:rsidR="00C652CD">
              <w:rPr>
                <w:noProof/>
                <w:webHidden/>
              </w:rPr>
              <w:instrText xml:space="preserve"> PAGEREF _Toc72507651 \h </w:instrText>
            </w:r>
            <w:r w:rsidR="00C652CD">
              <w:rPr>
                <w:noProof/>
                <w:webHidden/>
              </w:rPr>
            </w:r>
            <w:r w:rsidR="00C652CD">
              <w:rPr>
                <w:noProof/>
                <w:webHidden/>
              </w:rPr>
              <w:fldChar w:fldCharType="separate"/>
            </w:r>
            <w:r w:rsidR="002A7A16">
              <w:rPr>
                <w:noProof/>
                <w:webHidden/>
              </w:rPr>
              <w:t>210</w:t>
            </w:r>
            <w:r w:rsidR="00C652CD">
              <w:rPr>
                <w:noProof/>
                <w:webHidden/>
              </w:rPr>
              <w:fldChar w:fldCharType="end"/>
            </w:r>
          </w:hyperlink>
        </w:p>
        <w:p w14:paraId="407A0E53" w14:textId="51629302"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2" w:history="1">
            <w:r w:rsidR="00C652CD" w:rsidRPr="00A03906">
              <w:rPr>
                <w:rStyle w:val="Hyperlink"/>
                <w:noProof/>
              </w:rPr>
              <w:t>6.5.</w:t>
            </w:r>
            <w:r w:rsidR="00C652CD">
              <w:rPr>
                <w:rFonts w:eastAsiaTheme="minorEastAsia"/>
                <w:noProof/>
                <w:lang w:eastAsia="en-NZ"/>
              </w:rPr>
              <w:tab/>
            </w:r>
            <w:r w:rsidR="00C652CD" w:rsidRPr="00A03906">
              <w:rPr>
                <w:rStyle w:val="Hyperlink"/>
                <w:noProof/>
              </w:rPr>
              <w:t>National policy statements</w:t>
            </w:r>
            <w:r w:rsidR="00C652CD">
              <w:rPr>
                <w:noProof/>
                <w:webHidden/>
              </w:rPr>
              <w:tab/>
            </w:r>
            <w:r w:rsidR="00C652CD">
              <w:rPr>
                <w:noProof/>
                <w:webHidden/>
              </w:rPr>
              <w:fldChar w:fldCharType="begin"/>
            </w:r>
            <w:r w:rsidR="00C652CD">
              <w:rPr>
                <w:noProof/>
                <w:webHidden/>
              </w:rPr>
              <w:instrText xml:space="preserve"> PAGEREF _Toc72507652 \h </w:instrText>
            </w:r>
            <w:r w:rsidR="00C652CD">
              <w:rPr>
                <w:noProof/>
                <w:webHidden/>
              </w:rPr>
            </w:r>
            <w:r w:rsidR="00C652CD">
              <w:rPr>
                <w:noProof/>
                <w:webHidden/>
              </w:rPr>
              <w:fldChar w:fldCharType="separate"/>
            </w:r>
            <w:r w:rsidR="002A7A16">
              <w:rPr>
                <w:noProof/>
                <w:webHidden/>
              </w:rPr>
              <w:t>212</w:t>
            </w:r>
            <w:r w:rsidR="00C652CD">
              <w:rPr>
                <w:noProof/>
                <w:webHidden/>
              </w:rPr>
              <w:fldChar w:fldCharType="end"/>
            </w:r>
          </w:hyperlink>
        </w:p>
        <w:p w14:paraId="258465EA" w14:textId="3FE95DC6"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3" w:history="1">
            <w:r w:rsidR="00C652CD" w:rsidRPr="00A03906">
              <w:rPr>
                <w:rStyle w:val="Hyperlink"/>
                <w:noProof/>
              </w:rPr>
              <w:t>6.6.</w:t>
            </w:r>
            <w:r w:rsidR="00C652CD">
              <w:rPr>
                <w:rFonts w:eastAsiaTheme="minorEastAsia"/>
                <w:noProof/>
                <w:lang w:eastAsia="en-NZ"/>
              </w:rPr>
              <w:tab/>
            </w:r>
            <w:r w:rsidR="00C652CD" w:rsidRPr="00A03906">
              <w:rPr>
                <w:rStyle w:val="Hyperlink"/>
                <w:noProof/>
              </w:rPr>
              <w:t>National planning standards</w:t>
            </w:r>
            <w:r w:rsidR="00C652CD">
              <w:rPr>
                <w:noProof/>
                <w:webHidden/>
              </w:rPr>
              <w:tab/>
            </w:r>
            <w:r w:rsidR="00C652CD">
              <w:rPr>
                <w:noProof/>
                <w:webHidden/>
              </w:rPr>
              <w:fldChar w:fldCharType="begin"/>
            </w:r>
            <w:r w:rsidR="00C652CD">
              <w:rPr>
                <w:noProof/>
                <w:webHidden/>
              </w:rPr>
              <w:instrText xml:space="preserve"> PAGEREF _Toc72507653 \h </w:instrText>
            </w:r>
            <w:r w:rsidR="00C652CD">
              <w:rPr>
                <w:noProof/>
                <w:webHidden/>
              </w:rPr>
            </w:r>
            <w:r w:rsidR="00C652CD">
              <w:rPr>
                <w:noProof/>
                <w:webHidden/>
              </w:rPr>
              <w:fldChar w:fldCharType="separate"/>
            </w:r>
            <w:r w:rsidR="002A7A16">
              <w:rPr>
                <w:noProof/>
                <w:webHidden/>
              </w:rPr>
              <w:t>223</w:t>
            </w:r>
            <w:r w:rsidR="00C652CD">
              <w:rPr>
                <w:noProof/>
                <w:webHidden/>
              </w:rPr>
              <w:fldChar w:fldCharType="end"/>
            </w:r>
          </w:hyperlink>
        </w:p>
        <w:p w14:paraId="63467ABA" w14:textId="24EA257B"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4" w:history="1">
            <w:r w:rsidR="00C652CD" w:rsidRPr="00A03906">
              <w:rPr>
                <w:rStyle w:val="Hyperlink"/>
                <w:noProof/>
              </w:rPr>
              <w:t>6.7.</w:t>
            </w:r>
            <w:r w:rsidR="00C652CD">
              <w:rPr>
                <w:rFonts w:eastAsiaTheme="minorEastAsia"/>
                <w:noProof/>
                <w:lang w:eastAsia="en-NZ"/>
              </w:rPr>
              <w:tab/>
            </w:r>
            <w:r w:rsidR="00C652CD" w:rsidRPr="00A03906">
              <w:rPr>
                <w:rStyle w:val="Hyperlink"/>
                <w:noProof/>
              </w:rPr>
              <w:t>Regulations (including National Environmental Standards)</w:t>
            </w:r>
            <w:r w:rsidR="00C652CD">
              <w:rPr>
                <w:noProof/>
                <w:webHidden/>
              </w:rPr>
              <w:tab/>
            </w:r>
            <w:r w:rsidR="00C652CD">
              <w:rPr>
                <w:noProof/>
                <w:webHidden/>
              </w:rPr>
              <w:fldChar w:fldCharType="begin"/>
            </w:r>
            <w:r w:rsidR="00C652CD">
              <w:rPr>
                <w:noProof/>
                <w:webHidden/>
              </w:rPr>
              <w:instrText xml:space="preserve"> PAGEREF _Toc72507654 \h </w:instrText>
            </w:r>
            <w:r w:rsidR="00C652CD">
              <w:rPr>
                <w:noProof/>
                <w:webHidden/>
              </w:rPr>
            </w:r>
            <w:r w:rsidR="00C652CD">
              <w:rPr>
                <w:noProof/>
                <w:webHidden/>
              </w:rPr>
              <w:fldChar w:fldCharType="separate"/>
            </w:r>
            <w:r w:rsidR="002A7A16">
              <w:rPr>
                <w:noProof/>
                <w:webHidden/>
              </w:rPr>
              <w:t>223</w:t>
            </w:r>
            <w:r w:rsidR="00C652CD">
              <w:rPr>
                <w:noProof/>
                <w:webHidden/>
              </w:rPr>
              <w:fldChar w:fldCharType="end"/>
            </w:r>
          </w:hyperlink>
        </w:p>
        <w:p w14:paraId="21DF1EAB" w14:textId="0BBB395C"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5" w:history="1">
            <w:r w:rsidR="00C652CD" w:rsidRPr="00A03906">
              <w:rPr>
                <w:rStyle w:val="Hyperlink"/>
                <w:noProof/>
              </w:rPr>
              <w:t>6.8.</w:t>
            </w:r>
            <w:r w:rsidR="00C652CD">
              <w:rPr>
                <w:rFonts w:eastAsiaTheme="minorEastAsia"/>
                <w:noProof/>
                <w:lang w:eastAsia="en-NZ"/>
              </w:rPr>
              <w:tab/>
            </w:r>
            <w:r w:rsidR="00C652CD" w:rsidRPr="00A03906">
              <w:rPr>
                <w:rStyle w:val="Hyperlink"/>
                <w:noProof/>
              </w:rPr>
              <w:t>Water Conservation (Kawarau) Order 1997 (Kawarau WCO)</w:t>
            </w:r>
            <w:r w:rsidR="00C652CD">
              <w:rPr>
                <w:noProof/>
                <w:webHidden/>
              </w:rPr>
              <w:tab/>
            </w:r>
            <w:r w:rsidR="00C652CD">
              <w:rPr>
                <w:noProof/>
                <w:webHidden/>
              </w:rPr>
              <w:fldChar w:fldCharType="begin"/>
            </w:r>
            <w:r w:rsidR="00C652CD">
              <w:rPr>
                <w:noProof/>
                <w:webHidden/>
              </w:rPr>
              <w:instrText xml:space="preserve"> PAGEREF _Toc72507655 \h </w:instrText>
            </w:r>
            <w:r w:rsidR="00C652CD">
              <w:rPr>
                <w:noProof/>
                <w:webHidden/>
              </w:rPr>
            </w:r>
            <w:r w:rsidR="00C652CD">
              <w:rPr>
                <w:noProof/>
                <w:webHidden/>
              </w:rPr>
              <w:fldChar w:fldCharType="separate"/>
            </w:r>
            <w:r w:rsidR="002A7A16">
              <w:rPr>
                <w:noProof/>
                <w:webHidden/>
              </w:rPr>
              <w:t>228</w:t>
            </w:r>
            <w:r w:rsidR="00C652CD">
              <w:rPr>
                <w:noProof/>
                <w:webHidden/>
              </w:rPr>
              <w:fldChar w:fldCharType="end"/>
            </w:r>
          </w:hyperlink>
        </w:p>
        <w:p w14:paraId="07A84B95" w14:textId="57C6DC2D" w:rsidR="00C652CD" w:rsidRDefault="00000000" w:rsidP="008E6DDB">
          <w:pPr>
            <w:pStyle w:val="TOC2"/>
            <w:shd w:val="clear" w:color="auto" w:fill="DEEAF6" w:themeFill="accent5" w:themeFillTint="33"/>
            <w:tabs>
              <w:tab w:val="left" w:pos="1134"/>
              <w:tab w:val="right" w:leader="dot" w:pos="9016"/>
            </w:tabs>
            <w:rPr>
              <w:rFonts w:eastAsiaTheme="minorEastAsia"/>
              <w:noProof/>
              <w:lang w:eastAsia="en-NZ"/>
            </w:rPr>
          </w:pPr>
          <w:hyperlink w:anchor="_Toc72507656" w:history="1">
            <w:r w:rsidR="00C652CD" w:rsidRPr="00A03906">
              <w:rPr>
                <w:rStyle w:val="Hyperlink"/>
                <w:noProof/>
              </w:rPr>
              <w:t>6.9.</w:t>
            </w:r>
            <w:r w:rsidR="00C652CD">
              <w:rPr>
                <w:rFonts w:eastAsiaTheme="minorEastAsia"/>
                <w:noProof/>
                <w:lang w:eastAsia="en-NZ"/>
              </w:rPr>
              <w:tab/>
            </w:r>
            <w:r w:rsidR="00C652CD" w:rsidRPr="00A03906">
              <w:rPr>
                <w:rStyle w:val="Hyperlink"/>
                <w:noProof/>
              </w:rPr>
              <w:t>Lake Wanaka Preservation Act 1973</w:t>
            </w:r>
            <w:r w:rsidR="00C652CD">
              <w:rPr>
                <w:noProof/>
                <w:webHidden/>
              </w:rPr>
              <w:tab/>
            </w:r>
            <w:r w:rsidR="00C652CD">
              <w:rPr>
                <w:noProof/>
                <w:webHidden/>
              </w:rPr>
              <w:fldChar w:fldCharType="begin"/>
            </w:r>
            <w:r w:rsidR="00C652CD">
              <w:rPr>
                <w:noProof/>
                <w:webHidden/>
              </w:rPr>
              <w:instrText xml:space="preserve"> PAGEREF _Toc72507656 \h </w:instrText>
            </w:r>
            <w:r w:rsidR="00C652CD">
              <w:rPr>
                <w:noProof/>
                <w:webHidden/>
              </w:rPr>
            </w:r>
            <w:r w:rsidR="00C652CD">
              <w:rPr>
                <w:noProof/>
                <w:webHidden/>
              </w:rPr>
              <w:fldChar w:fldCharType="separate"/>
            </w:r>
            <w:r w:rsidR="002A7A16">
              <w:rPr>
                <w:noProof/>
                <w:webHidden/>
              </w:rPr>
              <w:t>229</w:t>
            </w:r>
            <w:r w:rsidR="00C652CD">
              <w:rPr>
                <w:noProof/>
                <w:webHidden/>
              </w:rPr>
              <w:fldChar w:fldCharType="end"/>
            </w:r>
          </w:hyperlink>
        </w:p>
        <w:p w14:paraId="5E685537" w14:textId="38E97BC4" w:rsidR="00C652CD" w:rsidRDefault="00000000" w:rsidP="008E6DDB">
          <w:pPr>
            <w:pStyle w:val="TOC2"/>
            <w:shd w:val="clear" w:color="auto" w:fill="DEEAF6" w:themeFill="accent5" w:themeFillTint="33"/>
            <w:tabs>
              <w:tab w:val="left" w:pos="1320"/>
              <w:tab w:val="right" w:leader="dot" w:pos="9016"/>
            </w:tabs>
            <w:rPr>
              <w:rFonts w:eastAsiaTheme="minorEastAsia"/>
              <w:noProof/>
              <w:lang w:eastAsia="en-NZ"/>
            </w:rPr>
          </w:pPr>
          <w:hyperlink w:anchor="_Toc72507657" w:history="1">
            <w:r w:rsidR="00C652CD" w:rsidRPr="00A03906">
              <w:rPr>
                <w:rStyle w:val="Hyperlink"/>
                <w:noProof/>
              </w:rPr>
              <w:t>6.10.</w:t>
            </w:r>
            <w:r w:rsidR="00C652CD">
              <w:rPr>
                <w:rFonts w:eastAsiaTheme="minorEastAsia"/>
                <w:noProof/>
                <w:lang w:eastAsia="en-NZ"/>
              </w:rPr>
              <w:tab/>
            </w:r>
            <w:r w:rsidR="00C652CD" w:rsidRPr="00A03906">
              <w:rPr>
                <w:rStyle w:val="Hyperlink"/>
                <w:noProof/>
              </w:rPr>
              <w:t>Iwi Management Plans</w:t>
            </w:r>
            <w:r w:rsidR="00C652CD">
              <w:rPr>
                <w:noProof/>
                <w:webHidden/>
              </w:rPr>
              <w:tab/>
            </w:r>
            <w:r w:rsidR="00C652CD">
              <w:rPr>
                <w:noProof/>
                <w:webHidden/>
              </w:rPr>
              <w:fldChar w:fldCharType="begin"/>
            </w:r>
            <w:r w:rsidR="00C652CD">
              <w:rPr>
                <w:noProof/>
                <w:webHidden/>
              </w:rPr>
              <w:instrText xml:space="preserve"> PAGEREF _Toc72507657 \h </w:instrText>
            </w:r>
            <w:r w:rsidR="00C652CD">
              <w:rPr>
                <w:noProof/>
                <w:webHidden/>
              </w:rPr>
            </w:r>
            <w:r w:rsidR="00C652CD">
              <w:rPr>
                <w:noProof/>
                <w:webHidden/>
              </w:rPr>
              <w:fldChar w:fldCharType="separate"/>
            </w:r>
            <w:r w:rsidR="002A7A16">
              <w:rPr>
                <w:noProof/>
                <w:webHidden/>
              </w:rPr>
              <w:t>229</w:t>
            </w:r>
            <w:r w:rsidR="00C652CD">
              <w:rPr>
                <w:noProof/>
                <w:webHidden/>
              </w:rPr>
              <w:fldChar w:fldCharType="end"/>
            </w:r>
          </w:hyperlink>
        </w:p>
        <w:p w14:paraId="639A00C3" w14:textId="1127203F" w:rsidR="00C652CD" w:rsidRDefault="00000000">
          <w:pPr>
            <w:pStyle w:val="TOC2"/>
            <w:tabs>
              <w:tab w:val="left" w:pos="1320"/>
              <w:tab w:val="right" w:leader="dot" w:pos="9016"/>
            </w:tabs>
            <w:rPr>
              <w:rFonts w:eastAsiaTheme="minorEastAsia"/>
              <w:noProof/>
              <w:lang w:eastAsia="en-NZ"/>
            </w:rPr>
          </w:pPr>
          <w:hyperlink w:anchor="_Toc72507658" w:history="1">
            <w:r w:rsidR="00C652CD" w:rsidRPr="00A03906">
              <w:rPr>
                <w:rStyle w:val="Hyperlink"/>
                <w:noProof/>
              </w:rPr>
              <w:t>6.11.</w:t>
            </w:r>
            <w:r w:rsidR="00C652CD">
              <w:rPr>
                <w:rFonts w:eastAsiaTheme="minorEastAsia"/>
                <w:noProof/>
                <w:lang w:eastAsia="en-NZ"/>
              </w:rPr>
              <w:tab/>
            </w:r>
            <w:r w:rsidR="00C652CD" w:rsidRPr="00A03906">
              <w:rPr>
                <w:rStyle w:val="Hyperlink"/>
                <w:noProof/>
              </w:rPr>
              <w:t>Planning document prepared under the Marine and Coastal Area (Takutai Moana) Act 2011</w:t>
            </w:r>
            <w:r w:rsidR="00C652CD">
              <w:rPr>
                <w:noProof/>
                <w:webHidden/>
              </w:rPr>
              <w:tab/>
            </w:r>
            <w:r w:rsidR="00C652CD">
              <w:rPr>
                <w:noProof/>
                <w:webHidden/>
              </w:rPr>
              <w:fldChar w:fldCharType="begin"/>
            </w:r>
            <w:r w:rsidR="00C652CD">
              <w:rPr>
                <w:noProof/>
                <w:webHidden/>
              </w:rPr>
              <w:instrText xml:space="preserve"> PAGEREF _Toc72507658 \h </w:instrText>
            </w:r>
            <w:r w:rsidR="00C652CD">
              <w:rPr>
                <w:noProof/>
                <w:webHidden/>
              </w:rPr>
            </w:r>
            <w:r w:rsidR="00C652CD">
              <w:rPr>
                <w:noProof/>
                <w:webHidden/>
              </w:rPr>
              <w:fldChar w:fldCharType="separate"/>
            </w:r>
            <w:r w:rsidR="002A7A16">
              <w:rPr>
                <w:noProof/>
                <w:webHidden/>
              </w:rPr>
              <w:t>231</w:t>
            </w:r>
            <w:r w:rsidR="00C652CD">
              <w:rPr>
                <w:noProof/>
                <w:webHidden/>
              </w:rPr>
              <w:fldChar w:fldCharType="end"/>
            </w:r>
          </w:hyperlink>
        </w:p>
        <w:p w14:paraId="261C1441" w14:textId="7421091D" w:rsidR="00C652CD" w:rsidRDefault="00000000" w:rsidP="008E6DDB">
          <w:pPr>
            <w:pStyle w:val="TOC2"/>
            <w:shd w:val="clear" w:color="auto" w:fill="DEEAF6" w:themeFill="accent5" w:themeFillTint="33"/>
            <w:tabs>
              <w:tab w:val="left" w:pos="1320"/>
              <w:tab w:val="right" w:leader="dot" w:pos="9016"/>
            </w:tabs>
            <w:rPr>
              <w:rFonts w:eastAsiaTheme="minorEastAsia"/>
              <w:noProof/>
              <w:lang w:eastAsia="en-NZ"/>
            </w:rPr>
          </w:pPr>
          <w:hyperlink w:anchor="_Toc72507659" w:history="1">
            <w:r w:rsidR="00C652CD" w:rsidRPr="00A03906">
              <w:rPr>
                <w:rStyle w:val="Hyperlink"/>
                <w:noProof/>
              </w:rPr>
              <w:t>6.12.</w:t>
            </w:r>
            <w:r w:rsidR="00C652CD">
              <w:rPr>
                <w:rFonts w:eastAsiaTheme="minorEastAsia"/>
                <w:noProof/>
                <w:lang w:eastAsia="en-NZ"/>
              </w:rPr>
              <w:tab/>
            </w:r>
            <w:r w:rsidR="00C652CD" w:rsidRPr="00A03906">
              <w:rPr>
                <w:rStyle w:val="Hyperlink"/>
                <w:noProof/>
              </w:rPr>
              <w:t>Other Management Plans and Strategies</w:t>
            </w:r>
            <w:r w:rsidR="00C652CD">
              <w:rPr>
                <w:noProof/>
                <w:webHidden/>
              </w:rPr>
              <w:tab/>
            </w:r>
            <w:r w:rsidR="00C652CD">
              <w:rPr>
                <w:noProof/>
                <w:webHidden/>
              </w:rPr>
              <w:fldChar w:fldCharType="begin"/>
            </w:r>
            <w:r w:rsidR="00C652CD">
              <w:rPr>
                <w:noProof/>
                <w:webHidden/>
              </w:rPr>
              <w:instrText xml:space="preserve"> PAGEREF _Toc72507659 \h </w:instrText>
            </w:r>
            <w:r w:rsidR="00C652CD">
              <w:rPr>
                <w:noProof/>
                <w:webHidden/>
              </w:rPr>
            </w:r>
            <w:r w:rsidR="00C652CD">
              <w:rPr>
                <w:noProof/>
                <w:webHidden/>
              </w:rPr>
              <w:fldChar w:fldCharType="separate"/>
            </w:r>
            <w:r w:rsidR="002A7A16">
              <w:rPr>
                <w:noProof/>
                <w:webHidden/>
              </w:rPr>
              <w:t>231</w:t>
            </w:r>
            <w:r w:rsidR="00C652CD">
              <w:rPr>
                <w:noProof/>
                <w:webHidden/>
              </w:rPr>
              <w:fldChar w:fldCharType="end"/>
            </w:r>
          </w:hyperlink>
        </w:p>
        <w:p w14:paraId="1E41CC2B" w14:textId="482D1AAC" w:rsidR="00C652CD" w:rsidRDefault="00000000">
          <w:pPr>
            <w:pStyle w:val="TOC2"/>
            <w:tabs>
              <w:tab w:val="left" w:pos="1320"/>
              <w:tab w:val="right" w:leader="dot" w:pos="9016"/>
            </w:tabs>
            <w:rPr>
              <w:rFonts w:eastAsiaTheme="minorEastAsia"/>
              <w:noProof/>
              <w:lang w:eastAsia="en-NZ"/>
            </w:rPr>
          </w:pPr>
          <w:hyperlink w:anchor="_Toc72507660" w:history="1">
            <w:r w:rsidR="00C652CD" w:rsidRPr="00A03906">
              <w:rPr>
                <w:rStyle w:val="Hyperlink"/>
                <w:noProof/>
              </w:rPr>
              <w:t>6.13.</w:t>
            </w:r>
            <w:r w:rsidR="00C652CD">
              <w:rPr>
                <w:rFonts w:eastAsiaTheme="minorEastAsia"/>
                <w:noProof/>
                <w:lang w:eastAsia="en-NZ"/>
              </w:rPr>
              <w:tab/>
            </w:r>
            <w:r w:rsidR="00C652CD" w:rsidRPr="00A03906">
              <w:rPr>
                <w:rStyle w:val="Hyperlink"/>
                <w:noProof/>
              </w:rPr>
              <w:t>Relevant entry on the New Zealand Heritage List/R</w:t>
            </w:r>
            <w:r w:rsidR="00C652CD" w:rsidRPr="00A03906">
              <w:rPr>
                <w:rStyle w:val="Hyperlink"/>
                <w:rFonts w:cstheme="minorHAnsi"/>
                <w:noProof/>
              </w:rPr>
              <w:t>ā</w:t>
            </w:r>
            <w:r w:rsidR="00C652CD" w:rsidRPr="00A03906">
              <w:rPr>
                <w:rStyle w:val="Hyperlink"/>
                <w:noProof/>
              </w:rPr>
              <w:t>rangi K</w:t>
            </w:r>
            <w:r w:rsidR="00C652CD" w:rsidRPr="00A03906">
              <w:rPr>
                <w:rStyle w:val="Hyperlink"/>
                <w:rFonts w:cstheme="minorHAnsi"/>
                <w:noProof/>
              </w:rPr>
              <w:t>ō</w:t>
            </w:r>
            <w:r w:rsidR="00C652CD" w:rsidRPr="00A03906">
              <w:rPr>
                <w:rStyle w:val="Hyperlink"/>
                <w:noProof/>
              </w:rPr>
              <w:t>rero</w:t>
            </w:r>
            <w:r w:rsidR="00C652CD">
              <w:rPr>
                <w:noProof/>
                <w:webHidden/>
              </w:rPr>
              <w:tab/>
            </w:r>
            <w:r w:rsidR="00C652CD">
              <w:rPr>
                <w:noProof/>
                <w:webHidden/>
              </w:rPr>
              <w:fldChar w:fldCharType="begin"/>
            </w:r>
            <w:r w:rsidR="00C652CD">
              <w:rPr>
                <w:noProof/>
                <w:webHidden/>
              </w:rPr>
              <w:instrText xml:space="preserve"> PAGEREF _Toc72507660 \h </w:instrText>
            </w:r>
            <w:r w:rsidR="00C652CD">
              <w:rPr>
                <w:noProof/>
                <w:webHidden/>
              </w:rPr>
            </w:r>
            <w:r w:rsidR="00C652CD">
              <w:rPr>
                <w:noProof/>
                <w:webHidden/>
              </w:rPr>
              <w:fldChar w:fldCharType="separate"/>
            </w:r>
            <w:r w:rsidR="002A7A16">
              <w:rPr>
                <w:noProof/>
                <w:webHidden/>
              </w:rPr>
              <w:t>232</w:t>
            </w:r>
            <w:r w:rsidR="00C652CD">
              <w:rPr>
                <w:noProof/>
                <w:webHidden/>
              </w:rPr>
              <w:fldChar w:fldCharType="end"/>
            </w:r>
          </w:hyperlink>
        </w:p>
        <w:p w14:paraId="5D425D32" w14:textId="1026BB38" w:rsidR="00C652CD" w:rsidRDefault="00000000">
          <w:pPr>
            <w:pStyle w:val="TOC2"/>
            <w:tabs>
              <w:tab w:val="left" w:pos="1320"/>
              <w:tab w:val="right" w:leader="dot" w:pos="9016"/>
            </w:tabs>
            <w:rPr>
              <w:rFonts w:eastAsiaTheme="minorEastAsia"/>
              <w:noProof/>
              <w:lang w:eastAsia="en-NZ"/>
            </w:rPr>
          </w:pPr>
          <w:hyperlink w:anchor="_Toc72507661" w:history="1">
            <w:r w:rsidR="00C652CD" w:rsidRPr="00A03906">
              <w:rPr>
                <w:rStyle w:val="Hyperlink"/>
                <w:noProof/>
              </w:rPr>
              <w:t>6.14.</w:t>
            </w:r>
            <w:r w:rsidR="00C652CD">
              <w:rPr>
                <w:rFonts w:eastAsiaTheme="minorEastAsia"/>
                <w:noProof/>
                <w:lang w:eastAsia="en-NZ"/>
              </w:rPr>
              <w:tab/>
            </w:r>
            <w:r w:rsidR="00C652CD" w:rsidRPr="00A03906">
              <w:rPr>
                <w:rStyle w:val="Hyperlink"/>
                <w:noProof/>
              </w:rPr>
              <w:t>Regulations relating to fisheries resources</w:t>
            </w:r>
            <w:r w:rsidR="00C652CD">
              <w:rPr>
                <w:noProof/>
                <w:webHidden/>
              </w:rPr>
              <w:tab/>
            </w:r>
            <w:r w:rsidR="00C652CD">
              <w:rPr>
                <w:noProof/>
                <w:webHidden/>
              </w:rPr>
              <w:fldChar w:fldCharType="begin"/>
            </w:r>
            <w:r w:rsidR="00C652CD">
              <w:rPr>
                <w:noProof/>
                <w:webHidden/>
              </w:rPr>
              <w:instrText xml:space="preserve"> PAGEREF _Toc72507661 \h </w:instrText>
            </w:r>
            <w:r w:rsidR="00C652CD">
              <w:rPr>
                <w:noProof/>
                <w:webHidden/>
              </w:rPr>
            </w:r>
            <w:r w:rsidR="00C652CD">
              <w:rPr>
                <w:noProof/>
                <w:webHidden/>
              </w:rPr>
              <w:fldChar w:fldCharType="separate"/>
            </w:r>
            <w:r w:rsidR="002A7A16">
              <w:rPr>
                <w:noProof/>
                <w:webHidden/>
              </w:rPr>
              <w:t>232</w:t>
            </w:r>
            <w:r w:rsidR="00C652CD">
              <w:rPr>
                <w:noProof/>
                <w:webHidden/>
              </w:rPr>
              <w:fldChar w:fldCharType="end"/>
            </w:r>
          </w:hyperlink>
        </w:p>
        <w:p w14:paraId="55FE1D41" w14:textId="5D672717" w:rsidR="00C652CD" w:rsidRDefault="00000000">
          <w:pPr>
            <w:pStyle w:val="TOC2"/>
            <w:tabs>
              <w:tab w:val="left" w:pos="1320"/>
              <w:tab w:val="right" w:leader="dot" w:pos="9016"/>
            </w:tabs>
            <w:rPr>
              <w:rFonts w:eastAsiaTheme="minorEastAsia"/>
              <w:noProof/>
              <w:lang w:eastAsia="en-NZ"/>
            </w:rPr>
          </w:pPr>
          <w:hyperlink w:anchor="_Toc72507662" w:history="1">
            <w:r w:rsidR="00C652CD" w:rsidRPr="00A03906">
              <w:rPr>
                <w:rStyle w:val="Hyperlink"/>
                <w:noProof/>
              </w:rPr>
              <w:t>6.15.</w:t>
            </w:r>
            <w:r w:rsidR="00C652CD">
              <w:rPr>
                <w:rFonts w:eastAsiaTheme="minorEastAsia"/>
                <w:noProof/>
                <w:lang w:eastAsia="en-NZ"/>
              </w:rPr>
              <w:tab/>
            </w:r>
            <w:r w:rsidR="00C652CD" w:rsidRPr="00A03906">
              <w:rPr>
                <w:rStyle w:val="Hyperlink"/>
                <w:noProof/>
              </w:rPr>
              <w:t>Adjacent regional policy statements</w:t>
            </w:r>
            <w:r w:rsidR="00C652CD">
              <w:rPr>
                <w:noProof/>
                <w:webHidden/>
              </w:rPr>
              <w:tab/>
            </w:r>
            <w:r w:rsidR="00C652CD">
              <w:rPr>
                <w:noProof/>
                <w:webHidden/>
              </w:rPr>
              <w:fldChar w:fldCharType="begin"/>
            </w:r>
            <w:r w:rsidR="00C652CD">
              <w:rPr>
                <w:noProof/>
                <w:webHidden/>
              </w:rPr>
              <w:instrText xml:space="preserve"> PAGEREF _Toc72507662 \h </w:instrText>
            </w:r>
            <w:r w:rsidR="00C652CD">
              <w:rPr>
                <w:noProof/>
                <w:webHidden/>
              </w:rPr>
            </w:r>
            <w:r w:rsidR="00C652CD">
              <w:rPr>
                <w:noProof/>
                <w:webHidden/>
              </w:rPr>
              <w:fldChar w:fldCharType="separate"/>
            </w:r>
            <w:r w:rsidR="002A7A16">
              <w:rPr>
                <w:noProof/>
                <w:webHidden/>
              </w:rPr>
              <w:t>232</w:t>
            </w:r>
            <w:r w:rsidR="00C652CD">
              <w:rPr>
                <w:noProof/>
                <w:webHidden/>
              </w:rPr>
              <w:fldChar w:fldCharType="end"/>
            </w:r>
          </w:hyperlink>
        </w:p>
        <w:p w14:paraId="10B53B81" w14:textId="7543C5FA" w:rsidR="00C652CD" w:rsidRDefault="00000000">
          <w:pPr>
            <w:pStyle w:val="TOC2"/>
            <w:tabs>
              <w:tab w:val="left" w:pos="1320"/>
              <w:tab w:val="right" w:leader="dot" w:pos="9016"/>
            </w:tabs>
            <w:rPr>
              <w:rFonts w:eastAsiaTheme="minorEastAsia"/>
              <w:noProof/>
              <w:lang w:eastAsia="en-NZ"/>
            </w:rPr>
          </w:pPr>
          <w:hyperlink w:anchor="_Toc72507663" w:history="1">
            <w:r w:rsidR="00C652CD" w:rsidRPr="00A03906">
              <w:rPr>
                <w:rStyle w:val="Hyperlink"/>
                <w:noProof/>
              </w:rPr>
              <w:t>6.16.</w:t>
            </w:r>
            <w:r w:rsidR="00C652CD">
              <w:rPr>
                <w:rFonts w:eastAsiaTheme="minorEastAsia"/>
                <w:noProof/>
                <w:lang w:eastAsia="en-NZ"/>
              </w:rPr>
              <w:tab/>
            </w:r>
            <w:r w:rsidR="00C652CD" w:rsidRPr="00A03906">
              <w:rPr>
                <w:rStyle w:val="Hyperlink"/>
                <w:noProof/>
              </w:rPr>
              <w:t>Exclusive Economic Zone regulations</w:t>
            </w:r>
            <w:r w:rsidR="00C652CD">
              <w:rPr>
                <w:noProof/>
                <w:webHidden/>
              </w:rPr>
              <w:tab/>
            </w:r>
            <w:r w:rsidR="00C652CD">
              <w:rPr>
                <w:noProof/>
                <w:webHidden/>
              </w:rPr>
              <w:fldChar w:fldCharType="begin"/>
            </w:r>
            <w:r w:rsidR="00C652CD">
              <w:rPr>
                <w:noProof/>
                <w:webHidden/>
              </w:rPr>
              <w:instrText xml:space="preserve"> PAGEREF _Toc72507663 \h </w:instrText>
            </w:r>
            <w:r w:rsidR="00C652CD">
              <w:rPr>
                <w:noProof/>
                <w:webHidden/>
              </w:rPr>
            </w:r>
            <w:r w:rsidR="00C652CD">
              <w:rPr>
                <w:noProof/>
                <w:webHidden/>
              </w:rPr>
              <w:fldChar w:fldCharType="separate"/>
            </w:r>
            <w:r w:rsidR="002A7A16">
              <w:rPr>
                <w:noProof/>
                <w:webHidden/>
              </w:rPr>
              <w:t>233</w:t>
            </w:r>
            <w:r w:rsidR="00C652CD">
              <w:rPr>
                <w:noProof/>
                <w:webHidden/>
              </w:rPr>
              <w:fldChar w:fldCharType="end"/>
            </w:r>
          </w:hyperlink>
        </w:p>
        <w:p w14:paraId="13B88521" w14:textId="0C18E985" w:rsidR="00C652CD" w:rsidRDefault="00000000" w:rsidP="008E6DDB">
          <w:pPr>
            <w:pStyle w:val="TOC1"/>
            <w:shd w:val="clear" w:color="auto" w:fill="DEEAF6" w:themeFill="accent5" w:themeFillTint="33"/>
            <w:tabs>
              <w:tab w:val="left" w:pos="567"/>
            </w:tabs>
            <w:rPr>
              <w:rFonts w:eastAsiaTheme="minorEastAsia"/>
              <w:b w:val="0"/>
              <w:noProof/>
              <w:lang w:eastAsia="en-NZ"/>
            </w:rPr>
          </w:pPr>
          <w:hyperlink w:anchor="_Toc72507664" w:history="1">
            <w:r w:rsidR="00C652CD" w:rsidRPr="00A03906">
              <w:rPr>
                <w:rStyle w:val="Hyperlink"/>
                <w:noProof/>
              </w:rPr>
              <w:t>7.</w:t>
            </w:r>
            <w:r w:rsidR="00C652CD">
              <w:rPr>
                <w:rFonts w:eastAsiaTheme="minorEastAsia"/>
                <w:b w:val="0"/>
                <w:noProof/>
                <w:lang w:eastAsia="en-NZ"/>
              </w:rPr>
              <w:tab/>
            </w:r>
            <w:r w:rsidR="00C652CD" w:rsidRPr="00A03906">
              <w:rPr>
                <w:rStyle w:val="Hyperlink"/>
                <w:noProof/>
              </w:rPr>
              <w:t>References</w:t>
            </w:r>
            <w:r w:rsidR="00C652CD">
              <w:rPr>
                <w:noProof/>
                <w:webHidden/>
              </w:rPr>
              <w:tab/>
            </w:r>
            <w:r w:rsidR="00C652CD">
              <w:rPr>
                <w:noProof/>
                <w:webHidden/>
              </w:rPr>
              <w:fldChar w:fldCharType="begin"/>
            </w:r>
            <w:r w:rsidR="00C652CD">
              <w:rPr>
                <w:noProof/>
                <w:webHidden/>
              </w:rPr>
              <w:instrText xml:space="preserve"> PAGEREF _Toc72507664 \h </w:instrText>
            </w:r>
            <w:r w:rsidR="00C652CD">
              <w:rPr>
                <w:noProof/>
                <w:webHidden/>
              </w:rPr>
            </w:r>
            <w:r w:rsidR="00C652CD">
              <w:rPr>
                <w:noProof/>
                <w:webHidden/>
              </w:rPr>
              <w:fldChar w:fldCharType="separate"/>
            </w:r>
            <w:r w:rsidR="002A7A16">
              <w:rPr>
                <w:noProof/>
                <w:webHidden/>
              </w:rPr>
              <w:t>234</w:t>
            </w:r>
            <w:r w:rsidR="00C652CD">
              <w:rPr>
                <w:noProof/>
                <w:webHidden/>
              </w:rPr>
              <w:fldChar w:fldCharType="end"/>
            </w:r>
          </w:hyperlink>
        </w:p>
        <w:p w14:paraId="28D7FE7C" w14:textId="078B566A" w:rsidR="00C652CD" w:rsidRDefault="00000000">
          <w:pPr>
            <w:pStyle w:val="TOC1"/>
            <w:tabs>
              <w:tab w:val="left" w:pos="567"/>
            </w:tabs>
            <w:rPr>
              <w:rFonts w:eastAsiaTheme="minorEastAsia"/>
              <w:b w:val="0"/>
              <w:noProof/>
              <w:lang w:eastAsia="en-NZ"/>
            </w:rPr>
          </w:pPr>
          <w:hyperlink w:anchor="_Toc72507665" w:history="1">
            <w:r w:rsidR="00C652CD" w:rsidRPr="00A03906">
              <w:rPr>
                <w:rStyle w:val="Hyperlink"/>
                <w:noProof/>
              </w:rPr>
              <w:t>8.</w:t>
            </w:r>
            <w:r w:rsidR="00C652CD">
              <w:rPr>
                <w:rFonts w:eastAsiaTheme="minorEastAsia"/>
                <w:b w:val="0"/>
                <w:noProof/>
                <w:lang w:eastAsia="en-NZ"/>
              </w:rPr>
              <w:tab/>
            </w:r>
            <w:r w:rsidR="00C652CD" w:rsidRPr="00A03906">
              <w:rPr>
                <w:rStyle w:val="Hyperlink"/>
                <w:noProof/>
              </w:rPr>
              <w:t>Appendices</w:t>
            </w:r>
            <w:r w:rsidR="00C652CD">
              <w:rPr>
                <w:noProof/>
                <w:webHidden/>
              </w:rPr>
              <w:tab/>
            </w:r>
            <w:r w:rsidR="00C652CD">
              <w:rPr>
                <w:noProof/>
                <w:webHidden/>
              </w:rPr>
              <w:fldChar w:fldCharType="begin"/>
            </w:r>
            <w:r w:rsidR="00C652CD">
              <w:rPr>
                <w:noProof/>
                <w:webHidden/>
              </w:rPr>
              <w:instrText xml:space="preserve"> PAGEREF _Toc72507665 \h </w:instrText>
            </w:r>
            <w:r w:rsidR="00C652CD">
              <w:rPr>
                <w:noProof/>
                <w:webHidden/>
              </w:rPr>
            </w:r>
            <w:r w:rsidR="00C652CD">
              <w:rPr>
                <w:noProof/>
                <w:webHidden/>
              </w:rPr>
              <w:fldChar w:fldCharType="separate"/>
            </w:r>
            <w:r w:rsidR="002A7A16">
              <w:rPr>
                <w:noProof/>
                <w:webHidden/>
              </w:rPr>
              <w:t>237</w:t>
            </w:r>
            <w:r w:rsidR="00C652CD">
              <w:rPr>
                <w:noProof/>
                <w:webHidden/>
              </w:rPr>
              <w:fldChar w:fldCharType="end"/>
            </w:r>
          </w:hyperlink>
        </w:p>
        <w:p w14:paraId="0E46BC04" w14:textId="25778F0A" w:rsidR="004E433A" w:rsidRDefault="00E86187" w:rsidP="00E86187">
          <w:pPr>
            <w:pStyle w:val="TOC1"/>
          </w:pPr>
          <w:r>
            <w:rPr>
              <w:rFonts w:asciiTheme="majorHAnsi" w:eastAsiaTheme="majorEastAsia" w:hAnsiTheme="majorHAnsi" w:cstheme="majorBidi"/>
              <w:b w:val="0"/>
              <w:color w:val="2F5496" w:themeColor="accent1" w:themeShade="BF"/>
              <w:sz w:val="32"/>
              <w:szCs w:val="32"/>
            </w:rPr>
            <w:fldChar w:fldCharType="end"/>
          </w:r>
        </w:p>
      </w:sdtContent>
    </w:sdt>
    <w:p w14:paraId="76A5856A" w14:textId="77777777" w:rsidR="00AC1B75" w:rsidRDefault="00AC1B75"/>
    <w:p w14:paraId="04A9A495" w14:textId="2260559B" w:rsidR="00AA7268" w:rsidRPr="00AA7268" w:rsidRDefault="00AA7268" w:rsidP="00AA7268">
      <w:pPr>
        <w:tabs>
          <w:tab w:val="left" w:pos="3570"/>
        </w:tabs>
        <w:sectPr w:rsidR="00AA7268" w:rsidRPr="00AA7268" w:rsidSect="00016051">
          <w:headerReference w:type="even" r:id="rId18"/>
          <w:headerReference w:type="default" r:id="rId19"/>
          <w:footerReference w:type="even" r:id="rId20"/>
          <w:pgSz w:w="11906" w:h="16838"/>
          <w:pgMar w:top="1440" w:right="1440" w:bottom="1440" w:left="1440" w:header="708" w:footer="708" w:gutter="0"/>
          <w:cols w:space="708"/>
          <w:docGrid w:linePitch="360"/>
        </w:sectPr>
      </w:pPr>
    </w:p>
    <w:p w14:paraId="19F91BC4" w14:textId="5F0FF468" w:rsidR="00A31364" w:rsidRPr="00932DEA" w:rsidRDefault="00A31364" w:rsidP="00533C28">
      <w:pPr>
        <w:pStyle w:val="Heading1"/>
        <w:numPr>
          <w:ilvl w:val="0"/>
          <w:numId w:val="0"/>
        </w:numPr>
        <w:shd w:val="clear" w:color="auto" w:fill="DEEAF6" w:themeFill="accent5" w:themeFillTint="33"/>
        <w:rPr>
          <w:rFonts w:cstheme="majorHAnsi"/>
        </w:rPr>
      </w:pPr>
      <w:bookmarkStart w:id="1" w:name="_Toc72507613"/>
      <w:r w:rsidRPr="00932DEA">
        <w:lastRenderedPageBreak/>
        <w:t>Abbreviations</w:t>
      </w:r>
      <w:bookmarkEnd w:id="1"/>
    </w:p>
    <w:tbl>
      <w:tblPr>
        <w:tblW w:w="0" w:type="auto"/>
        <w:shd w:val="clear" w:color="auto" w:fill="DEEAF6" w:themeFill="accent5" w:themeFillTint="33"/>
        <w:tblLook w:val="04A0" w:firstRow="1" w:lastRow="0" w:firstColumn="1" w:lastColumn="0" w:noHBand="0" w:noVBand="1"/>
      </w:tblPr>
      <w:tblGrid>
        <w:gridCol w:w="1985"/>
        <w:gridCol w:w="7011"/>
      </w:tblGrid>
      <w:tr w:rsidR="00DB7AB3" w14:paraId="274F8E5D" w14:textId="77777777" w:rsidTr="00533C28">
        <w:tc>
          <w:tcPr>
            <w:tcW w:w="1985" w:type="dxa"/>
            <w:shd w:val="clear" w:color="auto" w:fill="DEEAF6" w:themeFill="accent5" w:themeFillTint="33"/>
          </w:tcPr>
          <w:p w14:paraId="09C30A8F" w14:textId="2C769E8E" w:rsidR="00DB7AB3" w:rsidRDefault="00DB7AB3" w:rsidP="00533C28">
            <w:pPr>
              <w:shd w:val="clear" w:color="auto" w:fill="DEEAF6" w:themeFill="accent5" w:themeFillTint="33"/>
              <w:spacing w:after="120"/>
            </w:pPr>
            <w:r>
              <w:t>Air Plan</w:t>
            </w:r>
          </w:p>
        </w:tc>
        <w:tc>
          <w:tcPr>
            <w:tcW w:w="7011" w:type="dxa"/>
            <w:shd w:val="clear" w:color="auto" w:fill="DEEAF6" w:themeFill="accent5" w:themeFillTint="33"/>
          </w:tcPr>
          <w:p w14:paraId="1A78CCA5" w14:textId="0F6D2C58" w:rsidR="00DB7AB3" w:rsidRDefault="00737BCD" w:rsidP="00533C28">
            <w:pPr>
              <w:shd w:val="clear" w:color="auto" w:fill="DEEAF6" w:themeFill="accent5" w:themeFillTint="33"/>
              <w:spacing w:after="120"/>
            </w:pPr>
            <w:r>
              <w:t>Regional Plan: Air for Otago</w:t>
            </w:r>
          </w:p>
        </w:tc>
      </w:tr>
      <w:tr w:rsidR="00E41092" w14:paraId="48FB9027" w14:textId="77777777" w:rsidTr="00533C28">
        <w:tc>
          <w:tcPr>
            <w:tcW w:w="1985" w:type="dxa"/>
            <w:shd w:val="clear" w:color="auto" w:fill="DEEAF6" w:themeFill="accent5" w:themeFillTint="33"/>
          </w:tcPr>
          <w:p w14:paraId="59011A95" w14:textId="700A3AAF" w:rsidR="00E41092" w:rsidRDefault="00E41092" w:rsidP="00533C28">
            <w:pPr>
              <w:shd w:val="clear" w:color="auto" w:fill="DEEAF6" w:themeFill="accent5" w:themeFillTint="33"/>
              <w:spacing w:after="120"/>
            </w:pPr>
            <w:r>
              <w:t>CDC</w:t>
            </w:r>
          </w:p>
        </w:tc>
        <w:tc>
          <w:tcPr>
            <w:tcW w:w="7011" w:type="dxa"/>
            <w:shd w:val="clear" w:color="auto" w:fill="DEEAF6" w:themeFill="accent5" w:themeFillTint="33"/>
          </w:tcPr>
          <w:p w14:paraId="1A65A870" w14:textId="2B362508" w:rsidR="00E41092" w:rsidRDefault="00E41092" w:rsidP="00533C28">
            <w:pPr>
              <w:shd w:val="clear" w:color="auto" w:fill="DEEAF6" w:themeFill="accent5" w:themeFillTint="33"/>
              <w:spacing w:after="120"/>
            </w:pPr>
            <w:r>
              <w:t>Clutha District Council</w:t>
            </w:r>
          </w:p>
        </w:tc>
      </w:tr>
      <w:tr w:rsidR="0009273E" w14:paraId="1F143671" w14:textId="77777777" w:rsidTr="00533C28">
        <w:tc>
          <w:tcPr>
            <w:tcW w:w="1985" w:type="dxa"/>
            <w:shd w:val="clear" w:color="auto" w:fill="DEEAF6" w:themeFill="accent5" w:themeFillTint="33"/>
          </w:tcPr>
          <w:p w14:paraId="1EDC61B2" w14:textId="501190E5" w:rsidR="0009273E" w:rsidRDefault="00643AA2" w:rsidP="00533C28">
            <w:pPr>
              <w:shd w:val="clear" w:color="auto" w:fill="DEEAF6" w:themeFill="accent5" w:themeFillTint="33"/>
              <w:spacing w:after="120"/>
            </w:pPr>
            <w:r>
              <w:t>CMA</w:t>
            </w:r>
          </w:p>
        </w:tc>
        <w:tc>
          <w:tcPr>
            <w:tcW w:w="7011" w:type="dxa"/>
            <w:shd w:val="clear" w:color="auto" w:fill="DEEAF6" w:themeFill="accent5" w:themeFillTint="33"/>
          </w:tcPr>
          <w:p w14:paraId="079CA28A" w14:textId="3DA43848" w:rsidR="0009273E" w:rsidRDefault="00643AA2" w:rsidP="00533C28">
            <w:pPr>
              <w:shd w:val="clear" w:color="auto" w:fill="DEEAF6" w:themeFill="accent5" w:themeFillTint="33"/>
              <w:spacing w:after="120"/>
            </w:pPr>
            <w:r>
              <w:t>Coastal marine area</w:t>
            </w:r>
          </w:p>
        </w:tc>
      </w:tr>
      <w:tr w:rsidR="00737BCD" w14:paraId="336D60F1" w14:textId="77777777" w:rsidTr="00533C28">
        <w:tc>
          <w:tcPr>
            <w:tcW w:w="1985" w:type="dxa"/>
            <w:shd w:val="clear" w:color="auto" w:fill="DEEAF6" w:themeFill="accent5" w:themeFillTint="33"/>
          </w:tcPr>
          <w:p w14:paraId="29212021" w14:textId="519397C6" w:rsidR="00737BCD" w:rsidRDefault="00737BCD" w:rsidP="00533C28">
            <w:pPr>
              <w:shd w:val="clear" w:color="auto" w:fill="DEEAF6" w:themeFill="accent5" w:themeFillTint="33"/>
              <w:spacing w:after="120"/>
            </w:pPr>
            <w:r>
              <w:t>Coast Plan</w:t>
            </w:r>
          </w:p>
        </w:tc>
        <w:tc>
          <w:tcPr>
            <w:tcW w:w="7011" w:type="dxa"/>
            <w:shd w:val="clear" w:color="auto" w:fill="DEEAF6" w:themeFill="accent5" w:themeFillTint="33"/>
          </w:tcPr>
          <w:p w14:paraId="76DA654E" w14:textId="3BD81280" w:rsidR="00737BCD" w:rsidRDefault="00737BCD" w:rsidP="00533C28">
            <w:pPr>
              <w:shd w:val="clear" w:color="auto" w:fill="DEEAF6" w:themeFill="accent5" w:themeFillTint="33"/>
              <w:spacing w:after="120"/>
            </w:pPr>
            <w:r>
              <w:t>Regional Plan: Coast for Otago</w:t>
            </w:r>
          </w:p>
        </w:tc>
      </w:tr>
      <w:tr w:rsidR="00E41092" w14:paraId="7AAF479B" w14:textId="77777777" w:rsidTr="00533C28">
        <w:tc>
          <w:tcPr>
            <w:tcW w:w="1985" w:type="dxa"/>
            <w:shd w:val="clear" w:color="auto" w:fill="DEEAF6" w:themeFill="accent5" w:themeFillTint="33"/>
          </w:tcPr>
          <w:p w14:paraId="0AA4BBD0" w14:textId="5EB1131B" w:rsidR="00E41092" w:rsidRDefault="00E41092" w:rsidP="00533C28">
            <w:pPr>
              <w:shd w:val="clear" w:color="auto" w:fill="DEEAF6" w:themeFill="accent5" w:themeFillTint="33"/>
              <w:spacing w:after="120"/>
            </w:pPr>
            <w:r>
              <w:t>FMU</w:t>
            </w:r>
          </w:p>
        </w:tc>
        <w:tc>
          <w:tcPr>
            <w:tcW w:w="7011" w:type="dxa"/>
            <w:shd w:val="clear" w:color="auto" w:fill="DEEAF6" w:themeFill="accent5" w:themeFillTint="33"/>
          </w:tcPr>
          <w:p w14:paraId="6CC5C8A5" w14:textId="0F47251C" w:rsidR="00E41092" w:rsidRDefault="00E41092" w:rsidP="00533C28">
            <w:pPr>
              <w:shd w:val="clear" w:color="auto" w:fill="DEEAF6" w:themeFill="accent5" w:themeFillTint="33"/>
              <w:spacing w:after="120"/>
            </w:pPr>
            <w:r>
              <w:t>Freshwater Management Unit</w:t>
            </w:r>
          </w:p>
        </w:tc>
      </w:tr>
      <w:tr w:rsidR="0026059C" w14:paraId="6E5467F4" w14:textId="77777777" w:rsidTr="00533C28">
        <w:tc>
          <w:tcPr>
            <w:tcW w:w="1985" w:type="dxa"/>
            <w:shd w:val="clear" w:color="auto" w:fill="DEEAF6" w:themeFill="accent5" w:themeFillTint="33"/>
          </w:tcPr>
          <w:p w14:paraId="2B078FF7" w14:textId="6AFB4B7B" w:rsidR="0026059C" w:rsidRDefault="00EA62B4" w:rsidP="00533C28">
            <w:pPr>
              <w:shd w:val="clear" w:color="auto" w:fill="DEEAF6" w:themeFill="accent5" w:themeFillTint="33"/>
              <w:spacing w:after="120"/>
            </w:pPr>
            <w:r>
              <w:t>HSNO Act</w:t>
            </w:r>
          </w:p>
        </w:tc>
        <w:tc>
          <w:tcPr>
            <w:tcW w:w="7011" w:type="dxa"/>
            <w:shd w:val="clear" w:color="auto" w:fill="DEEAF6" w:themeFill="accent5" w:themeFillTint="33"/>
          </w:tcPr>
          <w:p w14:paraId="5C2ABAFD" w14:textId="1F041CAC" w:rsidR="0026059C" w:rsidRDefault="00C6007D" w:rsidP="00533C28">
            <w:pPr>
              <w:shd w:val="clear" w:color="auto" w:fill="DEEAF6" w:themeFill="accent5" w:themeFillTint="33"/>
              <w:spacing w:after="120"/>
            </w:pPr>
            <w:r>
              <w:t xml:space="preserve">Hazardous </w:t>
            </w:r>
            <w:r w:rsidR="004011A0">
              <w:t xml:space="preserve">Substances </w:t>
            </w:r>
            <w:r w:rsidR="00F23865">
              <w:t>and New Organisms Act 1996</w:t>
            </w:r>
          </w:p>
        </w:tc>
      </w:tr>
      <w:tr w:rsidR="0026059C" w14:paraId="35462A39" w14:textId="77777777" w:rsidTr="00533C28">
        <w:tc>
          <w:tcPr>
            <w:tcW w:w="1985" w:type="dxa"/>
            <w:shd w:val="clear" w:color="auto" w:fill="DEEAF6" w:themeFill="accent5" w:themeFillTint="33"/>
          </w:tcPr>
          <w:p w14:paraId="2F83E97F" w14:textId="0635A425" w:rsidR="0026059C" w:rsidRDefault="00F23865" w:rsidP="00533C28">
            <w:pPr>
              <w:shd w:val="clear" w:color="auto" w:fill="DEEAF6" w:themeFill="accent5" w:themeFillTint="33"/>
              <w:spacing w:after="120"/>
            </w:pPr>
            <w:r>
              <w:t>HSW Act</w:t>
            </w:r>
          </w:p>
        </w:tc>
        <w:tc>
          <w:tcPr>
            <w:tcW w:w="7011" w:type="dxa"/>
            <w:shd w:val="clear" w:color="auto" w:fill="DEEAF6" w:themeFill="accent5" w:themeFillTint="33"/>
          </w:tcPr>
          <w:p w14:paraId="72A16900" w14:textId="494DAF2B" w:rsidR="0026059C" w:rsidRDefault="00F23865" w:rsidP="00533C28">
            <w:pPr>
              <w:shd w:val="clear" w:color="auto" w:fill="DEEAF6" w:themeFill="accent5" w:themeFillTint="33"/>
              <w:spacing w:after="120"/>
            </w:pPr>
            <w:r>
              <w:t xml:space="preserve">Health and Safety at Work </w:t>
            </w:r>
            <w:r w:rsidR="00341FA2">
              <w:t>2015</w:t>
            </w:r>
          </w:p>
        </w:tc>
      </w:tr>
      <w:tr w:rsidR="00E41092" w14:paraId="78EE86D2" w14:textId="77777777" w:rsidTr="00533C28">
        <w:tc>
          <w:tcPr>
            <w:tcW w:w="1985" w:type="dxa"/>
            <w:shd w:val="clear" w:color="auto" w:fill="DEEAF6" w:themeFill="accent5" w:themeFillTint="33"/>
          </w:tcPr>
          <w:p w14:paraId="45C47E92" w14:textId="1FE5D639" w:rsidR="00E41092" w:rsidRDefault="00E41092" w:rsidP="00533C28">
            <w:pPr>
              <w:shd w:val="clear" w:color="auto" w:fill="DEEAF6" w:themeFill="accent5" w:themeFillTint="33"/>
              <w:spacing w:after="120"/>
            </w:pPr>
            <w:r>
              <w:t>LWRP</w:t>
            </w:r>
          </w:p>
        </w:tc>
        <w:tc>
          <w:tcPr>
            <w:tcW w:w="7011" w:type="dxa"/>
            <w:shd w:val="clear" w:color="auto" w:fill="DEEAF6" w:themeFill="accent5" w:themeFillTint="33"/>
          </w:tcPr>
          <w:p w14:paraId="1E388261" w14:textId="42210FD2" w:rsidR="00E41092" w:rsidRDefault="00E41092" w:rsidP="00533C28">
            <w:pPr>
              <w:shd w:val="clear" w:color="auto" w:fill="DEEAF6" w:themeFill="accent5" w:themeFillTint="33"/>
              <w:spacing w:after="120"/>
            </w:pPr>
            <w:r>
              <w:t>Land and Water Regional Plan</w:t>
            </w:r>
          </w:p>
        </w:tc>
      </w:tr>
      <w:tr w:rsidR="00E41092" w14:paraId="58252B66" w14:textId="77777777" w:rsidTr="00533C28">
        <w:tc>
          <w:tcPr>
            <w:tcW w:w="1985" w:type="dxa"/>
            <w:shd w:val="clear" w:color="auto" w:fill="DEEAF6" w:themeFill="accent5" w:themeFillTint="33"/>
          </w:tcPr>
          <w:p w14:paraId="3183C0B7" w14:textId="4ACE68E0" w:rsidR="00E41092" w:rsidRDefault="00E41092" w:rsidP="00533C28">
            <w:pPr>
              <w:shd w:val="clear" w:color="auto" w:fill="DEEAF6" w:themeFill="accent5" w:themeFillTint="33"/>
              <w:spacing w:after="120"/>
            </w:pPr>
            <w:r>
              <w:t>NES</w:t>
            </w:r>
          </w:p>
        </w:tc>
        <w:tc>
          <w:tcPr>
            <w:tcW w:w="7011" w:type="dxa"/>
            <w:shd w:val="clear" w:color="auto" w:fill="DEEAF6" w:themeFill="accent5" w:themeFillTint="33"/>
          </w:tcPr>
          <w:p w14:paraId="26850533" w14:textId="3B09AC85" w:rsidR="00E41092" w:rsidRDefault="00E41092" w:rsidP="00533C28">
            <w:pPr>
              <w:shd w:val="clear" w:color="auto" w:fill="DEEAF6" w:themeFill="accent5" w:themeFillTint="33"/>
              <w:spacing w:after="120"/>
            </w:pPr>
            <w:r>
              <w:t>National Environmental Standard</w:t>
            </w:r>
          </w:p>
        </w:tc>
      </w:tr>
      <w:tr w:rsidR="00CE5E58" w14:paraId="0E91C4E5" w14:textId="77777777" w:rsidTr="00533C28">
        <w:tc>
          <w:tcPr>
            <w:tcW w:w="1985" w:type="dxa"/>
            <w:shd w:val="clear" w:color="auto" w:fill="DEEAF6" w:themeFill="accent5" w:themeFillTint="33"/>
          </w:tcPr>
          <w:p w14:paraId="385EA2D3" w14:textId="268F8771" w:rsidR="00CE5E58" w:rsidRDefault="00CE5E58" w:rsidP="00533C28">
            <w:pPr>
              <w:shd w:val="clear" w:color="auto" w:fill="DEEAF6" w:themeFill="accent5" w:themeFillTint="33"/>
              <w:spacing w:after="120"/>
            </w:pPr>
            <w:r>
              <w:t>NESAQ</w:t>
            </w:r>
          </w:p>
        </w:tc>
        <w:tc>
          <w:tcPr>
            <w:tcW w:w="7011" w:type="dxa"/>
            <w:shd w:val="clear" w:color="auto" w:fill="DEEAF6" w:themeFill="accent5" w:themeFillTint="33"/>
          </w:tcPr>
          <w:p w14:paraId="21993BA4" w14:textId="33AAA598" w:rsidR="00CE5E58" w:rsidRDefault="00CE5E58" w:rsidP="00533C28">
            <w:pPr>
              <w:shd w:val="clear" w:color="auto" w:fill="DEEAF6" w:themeFill="accent5" w:themeFillTint="33"/>
              <w:spacing w:after="120"/>
            </w:pPr>
            <w:r>
              <w:t>National Environmental Standards for Air Quality 2004</w:t>
            </w:r>
          </w:p>
        </w:tc>
      </w:tr>
      <w:tr w:rsidR="00CE5E58" w14:paraId="183B452D" w14:textId="77777777" w:rsidTr="00533C28">
        <w:tc>
          <w:tcPr>
            <w:tcW w:w="1985" w:type="dxa"/>
            <w:shd w:val="clear" w:color="auto" w:fill="DEEAF6" w:themeFill="accent5" w:themeFillTint="33"/>
          </w:tcPr>
          <w:p w14:paraId="48C73EA7" w14:textId="32AB8BA5" w:rsidR="00CE5E58" w:rsidRDefault="00B0317A" w:rsidP="00533C28">
            <w:pPr>
              <w:shd w:val="clear" w:color="auto" w:fill="DEEAF6" w:themeFill="accent5" w:themeFillTint="33"/>
              <w:spacing w:after="120"/>
            </w:pPr>
            <w:r>
              <w:t>NESCS</w:t>
            </w:r>
          </w:p>
        </w:tc>
        <w:tc>
          <w:tcPr>
            <w:tcW w:w="7011" w:type="dxa"/>
            <w:shd w:val="clear" w:color="auto" w:fill="DEEAF6" w:themeFill="accent5" w:themeFillTint="33"/>
          </w:tcPr>
          <w:p w14:paraId="1EBB7319" w14:textId="33155A40" w:rsidR="00CE5E58" w:rsidRDefault="00B0317A" w:rsidP="00533C28">
            <w:pPr>
              <w:shd w:val="clear" w:color="auto" w:fill="DEEAF6" w:themeFill="accent5" w:themeFillTint="33"/>
              <w:spacing w:after="120"/>
            </w:pPr>
            <w:r>
              <w:t>National Environmental Standards for Assessing and Managing Contaminants in Soil to Protect Human Health 2011</w:t>
            </w:r>
          </w:p>
        </w:tc>
      </w:tr>
      <w:tr w:rsidR="00CE5E58" w14:paraId="4540DE7B" w14:textId="77777777" w:rsidTr="00533C28">
        <w:tc>
          <w:tcPr>
            <w:tcW w:w="1985" w:type="dxa"/>
            <w:shd w:val="clear" w:color="auto" w:fill="DEEAF6" w:themeFill="accent5" w:themeFillTint="33"/>
          </w:tcPr>
          <w:p w14:paraId="69F2D59D" w14:textId="4CC98447" w:rsidR="00CE5E58" w:rsidRDefault="00B0317A" w:rsidP="00533C28">
            <w:pPr>
              <w:shd w:val="clear" w:color="auto" w:fill="DEEAF6" w:themeFill="accent5" w:themeFillTint="33"/>
              <w:spacing w:after="120"/>
            </w:pPr>
            <w:r>
              <w:t>NES</w:t>
            </w:r>
            <w:r w:rsidR="004F47F0">
              <w:t>ETA</w:t>
            </w:r>
          </w:p>
        </w:tc>
        <w:tc>
          <w:tcPr>
            <w:tcW w:w="7011" w:type="dxa"/>
            <w:shd w:val="clear" w:color="auto" w:fill="DEEAF6" w:themeFill="accent5" w:themeFillTint="33"/>
          </w:tcPr>
          <w:p w14:paraId="23F9E7DD" w14:textId="482C26BC" w:rsidR="00CE5E58" w:rsidRDefault="004F47F0" w:rsidP="00533C28">
            <w:pPr>
              <w:shd w:val="clear" w:color="auto" w:fill="DEEAF6" w:themeFill="accent5" w:themeFillTint="33"/>
              <w:spacing w:after="120"/>
            </w:pPr>
            <w:r>
              <w:t>National Environmental Standard for Electricity Transmission Activities 2009</w:t>
            </w:r>
          </w:p>
        </w:tc>
      </w:tr>
      <w:tr w:rsidR="00CE5E58" w14:paraId="2F64E70B" w14:textId="77777777" w:rsidTr="00533C28">
        <w:tc>
          <w:tcPr>
            <w:tcW w:w="1985" w:type="dxa"/>
            <w:shd w:val="clear" w:color="auto" w:fill="DEEAF6" w:themeFill="accent5" w:themeFillTint="33"/>
          </w:tcPr>
          <w:p w14:paraId="1DA97CC5" w14:textId="0CD706D7" w:rsidR="00CE5E58" w:rsidRDefault="006F26D0" w:rsidP="00533C28">
            <w:pPr>
              <w:shd w:val="clear" w:color="auto" w:fill="DEEAF6" w:themeFill="accent5" w:themeFillTint="33"/>
              <w:spacing w:after="120"/>
            </w:pPr>
            <w:r>
              <w:t>NESF</w:t>
            </w:r>
          </w:p>
        </w:tc>
        <w:tc>
          <w:tcPr>
            <w:tcW w:w="7011" w:type="dxa"/>
            <w:shd w:val="clear" w:color="auto" w:fill="DEEAF6" w:themeFill="accent5" w:themeFillTint="33"/>
          </w:tcPr>
          <w:p w14:paraId="0A245887" w14:textId="0FE08595" w:rsidR="00CE5E58" w:rsidRDefault="008808F2" w:rsidP="00533C28">
            <w:pPr>
              <w:shd w:val="clear" w:color="auto" w:fill="DEEAF6" w:themeFill="accent5" w:themeFillTint="33"/>
              <w:spacing w:after="120"/>
            </w:pPr>
            <w:r>
              <w:t>National Environmental Stan</w:t>
            </w:r>
            <w:r w:rsidR="00F97134">
              <w:t>dards for Freshwater 2020</w:t>
            </w:r>
          </w:p>
        </w:tc>
      </w:tr>
      <w:tr w:rsidR="00CE5E58" w14:paraId="64C7E2D5" w14:textId="77777777" w:rsidTr="00533C28">
        <w:tc>
          <w:tcPr>
            <w:tcW w:w="1985" w:type="dxa"/>
            <w:shd w:val="clear" w:color="auto" w:fill="DEEAF6" w:themeFill="accent5" w:themeFillTint="33"/>
          </w:tcPr>
          <w:p w14:paraId="785D1EDA" w14:textId="1341EE48" w:rsidR="00CE5E58" w:rsidRDefault="00F97134" w:rsidP="00533C28">
            <w:pPr>
              <w:shd w:val="clear" w:color="auto" w:fill="DEEAF6" w:themeFill="accent5" w:themeFillTint="33"/>
              <w:spacing w:after="120"/>
            </w:pPr>
            <w:r>
              <w:t>NES</w:t>
            </w:r>
            <w:r w:rsidR="00BA30A1">
              <w:t>MA</w:t>
            </w:r>
          </w:p>
        </w:tc>
        <w:tc>
          <w:tcPr>
            <w:tcW w:w="7011" w:type="dxa"/>
            <w:shd w:val="clear" w:color="auto" w:fill="DEEAF6" w:themeFill="accent5" w:themeFillTint="33"/>
          </w:tcPr>
          <w:p w14:paraId="27759452" w14:textId="5D1E139A" w:rsidR="00CE5E58" w:rsidRDefault="00BA30A1" w:rsidP="00533C28">
            <w:pPr>
              <w:shd w:val="clear" w:color="auto" w:fill="DEEAF6" w:themeFill="accent5" w:themeFillTint="33"/>
              <w:spacing w:after="120"/>
            </w:pPr>
            <w:r>
              <w:t>National Environmental Standards for Marine Aquaculture 2020</w:t>
            </w:r>
          </w:p>
        </w:tc>
      </w:tr>
      <w:tr w:rsidR="00CE5E58" w14:paraId="43FEE7CE" w14:textId="77777777" w:rsidTr="00533C28">
        <w:tc>
          <w:tcPr>
            <w:tcW w:w="1985" w:type="dxa"/>
            <w:shd w:val="clear" w:color="auto" w:fill="DEEAF6" w:themeFill="accent5" w:themeFillTint="33"/>
          </w:tcPr>
          <w:p w14:paraId="4FBD4E69" w14:textId="3E5CA0FF" w:rsidR="00CE5E58" w:rsidRDefault="00BA30A1" w:rsidP="00533C28">
            <w:pPr>
              <w:shd w:val="clear" w:color="auto" w:fill="DEEAF6" w:themeFill="accent5" w:themeFillTint="33"/>
              <w:spacing w:after="120"/>
            </w:pPr>
            <w:r>
              <w:t>NESPF</w:t>
            </w:r>
          </w:p>
        </w:tc>
        <w:tc>
          <w:tcPr>
            <w:tcW w:w="7011" w:type="dxa"/>
            <w:shd w:val="clear" w:color="auto" w:fill="DEEAF6" w:themeFill="accent5" w:themeFillTint="33"/>
          </w:tcPr>
          <w:p w14:paraId="2C75F32E" w14:textId="5CB05039" w:rsidR="00CE5E58" w:rsidRDefault="00BA30A1" w:rsidP="00533C28">
            <w:pPr>
              <w:shd w:val="clear" w:color="auto" w:fill="DEEAF6" w:themeFill="accent5" w:themeFillTint="33"/>
              <w:spacing w:after="120"/>
            </w:pPr>
            <w:r>
              <w:t>National Environmental Standards for Plantation Forestry 2017</w:t>
            </w:r>
          </w:p>
        </w:tc>
      </w:tr>
      <w:tr w:rsidR="00BA30A1" w14:paraId="2EF25BF7" w14:textId="77777777" w:rsidTr="00533C28">
        <w:tc>
          <w:tcPr>
            <w:tcW w:w="1985" w:type="dxa"/>
            <w:shd w:val="clear" w:color="auto" w:fill="DEEAF6" w:themeFill="accent5" w:themeFillTint="33"/>
          </w:tcPr>
          <w:p w14:paraId="098EED44" w14:textId="2A9C6B82" w:rsidR="00BA30A1" w:rsidRDefault="00BA30A1" w:rsidP="00533C28">
            <w:pPr>
              <w:shd w:val="clear" w:color="auto" w:fill="DEEAF6" w:themeFill="accent5" w:themeFillTint="33"/>
              <w:spacing w:after="120"/>
            </w:pPr>
            <w:r>
              <w:t>NES</w:t>
            </w:r>
            <w:r w:rsidR="00D46154">
              <w:t>H</w:t>
            </w:r>
            <w:r w:rsidR="00D80AD0">
              <w:t>DW</w:t>
            </w:r>
          </w:p>
        </w:tc>
        <w:tc>
          <w:tcPr>
            <w:tcW w:w="7011" w:type="dxa"/>
            <w:shd w:val="clear" w:color="auto" w:fill="DEEAF6" w:themeFill="accent5" w:themeFillTint="33"/>
          </w:tcPr>
          <w:p w14:paraId="4B30EC9F" w14:textId="20D3214E" w:rsidR="00BA30A1" w:rsidRDefault="00D80AD0" w:rsidP="00533C28">
            <w:pPr>
              <w:shd w:val="clear" w:color="auto" w:fill="DEEAF6" w:themeFill="accent5" w:themeFillTint="33"/>
              <w:spacing w:after="120"/>
            </w:pPr>
            <w:r>
              <w:t>National Environmental Standard for Sources of Human Drinking Water 2007</w:t>
            </w:r>
          </w:p>
        </w:tc>
      </w:tr>
      <w:tr w:rsidR="00BA30A1" w14:paraId="414D3F9A" w14:textId="77777777" w:rsidTr="00533C28">
        <w:tc>
          <w:tcPr>
            <w:tcW w:w="1985" w:type="dxa"/>
            <w:shd w:val="clear" w:color="auto" w:fill="DEEAF6" w:themeFill="accent5" w:themeFillTint="33"/>
          </w:tcPr>
          <w:p w14:paraId="0D1696B5" w14:textId="5138DF2A" w:rsidR="00BA30A1" w:rsidRDefault="00CA577A" w:rsidP="00533C28">
            <w:pPr>
              <w:shd w:val="clear" w:color="auto" w:fill="DEEAF6" w:themeFill="accent5" w:themeFillTint="33"/>
              <w:spacing w:after="120"/>
            </w:pPr>
            <w:r>
              <w:t>NESTF</w:t>
            </w:r>
          </w:p>
        </w:tc>
        <w:tc>
          <w:tcPr>
            <w:tcW w:w="7011" w:type="dxa"/>
            <w:shd w:val="clear" w:color="auto" w:fill="DEEAF6" w:themeFill="accent5" w:themeFillTint="33"/>
          </w:tcPr>
          <w:p w14:paraId="36A05E45" w14:textId="1F607738" w:rsidR="00BA30A1" w:rsidRDefault="00CA577A" w:rsidP="00533C28">
            <w:pPr>
              <w:shd w:val="clear" w:color="auto" w:fill="DEEAF6" w:themeFill="accent5" w:themeFillTint="33"/>
              <w:spacing w:after="120"/>
            </w:pPr>
            <w:r>
              <w:t>National Environmental Standards for Telecommunication Facilities 2008</w:t>
            </w:r>
          </w:p>
        </w:tc>
      </w:tr>
      <w:tr w:rsidR="00E41092" w14:paraId="54ADB1AD" w14:textId="77777777" w:rsidTr="00533C28">
        <w:tc>
          <w:tcPr>
            <w:tcW w:w="1985" w:type="dxa"/>
            <w:shd w:val="clear" w:color="auto" w:fill="DEEAF6" w:themeFill="accent5" w:themeFillTint="33"/>
          </w:tcPr>
          <w:p w14:paraId="7DEFA1CB" w14:textId="2AAC38D2" w:rsidR="00E41092" w:rsidRDefault="00E41092" w:rsidP="00533C28">
            <w:pPr>
              <w:shd w:val="clear" w:color="auto" w:fill="DEEAF6" w:themeFill="accent5" w:themeFillTint="33"/>
              <w:spacing w:after="120"/>
            </w:pPr>
            <w:r>
              <w:t>NOF</w:t>
            </w:r>
          </w:p>
        </w:tc>
        <w:tc>
          <w:tcPr>
            <w:tcW w:w="7011" w:type="dxa"/>
            <w:shd w:val="clear" w:color="auto" w:fill="DEEAF6" w:themeFill="accent5" w:themeFillTint="33"/>
          </w:tcPr>
          <w:p w14:paraId="6D1EE114" w14:textId="51EF4891" w:rsidR="00E41092" w:rsidRDefault="00E41092" w:rsidP="00533C28">
            <w:pPr>
              <w:shd w:val="clear" w:color="auto" w:fill="DEEAF6" w:themeFill="accent5" w:themeFillTint="33"/>
              <w:spacing w:after="120"/>
            </w:pPr>
            <w:r>
              <w:t>National Objectives Framework</w:t>
            </w:r>
          </w:p>
        </w:tc>
      </w:tr>
      <w:tr w:rsidR="00E41092" w14:paraId="3746C4F1" w14:textId="77777777" w:rsidTr="00533C28">
        <w:tc>
          <w:tcPr>
            <w:tcW w:w="1985" w:type="dxa"/>
            <w:shd w:val="clear" w:color="auto" w:fill="DEEAF6" w:themeFill="accent5" w:themeFillTint="33"/>
          </w:tcPr>
          <w:p w14:paraId="4310F6A3" w14:textId="2C73717B" w:rsidR="00E41092" w:rsidRDefault="00E41092" w:rsidP="00533C28">
            <w:pPr>
              <w:shd w:val="clear" w:color="auto" w:fill="DEEAF6" w:themeFill="accent5" w:themeFillTint="33"/>
              <w:spacing w:after="120"/>
            </w:pPr>
            <w:r>
              <w:t>NPS</w:t>
            </w:r>
          </w:p>
        </w:tc>
        <w:tc>
          <w:tcPr>
            <w:tcW w:w="7011" w:type="dxa"/>
            <w:shd w:val="clear" w:color="auto" w:fill="DEEAF6" w:themeFill="accent5" w:themeFillTint="33"/>
          </w:tcPr>
          <w:p w14:paraId="7CD29FBB" w14:textId="4F80D3E2" w:rsidR="00E41092" w:rsidRDefault="00E41092" w:rsidP="00533C28">
            <w:pPr>
              <w:shd w:val="clear" w:color="auto" w:fill="DEEAF6" w:themeFill="accent5" w:themeFillTint="33"/>
              <w:spacing w:after="120"/>
            </w:pPr>
            <w:r>
              <w:t>National Policy Statement</w:t>
            </w:r>
          </w:p>
        </w:tc>
      </w:tr>
      <w:tr w:rsidR="006A5A81" w14:paraId="02EA4F54" w14:textId="77777777" w:rsidTr="00533C28">
        <w:tc>
          <w:tcPr>
            <w:tcW w:w="1985" w:type="dxa"/>
            <w:shd w:val="clear" w:color="auto" w:fill="DEEAF6" w:themeFill="accent5" w:themeFillTint="33"/>
          </w:tcPr>
          <w:p w14:paraId="799CC3C6" w14:textId="027C04CA" w:rsidR="006A5A81" w:rsidRDefault="006A5A81" w:rsidP="00533C28">
            <w:pPr>
              <w:shd w:val="clear" w:color="auto" w:fill="DEEAF6" w:themeFill="accent5" w:themeFillTint="33"/>
              <w:spacing w:after="120"/>
            </w:pPr>
            <w:r>
              <w:t>NPSET</w:t>
            </w:r>
          </w:p>
        </w:tc>
        <w:tc>
          <w:tcPr>
            <w:tcW w:w="7011" w:type="dxa"/>
            <w:shd w:val="clear" w:color="auto" w:fill="DEEAF6" w:themeFill="accent5" w:themeFillTint="33"/>
          </w:tcPr>
          <w:p w14:paraId="0E0F7AE5" w14:textId="3A14D083" w:rsidR="006A5A81" w:rsidRDefault="006A5A81" w:rsidP="00533C28">
            <w:pPr>
              <w:shd w:val="clear" w:color="auto" w:fill="DEEAF6" w:themeFill="accent5" w:themeFillTint="33"/>
              <w:spacing w:after="120"/>
            </w:pPr>
            <w:r>
              <w:t>National Policy Statement on Electricity Transmission 2008</w:t>
            </w:r>
          </w:p>
        </w:tc>
      </w:tr>
      <w:tr w:rsidR="00DB7AB3" w14:paraId="10970B56" w14:textId="77777777" w:rsidTr="00533C28">
        <w:tc>
          <w:tcPr>
            <w:tcW w:w="1985" w:type="dxa"/>
            <w:shd w:val="clear" w:color="auto" w:fill="DEEAF6" w:themeFill="accent5" w:themeFillTint="33"/>
          </w:tcPr>
          <w:p w14:paraId="3A630AC0" w14:textId="5DC9BEDB" w:rsidR="00DB7AB3" w:rsidRDefault="00DB7AB3" w:rsidP="00533C28">
            <w:pPr>
              <w:shd w:val="clear" w:color="auto" w:fill="DEEAF6" w:themeFill="accent5" w:themeFillTint="33"/>
              <w:spacing w:after="120"/>
            </w:pPr>
            <w:r>
              <w:t>NPSFM</w:t>
            </w:r>
          </w:p>
        </w:tc>
        <w:tc>
          <w:tcPr>
            <w:tcW w:w="7011" w:type="dxa"/>
            <w:shd w:val="clear" w:color="auto" w:fill="DEEAF6" w:themeFill="accent5" w:themeFillTint="33"/>
          </w:tcPr>
          <w:p w14:paraId="04A0317C" w14:textId="48424444" w:rsidR="00DB7AB3" w:rsidRDefault="00DB7AB3" w:rsidP="00533C28">
            <w:pPr>
              <w:shd w:val="clear" w:color="auto" w:fill="DEEAF6" w:themeFill="accent5" w:themeFillTint="33"/>
              <w:spacing w:after="120"/>
            </w:pPr>
            <w:r>
              <w:t>National Policy Statement for Freshwater Management 2020</w:t>
            </w:r>
          </w:p>
        </w:tc>
      </w:tr>
      <w:tr w:rsidR="006A5A81" w14:paraId="376D6D12" w14:textId="77777777" w:rsidTr="00533C28">
        <w:tc>
          <w:tcPr>
            <w:tcW w:w="1985" w:type="dxa"/>
            <w:shd w:val="clear" w:color="auto" w:fill="DEEAF6" w:themeFill="accent5" w:themeFillTint="33"/>
          </w:tcPr>
          <w:p w14:paraId="5F91938E" w14:textId="1C2C605B" w:rsidR="006A5A81" w:rsidRDefault="006A5A81" w:rsidP="00533C28">
            <w:pPr>
              <w:shd w:val="clear" w:color="auto" w:fill="DEEAF6" w:themeFill="accent5" w:themeFillTint="33"/>
              <w:spacing w:after="120"/>
            </w:pPr>
            <w:r>
              <w:t>NPSREG</w:t>
            </w:r>
          </w:p>
        </w:tc>
        <w:tc>
          <w:tcPr>
            <w:tcW w:w="7011" w:type="dxa"/>
            <w:shd w:val="clear" w:color="auto" w:fill="DEEAF6" w:themeFill="accent5" w:themeFillTint="33"/>
          </w:tcPr>
          <w:p w14:paraId="6ED689B2" w14:textId="628D8504" w:rsidR="006A5A81" w:rsidRDefault="006A5A81" w:rsidP="00533C28">
            <w:pPr>
              <w:shd w:val="clear" w:color="auto" w:fill="DEEAF6" w:themeFill="accent5" w:themeFillTint="33"/>
              <w:spacing w:after="120"/>
            </w:pPr>
            <w:r>
              <w:t>National Policy Statement for Renewable Electricity Generation 2011</w:t>
            </w:r>
          </w:p>
        </w:tc>
      </w:tr>
      <w:tr w:rsidR="006A5A81" w14:paraId="0BC239EA" w14:textId="77777777" w:rsidTr="00533C28">
        <w:tc>
          <w:tcPr>
            <w:tcW w:w="1985" w:type="dxa"/>
            <w:shd w:val="clear" w:color="auto" w:fill="DEEAF6" w:themeFill="accent5" w:themeFillTint="33"/>
          </w:tcPr>
          <w:p w14:paraId="619A6CDE" w14:textId="38C29A07" w:rsidR="006A5A81" w:rsidRDefault="006A5A81" w:rsidP="00533C28">
            <w:pPr>
              <w:shd w:val="clear" w:color="auto" w:fill="DEEAF6" w:themeFill="accent5" w:themeFillTint="33"/>
              <w:spacing w:after="120"/>
            </w:pPr>
            <w:r>
              <w:t>NPSUD</w:t>
            </w:r>
          </w:p>
        </w:tc>
        <w:tc>
          <w:tcPr>
            <w:tcW w:w="7011" w:type="dxa"/>
            <w:shd w:val="clear" w:color="auto" w:fill="DEEAF6" w:themeFill="accent5" w:themeFillTint="33"/>
          </w:tcPr>
          <w:p w14:paraId="7C4F5D7B" w14:textId="7DA043B9" w:rsidR="006A5A81" w:rsidRDefault="006A5A81" w:rsidP="00533C28">
            <w:pPr>
              <w:shd w:val="clear" w:color="auto" w:fill="DEEAF6" w:themeFill="accent5" w:themeFillTint="33"/>
              <w:spacing w:after="120"/>
            </w:pPr>
            <w:r>
              <w:t>National Policy Statement on Urban Development 2020</w:t>
            </w:r>
          </w:p>
        </w:tc>
      </w:tr>
      <w:tr w:rsidR="00E41092" w14:paraId="157C541B" w14:textId="77777777" w:rsidTr="00533C28">
        <w:tc>
          <w:tcPr>
            <w:tcW w:w="1985" w:type="dxa"/>
            <w:shd w:val="clear" w:color="auto" w:fill="DEEAF6" w:themeFill="accent5" w:themeFillTint="33"/>
          </w:tcPr>
          <w:p w14:paraId="0ABD099E" w14:textId="194C75ED" w:rsidR="00E41092" w:rsidRDefault="00E41092" w:rsidP="00533C28">
            <w:pPr>
              <w:shd w:val="clear" w:color="auto" w:fill="DEEAF6" w:themeFill="accent5" w:themeFillTint="33"/>
              <w:spacing w:after="120"/>
            </w:pPr>
            <w:r w:rsidRPr="00740EFE">
              <w:t>NTCSA</w:t>
            </w:r>
          </w:p>
        </w:tc>
        <w:tc>
          <w:tcPr>
            <w:tcW w:w="7011" w:type="dxa"/>
            <w:shd w:val="clear" w:color="auto" w:fill="DEEAF6" w:themeFill="accent5" w:themeFillTint="33"/>
          </w:tcPr>
          <w:p w14:paraId="1126B862" w14:textId="7FCD639A" w:rsidR="00E41092" w:rsidRDefault="00E41092" w:rsidP="00533C28">
            <w:pPr>
              <w:shd w:val="clear" w:color="auto" w:fill="DEEAF6" w:themeFill="accent5" w:themeFillTint="33"/>
              <w:spacing w:after="120"/>
            </w:pPr>
            <w:r w:rsidRPr="00F42265">
              <w:rPr>
                <w:rFonts w:ascii="Calibri" w:eastAsia="Calibri" w:hAnsi="Calibri" w:cs="Calibri"/>
              </w:rPr>
              <w:t xml:space="preserve">Ngāi </w:t>
            </w:r>
            <w:proofErr w:type="spellStart"/>
            <w:r w:rsidRPr="00F42265">
              <w:rPr>
                <w:rFonts w:ascii="Calibri" w:eastAsia="Calibri" w:hAnsi="Calibri" w:cs="Calibri"/>
              </w:rPr>
              <w:t>Tahu</w:t>
            </w:r>
            <w:proofErr w:type="spellEnd"/>
            <w:r w:rsidRPr="00F42265">
              <w:rPr>
                <w:rFonts w:ascii="Calibri" w:eastAsia="Calibri" w:hAnsi="Calibri" w:cs="Calibri"/>
              </w:rPr>
              <w:t xml:space="preserve"> Claims Settlement Act 1998</w:t>
            </w:r>
          </w:p>
        </w:tc>
      </w:tr>
      <w:tr w:rsidR="00DB7AB3" w14:paraId="2FDCF857" w14:textId="77777777" w:rsidTr="00533C28">
        <w:tc>
          <w:tcPr>
            <w:tcW w:w="1985" w:type="dxa"/>
            <w:shd w:val="clear" w:color="auto" w:fill="DEEAF6" w:themeFill="accent5" w:themeFillTint="33"/>
          </w:tcPr>
          <w:p w14:paraId="7C30CF26" w14:textId="52E63FA5" w:rsidR="00DB7AB3" w:rsidRDefault="00DB7AB3" w:rsidP="00533C28">
            <w:pPr>
              <w:shd w:val="clear" w:color="auto" w:fill="DEEAF6" w:themeFill="accent5" w:themeFillTint="33"/>
              <w:spacing w:after="120"/>
            </w:pPr>
            <w:r>
              <w:t>NZCPS</w:t>
            </w:r>
          </w:p>
        </w:tc>
        <w:tc>
          <w:tcPr>
            <w:tcW w:w="7011" w:type="dxa"/>
            <w:shd w:val="clear" w:color="auto" w:fill="DEEAF6" w:themeFill="accent5" w:themeFillTint="33"/>
          </w:tcPr>
          <w:p w14:paraId="7787CD54" w14:textId="04F45677" w:rsidR="00DB7AB3" w:rsidRDefault="00DB7AB3" w:rsidP="00533C28">
            <w:pPr>
              <w:shd w:val="clear" w:color="auto" w:fill="DEEAF6" w:themeFill="accent5" w:themeFillTint="33"/>
              <w:spacing w:after="120"/>
            </w:pPr>
            <w:r>
              <w:t>New Zealand Coastal Policy Statement 20</w:t>
            </w:r>
            <w:r w:rsidR="00F32D16">
              <w:t>10</w:t>
            </w:r>
          </w:p>
        </w:tc>
      </w:tr>
      <w:tr w:rsidR="00A31364" w14:paraId="3F05E5DC" w14:textId="77777777" w:rsidTr="00533C28">
        <w:tc>
          <w:tcPr>
            <w:tcW w:w="1985" w:type="dxa"/>
            <w:shd w:val="clear" w:color="auto" w:fill="DEEAF6" w:themeFill="accent5" w:themeFillTint="33"/>
          </w:tcPr>
          <w:p w14:paraId="2C80AC49" w14:textId="77777777" w:rsidR="00A31364" w:rsidRDefault="00A31364" w:rsidP="00533C28">
            <w:pPr>
              <w:shd w:val="clear" w:color="auto" w:fill="DEEAF6" w:themeFill="accent5" w:themeFillTint="33"/>
              <w:spacing w:after="120"/>
            </w:pPr>
            <w:r>
              <w:t>ORC</w:t>
            </w:r>
          </w:p>
        </w:tc>
        <w:tc>
          <w:tcPr>
            <w:tcW w:w="7011" w:type="dxa"/>
            <w:shd w:val="clear" w:color="auto" w:fill="DEEAF6" w:themeFill="accent5" w:themeFillTint="33"/>
          </w:tcPr>
          <w:p w14:paraId="5F5E483B" w14:textId="77777777" w:rsidR="00A31364" w:rsidRDefault="00A31364" w:rsidP="00533C28">
            <w:pPr>
              <w:shd w:val="clear" w:color="auto" w:fill="DEEAF6" w:themeFill="accent5" w:themeFillTint="33"/>
              <w:spacing w:after="120"/>
            </w:pPr>
            <w:r>
              <w:t>Otago Regional Council</w:t>
            </w:r>
          </w:p>
        </w:tc>
      </w:tr>
      <w:tr w:rsidR="00467FB5" w14:paraId="752F273C" w14:textId="77777777" w:rsidTr="00533C28">
        <w:tc>
          <w:tcPr>
            <w:tcW w:w="1985" w:type="dxa"/>
            <w:shd w:val="clear" w:color="auto" w:fill="DEEAF6" w:themeFill="accent5" w:themeFillTint="33"/>
          </w:tcPr>
          <w:p w14:paraId="0F4AEBF4" w14:textId="38906740" w:rsidR="00467FB5" w:rsidRDefault="00467FB5" w:rsidP="00533C28">
            <w:pPr>
              <w:shd w:val="clear" w:color="auto" w:fill="DEEAF6" w:themeFill="accent5" w:themeFillTint="33"/>
              <w:spacing w:after="120"/>
            </w:pPr>
            <w:bookmarkStart w:id="2" w:name="_Hlk26350626"/>
            <w:r>
              <w:t>PORPS 2019</w:t>
            </w:r>
          </w:p>
        </w:tc>
        <w:tc>
          <w:tcPr>
            <w:tcW w:w="7011" w:type="dxa"/>
            <w:shd w:val="clear" w:color="auto" w:fill="DEEAF6" w:themeFill="accent5" w:themeFillTint="33"/>
          </w:tcPr>
          <w:p w14:paraId="484AB5D9" w14:textId="0543F4B3" w:rsidR="00467FB5" w:rsidRDefault="00467FB5" w:rsidP="00533C28">
            <w:pPr>
              <w:shd w:val="clear" w:color="auto" w:fill="DEEAF6" w:themeFill="accent5" w:themeFillTint="33"/>
              <w:spacing w:after="120"/>
            </w:pPr>
            <w:r>
              <w:t>Partially Operative Regional Policy Statement 2019</w:t>
            </w:r>
          </w:p>
        </w:tc>
      </w:tr>
      <w:tr w:rsidR="00F560C6" w14:paraId="742A885A" w14:textId="77777777" w:rsidTr="00533C28">
        <w:tc>
          <w:tcPr>
            <w:tcW w:w="1985" w:type="dxa"/>
            <w:shd w:val="clear" w:color="auto" w:fill="DEEAF6" w:themeFill="accent5" w:themeFillTint="33"/>
          </w:tcPr>
          <w:p w14:paraId="2E77B579" w14:textId="6CFDAFFA" w:rsidR="00F560C6" w:rsidRDefault="00E81F7F" w:rsidP="00533C28">
            <w:pPr>
              <w:shd w:val="clear" w:color="auto" w:fill="DEEAF6" w:themeFill="accent5" w:themeFillTint="33"/>
              <w:spacing w:after="120"/>
            </w:pPr>
            <w:r>
              <w:t>PORPS 2021</w:t>
            </w:r>
          </w:p>
        </w:tc>
        <w:tc>
          <w:tcPr>
            <w:tcW w:w="7011" w:type="dxa"/>
            <w:shd w:val="clear" w:color="auto" w:fill="DEEAF6" w:themeFill="accent5" w:themeFillTint="33"/>
          </w:tcPr>
          <w:p w14:paraId="4179AE8F" w14:textId="66089193" w:rsidR="00F560C6" w:rsidRDefault="00F560C6" w:rsidP="00533C28">
            <w:pPr>
              <w:shd w:val="clear" w:color="auto" w:fill="DEEAF6" w:themeFill="accent5" w:themeFillTint="33"/>
              <w:spacing w:after="120"/>
            </w:pPr>
            <w:r>
              <w:t>Proposed Otago Regional Policy Statement 202</w:t>
            </w:r>
            <w:r w:rsidR="001C036B">
              <w:t>1</w:t>
            </w:r>
          </w:p>
        </w:tc>
      </w:tr>
      <w:tr w:rsidR="00643AA2" w14:paraId="7A459A2A" w14:textId="77777777" w:rsidTr="00533C28">
        <w:tc>
          <w:tcPr>
            <w:tcW w:w="1985" w:type="dxa"/>
            <w:shd w:val="clear" w:color="auto" w:fill="DEEAF6" w:themeFill="accent5" w:themeFillTint="33"/>
          </w:tcPr>
          <w:p w14:paraId="0225359A" w14:textId="43A3DE5B" w:rsidR="00643AA2" w:rsidRDefault="00643AA2" w:rsidP="00533C28">
            <w:pPr>
              <w:shd w:val="clear" w:color="auto" w:fill="DEEAF6" w:themeFill="accent5" w:themeFillTint="33"/>
              <w:spacing w:after="120"/>
            </w:pPr>
            <w:r>
              <w:t>RLAA</w:t>
            </w:r>
          </w:p>
        </w:tc>
        <w:tc>
          <w:tcPr>
            <w:tcW w:w="7011" w:type="dxa"/>
            <w:shd w:val="clear" w:color="auto" w:fill="DEEAF6" w:themeFill="accent5" w:themeFillTint="33"/>
          </w:tcPr>
          <w:p w14:paraId="688610F6" w14:textId="2AFE33B3" w:rsidR="00643AA2" w:rsidRDefault="00643AA2" w:rsidP="00533C28">
            <w:pPr>
              <w:shd w:val="clear" w:color="auto" w:fill="DEEAF6" w:themeFill="accent5" w:themeFillTint="33"/>
              <w:spacing w:after="120"/>
            </w:pPr>
            <w:r>
              <w:t>Resource Legislation Amendment Act 2017</w:t>
            </w:r>
          </w:p>
        </w:tc>
      </w:tr>
      <w:tr w:rsidR="00E41092" w14:paraId="46F1A476" w14:textId="77777777" w:rsidTr="00533C28">
        <w:tc>
          <w:tcPr>
            <w:tcW w:w="1985" w:type="dxa"/>
            <w:shd w:val="clear" w:color="auto" w:fill="DEEAF6" w:themeFill="accent5" w:themeFillTint="33"/>
          </w:tcPr>
          <w:p w14:paraId="55565792" w14:textId="2BBE0051" w:rsidR="00E41092" w:rsidRDefault="00E41092" w:rsidP="00533C28">
            <w:pPr>
              <w:shd w:val="clear" w:color="auto" w:fill="DEEAF6" w:themeFill="accent5" w:themeFillTint="33"/>
              <w:spacing w:after="120"/>
            </w:pPr>
            <w:r>
              <w:t>RPS</w:t>
            </w:r>
          </w:p>
        </w:tc>
        <w:tc>
          <w:tcPr>
            <w:tcW w:w="7011" w:type="dxa"/>
            <w:shd w:val="clear" w:color="auto" w:fill="DEEAF6" w:themeFill="accent5" w:themeFillTint="33"/>
          </w:tcPr>
          <w:p w14:paraId="6C6A5953" w14:textId="5469C32C" w:rsidR="00E41092" w:rsidRDefault="00E41092" w:rsidP="00533C28">
            <w:pPr>
              <w:shd w:val="clear" w:color="auto" w:fill="DEEAF6" w:themeFill="accent5" w:themeFillTint="33"/>
              <w:spacing w:after="120"/>
            </w:pPr>
            <w:r>
              <w:t>Regional Policy Statement</w:t>
            </w:r>
          </w:p>
        </w:tc>
      </w:tr>
      <w:tr w:rsidR="00467FB5" w14:paraId="68B9BE4F" w14:textId="77777777" w:rsidTr="00533C28">
        <w:tc>
          <w:tcPr>
            <w:tcW w:w="1985" w:type="dxa"/>
            <w:shd w:val="clear" w:color="auto" w:fill="DEEAF6" w:themeFill="accent5" w:themeFillTint="33"/>
          </w:tcPr>
          <w:p w14:paraId="2D012E19" w14:textId="48DC94DD" w:rsidR="00467FB5" w:rsidRDefault="00467FB5" w:rsidP="00533C28">
            <w:pPr>
              <w:shd w:val="clear" w:color="auto" w:fill="DEEAF6" w:themeFill="accent5" w:themeFillTint="33"/>
              <w:spacing w:after="120"/>
            </w:pPr>
            <w:r>
              <w:lastRenderedPageBreak/>
              <w:t>RPS 1998</w:t>
            </w:r>
          </w:p>
        </w:tc>
        <w:tc>
          <w:tcPr>
            <w:tcW w:w="7011" w:type="dxa"/>
            <w:shd w:val="clear" w:color="auto" w:fill="DEEAF6" w:themeFill="accent5" w:themeFillTint="33"/>
          </w:tcPr>
          <w:p w14:paraId="21522DF4" w14:textId="77777777" w:rsidR="00467FB5" w:rsidRDefault="00467FB5" w:rsidP="00533C28">
            <w:pPr>
              <w:shd w:val="clear" w:color="auto" w:fill="DEEAF6" w:themeFill="accent5" w:themeFillTint="33"/>
              <w:spacing w:after="120"/>
            </w:pPr>
            <w:r>
              <w:t>Regional Policy Statement for Otago 1998</w:t>
            </w:r>
          </w:p>
        </w:tc>
      </w:tr>
      <w:bookmarkEnd w:id="2"/>
      <w:tr w:rsidR="00467FB5" w14:paraId="01558704" w14:textId="77777777" w:rsidTr="00533C28">
        <w:tc>
          <w:tcPr>
            <w:tcW w:w="1985" w:type="dxa"/>
            <w:shd w:val="clear" w:color="auto" w:fill="DEEAF6" w:themeFill="accent5" w:themeFillTint="33"/>
          </w:tcPr>
          <w:p w14:paraId="38C6C048" w14:textId="77777777" w:rsidR="00467FB5" w:rsidRDefault="00467FB5" w:rsidP="00533C28">
            <w:pPr>
              <w:shd w:val="clear" w:color="auto" w:fill="DEEAF6" w:themeFill="accent5" w:themeFillTint="33"/>
              <w:spacing w:after="120"/>
            </w:pPr>
            <w:r>
              <w:t>RMA</w:t>
            </w:r>
          </w:p>
        </w:tc>
        <w:tc>
          <w:tcPr>
            <w:tcW w:w="7011" w:type="dxa"/>
            <w:shd w:val="clear" w:color="auto" w:fill="DEEAF6" w:themeFill="accent5" w:themeFillTint="33"/>
          </w:tcPr>
          <w:p w14:paraId="3BCB4CFE" w14:textId="77777777" w:rsidR="00467FB5" w:rsidRDefault="00467FB5" w:rsidP="00533C28">
            <w:pPr>
              <w:shd w:val="clear" w:color="auto" w:fill="DEEAF6" w:themeFill="accent5" w:themeFillTint="33"/>
              <w:spacing w:after="120"/>
            </w:pPr>
            <w:r>
              <w:t>Resource Management Act 1991</w:t>
            </w:r>
          </w:p>
        </w:tc>
      </w:tr>
      <w:tr w:rsidR="00467FB5" w14:paraId="17EA5242" w14:textId="77777777" w:rsidTr="00533C28">
        <w:tc>
          <w:tcPr>
            <w:tcW w:w="1985" w:type="dxa"/>
            <w:shd w:val="clear" w:color="auto" w:fill="DEEAF6" w:themeFill="accent5" w:themeFillTint="33"/>
          </w:tcPr>
          <w:p w14:paraId="030BE7A7" w14:textId="5132D029" w:rsidR="00467FB5" w:rsidRDefault="007C3002" w:rsidP="00533C28">
            <w:pPr>
              <w:shd w:val="clear" w:color="auto" w:fill="DEEAF6" w:themeFill="accent5" w:themeFillTint="33"/>
              <w:spacing w:after="120"/>
            </w:pPr>
            <w:r>
              <w:t>TAs</w:t>
            </w:r>
          </w:p>
        </w:tc>
        <w:tc>
          <w:tcPr>
            <w:tcW w:w="7011" w:type="dxa"/>
            <w:shd w:val="clear" w:color="auto" w:fill="DEEAF6" w:themeFill="accent5" w:themeFillTint="33"/>
          </w:tcPr>
          <w:p w14:paraId="7AC2A2BE" w14:textId="0E7F8ECD" w:rsidR="00467FB5" w:rsidRDefault="007C3002" w:rsidP="00533C28">
            <w:pPr>
              <w:shd w:val="clear" w:color="auto" w:fill="DEEAF6" w:themeFill="accent5" w:themeFillTint="33"/>
              <w:spacing w:after="120"/>
            </w:pPr>
            <w:r>
              <w:t xml:space="preserve">Territorial authorities: </w:t>
            </w:r>
            <w:r w:rsidR="008208CC">
              <w:t>Central Otago District Council, Clutha District Council, Dunedin City Council, Queenstown-Lakes District Council and Waitaki District Council</w:t>
            </w:r>
          </w:p>
        </w:tc>
      </w:tr>
      <w:tr w:rsidR="008226BF" w14:paraId="700DE409" w14:textId="77777777" w:rsidTr="00533C28">
        <w:tc>
          <w:tcPr>
            <w:tcW w:w="1985" w:type="dxa"/>
            <w:shd w:val="clear" w:color="auto" w:fill="DEEAF6" w:themeFill="accent5" w:themeFillTint="33"/>
          </w:tcPr>
          <w:p w14:paraId="55E2E150" w14:textId="657CEB28" w:rsidR="008226BF" w:rsidRDefault="008226BF" w:rsidP="00533C28">
            <w:pPr>
              <w:shd w:val="clear" w:color="auto" w:fill="DEEAF6" w:themeFill="accent5" w:themeFillTint="33"/>
              <w:spacing w:after="120"/>
            </w:pPr>
            <w:r>
              <w:t>Waste Plan</w:t>
            </w:r>
          </w:p>
        </w:tc>
        <w:tc>
          <w:tcPr>
            <w:tcW w:w="7011" w:type="dxa"/>
            <w:shd w:val="clear" w:color="auto" w:fill="DEEAF6" w:themeFill="accent5" w:themeFillTint="33"/>
          </w:tcPr>
          <w:p w14:paraId="7BEA8C1B" w14:textId="62A8A1AB" w:rsidR="008226BF" w:rsidRDefault="008226BF" w:rsidP="00533C28">
            <w:pPr>
              <w:shd w:val="clear" w:color="auto" w:fill="DEEAF6" w:themeFill="accent5" w:themeFillTint="33"/>
              <w:spacing w:after="120"/>
            </w:pPr>
            <w:r>
              <w:t>Regional Plan: Waste for Otago</w:t>
            </w:r>
          </w:p>
        </w:tc>
      </w:tr>
      <w:tr w:rsidR="00467FB5" w14:paraId="3B1A5010" w14:textId="77777777" w:rsidTr="00533C28">
        <w:tc>
          <w:tcPr>
            <w:tcW w:w="1985" w:type="dxa"/>
            <w:shd w:val="clear" w:color="auto" w:fill="DEEAF6" w:themeFill="accent5" w:themeFillTint="33"/>
          </w:tcPr>
          <w:p w14:paraId="492956A8" w14:textId="77777777" w:rsidR="00467FB5" w:rsidRDefault="00467FB5" w:rsidP="00533C28">
            <w:pPr>
              <w:shd w:val="clear" w:color="auto" w:fill="DEEAF6" w:themeFill="accent5" w:themeFillTint="33"/>
              <w:spacing w:after="120"/>
            </w:pPr>
            <w:r>
              <w:t>Water Plan</w:t>
            </w:r>
          </w:p>
        </w:tc>
        <w:tc>
          <w:tcPr>
            <w:tcW w:w="7011" w:type="dxa"/>
            <w:shd w:val="clear" w:color="auto" w:fill="DEEAF6" w:themeFill="accent5" w:themeFillTint="33"/>
          </w:tcPr>
          <w:p w14:paraId="51EE3955" w14:textId="77777777" w:rsidR="00467FB5" w:rsidRDefault="00467FB5" w:rsidP="00533C28">
            <w:pPr>
              <w:shd w:val="clear" w:color="auto" w:fill="DEEAF6" w:themeFill="accent5" w:themeFillTint="33"/>
              <w:spacing w:after="120"/>
            </w:pPr>
            <w:r>
              <w:t>Regional Plan: Water for Otago</w:t>
            </w:r>
          </w:p>
        </w:tc>
      </w:tr>
    </w:tbl>
    <w:p w14:paraId="46823133" w14:textId="77777777" w:rsidR="00831819" w:rsidRDefault="00831819" w:rsidP="00A31364">
      <w:pPr>
        <w:sectPr w:rsidR="00831819" w:rsidSect="00611D5B">
          <w:headerReference w:type="even" r:id="rId21"/>
          <w:headerReference w:type="default" r:id="rId22"/>
          <w:footerReference w:type="default" r:id="rId23"/>
          <w:pgSz w:w="11906" w:h="16838"/>
          <w:pgMar w:top="1440" w:right="1440" w:bottom="1440" w:left="1440" w:header="708" w:footer="708" w:gutter="0"/>
          <w:pgNumType w:start="1"/>
          <w:cols w:space="708"/>
          <w:docGrid w:linePitch="360"/>
        </w:sectPr>
      </w:pPr>
    </w:p>
    <w:p w14:paraId="3A3DD896" w14:textId="5EA7BD26" w:rsidR="003B183C" w:rsidRPr="00A97861" w:rsidRDefault="00BF2403" w:rsidP="00533C28">
      <w:pPr>
        <w:pStyle w:val="Heading1"/>
        <w:shd w:val="clear" w:color="auto" w:fill="DEEAF6" w:themeFill="accent5" w:themeFillTint="33"/>
      </w:pPr>
      <w:bookmarkStart w:id="3" w:name="_Toc72507614"/>
      <w:r w:rsidRPr="007638FD">
        <w:lastRenderedPageBreak/>
        <w:t>Introduction</w:t>
      </w:r>
      <w:bookmarkStart w:id="4" w:name="_Ref26783017"/>
      <w:bookmarkEnd w:id="3"/>
    </w:p>
    <w:p w14:paraId="641041D4" w14:textId="619242F3" w:rsidR="00886EF1" w:rsidRPr="00A97861" w:rsidRDefault="00886EF1" w:rsidP="00533C28">
      <w:pPr>
        <w:pStyle w:val="Heading2"/>
        <w:shd w:val="clear" w:color="auto" w:fill="DEEAF6" w:themeFill="accent5" w:themeFillTint="33"/>
      </w:pPr>
      <w:bookmarkStart w:id="5" w:name="_Toc72507615"/>
      <w:r w:rsidRPr="00CB405E">
        <w:t>Purpose</w:t>
      </w:r>
      <w:bookmarkEnd w:id="4"/>
      <w:bookmarkEnd w:id="5"/>
    </w:p>
    <w:p w14:paraId="07F02F53" w14:textId="437D2D05" w:rsidR="003061FB" w:rsidRDefault="0010430C" w:rsidP="00533C28">
      <w:pPr>
        <w:pStyle w:val="Normal2"/>
        <w:shd w:val="clear" w:color="auto" w:fill="DEEAF6" w:themeFill="accent5" w:themeFillTint="33"/>
      </w:pPr>
      <w:r>
        <w:t xml:space="preserve">The </w:t>
      </w:r>
      <w:r w:rsidRPr="00216E8C">
        <w:t>Resource</w:t>
      </w:r>
      <w:r>
        <w:t xml:space="preserve"> </w:t>
      </w:r>
      <w:r w:rsidRPr="00A97861">
        <w:t>Management</w:t>
      </w:r>
      <w:r>
        <w:t xml:space="preserve"> Act 1991 (RMA) requires councils, when proposing </w:t>
      </w:r>
      <w:r w:rsidR="002E655A">
        <w:t xml:space="preserve">new plans or policy </w:t>
      </w:r>
      <w:r w:rsidR="002E655A" w:rsidRPr="00A247C5">
        <w:t>statements</w:t>
      </w:r>
      <w:r w:rsidR="002E655A">
        <w:t xml:space="preserve">, or </w:t>
      </w:r>
      <w:r>
        <w:t>changes to plans</w:t>
      </w:r>
      <w:r w:rsidR="002E655A">
        <w:t xml:space="preserve"> or policy statements</w:t>
      </w:r>
      <w:r>
        <w:t xml:space="preserve">, to prepare an evaluation report in accordance with section 32 of the RMA. The purpose of this report is to set out the evaluation that ORC has undertaken </w:t>
      </w:r>
      <w:r w:rsidR="002B4391">
        <w:t xml:space="preserve">of </w:t>
      </w:r>
      <w:r w:rsidR="005736A6">
        <w:t>the Proposed Otago Regional Policy Statement 202</w:t>
      </w:r>
      <w:r w:rsidR="001C036B">
        <w:t>1</w:t>
      </w:r>
      <w:r w:rsidR="005736A6">
        <w:t xml:space="preserve"> (</w:t>
      </w:r>
      <w:r w:rsidR="00E81F7F">
        <w:t>PORPS 2021</w:t>
      </w:r>
      <w:r w:rsidR="005736A6">
        <w:t>).</w:t>
      </w:r>
      <w:r>
        <w:t xml:space="preserve"> </w:t>
      </w:r>
    </w:p>
    <w:p w14:paraId="7F3914AB" w14:textId="679261BF" w:rsidR="0035012C" w:rsidRPr="00FF11CA" w:rsidRDefault="0010430C" w:rsidP="00533C28">
      <w:pPr>
        <w:pStyle w:val="Normal2"/>
        <w:shd w:val="clear" w:color="auto" w:fill="DEEAF6" w:themeFill="accent5" w:themeFillTint="33"/>
      </w:pPr>
      <w:r w:rsidRPr="00FF11CA">
        <w:t xml:space="preserve">Section 32 requires that the objectives of the </w:t>
      </w:r>
      <w:r w:rsidR="00E81F7F">
        <w:t>PORPS 2021</w:t>
      </w:r>
      <w:r w:rsidRPr="00FF11CA">
        <w:t xml:space="preserve"> </w:t>
      </w:r>
      <w:r w:rsidR="00FF11CA" w:rsidRPr="00FF11CA">
        <w:t>are</w:t>
      </w:r>
      <w:r w:rsidRPr="00FF11CA">
        <w:t xml:space="preserve"> examined for their appropriateness in achieving the purpose of the RMA and that the benefits, </w:t>
      </w:r>
      <w:proofErr w:type="gramStart"/>
      <w:r w:rsidRPr="00FF11CA">
        <w:t>costs</w:t>
      </w:r>
      <w:proofErr w:type="gramEnd"/>
      <w:r w:rsidRPr="00FF11CA">
        <w:t xml:space="preserve"> and risks of new </w:t>
      </w:r>
      <w:r w:rsidR="00FF11CA" w:rsidRPr="00FF11CA">
        <w:t xml:space="preserve">provisions (primarily policies and methods) </w:t>
      </w:r>
      <w:r w:rsidRPr="00FF11CA">
        <w:t>need to be clearly identified and assessed. This report documents the analysis under section 32 so stakeholders and decision-makers can understand the rationale for policy choices.</w:t>
      </w:r>
    </w:p>
    <w:p w14:paraId="149E17F7" w14:textId="638E3FC8" w:rsidR="00FF11CA" w:rsidRPr="00FF11CA" w:rsidRDefault="00FF11CA" w:rsidP="00533C28">
      <w:pPr>
        <w:pStyle w:val="Normal2"/>
        <w:shd w:val="clear" w:color="auto" w:fill="DEEAF6" w:themeFill="accent5" w:themeFillTint="33"/>
      </w:pPr>
      <w:r w:rsidRPr="00FF11CA">
        <w:t xml:space="preserve">The </w:t>
      </w:r>
      <w:r w:rsidR="00E81F7F">
        <w:t>PORPS 2021</w:t>
      </w:r>
      <w:r w:rsidRPr="00FF11CA">
        <w:t xml:space="preserve"> underpins the planning framework in Otago, directing and informing the content of both regional and district plans</w:t>
      </w:r>
      <w:r w:rsidR="00D361C7">
        <w:t>, and in some cases other types of plans and strategies (such as the Regional Land Transport Plan)</w:t>
      </w:r>
      <w:r w:rsidRPr="00FF11CA">
        <w:t xml:space="preserve">. It is therefore a critical document </w:t>
      </w:r>
      <w:r>
        <w:t>for the management of natural and physical resources in Otago.</w:t>
      </w:r>
    </w:p>
    <w:p w14:paraId="05F9037A" w14:textId="77777777" w:rsidR="00EF679D" w:rsidRDefault="00EF679D" w:rsidP="00533C28">
      <w:pPr>
        <w:pStyle w:val="Heading2"/>
        <w:shd w:val="clear" w:color="auto" w:fill="DEEAF6" w:themeFill="accent5" w:themeFillTint="33"/>
      </w:pPr>
      <w:bookmarkStart w:id="6" w:name="_Toc72507616"/>
      <w:r>
        <w:t>Structure</w:t>
      </w:r>
      <w:bookmarkEnd w:id="6"/>
    </w:p>
    <w:p w14:paraId="3D070F33" w14:textId="013C8193" w:rsidR="00EF679D" w:rsidRDefault="00EF679D" w:rsidP="00533C28">
      <w:pPr>
        <w:pStyle w:val="Normal2"/>
        <w:shd w:val="clear" w:color="auto" w:fill="DEEAF6" w:themeFill="accent5" w:themeFillTint="33"/>
      </w:pPr>
      <w:r>
        <w:t>This report has been structured as follows:</w:t>
      </w:r>
    </w:p>
    <w:p w14:paraId="52DEF3FD" w14:textId="4E5A49F5" w:rsidR="00EF679D" w:rsidRDefault="00EF679D" w:rsidP="00533C28">
      <w:pPr>
        <w:pStyle w:val="Normal2"/>
        <w:numPr>
          <w:ilvl w:val="0"/>
          <w:numId w:val="0"/>
        </w:numPr>
        <w:shd w:val="clear" w:color="auto" w:fill="DEEAF6" w:themeFill="accent5" w:themeFillTint="33"/>
        <w:ind w:left="709"/>
      </w:pPr>
      <w:r w:rsidRPr="00FF11CA">
        <w:rPr>
          <w:b/>
          <w:bCs/>
        </w:rPr>
        <w:t xml:space="preserve">Part </w:t>
      </w:r>
      <w:r w:rsidR="0035012C" w:rsidRPr="00FF11CA">
        <w:rPr>
          <w:b/>
          <w:bCs/>
        </w:rPr>
        <w:t>A</w:t>
      </w:r>
      <w:r w:rsidRPr="00FF11CA">
        <w:rPr>
          <w:b/>
          <w:bCs/>
        </w:rPr>
        <w:t>:</w:t>
      </w:r>
      <w:r>
        <w:t xml:space="preserve"> </w:t>
      </w:r>
      <w:r w:rsidR="00CB2890">
        <w:tab/>
      </w:r>
      <w:r>
        <w:t>Introduction</w:t>
      </w:r>
    </w:p>
    <w:p w14:paraId="7DD4EFD9" w14:textId="0396B4C2" w:rsidR="00EF679D" w:rsidRDefault="00EF679D" w:rsidP="00533C28">
      <w:pPr>
        <w:pStyle w:val="Normal2"/>
        <w:numPr>
          <w:ilvl w:val="0"/>
          <w:numId w:val="0"/>
        </w:numPr>
        <w:shd w:val="clear" w:color="auto" w:fill="DEEAF6" w:themeFill="accent5" w:themeFillTint="33"/>
        <w:ind w:left="709"/>
      </w:pPr>
      <w:r w:rsidRPr="00FF11CA">
        <w:rPr>
          <w:b/>
          <w:bCs/>
        </w:rPr>
        <w:t xml:space="preserve">Part </w:t>
      </w:r>
      <w:r w:rsidR="0035012C" w:rsidRPr="00FF11CA">
        <w:rPr>
          <w:b/>
          <w:bCs/>
        </w:rPr>
        <w:t>B</w:t>
      </w:r>
      <w:r w:rsidRPr="00FF11CA">
        <w:rPr>
          <w:b/>
          <w:bCs/>
        </w:rPr>
        <w:t>:</w:t>
      </w:r>
      <w:r w:rsidR="00CB2890">
        <w:tab/>
      </w:r>
      <w:r w:rsidR="0035012C">
        <w:t>Development and c</w:t>
      </w:r>
      <w:r>
        <w:t>onsultation</w:t>
      </w:r>
    </w:p>
    <w:p w14:paraId="5DEF3ABC" w14:textId="4FFAD4B2" w:rsidR="00BB119C" w:rsidRDefault="00644210" w:rsidP="00533C28">
      <w:pPr>
        <w:pStyle w:val="Normal2"/>
        <w:numPr>
          <w:ilvl w:val="0"/>
          <w:numId w:val="0"/>
        </w:numPr>
        <w:shd w:val="clear" w:color="auto" w:fill="DEEAF6" w:themeFill="accent5" w:themeFillTint="33"/>
        <w:ind w:left="709"/>
      </w:pPr>
      <w:r>
        <w:rPr>
          <w:b/>
          <w:bCs/>
        </w:rPr>
        <w:t>Part C:</w:t>
      </w:r>
      <w:r w:rsidR="00CB2890">
        <w:tab/>
      </w:r>
      <w:r w:rsidR="00667AE0">
        <w:t>Issues</w:t>
      </w:r>
    </w:p>
    <w:p w14:paraId="3A52976A" w14:textId="7CB4A9F4" w:rsidR="00667AE0" w:rsidRDefault="00667AE0" w:rsidP="00533C28">
      <w:pPr>
        <w:pStyle w:val="Normal2"/>
        <w:numPr>
          <w:ilvl w:val="0"/>
          <w:numId w:val="0"/>
        </w:numPr>
        <w:shd w:val="clear" w:color="auto" w:fill="DEEAF6" w:themeFill="accent5" w:themeFillTint="33"/>
        <w:ind w:left="709"/>
      </w:pPr>
      <w:r w:rsidRPr="00FF11CA">
        <w:rPr>
          <w:b/>
          <w:bCs/>
        </w:rPr>
        <w:t xml:space="preserve">Part </w:t>
      </w:r>
      <w:r w:rsidR="00644210">
        <w:rPr>
          <w:b/>
          <w:bCs/>
        </w:rPr>
        <w:t>D</w:t>
      </w:r>
      <w:r w:rsidRPr="00FF11CA">
        <w:rPr>
          <w:b/>
          <w:bCs/>
        </w:rPr>
        <w:t>:</w:t>
      </w:r>
      <w:r w:rsidR="00CB2890">
        <w:tab/>
      </w:r>
      <w:r w:rsidR="00644210">
        <w:t>Objectives</w:t>
      </w:r>
    </w:p>
    <w:p w14:paraId="6D025988" w14:textId="6959C7B2" w:rsidR="00EF679D" w:rsidRDefault="00EF679D" w:rsidP="00533C28">
      <w:pPr>
        <w:pStyle w:val="Normal2"/>
        <w:numPr>
          <w:ilvl w:val="0"/>
          <w:numId w:val="0"/>
        </w:numPr>
        <w:shd w:val="clear" w:color="auto" w:fill="DEEAF6" w:themeFill="accent5" w:themeFillTint="33"/>
        <w:ind w:left="709"/>
      </w:pPr>
      <w:r w:rsidRPr="00FF11CA">
        <w:rPr>
          <w:b/>
          <w:bCs/>
        </w:rPr>
        <w:t xml:space="preserve">Part </w:t>
      </w:r>
      <w:r w:rsidR="00644210">
        <w:rPr>
          <w:b/>
          <w:bCs/>
        </w:rPr>
        <w:t>E</w:t>
      </w:r>
      <w:r w:rsidRPr="00FF11CA">
        <w:rPr>
          <w:b/>
          <w:bCs/>
        </w:rPr>
        <w:t>:</w:t>
      </w:r>
      <w:r w:rsidR="00CB2890">
        <w:tab/>
      </w:r>
      <w:r>
        <w:t>Evaluation</w:t>
      </w:r>
    </w:p>
    <w:p w14:paraId="0F8B2F50" w14:textId="27649993" w:rsidR="00E45A86" w:rsidRDefault="00E45A86" w:rsidP="00533C28">
      <w:pPr>
        <w:pStyle w:val="Normal2"/>
        <w:numPr>
          <w:ilvl w:val="0"/>
          <w:numId w:val="0"/>
        </w:numPr>
        <w:shd w:val="clear" w:color="auto" w:fill="DEEAF6" w:themeFill="accent5" w:themeFillTint="33"/>
        <w:ind w:left="709"/>
      </w:pPr>
      <w:r w:rsidRPr="00FF11CA">
        <w:rPr>
          <w:b/>
          <w:bCs/>
        </w:rPr>
        <w:t xml:space="preserve">Part </w:t>
      </w:r>
      <w:r w:rsidR="00644210">
        <w:rPr>
          <w:b/>
          <w:bCs/>
        </w:rPr>
        <w:t>F</w:t>
      </w:r>
      <w:r w:rsidRPr="00FF11CA">
        <w:rPr>
          <w:b/>
          <w:bCs/>
        </w:rPr>
        <w:t>:</w:t>
      </w:r>
      <w:r w:rsidR="00CB2890">
        <w:tab/>
      </w:r>
      <w:r>
        <w:t xml:space="preserve">Planning context </w:t>
      </w:r>
    </w:p>
    <w:p w14:paraId="495FE149" w14:textId="66C51386" w:rsidR="0035012C" w:rsidRDefault="0035012C" w:rsidP="00533C28">
      <w:pPr>
        <w:pStyle w:val="Normal2"/>
        <w:numPr>
          <w:ilvl w:val="0"/>
          <w:numId w:val="0"/>
        </w:numPr>
        <w:shd w:val="clear" w:color="auto" w:fill="DEEAF6" w:themeFill="accent5" w:themeFillTint="33"/>
        <w:ind w:left="709"/>
      </w:pPr>
      <w:r w:rsidRPr="00FF11CA">
        <w:rPr>
          <w:b/>
          <w:bCs/>
        </w:rPr>
        <w:t xml:space="preserve">Part </w:t>
      </w:r>
      <w:r w:rsidR="00644210">
        <w:rPr>
          <w:b/>
          <w:bCs/>
        </w:rPr>
        <w:t>G</w:t>
      </w:r>
      <w:r w:rsidRPr="00FF11CA">
        <w:rPr>
          <w:b/>
          <w:bCs/>
        </w:rPr>
        <w:t>:</w:t>
      </w:r>
      <w:r w:rsidR="00CB2890">
        <w:tab/>
      </w:r>
      <w:r>
        <w:t>Appendices</w:t>
      </w:r>
    </w:p>
    <w:p w14:paraId="00714C90" w14:textId="1F27342C" w:rsidR="00FF11CA" w:rsidRDefault="00FF11CA" w:rsidP="00533C28">
      <w:pPr>
        <w:pStyle w:val="Normal2"/>
        <w:shd w:val="clear" w:color="auto" w:fill="DEEAF6" w:themeFill="accent5" w:themeFillTint="33"/>
      </w:pPr>
      <w:r>
        <w:t xml:space="preserve">Part D contains the bulk of the report and has been split into subsections that mirror the structure of the </w:t>
      </w:r>
      <w:r w:rsidR="00E81F7F">
        <w:t>PORPS 2021</w:t>
      </w:r>
      <w:r>
        <w:t xml:space="preserve"> for ease of reference.</w:t>
      </w:r>
    </w:p>
    <w:p w14:paraId="615B944F" w14:textId="0A16EEA7" w:rsidR="0035012C" w:rsidRDefault="0035012C" w:rsidP="00533C28">
      <w:pPr>
        <w:pStyle w:val="Heading2"/>
        <w:shd w:val="clear" w:color="auto" w:fill="DEEAF6" w:themeFill="accent5" w:themeFillTint="33"/>
      </w:pPr>
      <w:bookmarkStart w:id="7" w:name="_Toc72507617"/>
      <w:r>
        <w:t>Background</w:t>
      </w:r>
      <w:bookmarkEnd w:id="7"/>
    </w:p>
    <w:p w14:paraId="66501643" w14:textId="3A3633BC" w:rsidR="0035012C" w:rsidRDefault="00EA4BAC" w:rsidP="00533C28">
      <w:pPr>
        <w:pStyle w:val="Normal2"/>
        <w:shd w:val="clear" w:color="auto" w:fill="DEEAF6" w:themeFill="accent5" w:themeFillTint="33"/>
      </w:pPr>
      <w:r>
        <w:t xml:space="preserve">Otago’s first Regional Policy Statement became operative on 1 October 1998. A review of the RPS 1998 was commenced in 2014 with the intent </w:t>
      </w:r>
      <w:r w:rsidR="4245ABB9">
        <w:t>of developing</w:t>
      </w:r>
      <w:r>
        <w:t xml:space="preserve"> a new regional policy statement to replace the RPS 1998. The full review and development process is outlined on ORC’s website</w:t>
      </w:r>
      <w:r>
        <w:rPr>
          <w:rStyle w:val="FootnoteReference"/>
        </w:rPr>
        <w:footnoteReference w:id="2"/>
      </w:r>
      <w:r>
        <w:t xml:space="preserve"> and included, in summary:</w:t>
      </w:r>
    </w:p>
    <w:p w14:paraId="4D52EFA4" w14:textId="7F4BA59E" w:rsidR="00EA4BAC" w:rsidRPr="00A054E1" w:rsidRDefault="00EA4BAC" w:rsidP="00533C28">
      <w:pPr>
        <w:pStyle w:val="Normal3"/>
        <w:shd w:val="clear" w:color="auto" w:fill="DEEAF6" w:themeFill="accent5" w:themeFillTint="33"/>
        <w:rPr>
          <w:rFonts w:eastAsiaTheme="minorEastAsia"/>
        </w:rPr>
      </w:pPr>
      <w:r w:rsidRPr="00145A5C">
        <w:t>Consultation</w:t>
      </w:r>
      <w:r w:rsidRPr="005C161A">
        <w:t xml:space="preserve"> on issues and options (2014)</w:t>
      </w:r>
    </w:p>
    <w:p w14:paraId="141DA81F" w14:textId="690C72DA" w:rsidR="00EA4BAC" w:rsidRPr="00A054E1" w:rsidRDefault="00EA4BAC" w:rsidP="00533C28">
      <w:pPr>
        <w:pStyle w:val="Normal3"/>
        <w:shd w:val="clear" w:color="auto" w:fill="DEEAF6" w:themeFill="accent5" w:themeFillTint="33"/>
        <w:rPr>
          <w:rFonts w:eastAsiaTheme="minorEastAsia"/>
        </w:rPr>
      </w:pPr>
      <w:r w:rsidRPr="005C161A">
        <w:t>Consultation draft (2015)</w:t>
      </w:r>
    </w:p>
    <w:p w14:paraId="1D9F1566" w14:textId="617410B5" w:rsidR="00EA4BAC" w:rsidRPr="00A054E1" w:rsidRDefault="00EA4BAC" w:rsidP="00533C28">
      <w:pPr>
        <w:pStyle w:val="Normal3"/>
        <w:shd w:val="clear" w:color="auto" w:fill="DEEAF6" w:themeFill="accent5" w:themeFillTint="33"/>
        <w:rPr>
          <w:rFonts w:eastAsiaTheme="minorEastAsia"/>
        </w:rPr>
      </w:pPr>
      <w:r w:rsidRPr="005C161A">
        <w:lastRenderedPageBreak/>
        <w:t>Notification and submissions (2015)</w:t>
      </w:r>
    </w:p>
    <w:p w14:paraId="3418556A" w14:textId="31395DD0" w:rsidR="00EA4BAC" w:rsidRPr="00A054E1" w:rsidRDefault="00EA4BAC" w:rsidP="00533C28">
      <w:pPr>
        <w:pStyle w:val="Normal3"/>
        <w:shd w:val="clear" w:color="auto" w:fill="DEEAF6" w:themeFill="accent5" w:themeFillTint="33"/>
        <w:rPr>
          <w:rFonts w:eastAsiaTheme="minorEastAsia"/>
        </w:rPr>
      </w:pPr>
      <w:r w:rsidRPr="005C161A">
        <w:t>Hearings (2015)</w:t>
      </w:r>
    </w:p>
    <w:p w14:paraId="00D0CE8E" w14:textId="3ADB7059" w:rsidR="00EA4BAC" w:rsidRPr="00A054E1" w:rsidRDefault="00EA4BAC" w:rsidP="00533C28">
      <w:pPr>
        <w:pStyle w:val="Normal3"/>
        <w:shd w:val="clear" w:color="auto" w:fill="DEEAF6" w:themeFill="accent5" w:themeFillTint="33"/>
        <w:rPr>
          <w:rFonts w:eastAsiaTheme="minorEastAsia"/>
        </w:rPr>
      </w:pPr>
      <w:r w:rsidRPr="005C161A">
        <w:t>Decision by Council (2016)</w:t>
      </w:r>
    </w:p>
    <w:p w14:paraId="0F71DB74" w14:textId="3465DF9B" w:rsidR="00EA4BAC" w:rsidRDefault="00EA4BAC" w:rsidP="00533C28">
      <w:pPr>
        <w:pStyle w:val="Normal3"/>
        <w:shd w:val="clear" w:color="auto" w:fill="DEEAF6" w:themeFill="accent5" w:themeFillTint="33"/>
        <w:rPr>
          <w:rFonts w:eastAsiaTheme="minorEastAsia"/>
        </w:rPr>
      </w:pPr>
      <w:r w:rsidRPr="005C161A">
        <w:t>Appeals (2016 until present)</w:t>
      </w:r>
    </w:p>
    <w:p w14:paraId="13B557AC" w14:textId="4EA017FB" w:rsidR="00203841" w:rsidRDefault="005C3730" w:rsidP="00533C28">
      <w:pPr>
        <w:pStyle w:val="Normal2"/>
        <w:shd w:val="clear" w:color="auto" w:fill="DEEAF6" w:themeFill="accent5" w:themeFillTint="33"/>
      </w:pPr>
      <w:r>
        <w:t xml:space="preserve">Most of the </w:t>
      </w:r>
      <w:r w:rsidR="00E83228">
        <w:t xml:space="preserve">PORPS was made operative in 2019, </w:t>
      </w:r>
      <w:proofErr w:type="gramStart"/>
      <w:r w:rsidR="00E83228">
        <w:t>with the exception of</w:t>
      </w:r>
      <w:proofErr w:type="gramEnd"/>
      <w:r w:rsidR="00E83228">
        <w:t xml:space="preserve"> Chapter 3 which was still under appeal at the time. </w:t>
      </w:r>
      <w:r w:rsidR="008A3A82">
        <w:t>The remainder of the PORPS</w:t>
      </w:r>
      <w:r w:rsidR="00E83228">
        <w:t xml:space="preserve">, excluding </w:t>
      </w:r>
      <w:r w:rsidR="00AF489F">
        <w:t xml:space="preserve">a package of provisions relating to </w:t>
      </w:r>
      <w:r w:rsidR="00D361C7">
        <w:t xml:space="preserve">port </w:t>
      </w:r>
      <w:r w:rsidR="0079032D">
        <w:t>activities at Port Chalmers and Dunedin</w:t>
      </w:r>
      <w:r w:rsidR="00E83228">
        <w:t xml:space="preserve"> which is still under appeal</w:t>
      </w:r>
      <w:r w:rsidR="0079032D">
        <w:rPr>
          <w:rStyle w:val="FootnoteReference"/>
        </w:rPr>
        <w:footnoteReference w:id="3"/>
      </w:r>
      <w:r w:rsidR="00E83228">
        <w:t>, was made operative in 2021.</w:t>
      </w:r>
    </w:p>
    <w:p w14:paraId="433FFAFA" w14:textId="225FA488" w:rsidR="00EA4BAC" w:rsidRPr="00F2261F" w:rsidRDefault="002C0266" w:rsidP="00533C28">
      <w:pPr>
        <w:pStyle w:val="Normal2"/>
        <w:shd w:val="clear" w:color="auto" w:fill="DEEAF6" w:themeFill="accent5" w:themeFillTint="33"/>
      </w:pPr>
      <w:r>
        <w:t>The structure and drafting style of the PORPS 201</w:t>
      </w:r>
      <w:r w:rsidR="008A3A82">
        <w:t>9</w:t>
      </w:r>
      <w:r>
        <w:t xml:space="preserve"> was a considerable shift from the RPS 1998</w:t>
      </w:r>
      <w:r w:rsidR="00A234E5">
        <w:t xml:space="preserve"> and came under criticism during</w:t>
      </w:r>
      <w:r w:rsidR="002665FE">
        <w:t xml:space="preserve"> the </w:t>
      </w:r>
      <w:r w:rsidR="00A234E5">
        <w:t>mediation and appeals process.</w:t>
      </w:r>
      <w:r w:rsidR="002665FE">
        <w:t xml:space="preserve"> </w:t>
      </w:r>
      <w:proofErr w:type="gramStart"/>
      <w:r w:rsidR="006E3B7C">
        <w:t xml:space="preserve">In particular, </w:t>
      </w:r>
      <w:r w:rsidR="00850109">
        <w:t>there</w:t>
      </w:r>
      <w:proofErr w:type="gramEnd"/>
      <w:r w:rsidR="00850109">
        <w:t xml:space="preserve"> was concern that the relationship between the chapters was </w:t>
      </w:r>
      <w:r w:rsidR="00702087">
        <w:t>unclear</w:t>
      </w:r>
      <w:r w:rsidR="00973353">
        <w:t>, which created a potential for</w:t>
      </w:r>
      <w:r w:rsidR="00850109">
        <w:t xml:space="preserve"> </w:t>
      </w:r>
      <w:r w:rsidR="009B4FC0">
        <w:t xml:space="preserve">provisions to be interpreted on their own rather than </w:t>
      </w:r>
      <w:r w:rsidR="0067782D">
        <w:t>as a suite that collectively achieve the purpose of the RMA.</w:t>
      </w:r>
      <w:r w:rsidR="0067782D">
        <w:rPr>
          <w:rStyle w:val="FootnoteReference"/>
        </w:rPr>
        <w:footnoteReference w:id="4"/>
      </w:r>
      <w:r w:rsidR="00863EC5">
        <w:t xml:space="preserve"> </w:t>
      </w:r>
    </w:p>
    <w:p w14:paraId="24BF62DA" w14:textId="3AB8BEDF" w:rsidR="00EB7C19" w:rsidRDefault="00EB7C19" w:rsidP="00533C28">
      <w:pPr>
        <w:pStyle w:val="Heading3"/>
        <w:shd w:val="clear" w:color="auto" w:fill="DEEAF6" w:themeFill="accent5" w:themeFillTint="33"/>
      </w:pPr>
      <w:r w:rsidRPr="0019589D">
        <w:t>National</w:t>
      </w:r>
      <w:r>
        <w:t xml:space="preserve"> Planning </w:t>
      </w:r>
      <w:r w:rsidRPr="00A97861">
        <w:t>Standards</w:t>
      </w:r>
    </w:p>
    <w:p w14:paraId="5C7F3F63" w14:textId="26820113" w:rsidR="00EB7C19" w:rsidRDefault="00EB7C19" w:rsidP="00533C28">
      <w:pPr>
        <w:pStyle w:val="Normal2"/>
        <w:shd w:val="clear" w:color="auto" w:fill="DEEAF6" w:themeFill="accent5" w:themeFillTint="33"/>
      </w:pPr>
      <w:r>
        <w:t xml:space="preserve">The first set of National Planning Standards (the Planning Standards) </w:t>
      </w:r>
      <w:r w:rsidR="7B2A8430">
        <w:t xml:space="preserve">was </w:t>
      </w:r>
      <w:r>
        <w:t>Gazetted in April 2019 and included a mandatory structure and format for planning documents, including regional policy statements. The Planning Standards require the structure and format standards to be implemented in regional policy statements by May 2022</w:t>
      </w:r>
      <w:r w:rsidR="45664CE1">
        <w:t>,</w:t>
      </w:r>
      <w:r w:rsidR="0008467F">
        <w:t xml:space="preserve"> or earlier if a new regional policy statement is notified after April 2019. </w:t>
      </w:r>
    </w:p>
    <w:p w14:paraId="2AFC5F8E" w14:textId="15216A1B" w:rsidR="0008467F" w:rsidRDefault="0008467F" w:rsidP="00533C28">
      <w:pPr>
        <w:pStyle w:val="Normal2"/>
        <w:shd w:val="clear" w:color="auto" w:fill="DEEAF6" w:themeFill="accent5" w:themeFillTint="33"/>
      </w:pPr>
      <w:r>
        <w:t xml:space="preserve">The structure required by the Planning Standards is significantly different to the structure adopted in the PORPS 2019. </w:t>
      </w:r>
      <w:r w:rsidR="00AA73D8">
        <w:t xml:space="preserve">It is not possible to simply ‘rearrange’ its provisions into the headings provided by the Planning Standards – implementing the Standards requires revisiting </w:t>
      </w:r>
      <w:r w:rsidR="00571086">
        <w:t>many</w:t>
      </w:r>
      <w:r w:rsidR="00AA73D8">
        <w:t xml:space="preserve"> </w:t>
      </w:r>
      <w:r w:rsidR="00EC48A3">
        <w:t xml:space="preserve">of </w:t>
      </w:r>
      <w:r w:rsidR="00AA73D8">
        <w:t>the provisions and separating parts of them into different chapters. Complying with the structural requirements of the Planning Standards requires a rewrite of the PORPS 2019.</w:t>
      </w:r>
      <w:r w:rsidR="00571086">
        <w:t xml:space="preserve"> As this would require the use of a normal Schedule 1 process, there are opportunities to address any other issues with the PORPS 2019 at the same time.</w:t>
      </w:r>
    </w:p>
    <w:p w14:paraId="07F4121F" w14:textId="7F033C8D" w:rsidR="00EB7C19" w:rsidRDefault="00EB7C19" w:rsidP="00533C28">
      <w:pPr>
        <w:pStyle w:val="Heading3"/>
        <w:shd w:val="clear" w:color="auto" w:fill="DEEAF6" w:themeFill="accent5" w:themeFillTint="33"/>
      </w:pPr>
      <w:bookmarkStart w:id="8" w:name="_Ref66276740"/>
      <w:r>
        <w:t>Review of ORC’s planning functions</w:t>
      </w:r>
      <w:bookmarkEnd w:id="8"/>
    </w:p>
    <w:p w14:paraId="7FD47438" w14:textId="7F6620FF" w:rsidR="0059222C" w:rsidRDefault="0059222C" w:rsidP="00533C28">
      <w:pPr>
        <w:pStyle w:val="Normal2"/>
        <w:shd w:val="clear" w:color="auto" w:fill="DEEAF6" w:themeFill="accent5" w:themeFillTint="33"/>
      </w:pPr>
      <w:r>
        <w:t>In May 2019, a review of ORC’s planning functions was commissioned by the Minister for the Environment and undertaken by his appointee, Honorary Professor Peter Skelton. After receiving Professor Skelton’s report and recommendations</w:t>
      </w:r>
      <w:r w:rsidR="00DD55BC">
        <w:t xml:space="preserve"> (see Appendix</w:t>
      </w:r>
      <w:r w:rsidR="009E4E5C">
        <w:t xml:space="preserve"> 1)</w:t>
      </w:r>
      <w:r>
        <w:t xml:space="preserve">, </w:t>
      </w:r>
      <w:r w:rsidR="009770A5">
        <w:t xml:space="preserve">in November 2019 </w:t>
      </w:r>
      <w:r>
        <w:t xml:space="preserve">the Minister for the Environment </w:t>
      </w:r>
      <w:r w:rsidR="000E35CD">
        <w:t xml:space="preserve">concluded </w:t>
      </w:r>
      <w:r w:rsidR="009770A5">
        <w:t xml:space="preserve">by way of a letter </w:t>
      </w:r>
      <w:r w:rsidR="000E35CD">
        <w:t>that ORC’s current freshwater management framework was not fit for purpose and not in line with the previous NPSFM 2014, amended in 2017</w:t>
      </w:r>
      <w:r w:rsidR="009770A5">
        <w:t>. This letter is attached as</w:t>
      </w:r>
      <w:r w:rsidR="00A4095E">
        <w:t xml:space="preserve"> </w:t>
      </w:r>
      <w:r w:rsidR="001D46AB">
        <w:t>Appendix</w:t>
      </w:r>
      <w:r w:rsidR="009770A5">
        <w:t xml:space="preserve"> 2).</w:t>
      </w:r>
      <w:r w:rsidR="000E35CD">
        <w:t xml:space="preserve"> </w:t>
      </w:r>
      <w:r w:rsidR="009770A5">
        <w:t>T</w:t>
      </w:r>
      <w:r w:rsidR="002803DD">
        <w:t xml:space="preserve">he Minister </w:t>
      </w:r>
      <w:r>
        <w:t xml:space="preserve">made </w:t>
      </w:r>
      <w:proofErr w:type="gramStart"/>
      <w:r>
        <w:t>a number of</w:t>
      </w:r>
      <w:proofErr w:type="gramEnd"/>
      <w:r>
        <w:t xml:space="preserve"> recommendations to ORC on the future of its freshwater planning framework. These were accepted by ORC in </w:t>
      </w:r>
      <w:r w:rsidR="00A44FCE">
        <w:t>December 2019</w:t>
      </w:r>
      <w:r>
        <w:t xml:space="preserve"> and include agreement to:</w:t>
      </w:r>
    </w:p>
    <w:p w14:paraId="6D90DD52" w14:textId="06ECF9C5" w:rsidR="00464827" w:rsidRPr="00464827" w:rsidRDefault="00464827" w:rsidP="00533C28">
      <w:pPr>
        <w:pStyle w:val="Normal3"/>
        <w:shd w:val="clear" w:color="auto" w:fill="DEEAF6" w:themeFill="accent5" w:themeFillTint="33"/>
        <w:rPr>
          <w:rFonts w:eastAsiaTheme="minorEastAsia"/>
        </w:rPr>
      </w:pPr>
      <w:r>
        <w:t xml:space="preserve">take all necessary steps to develop a fit for purpose freshwater management planning regime that gives effect to the relevant national instruments and sets a coherent framework for assessing all water consent applications, including those that are to replace any deemed </w:t>
      </w:r>
      <w:proofErr w:type="gramStart"/>
      <w:r>
        <w:t>permits;</w:t>
      </w:r>
      <w:proofErr w:type="gramEnd"/>
    </w:p>
    <w:p w14:paraId="66AAABE2" w14:textId="78D24E9B" w:rsidR="00464827" w:rsidRDefault="00016B4E" w:rsidP="00533C28">
      <w:pPr>
        <w:pStyle w:val="Normal3"/>
        <w:shd w:val="clear" w:color="auto" w:fill="DEEAF6" w:themeFill="accent5" w:themeFillTint="33"/>
        <w:rPr>
          <w:rFonts w:eastAsiaTheme="minorEastAsia"/>
        </w:rPr>
      </w:pPr>
      <w:r>
        <w:t xml:space="preserve">Develop and adopt a </w:t>
      </w:r>
      <w:r w:rsidRPr="00DC443C">
        <w:t>programme</w:t>
      </w:r>
      <w:r>
        <w:t xml:space="preserve"> of work to achieve the following:</w:t>
      </w:r>
    </w:p>
    <w:p w14:paraId="2BBD4CB4" w14:textId="4F2B5454" w:rsidR="00016B4E" w:rsidRPr="00DC443C" w:rsidRDefault="00016B4E" w:rsidP="00533C28">
      <w:pPr>
        <w:pStyle w:val="Normal4"/>
        <w:shd w:val="clear" w:color="auto" w:fill="DEEAF6" w:themeFill="accent5" w:themeFillTint="33"/>
      </w:pPr>
      <w:r>
        <w:lastRenderedPageBreak/>
        <w:t xml:space="preserve">By </w:t>
      </w:r>
      <w:r w:rsidRPr="00DC443C">
        <w:t xml:space="preserve">November 2020 [later amended to June 2021 with the Minister’s approval], a complete </w:t>
      </w:r>
      <w:r w:rsidRPr="00FB254B">
        <w:t>review</w:t>
      </w:r>
      <w:r w:rsidRPr="00DC443C">
        <w:t xml:space="preserve"> of the current Regional Policy Statement that is publicly notified, with the intention that it be made operative before the review of its LWRP is notified.</w:t>
      </w:r>
    </w:p>
    <w:p w14:paraId="18346BDC" w14:textId="2DA3BD16" w:rsidR="00016B4E" w:rsidRPr="00DC443C" w:rsidRDefault="00016B4E" w:rsidP="00533C28">
      <w:pPr>
        <w:pStyle w:val="Normal4"/>
        <w:shd w:val="clear" w:color="auto" w:fill="DEEAF6" w:themeFill="accent5" w:themeFillTint="33"/>
      </w:pPr>
      <w:r w:rsidRPr="00DC443C">
        <w:t xml:space="preserve">By 31 December 2023, </w:t>
      </w:r>
      <w:r w:rsidR="2419E8D8" w:rsidRPr="00DC443C">
        <w:t xml:space="preserve">notification of </w:t>
      </w:r>
      <w:r w:rsidRPr="00DC443C">
        <w:t>a new LWRP for Otago that includes region-wide objectives, strategic policies, region-wide activity policies and provisions for each of the Freshwater Management Units, covering all the catchments within the region.</w:t>
      </w:r>
    </w:p>
    <w:p w14:paraId="2E1AA1ED" w14:textId="31B11359" w:rsidR="00016B4E" w:rsidRPr="00DC443C" w:rsidRDefault="00016B4E" w:rsidP="00533C28">
      <w:pPr>
        <w:pStyle w:val="Normal4"/>
        <w:shd w:val="clear" w:color="auto" w:fill="DEEAF6" w:themeFill="accent5" w:themeFillTint="33"/>
      </w:pPr>
      <w:r w:rsidRPr="00DC443C">
        <w:t>Prepare a plan change by 31 March 2020 that will provide an adequate interim planning and consenting framework to manage freshwater up until the time that new discharge and allocation limits are set, in line with the requirements in the relevant NPSFM at that time.</w:t>
      </w:r>
    </w:p>
    <w:p w14:paraId="642B1E33" w14:textId="3329DDBE" w:rsidR="00CE07CE" w:rsidRDefault="009E59A5" w:rsidP="00533C28">
      <w:pPr>
        <w:pStyle w:val="Normal2"/>
        <w:shd w:val="clear" w:color="auto" w:fill="DEEAF6" w:themeFill="accent5" w:themeFillTint="33"/>
      </w:pPr>
      <w:r>
        <w:t>This report comprises part of the requirements of matter (b</w:t>
      </w:r>
      <w:r w:rsidR="00602285">
        <w:t>)(</w:t>
      </w:r>
      <w:proofErr w:type="spellStart"/>
      <w:r w:rsidR="00602285">
        <w:t>i</w:t>
      </w:r>
      <w:proofErr w:type="spellEnd"/>
      <w:r>
        <w:t>)</w:t>
      </w:r>
      <w:r w:rsidR="00602285">
        <w:t xml:space="preserve"> and early preparatory work on a new regional plan for land and water resources (matter (b)(ii) above) is underway. </w:t>
      </w:r>
      <w:r w:rsidR="0059222C">
        <w:t>ORC is currently progressing matter (</w:t>
      </w:r>
      <w:r w:rsidR="0027175C">
        <w:t>b)(iii</w:t>
      </w:r>
      <w:r w:rsidR="0059222C">
        <w:t>) through Plan Changes 7 and 8 to the Regional Plan: Water for Otago and Plan Change 1 to the Regional Plan: Waste for Otago. Those plan changes were considered nationally significant by the Minister for the Environment and were notified by the Environmental Protection Authority in July 2020.</w:t>
      </w:r>
      <w:r w:rsidR="00CE07CE">
        <w:t xml:space="preserve"> </w:t>
      </w:r>
    </w:p>
    <w:p w14:paraId="19DABAE6" w14:textId="042E0B96" w:rsidR="00731E61" w:rsidRDefault="00731E61" w:rsidP="00533C28">
      <w:pPr>
        <w:pStyle w:val="Heading3"/>
        <w:shd w:val="clear" w:color="auto" w:fill="DEEAF6" w:themeFill="accent5" w:themeFillTint="33"/>
      </w:pPr>
      <w:r>
        <w:t>New national direction</w:t>
      </w:r>
    </w:p>
    <w:p w14:paraId="7740BCA7" w14:textId="450B1EEF" w:rsidR="00731E61" w:rsidRDefault="00731E61" w:rsidP="00533C28">
      <w:pPr>
        <w:pStyle w:val="Normal2"/>
        <w:shd w:val="clear" w:color="auto" w:fill="DEEAF6" w:themeFill="accent5" w:themeFillTint="33"/>
      </w:pPr>
      <w:r>
        <w:t>Since decisions were made on the PORPS 201</w:t>
      </w:r>
      <w:r w:rsidR="008A3A82">
        <w:t>9</w:t>
      </w:r>
      <w:r>
        <w:t xml:space="preserve">, there have been </w:t>
      </w:r>
      <w:proofErr w:type="gramStart"/>
      <w:r>
        <w:t>a number of</w:t>
      </w:r>
      <w:proofErr w:type="gramEnd"/>
      <w:r>
        <w:t xml:space="preserve"> changes in national direction, including amendments to existing national policy statements and consultation on new national direction, including:</w:t>
      </w:r>
    </w:p>
    <w:p w14:paraId="2B02ED7E" w14:textId="77777777" w:rsidR="00F2261F" w:rsidRPr="00BF0378" w:rsidRDefault="00A42B40" w:rsidP="00533C28">
      <w:pPr>
        <w:pStyle w:val="Normal3"/>
        <w:shd w:val="clear" w:color="auto" w:fill="DEEAF6" w:themeFill="accent5" w:themeFillTint="33"/>
      </w:pPr>
      <w:r>
        <w:t xml:space="preserve">New </w:t>
      </w:r>
      <w:r w:rsidRPr="00BF0378">
        <w:t>National Policy Statement for Freshwater Management</w:t>
      </w:r>
      <w:r w:rsidR="00BF4E81" w:rsidRPr="00BF0378">
        <w:t xml:space="preserve"> 2020</w:t>
      </w:r>
      <w:r w:rsidRPr="00BF0378">
        <w:t>,</w:t>
      </w:r>
      <w:r w:rsidR="003C23BC" w:rsidRPr="00BF0378">
        <w:t xml:space="preserve"> </w:t>
      </w:r>
    </w:p>
    <w:p w14:paraId="639A50FB" w14:textId="036931C8" w:rsidR="00F2261F" w:rsidRPr="00BF0378" w:rsidRDefault="00F2261F" w:rsidP="00533C28">
      <w:pPr>
        <w:pStyle w:val="Normal3"/>
        <w:shd w:val="clear" w:color="auto" w:fill="DEEAF6" w:themeFill="accent5" w:themeFillTint="33"/>
      </w:pPr>
      <w:r w:rsidRPr="00BF0378">
        <w:t>New</w:t>
      </w:r>
      <w:r w:rsidR="00A42B40" w:rsidRPr="00BF0378">
        <w:t xml:space="preserve"> National Environmental Standard for Fresh Water </w:t>
      </w:r>
      <w:r w:rsidR="003C23BC" w:rsidRPr="00BF0378">
        <w:t>2020</w:t>
      </w:r>
      <w:r w:rsidRPr="00BF0378">
        <w:t>,</w:t>
      </w:r>
    </w:p>
    <w:p w14:paraId="287D36C0" w14:textId="5D055873" w:rsidR="00CA41F4" w:rsidRPr="00BF0378" w:rsidRDefault="00F2261F" w:rsidP="00533C28">
      <w:pPr>
        <w:pStyle w:val="Normal3"/>
        <w:shd w:val="clear" w:color="auto" w:fill="DEEAF6" w:themeFill="accent5" w:themeFillTint="33"/>
      </w:pPr>
      <w:r w:rsidRPr="00BF0378">
        <w:t>New</w:t>
      </w:r>
      <w:r w:rsidR="00A42B40" w:rsidRPr="00BF0378">
        <w:t xml:space="preserve"> Regulations for </w:t>
      </w:r>
      <w:r w:rsidR="00874220" w:rsidRPr="00BF0378">
        <w:t>s</w:t>
      </w:r>
      <w:r w:rsidR="00A42B40" w:rsidRPr="00BF0378">
        <w:t xml:space="preserve">tock </w:t>
      </w:r>
      <w:r w:rsidR="00874220" w:rsidRPr="00BF0378">
        <w:t>ex</w:t>
      </w:r>
      <w:r w:rsidR="00A42B40" w:rsidRPr="00BF0378">
        <w:t>clusion</w:t>
      </w:r>
      <w:r w:rsidR="00874220" w:rsidRPr="00BF0378">
        <w:t xml:space="preserve"> from water bodies</w:t>
      </w:r>
      <w:r w:rsidRPr="00BF0378">
        <w:t>,</w:t>
      </w:r>
    </w:p>
    <w:p w14:paraId="35E19363" w14:textId="76584E77" w:rsidR="00F2261F" w:rsidRPr="00BF0378" w:rsidRDefault="00F2261F" w:rsidP="00533C28">
      <w:pPr>
        <w:pStyle w:val="Normal3"/>
        <w:shd w:val="clear" w:color="auto" w:fill="DEEAF6" w:themeFill="accent5" w:themeFillTint="33"/>
      </w:pPr>
      <w:r w:rsidRPr="00BF0378">
        <w:t xml:space="preserve">Amendments to Regulations for </w:t>
      </w:r>
      <w:r w:rsidR="002B3278" w:rsidRPr="00BF0378">
        <w:t>the Measurement and Reporting of Water Takes,</w:t>
      </w:r>
    </w:p>
    <w:p w14:paraId="0397F33B" w14:textId="54EEB4B2" w:rsidR="00A42B40" w:rsidRPr="00BF0378" w:rsidRDefault="003C23BC" w:rsidP="00533C28">
      <w:pPr>
        <w:pStyle w:val="Normal3"/>
        <w:shd w:val="clear" w:color="auto" w:fill="DEEAF6" w:themeFill="accent5" w:themeFillTint="33"/>
      </w:pPr>
      <w:r w:rsidRPr="00BF0378">
        <w:t>New</w:t>
      </w:r>
      <w:r w:rsidR="00A42B40" w:rsidRPr="00BF0378">
        <w:t xml:space="preserve"> National Policy Statement for Urban Development</w:t>
      </w:r>
      <w:r w:rsidRPr="00BF0378">
        <w:t xml:space="preserve"> 2020</w:t>
      </w:r>
      <w:r w:rsidR="002B3278" w:rsidRPr="00BF0378">
        <w:t>,</w:t>
      </w:r>
    </w:p>
    <w:p w14:paraId="10E7E784" w14:textId="0D41C1F1" w:rsidR="00A42B40" w:rsidRPr="00BF0378" w:rsidRDefault="00A42B40" w:rsidP="00533C28">
      <w:pPr>
        <w:pStyle w:val="Normal3"/>
        <w:shd w:val="clear" w:color="auto" w:fill="DEEAF6" w:themeFill="accent5" w:themeFillTint="33"/>
      </w:pPr>
      <w:r w:rsidRPr="00BF0378">
        <w:t>A proposed National Policy Statement for Highly Productive Land</w:t>
      </w:r>
      <w:r w:rsidR="002B3278" w:rsidRPr="00BF0378">
        <w:t>,</w:t>
      </w:r>
    </w:p>
    <w:p w14:paraId="35E223C4" w14:textId="62571EA8" w:rsidR="00A42B40" w:rsidRPr="00BF0378" w:rsidRDefault="00A42B40" w:rsidP="00533C28">
      <w:pPr>
        <w:pStyle w:val="Normal3"/>
        <w:shd w:val="clear" w:color="auto" w:fill="DEEAF6" w:themeFill="accent5" w:themeFillTint="33"/>
      </w:pPr>
      <w:r w:rsidRPr="00BF0378">
        <w:t>A proposed National Policy Statement for Indigenous Biodiversity</w:t>
      </w:r>
      <w:r w:rsidR="002B3278" w:rsidRPr="00BF0378">
        <w:t>,</w:t>
      </w:r>
      <w:r w:rsidRPr="00BF0378">
        <w:t xml:space="preserve"> and</w:t>
      </w:r>
    </w:p>
    <w:p w14:paraId="00555AC1" w14:textId="39058966" w:rsidR="00A42B40" w:rsidRDefault="00A42B40" w:rsidP="00533C28">
      <w:pPr>
        <w:pStyle w:val="Normal3"/>
        <w:shd w:val="clear" w:color="auto" w:fill="DEEAF6" w:themeFill="accent5" w:themeFillTint="33"/>
        <w:rPr>
          <w:rFonts w:eastAsiaTheme="minorEastAsia"/>
        </w:rPr>
      </w:pPr>
      <w:r w:rsidRPr="00BF0378">
        <w:t>Proposed amendments</w:t>
      </w:r>
      <w:r>
        <w:t xml:space="preserve"> to the National Environmental Standards for Air Quality.</w:t>
      </w:r>
    </w:p>
    <w:p w14:paraId="6A971C85" w14:textId="4B6C255D" w:rsidR="00731E61" w:rsidRDefault="00A42B40" w:rsidP="00533C28">
      <w:pPr>
        <w:pStyle w:val="Normal2"/>
        <w:shd w:val="clear" w:color="auto" w:fill="DEEAF6" w:themeFill="accent5" w:themeFillTint="33"/>
      </w:pPr>
      <w:r>
        <w:t xml:space="preserve">For freshwater </w:t>
      </w:r>
      <w:proofErr w:type="gramStart"/>
      <w:r>
        <w:t>management in particular, there</w:t>
      </w:r>
      <w:proofErr w:type="gramEnd"/>
      <w:r>
        <w:t xml:space="preserve"> has been considerable change in the requirements for regional policy statements and the PORPS 2019 </w:t>
      </w:r>
      <w:r w:rsidR="003F6EF3">
        <w:t xml:space="preserve">is </w:t>
      </w:r>
      <w:r>
        <w:t xml:space="preserve">some way from complying with the new direction. </w:t>
      </w:r>
      <w:r w:rsidR="00475AC8">
        <w:t>This may also be the case for other topics, such as biodiversity, however it is difficult to know at this stage as the Government has not made final decisions on the proposals.</w:t>
      </w:r>
    </w:p>
    <w:p w14:paraId="214732A4" w14:textId="14D3B638" w:rsidR="005E02B2" w:rsidRDefault="00253AC4" w:rsidP="00533C28">
      <w:pPr>
        <w:pStyle w:val="Normal2"/>
        <w:shd w:val="clear" w:color="auto" w:fill="DEEAF6" w:themeFill="accent5" w:themeFillTint="33"/>
      </w:pPr>
      <w:r>
        <w:t xml:space="preserve">The </w:t>
      </w:r>
      <w:r w:rsidR="00DA25DA">
        <w:t>Government</w:t>
      </w:r>
      <w:r w:rsidR="00334075">
        <w:t xml:space="preserve"> </w:t>
      </w:r>
      <w:r w:rsidR="00BB4AAD">
        <w:t xml:space="preserve">also plans to repeal the RMA and replace it with three new pieces of </w:t>
      </w:r>
      <w:r w:rsidR="4149EC96">
        <w:t>legislation</w:t>
      </w:r>
      <w:r w:rsidR="00C94999">
        <w:t>.</w:t>
      </w:r>
      <w:r w:rsidR="00A172C5">
        <w:rPr>
          <w:rStyle w:val="FootnoteReference"/>
        </w:rPr>
        <w:footnoteReference w:id="5"/>
      </w:r>
      <w:r w:rsidR="00E4329E">
        <w:t xml:space="preserve"> </w:t>
      </w:r>
      <w:r w:rsidR="000C4BC5">
        <w:t xml:space="preserve">Given this is yet to occur, the </w:t>
      </w:r>
      <w:r w:rsidR="0088757D">
        <w:t xml:space="preserve">RMA remains the current </w:t>
      </w:r>
      <w:r w:rsidR="03980231">
        <w:t>legislative</w:t>
      </w:r>
      <w:r w:rsidR="00BF5832">
        <w:t xml:space="preserve"> basis</w:t>
      </w:r>
      <w:r w:rsidR="0088757D">
        <w:t xml:space="preserve"> for </w:t>
      </w:r>
      <w:r w:rsidR="00DC7E6F">
        <w:t>the PORPS</w:t>
      </w:r>
      <w:r w:rsidR="00E4329E">
        <w:t>.</w:t>
      </w:r>
      <w:r w:rsidR="00BB4AAD">
        <w:t xml:space="preserve"> </w:t>
      </w:r>
    </w:p>
    <w:p w14:paraId="59389C35" w14:textId="700C8CA4" w:rsidR="00CE07CE" w:rsidRDefault="00CE07CE" w:rsidP="00533C28">
      <w:pPr>
        <w:pStyle w:val="Heading3"/>
        <w:shd w:val="clear" w:color="auto" w:fill="DEEAF6" w:themeFill="accent5" w:themeFillTint="33"/>
      </w:pPr>
      <w:r>
        <w:t xml:space="preserve">Review of the existing </w:t>
      </w:r>
      <w:r w:rsidR="00BF4E81">
        <w:t xml:space="preserve">regional </w:t>
      </w:r>
      <w:r>
        <w:t>policy statements</w:t>
      </w:r>
    </w:p>
    <w:p w14:paraId="7D6B94D1" w14:textId="1DAECF47" w:rsidR="0059222C" w:rsidRDefault="0059222C" w:rsidP="00533C28">
      <w:pPr>
        <w:pStyle w:val="Normal2"/>
        <w:shd w:val="clear" w:color="auto" w:fill="DEEAF6" w:themeFill="accent5" w:themeFillTint="33"/>
      </w:pPr>
      <w:r>
        <w:t xml:space="preserve">A review of the RPS 1998 had already been undertaken in 2014 to inform the development of the replacement RPS. A targeted review of the PORPS 2019 was undertaken in </w:t>
      </w:r>
      <w:r w:rsidR="00EB7C19">
        <w:t xml:space="preserve">March 2020. </w:t>
      </w:r>
      <w:r w:rsidR="00EB7C19">
        <w:lastRenderedPageBreak/>
        <w:t>As the PORPS 2019 had little time to be implemented</w:t>
      </w:r>
      <w:r w:rsidR="00571086">
        <w:t xml:space="preserve"> by that date</w:t>
      </w:r>
      <w:r w:rsidR="00EB7C19">
        <w:t xml:space="preserve"> (and</w:t>
      </w:r>
      <w:r w:rsidR="00724B54">
        <w:t>,</w:t>
      </w:r>
      <w:r w:rsidR="00EB7C19">
        <w:t xml:space="preserve"> in some cases, some provisions have not yet become operative so have not been implemented), th</w:t>
      </w:r>
      <w:r w:rsidR="00571086">
        <w:t>e</w:t>
      </w:r>
      <w:r w:rsidR="00EB7C19">
        <w:t xml:space="preserve"> review was primarily a planning evaluation of the compliance of the PORPS </w:t>
      </w:r>
      <w:r w:rsidR="003F6EF3">
        <w:t xml:space="preserve">2019 </w:t>
      </w:r>
      <w:r w:rsidR="00EB7C19">
        <w:t>with higher order documents</w:t>
      </w:r>
      <w:r w:rsidR="00571086">
        <w:t xml:space="preserve"> and the effectiveness of the provisions.</w:t>
      </w:r>
    </w:p>
    <w:p w14:paraId="0C6ED1D2" w14:textId="426F0340" w:rsidR="003B7D21" w:rsidRDefault="00731E61" w:rsidP="00533C28">
      <w:pPr>
        <w:pStyle w:val="Normal2"/>
        <w:shd w:val="clear" w:color="auto" w:fill="DEEAF6" w:themeFill="accent5" w:themeFillTint="33"/>
      </w:pPr>
      <w:r>
        <w:t xml:space="preserve">The review found that the structure of the PORPS 2019 led to issues with the effectiveness of the provisions. For example, having </w:t>
      </w:r>
      <w:r w:rsidR="003F6EF3">
        <w:t xml:space="preserve">only a </w:t>
      </w:r>
      <w:r w:rsidR="003B7D21">
        <w:t>few</w:t>
      </w:r>
      <w:r>
        <w:t xml:space="preserve"> very broad objectives provides little direction to the policies about the actions required to achieve the objectives. This means policies, in many cases, are attempting to specify both the outcomes sought and the courses of action to achieve them, rather than only the latter. </w:t>
      </w:r>
    </w:p>
    <w:p w14:paraId="66569654" w14:textId="24633180" w:rsidR="00EB7C19" w:rsidRDefault="00731E61" w:rsidP="00533C28">
      <w:pPr>
        <w:pStyle w:val="Normal2"/>
        <w:shd w:val="clear" w:color="auto" w:fill="DEEAF6" w:themeFill="accent5" w:themeFillTint="33"/>
      </w:pPr>
      <w:r>
        <w:t>Another example is the approach of having one set of methods which are cross-referenced as relevant under each policy. The methods are therefore also very broad, and often lack clarity about the roles and responsibilities of the different local authorities, particularly for issues where there needs to be integrated management across jurisdictional boundaries.</w:t>
      </w:r>
    </w:p>
    <w:p w14:paraId="55255839" w14:textId="648394EA" w:rsidR="003061FB" w:rsidRDefault="003061FB" w:rsidP="00533C28">
      <w:pPr>
        <w:pStyle w:val="Heading2"/>
        <w:shd w:val="clear" w:color="auto" w:fill="DEEAF6" w:themeFill="accent5" w:themeFillTint="33"/>
      </w:pPr>
      <w:bookmarkStart w:id="9" w:name="_Ref31806444"/>
      <w:bookmarkStart w:id="10" w:name="_Toc72507618"/>
      <w:r>
        <w:t>Requirements of section 32 of the RMA</w:t>
      </w:r>
      <w:bookmarkEnd w:id="9"/>
      <w:bookmarkEnd w:id="10"/>
    </w:p>
    <w:p w14:paraId="2E06FCEB" w14:textId="0584E478" w:rsidR="003061FB" w:rsidRDefault="003061FB" w:rsidP="00533C28">
      <w:pPr>
        <w:pStyle w:val="Normal2"/>
        <w:shd w:val="clear" w:color="auto" w:fill="DEEAF6" w:themeFill="accent5" w:themeFillTint="33"/>
      </w:pPr>
      <w:r>
        <w:t xml:space="preserve">ORC </w:t>
      </w:r>
      <w:r w:rsidRPr="009A4DAA">
        <w:t>is</w:t>
      </w:r>
      <w:r>
        <w:t xml:space="preserve"> required to prepare an evaluation report for the </w:t>
      </w:r>
      <w:r w:rsidR="00E81F7F">
        <w:t>PORPS 2021</w:t>
      </w:r>
      <w:r w:rsidR="005736A6">
        <w:t xml:space="preserve"> </w:t>
      </w:r>
      <w:r>
        <w:t>in accordance with section 32 of the RMA.</w:t>
      </w:r>
      <w:r>
        <w:rPr>
          <w:rStyle w:val="FootnoteReference"/>
        </w:rPr>
        <w:footnoteReference w:id="6"/>
      </w:r>
      <w:r>
        <w:t xml:space="preserve"> Section 32(1) sets out the requirements for an evaluation report, which are:</w:t>
      </w:r>
    </w:p>
    <w:p w14:paraId="3A467AAD" w14:textId="77777777" w:rsidR="0035012C" w:rsidRPr="00BF0378" w:rsidRDefault="003061FB" w:rsidP="00533C28">
      <w:pPr>
        <w:pStyle w:val="Normal3"/>
        <w:shd w:val="clear" w:color="auto" w:fill="DEEAF6" w:themeFill="accent5" w:themeFillTint="33"/>
      </w:pPr>
      <w:r>
        <w:t xml:space="preserve">Examining </w:t>
      </w:r>
      <w:r w:rsidRPr="00BF0378">
        <w:t xml:space="preserve">the extent to which the objectives of the proposal being evaluated are the most appropriate way to achieve the purpose of the </w:t>
      </w:r>
      <w:proofErr w:type="gramStart"/>
      <w:r w:rsidRPr="00BF0378">
        <w:t>RMA;</w:t>
      </w:r>
      <w:proofErr w:type="gramEnd"/>
    </w:p>
    <w:p w14:paraId="665A951C" w14:textId="77777777" w:rsidR="0035012C" w:rsidRPr="00874220" w:rsidRDefault="003061FB" w:rsidP="00533C28">
      <w:pPr>
        <w:pStyle w:val="Normal3"/>
        <w:shd w:val="clear" w:color="auto" w:fill="DEEAF6" w:themeFill="accent5" w:themeFillTint="33"/>
        <w:rPr>
          <w:rFonts w:eastAsiaTheme="minorEastAsia"/>
        </w:rPr>
      </w:pPr>
      <w:r w:rsidRPr="00BF0378">
        <w:t>Examining whether</w:t>
      </w:r>
      <w:r>
        <w:t xml:space="preserve"> the provisions in the proposal are the most appropriate way to achieve the objectives by – </w:t>
      </w:r>
    </w:p>
    <w:p w14:paraId="466BCA4D" w14:textId="77777777" w:rsidR="0035012C" w:rsidRPr="00BF0378" w:rsidRDefault="003061FB" w:rsidP="00533C28">
      <w:pPr>
        <w:pStyle w:val="Normal4"/>
        <w:shd w:val="clear" w:color="auto" w:fill="DEEAF6" w:themeFill="accent5" w:themeFillTint="33"/>
      </w:pPr>
      <w:r w:rsidRPr="00BF0378">
        <w:t>identifying other reasonably practicable options for achieving the objectives; and</w:t>
      </w:r>
    </w:p>
    <w:p w14:paraId="74364B28" w14:textId="77777777" w:rsidR="0035012C" w:rsidRPr="00BF0378" w:rsidRDefault="003061FB" w:rsidP="00533C28">
      <w:pPr>
        <w:pStyle w:val="Normal4"/>
        <w:shd w:val="clear" w:color="auto" w:fill="DEEAF6" w:themeFill="accent5" w:themeFillTint="33"/>
      </w:pPr>
      <w:r w:rsidRPr="00BF0378">
        <w:t>assessing the efficiency and effectiveness of the provisions in achieving the objectives; and</w:t>
      </w:r>
    </w:p>
    <w:p w14:paraId="25445824" w14:textId="77777777" w:rsidR="0035012C" w:rsidRPr="00874220" w:rsidRDefault="003061FB" w:rsidP="00533C28">
      <w:pPr>
        <w:pStyle w:val="Normal4"/>
        <w:shd w:val="clear" w:color="auto" w:fill="DEEAF6" w:themeFill="accent5" w:themeFillTint="33"/>
        <w:rPr>
          <w:rFonts w:eastAsiaTheme="minorEastAsia"/>
        </w:rPr>
      </w:pPr>
      <w:r w:rsidRPr="00BF0378">
        <w:t>summarising</w:t>
      </w:r>
      <w:r>
        <w:t xml:space="preserve"> the reasons for deciding on the provisions; and</w:t>
      </w:r>
    </w:p>
    <w:p w14:paraId="299C00CB" w14:textId="037B1E41" w:rsidR="003061FB" w:rsidRDefault="00354213" w:rsidP="00533C28">
      <w:pPr>
        <w:pStyle w:val="Normal3"/>
        <w:shd w:val="clear" w:color="auto" w:fill="DEEAF6" w:themeFill="accent5" w:themeFillTint="33"/>
        <w:rPr>
          <w:rFonts w:eastAsiaTheme="minorEastAsia"/>
        </w:rPr>
      </w:pPr>
      <w:r>
        <w:t>c</w:t>
      </w:r>
      <w:r w:rsidR="003061FB">
        <w:t xml:space="preserve">ontaining a level of detail that corresponds to the scale and significance of the environmental, economic, </w:t>
      </w:r>
      <w:proofErr w:type="gramStart"/>
      <w:r w:rsidR="003061FB">
        <w:t>social</w:t>
      </w:r>
      <w:proofErr w:type="gramEnd"/>
      <w:r w:rsidR="003061FB">
        <w:t xml:space="preserve"> and cultural effects that are anticipated from the implementation of the proposal. </w:t>
      </w:r>
    </w:p>
    <w:p w14:paraId="05B83AB7" w14:textId="3452AF31" w:rsidR="005B4C93" w:rsidRDefault="005B4C93" w:rsidP="00533C28">
      <w:pPr>
        <w:pStyle w:val="Normal2"/>
        <w:shd w:val="clear" w:color="auto" w:fill="DEEAF6" w:themeFill="accent5" w:themeFillTint="33"/>
      </w:pPr>
      <w:r>
        <w:t xml:space="preserve">Section 32(6) contains definitions of “objectives” and “provisions”. In accordance with those definitions, the objectives assessed under section 32(1)(a) are the objectives contained in the </w:t>
      </w:r>
      <w:r w:rsidR="00E81F7F">
        <w:t>PORPS 2021</w:t>
      </w:r>
      <w:r>
        <w:t xml:space="preserve"> and the provisions assessed under section 32(1)(b) are the policies or provisions that implement, or give effect to, the objectives. For the </w:t>
      </w:r>
      <w:r w:rsidR="00E81F7F">
        <w:t>PORPS 2021</w:t>
      </w:r>
      <w:r>
        <w:t>, this includes the policies and methods.</w:t>
      </w:r>
    </w:p>
    <w:p w14:paraId="3386EAD9" w14:textId="5ECDF03E" w:rsidR="003061FB" w:rsidRDefault="003061FB" w:rsidP="00533C28">
      <w:pPr>
        <w:pStyle w:val="Normal2"/>
        <w:shd w:val="clear" w:color="auto" w:fill="DEEAF6" w:themeFill="accent5" w:themeFillTint="33"/>
      </w:pPr>
      <w:r>
        <w:t>Section 32(2) states that an examination of the appropriateness of the provisions must:</w:t>
      </w:r>
    </w:p>
    <w:p w14:paraId="1D352F93" w14:textId="4C4CE06D" w:rsidR="0035012C" w:rsidRPr="00874220" w:rsidRDefault="00CE71E8" w:rsidP="00533C28">
      <w:pPr>
        <w:pStyle w:val="Normal3"/>
        <w:shd w:val="clear" w:color="auto" w:fill="DEEAF6" w:themeFill="accent5" w:themeFillTint="33"/>
      </w:pPr>
      <w:r>
        <w:t>I</w:t>
      </w:r>
      <w:r w:rsidR="003061FB">
        <w:t xml:space="preserve">dentify and assess the benefits and costs of the environmental, economic, </w:t>
      </w:r>
      <w:proofErr w:type="gramStart"/>
      <w:r w:rsidR="003061FB">
        <w:t>social</w:t>
      </w:r>
      <w:proofErr w:type="gramEnd"/>
      <w:r w:rsidR="003061FB">
        <w:t xml:space="preserve"> and cultural effects anticipated from the implementation of the provisions, including the opportunities for:</w:t>
      </w:r>
    </w:p>
    <w:p w14:paraId="29CBE703" w14:textId="77777777" w:rsidR="0035012C" w:rsidRPr="00874220" w:rsidRDefault="003061FB" w:rsidP="00533C28">
      <w:pPr>
        <w:pStyle w:val="Normal4"/>
        <w:shd w:val="clear" w:color="auto" w:fill="DEEAF6" w:themeFill="accent5" w:themeFillTint="33"/>
      </w:pPr>
      <w:r>
        <w:t>Economic growth that are anticipated to be provided or reduced; and</w:t>
      </w:r>
    </w:p>
    <w:p w14:paraId="46E6B088" w14:textId="77777777" w:rsidR="0035012C" w:rsidRPr="00874220" w:rsidRDefault="003061FB" w:rsidP="00533C28">
      <w:pPr>
        <w:pStyle w:val="Normal4"/>
        <w:shd w:val="clear" w:color="auto" w:fill="DEEAF6" w:themeFill="accent5" w:themeFillTint="33"/>
      </w:pPr>
      <w:r>
        <w:t xml:space="preserve">Employment that are anticipated to be provided or </w:t>
      </w:r>
      <w:proofErr w:type="gramStart"/>
      <w:r>
        <w:t>reduced;</w:t>
      </w:r>
      <w:proofErr w:type="gramEnd"/>
      <w:r>
        <w:t xml:space="preserve"> </w:t>
      </w:r>
    </w:p>
    <w:p w14:paraId="0904CC18" w14:textId="1D774395" w:rsidR="0035012C" w:rsidRPr="00874220" w:rsidRDefault="008B40AB" w:rsidP="00533C28">
      <w:pPr>
        <w:pStyle w:val="Normal3"/>
        <w:shd w:val="clear" w:color="auto" w:fill="DEEAF6" w:themeFill="accent5" w:themeFillTint="33"/>
      </w:pPr>
      <w:r>
        <w:t>I</w:t>
      </w:r>
      <w:r w:rsidR="003061FB">
        <w:t>f practicable, quantify the benefits and costs;</w:t>
      </w:r>
      <w:r w:rsidR="00354213">
        <w:t xml:space="preserve"> and</w:t>
      </w:r>
    </w:p>
    <w:p w14:paraId="5EA98760" w14:textId="56558E3B" w:rsidR="003061FB" w:rsidRDefault="008B40AB" w:rsidP="00533C28">
      <w:pPr>
        <w:pStyle w:val="Normal3"/>
        <w:shd w:val="clear" w:color="auto" w:fill="DEEAF6" w:themeFill="accent5" w:themeFillTint="33"/>
      </w:pPr>
      <w:r>
        <w:lastRenderedPageBreak/>
        <w:t>A</w:t>
      </w:r>
      <w:r w:rsidR="003061FB">
        <w:t>ssess the risk of acting or not acting if there is uncertain or insufficient information about the subject matter of the provisions.</w:t>
      </w:r>
    </w:p>
    <w:p w14:paraId="3B5B31FC" w14:textId="1A8BCE3E" w:rsidR="00F270FB" w:rsidRPr="00533C28" w:rsidRDefault="003061FB" w:rsidP="00533C28">
      <w:pPr>
        <w:pStyle w:val="Normal2"/>
        <w:shd w:val="clear" w:color="auto" w:fill="DEEAF6" w:themeFill="accent5" w:themeFillTint="33"/>
      </w:pPr>
      <w:r>
        <w:t xml:space="preserve">The evaluation report must also summarise any advice on the proposal received from iwi authorities, including the Council’s response to that advice and any provisions that are intended to give effect to the advice. </w:t>
      </w:r>
    </w:p>
    <w:p w14:paraId="7B31F0B6" w14:textId="77777777" w:rsidR="00533C28" w:rsidRDefault="00533C28">
      <w:pPr>
        <w:rPr>
          <w:rFonts w:asciiTheme="majorHAnsi" w:eastAsiaTheme="majorEastAsia" w:hAnsiTheme="majorHAnsi" w:cstheme="majorBidi"/>
          <w:color w:val="2F5496" w:themeColor="accent1" w:themeShade="BF"/>
          <w:sz w:val="32"/>
          <w:szCs w:val="32"/>
        </w:rPr>
      </w:pPr>
      <w:bookmarkStart w:id="11" w:name="_Toc18674469"/>
      <w:bookmarkStart w:id="12" w:name="_Ref32841349"/>
      <w:bookmarkStart w:id="13" w:name="_Toc72507619"/>
      <w:bookmarkStart w:id="14" w:name="_Hlk19706071"/>
      <w:r>
        <w:br w:type="page"/>
      </w:r>
    </w:p>
    <w:p w14:paraId="416E67D3" w14:textId="0073F2B0" w:rsidR="00913467" w:rsidRPr="00960982" w:rsidRDefault="00667AE0" w:rsidP="00533C28">
      <w:pPr>
        <w:pStyle w:val="Heading1"/>
        <w:shd w:val="clear" w:color="auto" w:fill="DEEAF6" w:themeFill="accent5" w:themeFillTint="33"/>
      </w:pPr>
      <w:r>
        <w:lastRenderedPageBreak/>
        <w:t>Development and c</w:t>
      </w:r>
      <w:r w:rsidR="00913467" w:rsidRPr="00960982">
        <w:t>onsultation</w:t>
      </w:r>
      <w:bookmarkEnd w:id="11"/>
      <w:bookmarkEnd w:id="12"/>
      <w:bookmarkEnd w:id="13"/>
    </w:p>
    <w:bookmarkEnd w:id="14"/>
    <w:p w14:paraId="07D7051B" w14:textId="7A6B442E" w:rsidR="00E81F7F" w:rsidRPr="00547897" w:rsidRDefault="00755A7D" w:rsidP="00533C28">
      <w:pPr>
        <w:pStyle w:val="Normal2"/>
        <w:shd w:val="clear" w:color="auto" w:fill="DEEAF6" w:themeFill="accent5" w:themeFillTint="33"/>
      </w:pPr>
      <w:r>
        <w:t>ORC confirmed the commencement of a review of the PORPS 2019</w:t>
      </w:r>
      <w:r w:rsidR="00C4203D">
        <w:t xml:space="preserve"> at an extraordinary Council meeting on 27 November 2019. Since then, </w:t>
      </w:r>
      <w:r w:rsidR="00CD2AA9">
        <w:t xml:space="preserve">ORC has sought to develop the PORPS 2021 by working closely with iwi and providing </w:t>
      </w:r>
      <w:proofErr w:type="gramStart"/>
      <w:r w:rsidR="00CD2AA9">
        <w:t>a number of</w:t>
      </w:r>
      <w:proofErr w:type="gramEnd"/>
      <w:r w:rsidR="00CD2AA9">
        <w:t xml:space="preserve"> opportunities for public consultation. This section outlines the involvement of iwi in the development process as well as the </w:t>
      </w:r>
      <w:r w:rsidR="002F5B4F">
        <w:t>public consultation undertaken.</w:t>
      </w:r>
      <w:r w:rsidR="00FD1325">
        <w:t xml:space="preserve"> </w:t>
      </w:r>
    </w:p>
    <w:p w14:paraId="259AA947" w14:textId="59AEDB17" w:rsidR="00FD2548" w:rsidRDefault="00E34D53" w:rsidP="00533C28">
      <w:pPr>
        <w:pStyle w:val="Heading2"/>
        <w:shd w:val="clear" w:color="auto" w:fill="DEEAF6" w:themeFill="accent5" w:themeFillTint="33"/>
      </w:pPr>
      <w:bookmarkStart w:id="15" w:name="_Ref65235358"/>
      <w:bookmarkStart w:id="16" w:name="_Toc72507620"/>
      <w:r>
        <w:t>Iw</w:t>
      </w:r>
      <w:r w:rsidR="006F0A68">
        <w:t>i involvement</w:t>
      </w:r>
      <w:bookmarkEnd w:id="15"/>
      <w:bookmarkEnd w:id="16"/>
    </w:p>
    <w:p w14:paraId="59126294" w14:textId="77777777" w:rsidR="00E11895" w:rsidRDefault="00932A6F" w:rsidP="00533C28">
      <w:pPr>
        <w:pStyle w:val="Normal2"/>
        <w:shd w:val="clear" w:color="auto" w:fill="DEEAF6" w:themeFill="accent5" w:themeFillTint="33"/>
      </w:pPr>
      <w:proofErr w:type="gramStart"/>
      <w:r>
        <w:t>All of</w:t>
      </w:r>
      <w:proofErr w:type="gramEnd"/>
      <w:r>
        <w:t xml:space="preserve"> the Otago region </w:t>
      </w:r>
      <w:r w:rsidR="008A4F74">
        <w:t xml:space="preserve">is within the Ngāi </w:t>
      </w:r>
      <w:proofErr w:type="spellStart"/>
      <w:r w:rsidR="008A4F74">
        <w:t>Tahu</w:t>
      </w:r>
      <w:proofErr w:type="spellEnd"/>
      <w:r w:rsidR="008A4F74">
        <w:t xml:space="preserve"> </w:t>
      </w:r>
      <w:proofErr w:type="spellStart"/>
      <w:r w:rsidR="008A4F74">
        <w:t>Whanui</w:t>
      </w:r>
      <w:proofErr w:type="spellEnd"/>
      <w:r w:rsidR="008A4F74">
        <w:t xml:space="preserve"> </w:t>
      </w:r>
      <w:r w:rsidR="00C0655E">
        <w:t>takiw</w:t>
      </w:r>
      <w:r w:rsidR="00686026" w:rsidRPr="7DE66FE7">
        <w:t>ā</w:t>
      </w:r>
      <w:r w:rsidR="00604E5E">
        <w:rPr>
          <w:rStyle w:val="FootnoteReference"/>
        </w:rPr>
        <w:footnoteReference w:id="7"/>
      </w:r>
      <w:r w:rsidR="00C0655E">
        <w:t xml:space="preserve"> </w:t>
      </w:r>
      <w:r w:rsidR="00E72C37">
        <w:t>which includes</w:t>
      </w:r>
      <w:r w:rsidR="0011152B">
        <w:t xml:space="preserve"> 1</w:t>
      </w:r>
      <w:r w:rsidR="00016134">
        <w:t>8</w:t>
      </w:r>
      <w:r w:rsidR="004B0282">
        <w:t xml:space="preserve"> Papatipu </w:t>
      </w:r>
      <w:proofErr w:type="spellStart"/>
      <w:r w:rsidR="004B0282">
        <w:t>Rūna</w:t>
      </w:r>
      <w:r w:rsidR="00A662C7">
        <w:t>k</w:t>
      </w:r>
      <w:r w:rsidR="004B0282">
        <w:t>a</w:t>
      </w:r>
      <w:proofErr w:type="spellEnd"/>
      <w:r w:rsidR="004A41C2">
        <w:t xml:space="preserve">. </w:t>
      </w:r>
      <w:r w:rsidR="00E72C37">
        <w:t xml:space="preserve">There are </w:t>
      </w:r>
      <w:r w:rsidR="00E11895">
        <w:t>four</w:t>
      </w:r>
      <w:r w:rsidR="00E72C37">
        <w:t xml:space="preserve"> relevant iwi management plans lodged with ORC: </w:t>
      </w:r>
    </w:p>
    <w:p w14:paraId="4E599128" w14:textId="15285C79" w:rsidR="00E11895" w:rsidRDefault="00E11895" w:rsidP="00533C28">
      <w:pPr>
        <w:pStyle w:val="Normal3"/>
        <w:shd w:val="clear" w:color="auto" w:fill="DEEAF6" w:themeFill="accent5" w:themeFillTint="33"/>
      </w:pPr>
      <w:r>
        <w:t xml:space="preserve">Te </w:t>
      </w:r>
      <w:proofErr w:type="spellStart"/>
      <w:r>
        <w:t>Rūnanga</w:t>
      </w:r>
      <w:proofErr w:type="spellEnd"/>
      <w:r>
        <w:t xml:space="preserve"> o Ngāi </w:t>
      </w:r>
      <w:proofErr w:type="spellStart"/>
      <w:r>
        <w:t>Tahu</w:t>
      </w:r>
      <w:proofErr w:type="spellEnd"/>
      <w:r>
        <w:t xml:space="preserve"> Freshwater Policy 1999</w:t>
      </w:r>
    </w:p>
    <w:p w14:paraId="499C69E3" w14:textId="260A52D8" w:rsidR="00E11895" w:rsidRDefault="00E72C37" w:rsidP="00533C28">
      <w:pPr>
        <w:pStyle w:val="Normal3"/>
        <w:shd w:val="clear" w:color="auto" w:fill="DEEAF6" w:themeFill="accent5" w:themeFillTint="33"/>
      </w:pPr>
      <w:r>
        <w:t xml:space="preserve">Kāi </w:t>
      </w:r>
      <w:proofErr w:type="spellStart"/>
      <w:r>
        <w:t>Tahu</w:t>
      </w:r>
      <w:proofErr w:type="spellEnd"/>
      <w:r>
        <w:t xml:space="preserve"> </w:t>
      </w:r>
      <w:r w:rsidR="003236CE">
        <w:t xml:space="preserve">ki Otago </w:t>
      </w:r>
      <w:r w:rsidR="00032295">
        <w:t>Natural Resources Management Plan 2005</w:t>
      </w:r>
    </w:p>
    <w:p w14:paraId="0AE84A36" w14:textId="6888CC0C" w:rsidR="00E11895" w:rsidRDefault="00C96DD1" w:rsidP="00533C28">
      <w:pPr>
        <w:pStyle w:val="Normal3"/>
        <w:shd w:val="clear" w:color="auto" w:fill="DEEAF6" w:themeFill="accent5" w:themeFillTint="33"/>
      </w:pPr>
      <w:r>
        <w:t xml:space="preserve">Te Tangi a </w:t>
      </w:r>
      <w:proofErr w:type="spellStart"/>
      <w:r>
        <w:t>Tauira</w:t>
      </w:r>
      <w:proofErr w:type="spellEnd"/>
      <w:r>
        <w:t xml:space="preserve">: Ngāi </w:t>
      </w:r>
      <w:proofErr w:type="spellStart"/>
      <w:r>
        <w:t>Tahu</w:t>
      </w:r>
      <w:proofErr w:type="spellEnd"/>
      <w:r>
        <w:t xml:space="preserve"> ki Murihiku Natural Resource and Environmental Iwi Management Plan 2008</w:t>
      </w:r>
    </w:p>
    <w:p w14:paraId="11F60785" w14:textId="1565B2AE" w:rsidR="00E11895" w:rsidRDefault="006A2A36" w:rsidP="00533C28">
      <w:pPr>
        <w:pStyle w:val="Normal3"/>
        <w:shd w:val="clear" w:color="auto" w:fill="DEEAF6" w:themeFill="accent5" w:themeFillTint="33"/>
      </w:pPr>
      <w:r>
        <w:t>Waitaki Iwi Manage</w:t>
      </w:r>
      <w:r w:rsidR="00B94955">
        <w:t>ment Plan 2019</w:t>
      </w:r>
    </w:p>
    <w:p w14:paraId="42971AF5" w14:textId="4AAAE7F8" w:rsidR="006F0A68" w:rsidRDefault="00E11895" w:rsidP="00533C28">
      <w:pPr>
        <w:pStyle w:val="Normal2"/>
        <w:shd w:val="clear" w:color="auto" w:fill="DEEAF6" w:themeFill="accent5" w:themeFillTint="33"/>
      </w:pPr>
      <w:r>
        <w:t xml:space="preserve">Apart from Te </w:t>
      </w:r>
      <w:proofErr w:type="spellStart"/>
      <w:r>
        <w:t>Rūnanga</w:t>
      </w:r>
      <w:proofErr w:type="spellEnd"/>
      <w:r>
        <w:t xml:space="preserve"> o Ngāi </w:t>
      </w:r>
      <w:proofErr w:type="spellStart"/>
      <w:r>
        <w:t>Tahu</w:t>
      </w:r>
      <w:proofErr w:type="spellEnd"/>
      <w:r>
        <w:t xml:space="preserve"> Freshwater Policy 1999, t</w:t>
      </w:r>
      <w:r w:rsidR="00C96DD1">
        <w:t xml:space="preserve">he plans </w:t>
      </w:r>
      <w:r w:rsidR="00DE6A1F">
        <w:t>apply to parts of the Otago region</w:t>
      </w:r>
      <w:r w:rsidR="00672B03">
        <w:t xml:space="preserve"> in line with the </w:t>
      </w:r>
      <w:proofErr w:type="spellStart"/>
      <w:r w:rsidR="00672B03">
        <w:t>rohe</w:t>
      </w:r>
      <w:proofErr w:type="spellEnd"/>
      <w:r w:rsidR="00672B03">
        <w:t xml:space="preserve"> of Papatipu </w:t>
      </w:r>
      <w:proofErr w:type="spellStart"/>
      <w:r w:rsidR="00672B03">
        <w:t>Rūna</w:t>
      </w:r>
      <w:r w:rsidR="00A662C7">
        <w:t>k</w:t>
      </w:r>
      <w:r w:rsidR="00672B03">
        <w:t>a</w:t>
      </w:r>
      <w:proofErr w:type="spellEnd"/>
      <w:r w:rsidR="00672B03">
        <w:t xml:space="preserve">. For Kāi </w:t>
      </w:r>
      <w:proofErr w:type="spellStart"/>
      <w:r w:rsidR="00672B03">
        <w:t>Tahu</w:t>
      </w:r>
      <w:proofErr w:type="spellEnd"/>
      <w:r w:rsidR="00672B03">
        <w:t xml:space="preserve"> ki Otago, these are:</w:t>
      </w:r>
    </w:p>
    <w:p w14:paraId="3285EAE0" w14:textId="123BA98B" w:rsidR="00152E3B" w:rsidRPr="00057C7E" w:rsidRDefault="00152E3B" w:rsidP="00533C28">
      <w:pPr>
        <w:pStyle w:val="Normal3"/>
        <w:shd w:val="clear" w:color="auto" w:fill="DEEAF6" w:themeFill="accent5" w:themeFillTint="33"/>
      </w:pPr>
      <w:r>
        <w:t xml:space="preserve">Te </w:t>
      </w:r>
      <w:proofErr w:type="spellStart"/>
      <w:r w:rsidRPr="00057C7E">
        <w:t>Rūnanga</w:t>
      </w:r>
      <w:proofErr w:type="spellEnd"/>
      <w:r w:rsidRPr="00057C7E">
        <w:t xml:space="preserve"> o </w:t>
      </w:r>
      <w:proofErr w:type="gramStart"/>
      <w:r w:rsidRPr="00057C7E">
        <w:t>Moeraki</w:t>
      </w:r>
      <w:r w:rsidR="00A60DDE" w:rsidRPr="00057C7E">
        <w:t>;</w:t>
      </w:r>
      <w:proofErr w:type="gramEnd"/>
    </w:p>
    <w:p w14:paraId="245E6074" w14:textId="15E3E375" w:rsidR="00152E3B" w:rsidRPr="00057C7E" w:rsidRDefault="00152E3B" w:rsidP="00533C28">
      <w:pPr>
        <w:pStyle w:val="Normal3"/>
        <w:shd w:val="clear" w:color="auto" w:fill="DEEAF6" w:themeFill="accent5" w:themeFillTint="33"/>
      </w:pPr>
      <w:r w:rsidRPr="00057C7E">
        <w:t xml:space="preserve">Kāi </w:t>
      </w:r>
      <w:proofErr w:type="spellStart"/>
      <w:r w:rsidRPr="00057C7E">
        <w:t>Hu</w:t>
      </w:r>
      <w:r w:rsidR="007F5707" w:rsidRPr="00057C7E">
        <w:t>irapa</w:t>
      </w:r>
      <w:proofErr w:type="spellEnd"/>
      <w:r w:rsidR="007F5707" w:rsidRPr="00057C7E">
        <w:t xml:space="preserve"> </w:t>
      </w:r>
      <w:proofErr w:type="spellStart"/>
      <w:r w:rsidR="007F5707" w:rsidRPr="00057C7E">
        <w:t>Rūnaka</w:t>
      </w:r>
      <w:proofErr w:type="spellEnd"/>
      <w:r w:rsidR="007F5707" w:rsidRPr="00057C7E">
        <w:t xml:space="preserve"> ki </w:t>
      </w:r>
      <w:proofErr w:type="spellStart"/>
      <w:proofErr w:type="gramStart"/>
      <w:r w:rsidR="007F5707" w:rsidRPr="00057C7E">
        <w:t>Puketeraki</w:t>
      </w:r>
      <w:proofErr w:type="spellEnd"/>
      <w:r w:rsidR="00A60DDE" w:rsidRPr="00057C7E">
        <w:t>;</w:t>
      </w:r>
      <w:proofErr w:type="gramEnd"/>
    </w:p>
    <w:p w14:paraId="5A2BDCAC" w14:textId="157A5C82" w:rsidR="007F5707" w:rsidRPr="00057C7E" w:rsidRDefault="007F5707" w:rsidP="00533C28">
      <w:pPr>
        <w:pStyle w:val="Normal3"/>
        <w:shd w:val="clear" w:color="auto" w:fill="DEEAF6" w:themeFill="accent5" w:themeFillTint="33"/>
      </w:pPr>
      <w:r w:rsidRPr="00057C7E">
        <w:t xml:space="preserve">Te </w:t>
      </w:r>
      <w:proofErr w:type="spellStart"/>
      <w:r w:rsidRPr="00057C7E">
        <w:t>Rūnanga</w:t>
      </w:r>
      <w:proofErr w:type="spellEnd"/>
      <w:r w:rsidRPr="00057C7E">
        <w:t xml:space="preserve"> o </w:t>
      </w:r>
      <w:proofErr w:type="spellStart"/>
      <w:r w:rsidRPr="00057C7E">
        <w:t>Ōtākou</w:t>
      </w:r>
      <w:proofErr w:type="spellEnd"/>
      <w:r w:rsidR="00A60DDE" w:rsidRPr="00057C7E">
        <w:t>; and</w:t>
      </w:r>
    </w:p>
    <w:p w14:paraId="6B8153E3" w14:textId="6299CE8D" w:rsidR="007F5707" w:rsidRPr="007C3002" w:rsidRDefault="00A60DDE" w:rsidP="00533C28">
      <w:pPr>
        <w:pStyle w:val="Normal3"/>
        <w:shd w:val="clear" w:color="auto" w:fill="DEEAF6" w:themeFill="accent5" w:themeFillTint="33"/>
      </w:pPr>
      <w:proofErr w:type="spellStart"/>
      <w:r w:rsidRPr="00057C7E">
        <w:t>Hokonui</w:t>
      </w:r>
      <w:proofErr w:type="spellEnd"/>
      <w:r w:rsidRPr="00057C7E">
        <w:t xml:space="preserve"> </w:t>
      </w:r>
      <w:proofErr w:type="spellStart"/>
      <w:r w:rsidRPr="00057C7E">
        <w:t>Rūnanga</w:t>
      </w:r>
      <w:proofErr w:type="spellEnd"/>
      <w:r>
        <w:t>.</w:t>
      </w:r>
    </w:p>
    <w:p w14:paraId="4195E944" w14:textId="3D406D2E" w:rsidR="00A60DDE" w:rsidRPr="007C3002" w:rsidRDefault="00672B03" w:rsidP="00533C28">
      <w:pPr>
        <w:pStyle w:val="Normal2"/>
        <w:shd w:val="clear" w:color="auto" w:fill="DEEAF6" w:themeFill="accent5" w:themeFillTint="33"/>
      </w:pPr>
      <w:r>
        <w:t>For</w:t>
      </w:r>
      <w:r w:rsidR="00476518">
        <w:t xml:space="preserve"> Ngāi </w:t>
      </w:r>
      <w:proofErr w:type="spellStart"/>
      <w:r w:rsidR="00476518">
        <w:t>Tahu</w:t>
      </w:r>
      <w:proofErr w:type="spellEnd"/>
      <w:r w:rsidR="00476518">
        <w:t xml:space="preserve"> ki Murihiku</w:t>
      </w:r>
      <w:r>
        <w:t xml:space="preserve"> they are</w:t>
      </w:r>
      <w:r w:rsidR="00476518">
        <w:t>:</w:t>
      </w:r>
    </w:p>
    <w:p w14:paraId="5F8DDEFA" w14:textId="0CD173BB" w:rsidR="00476518" w:rsidRPr="007C3002" w:rsidRDefault="00476518" w:rsidP="00533C28">
      <w:pPr>
        <w:pStyle w:val="Normal3"/>
        <w:shd w:val="clear" w:color="auto" w:fill="DEEAF6" w:themeFill="accent5" w:themeFillTint="33"/>
      </w:pPr>
      <w:r>
        <w:t xml:space="preserve">Te </w:t>
      </w:r>
      <w:proofErr w:type="spellStart"/>
      <w:r>
        <w:t>Rūnanga</w:t>
      </w:r>
      <w:proofErr w:type="spellEnd"/>
      <w:r>
        <w:t xml:space="preserve"> o </w:t>
      </w:r>
      <w:proofErr w:type="spellStart"/>
      <w:proofErr w:type="gramStart"/>
      <w:r>
        <w:t>Awarua</w:t>
      </w:r>
      <w:proofErr w:type="spellEnd"/>
      <w:r>
        <w:t>;</w:t>
      </w:r>
      <w:proofErr w:type="gramEnd"/>
    </w:p>
    <w:p w14:paraId="5A5197EF" w14:textId="1CDBFBB8" w:rsidR="00476518" w:rsidRPr="007C3002" w:rsidRDefault="00476518" w:rsidP="00533C28">
      <w:pPr>
        <w:pStyle w:val="Normal3"/>
        <w:shd w:val="clear" w:color="auto" w:fill="DEEAF6" w:themeFill="accent5" w:themeFillTint="33"/>
      </w:pPr>
      <w:r>
        <w:t xml:space="preserve">Te </w:t>
      </w:r>
      <w:proofErr w:type="spellStart"/>
      <w:r>
        <w:t>Rūnanga</w:t>
      </w:r>
      <w:proofErr w:type="spellEnd"/>
      <w:r>
        <w:t xml:space="preserve"> o </w:t>
      </w:r>
      <w:proofErr w:type="spellStart"/>
      <w:r>
        <w:t>Oraka</w:t>
      </w:r>
      <w:proofErr w:type="spellEnd"/>
      <w:r>
        <w:t>/</w:t>
      </w:r>
      <w:proofErr w:type="gramStart"/>
      <w:r>
        <w:t>Aparima;</w:t>
      </w:r>
      <w:proofErr w:type="gramEnd"/>
    </w:p>
    <w:p w14:paraId="3E54741F" w14:textId="2BF6E4F6" w:rsidR="00476518" w:rsidRPr="007C3002" w:rsidRDefault="00476518" w:rsidP="00533C28">
      <w:pPr>
        <w:pStyle w:val="Normal3"/>
        <w:shd w:val="clear" w:color="auto" w:fill="DEEAF6" w:themeFill="accent5" w:themeFillTint="33"/>
      </w:pPr>
      <w:r>
        <w:t xml:space="preserve">Te </w:t>
      </w:r>
      <w:proofErr w:type="spellStart"/>
      <w:r>
        <w:t>Rūnanga</w:t>
      </w:r>
      <w:proofErr w:type="spellEnd"/>
      <w:r>
        <w:t xml:space="preserve"> o </w:t>
      </w:r>
      <w:proofErr w:type="spellStart"/>
      <w:r>
        <w:t>Hokonui</w:t>
      </w:r>
      <w:proofErr w:type="spellEnd"/>
      <w:r>
        <w:t>; and</w:t>
      </w:r>
    </w:p>
    <w:p w14:paraId="39BA86DC" w14:textId="540CB369" w:rsidR="00476518" w:rsidRDefault="00476518" w:rsidP="00533C28">
      <w:pPr>
        <w:pStyle w:val="Normal3"/>
        <w:shd w:val="clear" w:color="auto" w:fill="DEEAF6" w:themeFill="accent5" w:themeFillTint="33"/>
      </w:pPr>
      <w:r>
        <w:t xml:space="preserve">Te </w:t>
      </w:r>
      <w:proofErr w:type="spellStart"/>
      <w:r>
        <w:t>Rūnaka</w:t>
      </w:r>
      <w:proofErr w:type="spellEnd"/>
      <w:r>
        <w:t xml:space="preserve"> o </w:t>
      </w:r>
      <w:proofErr w:type="spellStart"/>
      <w:r>
        <w:t>Waih</w:t>
      </w:r>
      <w:r w:rsidRPr="7DE66FE7">
        <w:t>ō</w:t>
      </w:r>
      <w:r>
        <w:t>pai</w:t>
      </w:r>
      <w:proofErr w:type="spellEnd"/>
      <w:r>
        <w:t>.</w:t>
      </w:r>
    </w:p>
    <w:p w14:paraId="09F7E049" w14:textId="1991FC59" w:rsidR="00C237C1" w:rsidRDefault="00A20D21" w:rsidP="00533C28">
      <w:pPr>
        <w:pStyle w:val="Normal2"/>
        <w:shd w:val="clear" w:color="auto" w:fill="DEEAF6" w:themeFill="accent5" w:themeFillTint="33"/>
      </w:pPr>
      <w:r>
        <w:t xml:space="preserve">For </w:t>
      </w:r>
      <w:r w:rsidR="00AD4DC5">
        <w:t>Waitaki</w:t>
      </w:r>
      <w:r w:rsidR="00846176">
        <w:t>, the</w:t>
      </w:r>
      <w:r w:rsidR="00AD4DC5">
        <w:t xml:space="preserve"> </w:t>
      </w:r>
      <w:r w:rsidR="005602E5">
        <w:t xml:space="preserve">Papatipu </w:t>
      </w:r>
      <w:proofErr w:type="spellStart"/>
      <w:r w:rsidR="005602E5">
        <w:t>R</w:t>
      </w:r>
      <w:r w:rsidR="009F7E01" w:rsidRPr="7DE66FE7">
        <w:t>ū</w:t>
      </w:r>
      <w:r w:rsidR="009F7E01">
        <w:t>naka</w:t>
      </w:r>
      <w:proofErr w:type="spellEnd"/>
      <w:r w:rsidR="009F7E01">
        <w:t xml:space="preserve"> </w:t>
      </w:r>
      <w:r w:rsidR="003B1B6D">
        <w:t>wi</w:t>
      </w:r>
      <w:r w:rsidR="00286834">
        <w:t xml:space="preserve">thin the </w:t>
      </w:r>
      <w:r w:rsidR="00C57CDA">
        <w:t xml:space="preserve">Otago region is </w:t>
      </w:r>
      <w:r w:rsidR="00A41D17">
        <w:t xml:space="preserve">Te </w:t>
      </w:r>
      <w:proofErr w:type="spellStart"/>
      <w:r w:rsidR="00A41D17">
        <w:t>R</w:t>
      </w:r>
      <w:r w:rsidR="00A41D17" w:rsidRPr="7DE66FE7">
        <w:t>ū</w:t>
      </w:r>
      <w:r w:rsidR="00A41D17">
        <w:t>nanga</w:t>
      </w:r>
      <w:proofErr w:type="spellEnd"/>
      <w:r w:rsidR="00A41D17">
        <w:t xml:space="preserve"> o Moeraki</w:t>
      </w:r>
      <w:r w:rsidR="00BA34DA">
        <w:t xml:space="preserve">. </w:t>
      </w:r>
    </w:p>
    <w:p w14:paraId="3089AA80" w14:textId="139EC813" w:rsidR="00476518" w:rsidRDefault="000F552F" w:rsidP="00533C28">
      <w:pPr>
        <w:pStyle w:val="Normal2"/>
        <w:shd w:val="clear" w:color="auto" w:fill="DEEAF6" w:themeFill="accent5" w:themeFillTint="33"/>
      </w:pPr>
      <w:r>
        <w:t xml:space="preserve">Kāi </w:t>
      </w:r>
      <w:proofErr w:type="spellStart"/>
      <w:r>
        <w:t>Tahu</w:t>
      </w:r>
      <w:proofErr w:type="spellEnd"/>
      <w:r>
        <w:t xml:space="preserve"> ki Otago and Ngāi </w:t>
      </w:r>
      <w:proofErr w:type="spellStart"/>
      <w:r>
        <w:t>Tahu</w:t>
      </w:r>
      <w:proofErr w:type="spellEnd"/>
      <w:r>
        <w:t xml:space="preserve"> ki Murihiku both have interests in the Otago region, as shown by the map</w:t>
      </w:r>
      <w:r w:rsidR="00E22E48">
        <w:t xml:space="preserve"> below</w:t>
      </w:r>
      <w:r>
        <w:t>.</w:t>
      </w:r>
    </w:p>
    <w:p w14:paraId="4D6E4EAD" w14:textId="1BCD3185" w:rsidR="002F5B4F" w:rsidRDefault="002F5B4F" w:rsidP="00533C28">
      <w:pPr>
        <w:pStyle w:val="Normal2"/>
        <w:numPr>
          <w:ilvl w:val="0"/>
          <w:numId w:val="0"/>
        </w:numPr>
        <w:shd w:val="clear" w:color="auto" w:fill="DEEAF6" w:themeFill="accent5" w:themeFillTint="33"/>
        <w:ind w:left="720"/>
      </w:pPr>
    </w:p>
    <w:p w14:paraId="29F179A9" w14:textId="2FD500AB" w:rsidR="002F5B4F" w:rsidRDefault="002F5B4F" w:rsidP="00533C28">
      <w:pPr>
        <w:pStyle w:val="Normal2"/>
        <w:numPr>
          <w:ilvl w:val="0"/>
          <w:numId w:val="0"/>
        </w:numPr>
        <w:shd w:val="clear" w:color="auto" w:fill="DEEAF6" w:themeFill="accent5" w:themeFillTint="33"/>
        <w:ind w:left="720"/>
      </w:pPr>
    </w:p>
    <w:p w14:paraId="19876369" w14:textId="79FD6AF7" w:rsidR="002F5B4F" w:rsidRDefault="002F5B4F" w:rsidP="00533C28">
      <w:pPr>
        <w:pStyle w:val="Normal2"/>
        <w:numPr>
          <w:ilvl w:val="0"/>
          <w:numId w:val="0"/>
        </w:numPr>
        <w:shd w:val="clear" w:color="auto" w:fill="DEEAF6" w:themeFill="accent5" w:themeFillTint="33"/>
        <w:ind w:left="720"/>
      </w:pPr>
    </w:p>
    <w:p w14:paraId="09FD6BF0" w14:textId="5A22805F" w:rsidR="002F5B4F" w:rsidRDefault="002F5B4F" w:rsidP="00533C28">
      <w:pPr>
        <w:pStyle w:val="Normal2"/>
        <w:numPr>
          <w:ilvl w:val="0"/>
          <w:numId w:val="0"/>
        </w:numPr>
        <w:shd w:val="clear" w:color="auto" w:fill="DEEAF6" w:themeFill="accent5" w:themeFillTint="33"/>
        <w:ind w:left="720"/>
      </w:pPr>
    </w:p>
    <w:p w14:paraId="78A3A077" w14:textId="384FDAE9" w:rsidR="002F5B4F" w:rsidRDefault="002F5B4F" w:rsidP="00533C28">
      <w:pPr>
        <w:pStyle w:val="Normal2"/>
        <w:numPr>
          <w:ilvl w:val="0"/>
          <w:numId w:val="0"/>
        </w:numPr>
        <w:shd w:val="clear" w:color="auto" w:fill="DEEAF6" w:themeFill="accent5" w:themeFillTint="33"/>
        <w:ind w:left="720"/>
      </w:pPr>
    </w:p>
    <w:p w14:paraId="6A8DE2DA" w14:textId="6044A69A" w:rsidR="002F5B4F" w:rsidRDefault="002F5B4F" w:rsidP="00533C28">
      <w:pPr>
        <w:pStyle w:val="Normal2"/>
        <w:numPr>
          <w:ilvl w:val="0"/>
          <w:numId w:val="0"/>
        </w:numPr>
        <w:shd w:val="clear" w:color="auto" w:fill="DEEAF6" w:themeFill="accent5" w:themeFillTint="33"/>
        <w:ind w:left="720"/>
      </w:pPr>
    </w:p>
    <w:p w14:paraId="44B840E1" w14:textId="6B9DD6E5" w:rsidR="002F5B4F" w:rsidRDefault="002F5B4F" w:rsidP="00533C28">
      <w:pPr>
        <w:pStyle w:val="Normal2"/>
        <w:numPr>
          <w:ilvl w:val="0"/>
          <w:numId w:val="0"/>
        </w:numPr>
        <w:shd w:val="clear" w:color="auto" w:fill="DEEAF6" w:themeFill="accent5" w:themeFillTint="33"/>
        <w:ind w:left="720"/>
      </w:pPr>
    </w:p>
    <w:p w14:paraId="214A0342" w14:textId="2F6BBC64" w:rsidR="002F5B4F" w:rsidRDefault="002F5B4F" w:rsidP="00533C28">
      <w:pPr>
        <w:pStyle w:val="Normal2"/>
        <w:numPr>
          <w:ilvl w:val="0"/>
          <w:numId w:val="0"/>
        </w:numPr>
        <w:shd w:val="clear" w:color="auto" w:fill="DEEAF6" w:themeFill="accent5" w:themeFillTint="33"/>
        <w:ind w:left="720"/>
      </w:pPr>
    </w:p>
    <w:p w14:paraId="532711C2" w14:textId="1CE1199E" w:rsidR="002F5B4F" w:rsidRDefault="002F5B4F" w:rsidP="00533C28">
      <w:pPr>
        <w:pStyle w:val="Normal2"/>
        <w:numPr>
          <w:ilvl w:val="0"/>
          <w:numId w:val="0"/>
        </w:numPr>
        <w:shd w:val="clear" w:color="auto" w:fill="DEEAF6" w:themeFill="accent5" w:themeFillTint="33"/>
        <w:ind w:left="720"/>
      </w:pPr>
    </w:p>
    <w:p w14:paraId="02A08996" w14:textId="63CAE208" w:rsidR="002F5B4F" w:rsidRDefault="002F5B4F" w:rsidP="00533C28">
      <w:pPr>
        <w:pStyle w:val="Normal2"/>
        <w:numPr>
          <w:ilvl w:val="0"/>
          <w:numId w:val="0"/>
        </w:numPr>
        <w:shd w:val="clear" w:color="auto" w:fill="DEEAF6" w:themeFill="accent5" w:themeFillTint="33"/>
        <w:ind w:left="720"/>
      </w:pPr>
    </w:p>
    <w:p w14:paraId="794E42FE" w14:textId="4A6D054E" w:rsidR="002F5B4F" w:rsidRDefault="002F5B4F" w:rsidP="00533C28">
      <w:pPr>
        <w:pStyle w:val="Normal2"/>
        <w:numPr>
          <w:ilvl w:val="0"/>
          <w:numId w:val="0"/>
        </w:numPr>
        <w:shd w:val="clear" w:color="auto" w:fill="DEEAF6" w:themeFill="accent5" w:themeFillTint="33"/>
        <w:ind w:left="720"/>
      </w:pPr>
    </w:p>
    <w:p w14:paraId="53716511" w14:textId="77777777" w:rsidR="002F5B4F" w:rsidRDefault="002F5B4F" w:rsidP="00533C28">
      <w:pPr>
        <w:pStyle w:val="Normal2"/>
        <w:numPr>
          <w:ilvl w:val="0"/>
          <w:numId w:val="0"/>
        </w:numPr>
        <w:shd w:val="clear" w:color="auto" w:fill="DEEAF6" w:themeFill="accent5" w:themeFillTint="33"/>
        <w:ind w:left="720"/>
      </w:pPr>
    </w:p>
    <w:p w14:paraId="0CD2E47F" w14:textId="75E263E0" w:rsidR="00E220BD" w:rsidRDefault="00B32145" w:rsidP="00533C28">
      <w:pPr>
        <w:pStyle w:val="Caption"/>
        <w:shd w:val="clear" w:color="auto" w:fill="DEEAF6" w:themeFill="accent5" w:themeFillTint="33"/>
      </w:pPr>
      <w:r>
        <w:t xml:space="preserve">Figure </w:t>
      </w:r>
      <w:r>
        <w:fldChar w:fldCharType="begin"/>
      </w:r>
      <w:r>
        <w:instrText>SEQ Figure \* ARABIC</w:instrText>
      </w:r>
      <w:r>
        <w:fldChar w:fldCharType="separate"/>
      </w:r>
      <w:r w:rsidR="002A7A16">
        <w:rPr>
          <w:noProof/>
        </w:rPr>
        <w:t>1</w:t>
      </w:r>
      <w:r>
        <w:fldChar w:fldCharType="end"/>
      </w:r>
      <w:r>
        <w:t>: K</w:t>
      </w:r>
      <w:r w:rsidR="008140A1">
        <w:rPr>
          <w:rFonts w:cstheme="minorHAnsi"/>
        </w:rPr>
        <w:t>ā</w:t>
      </w:r>
      <w:r>
        <w:t xml:space="preserve">i </w:t>
      </w:r>
      <w:proofErr w:type="spellStart"/>
      <w:r>
        <w:t>Tahu</w:t>
      </w:r>
      <w:proofErr w:type="spellEnd"/>
      <w:r>
        <w:t xml:space="preserve"> ki Otago and Ng</w:t>
      </w:r>
      <w:r w:rsidR="008140A1">
        <w:rPr>
          <w:rFonts w:cstheme="minorHAnsi"/>
        </w:rPr>
        <w:t>ā</w:t>
      </w:r>
      <w:r>
        <w:t xml:space="preserve">i </w:t>
      </w:r>
      <w:proofErr w:type="spellStart"/>
      <w:r>
        <w:t>Tahu</w:t>
      </w:r>
      <w:proofErr w:type="spellEnd"/>
      <w:r>
        <w:t xml:space="preserve"> ki Murihiku </w:t>
      </w:r>
      <w:r w:rsidR="00E22E48">
        <w:t>shared interests</w:t>
      </w:r>
    </w:p>
    <w:p w14:paraId="537BF23A" w14:textId="2CEC5DDA" w:rsidR="00E22E48" w:rsidRPr="00E22E48" w:rsidRDefault="6CDF1425" w:rsidP="00533C28">
      <w:pPr>
        <w:shd w:val="clear" w:color="auto" w:fill="DEEAF6" w:themeFill="accent5" w:themeFillTint="33"/>
        <w:jc w:val="center"/>
      </w:pPr>
      <w:r>
        <w:rPr>
          <w:noProof/>
        </w:rPr>
        <w:drawing>
          <wp:inline distT="0" distB="0" distL="0" distR="0" wp14:anchorId="02D9480B" wp14:editId="2ECF084A">
            <wp:extent cx="4500438" cy="6425091"/>
            <wp:effectExtent l="0" t="0" r="0" b="0"/>
            <wp:docPr id="709511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4500438" cy="6425091"/>
                    </a:xfrm>
                    <a:prstGeom prst="rect">
                      <a:avLst/>
                    </a:prstGeom>
                  </pic:spPr>
                </pic:pic>
              </a:graphicData>
            </a:graphic>
          </wp:inline>
        </w:drawing>
      </w:r>
    </w:p>
    <w:p w14:paraId="208E6DCD" w14:textId="64AAFF43" w:rsidR="00E220BD" w:rsidRDefault="00B32145" w:rsidP="00533C28">
      <w:pPr>
        <w:pStyle w:val="Caption"/>
        <w:shd w:val="clear" w:color="auto" w:fill="DEEAF6" w:themeFill="accent5" w:themeFillTint="33"/>
      </w:pPr>
      <w:r>
        <w:t>Source</w:t>
      </w:r>
      <w:r w:rsidR="00C332A4">
        <w:t>s</w:t>
      </w:r>
      <w:r>
        <w:t xml:space="preserve">: </w:t>
      </w:r>
      <w:r w:rsidR="00C332A4">
        <w:t xml:space="preserve">Kāi </w:t>
      </w:r>
      <w:proofErr w:type="spellStart"/>
      <w:r w:rsidR="00C332A4">
        <w:t>Tahu</w:t>
      </w:r>
      <w:proofErr w:type="spellEnd"/>
      <w:r w:rsidR="00C332A4">
        <w:t xml:space="preserve"> ki Otago Natural Resources Management Plan 2005 (p. 12) and Ngāi </w:t>
      </w:r>
      <w:proofErr w:type="spellStart"/>
      <w:r w:rsidR="00C332A4">
        <w:t>Tahu</w:t>
      </w:r>
      <w:proofErr w:type="spellEnd"/>
      <w:r w:rsidR="00C332A4">
        <w:t xml:space="preserve"> ki Murihiku Natural Resource and Environmental Iwi Management Plan 2008 (p. ii).</w:t>
      </w:r>
    </w:p>
    <w:p w14:paraId="11A33343" w14:textId="751FEDAE" w:rsidR="00B713AC" w:rsidRDefault="00FC7534" w:rsidP="00533C28">
      <w:pPr>
        <w:pStyle w:val="Normal2"/>
        <w:shd w:val="clear" w:color="auto" w:fill="DEEAF6" w:themeFill="accent5" w:themeFillTint="33"/>
      </w:pPr>
      <w:r>
        <w:t>The relationship between ORC and K</w:t>
      </w:r>
      <w:r w:rsidRPr="7DE66FE7">
        <w:t>ā</w:t>
      </w:r>
      <w:r>
        <w:t xml:space="preserve">i </w:t>
      </w:r>
      <w:proofErr w:type="spellStart"/>
      <w:r>
        <w:t>Tahu</w:t>
      </w:r>
      <w:proofErr w:type="spellEnd"/>
      <w:r>
        <w:t xml:space="preserve"> </w:t>
      </w:r>
      <w:r w:rsidR="007627BF">
        <w:t>occurs</w:t>
      </w:r>
      <w:r w:rsidR="00105453">
        <w:t xml:space="preserve"> through several official channels </w:t>
      </w:r>
      <w:r w:rsidR="00BA0223">
        <w:t>across different governance levels</w:t>
      </w:r>
      <w:r w:rsidR="00BF3A99">
        <w:t>.</w:t>
      </w:r>
      <w:r w:rsidR="00BA0223">
        <w:t xml:space="preserve"> </w:t>
      </w:r>
      <w:r w:rsidR="00BF3A99">
        <w:t>E</w:t>
      </w:r>
      <w:r w:rsidR="00BA0223">
        <w:t xml:space="preserve">ach </w:t>
      </w:r>
      <w:r w:rsidR="00BF3A99">
        <w:t>official channel is</w:t>
      </w:r>
      <w:r w:rsidR="00BA0223">
        <w:t xml:space="preserve"> under</w:t>
      </w:r>
      <w:r w:rsidR="00582B6D">
        <w:t xml:space="preserve">pinned by </w:t>
      </w:r>
      <w:r w:rsidR="00A252E6">
        <w:t>various agreements</w:t>
      </w:r>
      <w:r w:rsidR="00057C7E">
        <w:t xml:space="preserve"> and</w:t>
      </w:r>
      <w:r w:rsidR="00A252E6">
        <w:t xml:space="preserve"> memoranda of understanding</w:t>
      </w:r>
      <w:r w:rsidR="003E0C4E">
        <w:t>.</w:t>
      </w:r>
    </w:p>
    <w:p w14:paraId="2447D597" w14:textId="36AB9562" w:rsidR="00551F2A" w:rsidRPr="00551F2A" w:rsidRDefault="00B713AC" w:rsidP="00533C28">
      <w:pPr>
        <w:pStyle w:val="Normal2"/>
        <w:shd w:val="clear" w:color="auto" w:fill="DEEAF6" w:themeFill="accent5" w:themeFillTint="33"/>
      </w:pPr>
      <w:r>
        <w:lastRenderedPageBreak/>
        <w:t>At a regional level,</w:t>
      </w:r>
      <w:r w:rsidR="00913D4A">
        <w:t xml:space="preserve"> </w:t>
      </w:r>
      <w:r w:rsidR="000346FA">
        <w:t>ORC and K</w:t>
      </w:r>
      <w:r w:rsidR="000346FA" w:rsidRPr="7DE66FE7">
        <w:t>ā</w:t>
      </w:r>
      <w:r w:rsidR="000346FA">
        <w:t xml:space="preserve">i </w:t>
      </w:r>
      <w:proofErr w:type="spellStart"/>
      <w:r w:rsidR="000346FA">
        <w:t>Tahu</w:t>
      </w:r>
      <w:proofErr w:type="spellEnd"/>
      <w:r w:rsidR="000346FA">
        <w:t xml:space="preserve"> </w:t>
      </w:r>
      <w:r w:rsidR="00204D96">
        <w:t xml:space="preserve">are part of Te </w:t>
      </w:r>
      <w:proofErr w:type="spellStart"/>
      <w:r w:rsidR="00204D96">
        <w:t>R</w:t>
      </w:r>
      <w:r w:rsidR="00204D96" w:rsidRPr="7DE66FE7">
        <w:t>ō</w:t>
      </w:r>
      <w:r w:rsidR="00204D96">
        <w:t>p</w:t>
      </w:r>
      <w:r w:rsidR="00204D96" w:rsidRPr="7DE66FE7">
        <w:t>ū</w:t>
      </w:r>
      <w:proofErr w:type="spellEnd"/>
      <w:r w:rsidR="00204D96">
        <w:t xml:space="preserve"> Ta</w:t>
      </w:r>
      <w:r w:rsidR="009C7A51">
        <w:t>iao Otago, a regional coordinating group consisting of Otago Mayors</w:t>
      </w:r>
      <w:r w:rsidR="00A51CBB">
        <w:t>, the Chairperson of ORC</w:t>
      </w:r>
      <w:r w:rsidR="009C7A51">
        <w:t xml:space="preserve"> and </w:t>
      </w:r>
      <w:r w:rsidR="00A51CBB">
        <w:t>K</w:t>
      </w:r>
      <w:r w:rsidR="00A51CBB" w:rsidRPr="7DE66FE7">
        <w:t>ā</w:t>
      </w:r>
      <w:r w:rsidR="00A51CBB">
        <w:t xml:space="preserve">i </w:t>
      </w:r>
      <w:proofErr w:type="spellStart"/>
      <w:r w:rsidR="00A51CBB">
        <w:t>Tahu</w:t>
      </w:r>
      <w:proofErr w:type="spellEnd"/>
      <w:r w:rsidR="00A51CBB">
        <w:t xml:space="preserve"> </w:t>
      </w:r>
      <w:proofErr w:type="spellStart"/>
      <w:r w:rsidR="00A51CBB">
        <w:t>R</w:t>
      </w:r>
      <w:r w:rsidR="00A51CBB" w:rsidRPr="7DE66FE7">
        <w:t>ūnaka</w:t>
      </w:r>
      <w:proofErr w:type="spellEnd"/>
      <w:r w:rsidR="00A51CBB" w:rsidRPr="7DE66FE7">
        <w:t xml:space="preserve"> Chairs</w:t>
      </w:r>
      <w:r w:rsidR="005C76F3" w:rsidRPr="7DE66FE7">
        <w:t>. O</w:t>
      </w:r>
      <w:r w:rsidR="00444A17" w:rsidRPr="7DE66FE7">
        <w:t xml:space="preserve">RC also participates in Southland Te </w:t>
      </w:r>
      <w:proofErr w:type="spellStart"/>
      <w:r w:rsidR="00444A17">
        <w:t>R</w:t>
      </w:r>
      <w:r w:rsidR="00444A17" w:rsidRPr="7DE66FE7">
        <w:t>ō</w:t>
      </w:r>
      <w:r w:rsidR="00444A17">
        <w:t>p</w:t>
      </w:r>
      <w:r w:rsidR="00444A17" w:rsidRPr="7DE66FE7">
        <w:t>ū</w:t>
      </w:r>
      <w:proofErr w:type="spellEnd"/>
      <w:r w:rsidR="00444A17">
        <w:t xml:space="preserve"> Taiao</w:t>
      </w:r>
      <w:r w:rsidR="00E72A56">
        <w:t xml:space="preserve"> hui to </w:t>
      </w:r>
      <w:r w:rsidR="004675BE">
        <w:t>inform</w:t>
      </w:r>
      <w:r w:rsidR="00E72A56">
        <w:t xml:space="preserve"> how ORC will en</w:t>
      </w:r>
      <w:r w:rsidR="008068D2">
        <w:t>g</w:t>
      </w:r>
      <w:r w:rsidR="00E72A56">
        <w:t xml:space="preserve">age with Southland </w:t>
      </w:r>
      <w:proofErr w:type="spellStart"/>
      <w:r w:rsidR="00E72A56">
        <w:t>R</w:t>
      </w:r>
      <w:r w:rsidR="00E72A56" w:rsidRPr="7DE66FE7">
        <w:t>ū</w:t>
      </w:r>
      <w:r w:rsidR="00E72A56">
        <w:t>nanga</w:t>
      </w:r>
      <w:proofErr w:type="spellEnd"/>
      <w:r w:rsidR="00E72A56">
        <w:t xml:space="preserve">. </w:t>
      </w:r>
    </w:p>
    <w:p w14:paraId="3CE353D1" w14:textId="2888F673" w:rsidR="00FE2422" w:rsidRDefault="00E72A56" w:rsidP="00533C28">
      <w:pPr>
        <w:pStyle w:val="Normal2"/>
        <w:shd w:val="clear" w:color="auto" w:fill="DEEAF6" w:themeFill="accent5" w:themeFillTint="33"/>
      </w:pPr>
      <w:r>
        <w:t xml:space="preserve">At a </w:t>
      </w:r>
      <w:r w:rsidR="00D70412">
        <w:t>c</w:t>
      </w:r>
      <w:r>
        <w:t xml:space="preserve">ouncil level, the Strategy and Planning Committee has appointed two Mana Whenua representatives </w:t>
      </w:r>
      <w:r w:rsidR="00BF3A99">
        <w:t xml:space="preserve">each </w:t>
      </w:r>
      <w:r>
        <w:t xml:space="preserve">with full voting rights. There is also a </w:t>
      </w:r>
      <w:proofErr w:type="gramStart"/>
      <w:r>
        <w:t>Mana to Mana</w:t>
      </w:r>
      <w:proofErr w:type="gramEnd"/>
      <w:r>
        <w:t xml:space="preserve"> Group which provides a forum for Councillors and </w:t>
      </w:r>
      <w:proofErr w:type="spellStart"/>
      <w:r>
        <w:t>R</w:t>
      </w:r>
      <w:r w:rsidRPr="7DE66FE7">
        <w:t>ū</w:t>
      </w:r>
      <w:r>
        <w:t>naka</w:t>
      </w:r>
      <w:proofErr w:type="spellEnd"/>
      <w:r>
        <w:t xml:space="preserve"> Chairs to meet reg</w:t>
      </w:r>
      <w:r w:rsidR="002C276B">
        <w:t>ularly to identify and agree key areas for engagement and partnership.</w:t>
      </w:r>
      <w:r>
        <w:t xml:space="preserve"> </w:t>
      </w:r>
      <w:r w:rsidR="0012682B">
        <w:t xml:space="preserve">Further relationships govern day to day business and particular projects. The Land and Water Regional Plan </w:t>
      </w:r>
      <w:r w:rsidR="004B7D6E">
        <w:t xml:space="preserve">(LWRP) </w:t>
      </w:r>
      <w:r w:rsidR="0012682B">
        <w:t xml:space="preserve">governance structure includes </w:t>
      </w:r>
      <w:r w:rsidR="004B7D6E">
        <w:t>m</w:t>
      </w:r>
      <w:r w:rsidR="0097726A">
        <w:t xml:space="preserve">ana </w:t>
      </w:r>
      <w:r w:rsidR="004B7D6E">
        <w:t>w</w:t>
      </w:r>
      <w:r w:rsidR="0097726A">
        <w:t xml:space="preserve">henua </w:t>
      </w:r>
      <w:r w:rsidR="00F5540F">
        <w:t>representatives</w:t>
      </w:r>
      <w:r w:rsidR="0097726A">
        <w:t xml:space="preserve"> on the </w:t>
      </w:r>
      <w:r w:rsidR="00E30A14">
        <w:t>Governance Group and the regional working group level</w:t>
      </w:r>
      <w:r w:rsidR="000F0EF4">
        <w:t xml:space="preserve">. </w:t>
      </w:r>
    </w:p>
    <w:p w14:paraId="07AE73EC" w14:textId="3D59CCBB" w:rsidR="00E72A56" w:rsidRPr="00551F2A" w:rsidRDefault="00FE2422" w:rsidP="00533C28">
      <w:pPr>
        <w:pStyle w:val="Normal2"/>
        <w:shd w:val="clear" w:color="auto" w:fill="DEEAF6" w:themeFill="accent5" w:themeFillTint="33"/>
      </w:pPr>
      <w:r>
        <w:t xml:space="preserve">ORC staff </w:t>
      </w:r>
      <w:r w:rsidR="00286F4E">
        <w:t>regularly</w:t>
      </w:r>
      <w:r>
        <w:t xml:space="preserve"> engage with mana</w:t>
      </w:r>
      <w:r w:rsidR="00423338">
        <w:t xml:space="preserve"> whenua on a range of key issues </w:t>
      </w:r>
      <w:r w:rsidR="00476211">
        <w:t xml:space="preserve">through the </w:t>
      </w:r>
      <w:r w:rsidR="00FA142A">
        <w:t xml:space="preserve">Papatipu </w:t>
      </w:r>
      <w:proofErr w:type="spellStart"/>
      <w:r w:rsidR="00FA142A">
        <w:t>R</w:t>
      </w:r>
      <w:r w:rsidR="00FA142A" w:rsidRPr="7DE66FE7">
        <w:t>ū</w:t>
      </w:r>
      <w:r w:rsidR="00FA142A">
        <w:t>naka</w:t>
      </w:r>
      <w:proofErr w:type="spellEnd"/>
      <w:r w:rsidR="00FA142A">
        <w:t xml:space="preserve"> consul</w:t>
      </w:r>
      <w:r w:rsidR="00351246">
        <w:t xml:space="preserve">tancy </w:t>
      </w:r>
      <w:r w:rsidR="00F5540F">
        <w:t>services</w:t>
      </w:r>
      <w:r w:rsidR="00351246">
        <w:t xml:space="preserve"> </w:t>
      </w:r>
      <w:proofErr w:type="spellStart"/>
      <w:r w:rsidR="00A00F43">
        <w:t>Aukaha</w:t>
      </w:r>
      <w:proofErr w:type="spellEnd"/>
      <w:r w:rsidR="00A00F43">
        <w:t xml:space="preserve"> </w:t>
      </w:r>
      <w:r w:rsidR="00662890">
        <w:t xml:space="preserve">(representing the Papatipu </w:t>
      </w:r>
      <w:proofErr w:type="spellStart"/>
      <w:r w:rsidR="00662890">
        <w:t>Rūnanga</w:t>
      </w:r>
      <w:proofErr w:type="spellEnd"/>
      <w:r w:rsidR="00662890">
        <w:t xml:space="preserve"> of Kāi </w:t>
      </w:r>
      <w:proofErr w:type="spellStart"/>
      <w:r w:rsidR="00662890">
        <w:t>Tahu</w:t>
      </w:r>
      <w:proofErr w:type="spellEnd"/>
      <w:r w:rsidR="00662890">
        <w:t xml:space="preserve"> ki Otago) and Te Ao Marama Inc (representing the Papatipu </w:t>
      </w:r>
      <w:proofErr w:type="spellStart"/>
      <w:r w:rsidR="00662890">
        <w:t>Rūnanga</w:t>
      </w:r>
      <w:proofErr w:type="spellEnd"/>
      <w:r w:rsidR="00662890">
        <w:t xml:space="preserve"> of </w:t>
      </w:r>
      <w:r w:rsidR="00405357">
        <w:t>Ngāi</w:t>
      </w:r>
      <w:r w:rsidR="00662890">
        <w:t xml:space="preserve"> </w:t>
      </w:r>
      <w:proofErr w:type="spellStart"/>
      <w:r w:rsidR="00662890">
        <w:t>Tahu</w:t>
      </w:r>
      <w:proofErr w:type="spellEnd"/>
      <w:r w:rsidR="00662890">
        <w:t xml:space="preserve"> ki Murihiku</w:t>
      </w:r>
      <w:r w:rsidR="00A00F43">
        <w:t xml:space="preserve">). These </w:t>
      </w:r>
      <w:r w:rsidR="00F8242F">
        <w:t xml:space="preserve">entities </w:t>
      </w:r>
      <w:r w:rsidR="000824EB">
        <w:t xml:space="preserve">provide a </w:t>
      </w:r>
      <w:r w:rsidR="00533C1D">
        <w:t xml:space="preserve">first point of contact </w:t>
      </w:r>
      <w:r w:rsidR="0016005A">
        <w:t>and facilitate en</w:t>
      </w:r>
      <w:r w:rsidR="00CE0E1A">
        <w:t xml:space="preserve">gagement </w:t>
      </w:r>
      <w:r w:rsidR="00852224">
        <w:t>in resource management processes.</w:t>
      </w:r>
      <w:r w:rsidR="0016005A">
        <w:t xml:space="preserve"> </w:t>
      </w:r>
    </w:p>
    <w:p w14:paraId="514341E3" w14:textId="6171D0C3" w:rsidR="00625CB4" w:rsidRDefault="00662890" w:rsidP="00533C28">
      <w:pPr>
        <w:pStyle w:val="Normal2"/>
        <w:shd w:val="clear" w:color="auto" w:fill="DEEAF6" w:themeFill="accent5" w:themeFillTint="33"/>
      </w:pPr>
      <w:r>
        <w:t xml:space="preserve">ORC has worked closely with </w:t>
      </w:r>
      <w:proofErr w:type="spellStart"/>
      <w:r>
        <w:t>Aukaha</w:t>
      </w:r>
      <w:proofErr w:type="spellEnd"/>
      <w:r>
        <w:t xml:space="preserve"> and Te Ao Marama Inc</w:t>
      </w:r>
      <w:r w:rsidR="0015707E">
        <w:t xml:space="preserve"> in the development of the </w:t>
      </w:r>
      <w:r w:rsidR="00E81F7F">
        <w:t>PORPS 2021</w:t>
      </w:r>
      <w:r w:rsidR="0015707E">
        <w:t>.</w:t>
      </w:r>
      <w:r w:rsidR="00625CB4">
        <w:t xml:space="preserve"> </w:t>
      </w:r>
      <w:r w:rsidR="00E04700">
        <w:t xml:space="preserve">There have been differences in the </w:t>
      </w:r>
      <w:r w:rsidR="00871A9C">
        <w:t xml:space="preserve">way that engagement has occurred due to the preferences and capacity of the </w:t>
      </w:r>
      <w:r w:rsidR="00644B19">
        <w:t>organisations</w:t>
      </w:r>
      <w:r w:rsidR="00871A9C">
        <w:t>.</w:t>
      </w:r>
    </w:p>
    <w:p w14:paraId="66DDAE7A" w14:textId="62891AA9" w:rsidR="00625CB4" w:rsidRDefault="00625CB4" w:rsidP="00533C28">
      <w:pPr>
        <w:pStyle w:val="Normal2"/>
        <w:shd w:val="clear" w:color="auto" w:fill="DEEAF6" w:themeFill="accent5" w:themeFillTint="33"/>
      </w:pPr>
      <w:r>
        <w:t xml:space="preserve">ORC’s engagement with </w:t>
      </w:r>
      <w:proofErr w:type="spellStart"/>
      <w:r>
        <w:t>Aukaha</w:t>
      </w:r>
      <w:proofErr w:type="spellEnd"/>
      <w:r>
        <w:t xml:space="preserve"> </w:t>
      </w:r>
      <w:r w:rsidR="006B7524">
        <w:t xml:space="preserve">and Te Ao Marama </w:t>
      </w:r>
      <w:r>
        <w:t>has occurred through:</w:t>
      </w:r>
    </w:p>
    <w:p w14:paraId="5DC831BB" w14:textId="53D88AFE" w:rsidR="00625CB4" w:rsidRDefault="00625CB4" w:rsidP="00533C28">
      <w:pPr>
        <w:pStyle w:val="Normal3"/>
        <w:shd w:val="clear" w:color="auto" w:fill="DEEAF6" w:themeFill="accent5" w:themeFillTint="33"/>
      </w:pPr>
      <w:proofErr w:type="spellStart"/>
      <w:r>
        <w:t>Aukaha</w:t>
      </w:r>
      <w:proofErr w:type="spellEnd"/>
      <w:r>
        <w:t xml:space="preserve"> </w:t>
      </w:r>
      <w:r w:rsidR="009D1285">
        <w:t>and Te Ao Marama drafting or revising a number of sections of the PORPS, including</w:t>
      </w:r>
      <w:r>
        <w:t xml:space="preserve"> the resource management issues of significance for iwi</w:t>
      </w:r>
      <w:r w:rsidR="009D1285">
        <w:t xml:space="preserve">, Mana Whenua chapter, and </w:t>
      </w:r>
      <w:r w:rsidR="002B0889">
        <w:t xml:space="preserve">Historical and Cultural Values </w:t>
      </w:r>
      <w:proofErr w:type="gramStart"/>
      <w:r w:rsidR="002B0889">
        <w:t>chapter</w:t>
      </w:r>
      <w:r>
        <w:t>;</w:t>
      </w:r>
      <w:proofErr w:type="gramEnd"/>
    </w:p>
    <w:p w14:paraId="6876AD46" w14:textId="73FFE0C9" w:rsidR="00625CB4" w:rsidRDefault="008117D4" w:rsidP="00533C28">
      <w:pPr>
        <w:pStyle w:val="Normal3"/>
        <w:shd w:val="clear" w:color="auto" w:fill="DEEAF6" w:themeFill="accent5" w:themeFillTint="33"/>
      </w:pPr>
      <w:proofErr w:type="spellStart"/>
      <w:r>
        <w:t>Aukaha</w:t>
      </w:r>
      <w:proofErr w:type="spellEnd"/>
      <w:r w:rsidR="006B7524">
        <w:t xml:space="preserve"> and Te Ao Marama</w:t>
      </w:r>
      <w:r>
        <w:t xml:space="preserve"> </w:t>
      </w:r>
      <w:r w:rsidR="00BF24D9">
        <w:t>reviewing and providing advice on the draft policy direction papers prepared for consultation with the Reference Groups (Phase 3</w:t>
      </w:r>
      <w:r w:rsidR="00EB536C">
        <w:t xml:space="preserve">, see section </w:t>
      </w:r>
      <w:r>
        <w:fldChar w:fldCharType="begin"/>
      </w:r>
      <w:r>
        <w:instrText xml:space="preserve"> REF _Ref50982840 \r \h  \* MERGEFORMAT </w:instrText>
      </w:r>
      <w:r>
        <w:fldChar w:fldCharType="separate"/>
      </w:r>
      <w:r w:rsidR="002A7A16">
        <w:t>2.3</w:t>
      </w:r>
      <w:r>
        <w:fldChar w:fldCharType="end"/>
      </w:r>
      <w:r w:rsidR="00EB536C">
        <w:t xml:space="preserve"> of this report for more information</w:t>
      </w:r>
      <w:proofErr w:type="gramStart"/>
      <w:r w:rsidR="00BF24D9">
        <w:t>);</w:t>
      </w:r>
      <w:proofErr w:type="gramEnd"/>
    </w:p>
    <w:p w14:paraId="2EB15C61" w14:textId="5B9AD993" w:rsidR="00191451" w:rsidRDefault="00191451" w:rsidP="00533C28">
      <w:pPr>
        <w:pStyle w:val="Normal3"/>
        <w:shd w:val="clear" w:color="auto" w:fill="DEEAF6" w:themeFill="accent5" w:themeFillTint="33"/>
      </w:pPr>
      <w:r>
        <w:t xml:space="preserve">Te Ao Marama </w:t>
      </w:r>
      <w:r w:rsidR="00563A50">
        <w:t xml:space="preserve">attending </w:t>
      </w:r>
      <w:r w:rsidR="0089514F">
        <w:t xml:space="preserve">the Reference Group </w:t>
      </w:r>
      <w:proofErr w:type="gramStart"/>
      <w:r w:rsidR="0089514F">
        <w:t>meetings;</w:t>
      </w:r>
      <w:proofErr w:type="gramEnd"/>
    </w:p>
    <w:p w14:paraId="2FC4E605" w14:textId="5035C6D7" w:rsidR="006B7524" w:rsidRDefault="00BF24D9" w:rsidP="00533C28">
      <w:pPr>
        <w:pStyle w:val="Normal3"/>
        <w:shd w:val="clear" w:color="auto" w:fill="DEEAF6" w:themeFill="accent5" w:themeFillTint="33"/>
      </w:pPr>
      <w:r>
        <w:t xml:space="preserve">ORC </w:t>
      </w:r>
      <w:r w:rsidR="00235C00">
        <w:t>summarising</w:t>
      </w:r>
      <w:r w:rsidR="00E04700">
        <w:t xml:space="preserve"> and providing to </w:t>
      </w:r>
      <w:proofErr w:type="spellStart"/>
      <w:r w:rsidR="00E04700">
        <w:t>Aukaha</w:t>
      </w:r>
      <w:proofErr w:type="spellEnd"/>
      <w:r w:rsidR="00E04700">
        <w:t xml:space="preserve"> for comment</w:t>
      </w:r>
      <w:r w:rsidR="00235C00">
        <w:t xml:space="preserve"> the key changes in policy direction as a result of each Reference Group </w:t>
      </w:r>
      <w:proofErr w:type="gramStart"/>
      <w:r w:rsidR="00E04700">
        <w:t>meeting;</w:t>
      </w:r>
      <w:proofErr w:type="gramEnd"/>
    </w:p>
    <w:p w14:paraId="2A90B56C" w14:textId="390FE812" w:rsidR="00E04700" w:rsidRDefault="00B44FC8" w:rsidP="00533C28">
      <w:pPr>
        <w:pStyle w:val="Normal3"/>
        <w:shd w:val="clear" w:color="auto" w:fill="DEEAF6" w:themeFill="accent5" w:themeFillTint="33"/>
      </w:pPr>
      <w:proofErr w:type="spellStart"/>
      <w:r>
        <w:t>Aukaha</w:t>
      </w:r>
      <w:proofErr w:type="spellEnd"/>
      <w:r>
        <w:t xml:space="preserve"> </w:t>
      </w:r>
      <w:r w:rsidR="006B7524">
        <w:t xml:space="preserve">and Te Ao Marama </w:t>
      </w:r>
      <w:r>
        <w:t xml:space="preserve">advising on </w:t>
      </w:r>
      <w:r w:rsidR="00551F2A">
        <w:t>the meaning of Te Mana o Te Wai in Otago and c</w:t>
      </w:r>
      <w:r>
        <w:t xml:space="preserve">o-drafting provisions for the Land and </w:t>
      </w:r>
      <w:r w:rsidR="3132C699">
        <w:t>F</w:t>
      </w:r>
      <w:r>
        <w:t xml:space="preserve">reshwater chapter with </w:t>
      </w:r>
      <w:proofErr w:type="gramStart"/>
      <w:r>
        <w:t>ORC;</w:t>
      </w:r>
      <w:proofErr w:type="gramEnd"/>
    </w:p>
    <w:p w14:paraId="32EEB670" w14:textId="7A3C3B12" w:rsidR="00B44FC8" w:rsidRDefault="00523B58" w:rsidP="00533C28">
      <w:pPr>
        <w:pStyle w:val="Normal3"/>
        <w:shd w:val="clear" w:color="auto" w:fill="DEEAF6" w:themeFill="accent5" w:themeFillTint="33"/>
      </w:pPr>
      <w:r>
        <w:t xml:space="preserve">Involvement in consultation on the freshwater visions in late 2020 (see section </w:t>
      </w:r>
      <w:r>
        <w:fldChar w:fldCharType="begin"/>
      </w:r>
      <w:r>
        <w:instrText xml:space="preserve"> REF _Ref64276461 \r \h  \* MERGEFORMAT </w:instrText>
      </w:r>
      <w:r>
        <w:fldChar w:fldCharType="separate"/>
      </w:r>
      <w:r w:rsidR="002A7A16">
        <w:t>2.4</w:t>
      </w:r>
      <w:r>
        <w:fldChar w:fldCharType="end"/>
      </w:r>
      <w:r>
        <w:t xml:space="preserve"> of this report for more information on this process</w:t>
      </w:r>
      <w:proofErr w:type="gramStart"/>
      <w:r>
        <w:t>);</w:t>
      </w:r>
      <w:proofErr w:type="gramEnd"/>
      <w:r>
        <w:t xml:space="preserve"> </w:t>
      </w:r>
    </w:p>
    <w:p w14:paraId="4F379BA7" w14:textId="77777777" w:rsidR="007D26EE" w:rsidRDefault="00523B58" w:rsidP="00533C28">
      <w:pPr>
        <w:pStyle w:val="Normal3"/>
        <w:shd w:val="clear" w:color="auto" w:fill="DEEAF6" w:themeFill="accent5" w:themeFillTint="33"/>
      </w:pPr>
      <w:r>
        <w:t xml:space="preserve">Reviewing the draft RPS in late 2020/early 2021 prior to clause 3 consultation </w:t>
      </w:r>
      <w:proofErr w:type="gramStart"/>
      <w:r>
        <w:t>commencing</w:t>
      </w:r>
      <w:r w:rsidR="007D26EE">
        <w:t>;</w:t>
      </w:r>
      <w:proofErr w:type="gramEnd"/>
      <w:r w:rsidR="007D26EE">
        <w:t xml:space="preserve"> </w:t>
      </w:r>
    </w:p>
    <w:p w14:paraId="1FBFBA70" w14:textId="3EA266F2" w:rsidR="00523B58" w:rsidRDefault="007D26EE" w:rsidP="00533C28">
      <w:pPr>
        <w:pStyle w:val="Normal3"/>
        <w:shd w:val="clear" w:color="auto" w:fill="DEEAF6" w:themeFill="accent5" w:themeFillTint="33"/>
      </w:pPr>
      <w:r>
        <w:t xml:space="preserve">ORC providing </w:t>
      </w:r>
      <w:proofErr w:type="spellStart"/>
      <w:r>
        <w:t>Aukaha</w:t>
      </w:r>
      <w:proofErr w:type="spellEnd"/>
      <w:r>
        <w:t xml:space="preserve">, Te Ao Marama and Te </w:t>
      </w:r>
      <w:proofErr w:type="spellStart"/>
      <w:r>
        <w:t>Rūnanga</w:t>
      </w:r>
      <w:proofErr w:type="spellEnd"/>
      <w:r>
        <w:t xml:space="preserve"> o Ngāi </w:t>
      </w:r>
      <w:proofErr w:type="spellStart"/>
      <w:r>
        <w:t>Tahu</w:t>
      </w:r>
      <w:proofErr w:type="spellEnd"/>
      <w:r>
        <w:t xml:space="preserve"> with the draft RPS as part of consultation under clause 3 of Schedule 1 of the RMA 1991; and</w:t>
      </w:r>
    </w:p>
    <w:p w14:paraId="09D5664A" w14:textId="648C9DED" w:rsidR="007D26EE" w:rsidRPr="00523B58" w:rsidRDefault="007D26EE" w:rsidP="00533C28">
      <w:pPr>
        <w:pStyle w:val="Normal3"/>
        <w:shd w:val="clear" w:color="auto" w:fill="DEEAF6" w:themeFill="accent5" w:themeFillTint="33"/>
      </w:pPr>
      <w:r>
        <w:t xml:space="preserve">Providing </w:t>
      </w:r>
      <w:r w:rsidR="005C161A">
        <w:t xml:space="preserve">ongoing </w:t>
      </w:r>
      <w:r>
        <w:t>verbal and written feedback on and participating in co-drafting some provisions for the draft RPS in April and May 2021 as part of consultation under clause 4A of Schedule 1 of the RMA 1991.</w:t>
      </w:r>
    </w:p>
    <w:p w14:paraId="27735842" w14:textId="6AD918D6" w:rsidR="00667AE0" w:rsidRDefault="00667AE0" w:rsidP="00533C28">
      <w:pPr>
        <w:pStyle w:val="Heading2"/>
        <w:shd w:val="clear" w:color="auto" w:fill="DEEAF6" w:themeFill="accent5" w:themeFillTint="33"/>
      </w:pPr>
      <w:bookmarkStart w:id="17" w:name="_Toc72507621"/>
      <w:r w:rsidRPr="00667AE0">
        <w:lastRenderedPageBreak/>
        <w:t>Phase</w:t>
      </w:r>
      <w:r w:rsidR="00122E88">
        <w:t>s</w:t>
      </w:r>
      <w:r>
        <w:t xml:space="preserve"> 1</w:t>
      </w:r>
      <w:r w:rsidR="00122E88">
        <w:t xml:space="preserve"> and 2: January to March 2020</w:t>
      </w:r>
      <w:bookmarkEnd w:id="17"/>
    </w:p>
    <w:p w14:paraId="1F52F47C" w14:textId="5150C00C" w:rsidR="00122E88" w:rsidRPr="00C55EFD" w:rsidRDefault="00122E88" w:rsidP="00533C28">
      <w:pPr>
        <w:pStyle w:val="Heading3"/>
        <w:shd w:val="clear" w:color="auto" w:fill="DEEAF6" w:themeFill="accent5" w:themeFillTint="33"/>
      </w:pPr>
      <w:r w:rsidRPr="00C55EFD">
        <w:t>Phase 1</w:t>
      </w:r>
      <w:r w:rsidR="0024747F" w:rsidRPr="00C55EFD">
        <w:t xml:space="preserve">: </w:t>
      </w:r>
      <w:r w:rsidRPr="00C55EFD">
        <w:t>January – February 2020</w:t>
      </w:r>
    </w:p>
    <w:p w14:paraId="4B961B83" w14:textId="5E5D6C4D" w:rsidR="00AA0C97" w:rsidRDefault="00AA0C97" w:rsidP="00533C28">
      <w:pPr>
        <w:pStyle w:val="Normal2"/>
        <w:shd w:val="clear" w:color="auto" w:fill="DEEAF6" w:themeFill="accent5" w:themeFillTint="33"/>
      </w:pPr>
      <w:r>
        <w:t>This phase of the community consultation process involved distributing an online survey using ‘</w:t>
      </w:r>
      <w:proofErr w:type="spellStart"/>
      <w:r>
        <w:t>YourSay</w:t>
      </w:r>
      <w:proofErr w:type="spellEnd"/>
      <w:r>
        <w:t xml:space="preserve">’. The survey was distributed via a boosted Facebook campaign, regional newspapers and embedded in the February edition of the On-Stream newsletter. Additional advertising of the survey </w:t>
      </w:r>
      <w:r w:rsidR="3C0BC4AF">
        <w:t>occurred through</w:t>
      </w:r>
      <w:r>
        <w:t xml:space="preserve"> regional newspapers and an ORC media release.</w:t>
      </w:r>
      <w:r w:rsidR="00122E88">
        <w:t xml:space="preserve"> ORC received 312 survey responses.</w:t>
      </w:r>
    </w:p>
    <w:p w14:paraId="1038A2D7" w14:textId="77E1F343" w:rsidR="00122E88" w:rsidRDefault="00AA0C97" w:rsidP="00533C28">
      <w:pPr>
        <w:pStyle w:val="Normal2"/>
        <w:shd w:val="clear" w:color="auto" w:fill="DEEAF6" w:themeFill="accent5" w:themeFillTint="33"/>
      </w:pPr>
      <w:bookmarkStart w:id="18" w:name="_Ref46920992"/>
      <w:r>
        <w:t xml:space="preserve">Communities throughout Otago were encouraged to identify values, concerns and general comments relating to nine issue statements which had been drafted following a workshop with Councillors in January 2020. The nine issue statements </w:t>
      </w:r>
      <w:r w:rsidR="00D601FC">
        <w:t>were</w:t>
      </w:r>
      <w:r>
        <w:t>:</w:t>
      </w:r>
      <w:bookmarkEnd w:id="18"/>
      <w:r>
        <w:t xml:space="preserve"> </w:t>
      </w:r>
    </w:p>
    <w:p w14:paraId="7652F754" w14:textId="77777777" w:rsidR="00D601FC" w:rsidRPr="00874220" w:rsidRDefault="00D601FC" w:rsidP="00533C28">
      <w:pPr>
        <w:pStyle w:val="Normal3"/>
        <w:shd w:val="clear" w:color="auto" w:fill="DEEAF6" w:themeFill="accent5" w:themeFillTint="33"/>
      </w:pPr>
      <w:r>
        <w:t xml:space="preserve">Natural hazards pose a risk to many Otago </w:t>
      </w:r>
      <w:proofErr w:type="gramStart"/>
      <w:r>
        <w:t>communities;</w:t>
      </w:r>
      <w:proofErr w:type="gramEnd"/>
    </w:p>
    <w:p w14:paraId="67E7358B" w14:textId="77777777" w:rsidR="00D601FC" w:rsidRPr="00874220" w:rsidRDefault="00D601FC" w:rsidP="00533C28">
      <w:pPr>
        <w:pStyle w:val="Normal3"/>
        <w:shd w:val="clear" w:color="auto" w:fill="DEEAF6" w:themeFill="accent5" w:themeFillTint="33"/>
      </w:pPr>
      <w:r>
        <w:t xml:space="preserve">Climate change is likely to damage our economy and </w:t>
      </w:r>
      <w:proofErr w:type="gramStart"/>
      <w:r>
        <w:t>environment;</w:t>
      </w:r>
      <w:proofErr w:type="gramEnd"/>
    </w:p>
    <w:p w14:paraId="2BFE0238" w14:textId="77777777" w:rsidR="00D601FC" w:rsidRPr="00874220" w:rsidRDefault="00D601FC" w:rsidP="00533C28">
      <w:pPr>
        <w:pStyle w:val="Normal3"/>
        <w:shd w:val="clear" w:color="auto" w:fill="DEEAF6" w:themeFill="accent5" w:themeFillTint="33"/>
      </w:pPr>
      <w:r>
        <w:t xml:space="preserve">Pest species pose an ongoing threat to indigenous biodiversity, economic activities and </w:t>
      </w:r>
      <w:proofErr w:type="gramStart"/>
      <w:r>
        <w:t>landscapes;</w:t>
      </w:r>
      <w:proofErr w:type="gramEnd"/>
    </w:p>
    <w:p w14:paraId="4AA7E753" w14:textId="77777777" w:rsidR="00D601FC" w:rsidRPr="00874220" w:rsidRDefault="00D601FC" w:rsidP="00533C28">
      <w:pPr>
        <w:pStyle w:val="Normal3"/>
        <w:shd w:val="clear" w:color="auto" w:fill="DEEAF6" w:themeFill="accent5" w:themeFillTint="33"/>
      </w:pPr>
      <w:r>
        <w:t xml:space="preserve">Urban growth affects productive land, treasured natural assets, infrastructure and community </w:t>
      </w:r>
      <w:proofErr w:type="gramStart"/>
      <w:r>
        <w:t>wellbeing;</w:t>
      </w:r>
      <w:proofErr w:type="gramEnd"/>
    </w:p>
    <w:p w14:paraId="266231D9" w14:textId="77777777" w:rsidR="00D601FC" w:rsidRPr="00874220" w:rsidRDefault="00D601FC" w:rsidP="00533C28">
      <w:pPr>
        <w:pStyle w:val="Normal3"/>
        <w:shd w:val="clear" w:color="auto" w:fill="DEEAF6" w:themeFill="accent5" w:themeFillTint="33"/>
      </w:pPr>
      <w:r>
        <w:t xml:space="preserve">Water demand exceeds capacity in some </w:t>
      </w:r>
      <w:proofErr w:type="gramStart"/>
      <w:r>
        <w:t>places;</w:t>
      </w:r>
      <w:proofErr w:type="gramEnd"/>
    </w:p>
    <w:p w14:paraId="201F0B61" w14:textId="77777777" w:rsidR="00D601FC" w:rsidRPr="00874220" w:rsidRDefault="00D601FC" w:rsidP="00533C28">
      <w:pPr>
        <w:pStyle w:val="Normal3"/>
        <w:shd w:val="clear" w:color="auto" w:fill="DEEAF6" w:themeFill="accent5" w:themeFillTint="33"/>
      </w:pPr>
      <w:r>
        <w:t xml:space="preserve">Otago’s coast is a rich natural, cultural and economic resource that is under threat from a range of terrestrial and marine </w:t>
      </w:r>
      <w:proofErr w:type="gramStart"/>
      <w:r>
        <w:t>activities;</w:t>
      </w:r>
      <w:proofErr w:type="gramEnd"/>
    </w:p>
    <w:p w14:paraId="62044EE5" w14:textId="77777777" w:rsidR="00D601FC" w:rsidRPr="00874220" w:rsidRDefault="00D601FC" w:rsidP="00533C28">
      <w:pPr>
        <w:pStyle w:val="Normal3"/>
        <w:shd w:val="clear" w:color="auto" w:fill="DEEAF6" w:themeFill="accent5" w:themeFillTint="33"/>
      </w:pPr>
      <w:r>
        <w:t xml:space="preserve">Lakes Wanaka, Wakatipu, </w:t>
      </w:r>
      <w:proofErr w:type="spellStart"/>
      <w:r>
        <w:t>Hawea</w:t>
      </w:r>
      <w:proofErr w:type="spellEnd"/>
      <w:r>
        <w:t xml:space="preserve"> and Dunstan attract visitors and new residents, putting pressure on their unique </w:t>
      </w:r>
      <w:proofErr w:type="gramStart"/>
      <w:r>
        <w:t>environment;</w:t>
      </w:r>
      <w:proofErr w:type="gramEnd"/>
    </w:p>
    <w:p w14:paraId="5A538C0B" w14:textId="77777777" w:rsidR="00D601FC" w:rsidRPr="00874220" w:rsidRDefault="00D601FC" w:rsidP="00533C28">
      <w:pPr>
        <w:pStyle w:val="Normal3"/>
        <w:shd w:val="clear" w:color="auto" w:fill="DEEAF6" w:themeFill="accent5" w:themeFillTint="33"/>
      </w:pPr>
      <w:r>
        <w:t>Economic and domestic activities use natural resources, but do not always properly account for the environmental stresses and future effects they cause; and</w:t>
      </w:r>
    </w:p>
    <w:p w14:paraId="52306E91" w14:textId="77777777" w:rsidR="00D601FC" w:rsidRDefault="00D601FC" w:rsidP="00533C28">
      <w:pPr>
        <w:pStyle w:val="Normal3"/>
        <w:shd w:val="clear" w:color="auto" w:fill="DEEAF6" w:themeFill="accent5" w:themeFillTint="33"/>
      </w:pPr>
      <w:r>
        <w:t>The environmental costs of our activities are stacking up and may soon reach a tipping point.</w:t>
      </w:r>
    </w:p>
    <w:p w14:paraId="21B39B92" w14:textId="21A5FFA7" w:rsidR="00667AE0" w:rsidRDefault="00AA0C97" w:rsidP="00533C28">
      <w:pPr>
        <w:pStyle w:val="Normal2"/>
        <w:shd w:val="clear" w:color="auto" w:fill="DEEAF6" w:themeFill="accent5" w:themeFillTint="33"/>
      </w:pPr>
      <w:r>
        <w:t>Respondents were also asked to indicate how significant they felt the issue statement was and to comment on why. The data gathered from the Survey was then coded and thematically analysed.</w:t>
      </w:r>
    </w:p>
    <w:p w14:paraId="73E27045" w14:textId="707FFB09" w:rsidR="00AA0C97" w:rsidRDefault="00122E88" w:rsidP="00533C28">
      <w:pPr>
        <w:pStyle w:val="Heading3"/>
        <w:shd w:val="clear" w:color="auto" w:fill="DEEAF6" w:themeFill="accent5" w:themeFillTint="33"/>
      </w:pPr>
      <w:r>
        <w:t>Phase 2</w:t>
      </w:r>
      <w:r w:rsidR="0024747F">
        <w:t xml:space="preserve">: </w:t>
      </w:r>
      <w:r>
        <w:t>March 2020</w:t>
      </w:r>
    </w:p>
    <w:p w14:paraId="3D1C8CBC" w14:textId="239E12A6" w:rsidR="00AA0C97" w:rsidRDefault="00AA0C97" w:rsidP="00533C28">
      <w:pPr>
        <w:pStyle w:val="Normal2"/>
        <w:shd w:val="clear" w:color="auto" w:fill="DEEAF6" w:themeFill="accent5" w:themeFillTint="33"/>
      </w:pPr>
      <w:r>
        <w:t xml:space="preserve">Phase two of the consultation process involved five facilitated workshops held in March 2020. Four of these were </w:t>
      </w:r>
      <w:r w:rsidR="00BC436A">
        <w:t xml:space="preserve">open to the </w:t>
      </w:r>
      <w:r>
        <w:t xml:space="preserve">public, and one was </w:t>
      </w:r>
      <w:r w:rsidR="00BC436A">
        <w:t>by invitation only</w:t>
      </w:r>
      <w:r>
        <w:t xml:space="preserve">. Workshops were held in Oamaru, Dunedin (two meetings – one of which was </w:t>
      </w:r>
      <w:r w:rsidR="00BC436A">
        <w:t>open to the public</w:t>
      </w:r>
      <w:r>
        <w:t xml:space="preserve">), </w:t>
      </w:r>
      <w:proofErr w:type="spellStart"/>
      <w:r>
        <w:t>Tapanui</w:t>
      </w:r>
      <w:proofErr w:type="spellEnd"/>
      <w:r>
        <w:t xml:space="preserve"> and Balclutha. </w:t>
      </w:r>
    </w:p>
    <w:p w14:paraId="2E639665" w14:textId="3D2D6499" w:rsidR="00AA0C97" w:rsidRDefault="00AA0C97" w:rsidP="00533C28">
      <w:pPr>
        <w:pStyle w:val="Normal2"/>
        <w:shd w:val="clear" w:color="auto" w:fill="DEEAF6" w:themeFill="accent5" w:themeFillTint="33"/>
      </w:pPr>
      <w:r>
        <w:t>The workshops included two main activities:</w:t>
      </w:r>
    </w:p>
    <w:p w14:paraId="11790B9D" w14:textId="5494FA45" w:rsidR="00AA0C97" w:rsidRDefault="00AA0C97" w:rsidP="00533C28">
      <w:pPr>
        <w:pStyle w:val="Normal3"/>
        <w:shd w:val="clear" w:color="auto" w:fill="DEEAF6" w:themeFill="accent5" w:themeFillTint="33"/>
      </w:pPr>
      <w:r w:rsidRPr="7DE66FE7">
        <w:rPr>
          <w:b/>
          <w:bCs/>
        </w:rPr>
        <w:t>Identifying outcomes:</w:t>
      </w:r>
      <w:r>
        <w:t xml:space="preserve"> Attendees mapped the future resource management outcomes they wished to see achieved in relation to the issues from Phase 1.</w:t>
      </w:r>
    </w:p>
    <w:p w14:paraId="72521DF4" w14:textId="2D2D5D8C" w:rsidR="00AA0C97" w:rsidRPr="009E2A36" w:rsidRDefault="00AA0C97" w:rsidP="00533C28">
      <w:pPr>
        <w:pStyle w:val="Normal3"/>
        <w:shd w:val="clear" w:color="auto" w:fill="DEEAF6" w:themeFill="accent5" w:themeFillTint="33"/>
        <w:rPr>
          <w:b/>
          <w:bCs/>
        </w:rPr>
      </w:pPr>
      <w:r w:rsidRPr="7DE66FE7">
        <w:rPr>
          <w:b/>
          <w:bCs/>
        </w:rPr>
        <w:t xml:space="preserve">Identifying policy approaches: </w:t>
      </w:r>
      <w:r>
        <w:t>Attendees discussed and plotted potential policy approaches to achieve the outcomes identified above, using some example scenarios. The aim of this activity was to provide guidance in two respects:</w:t>
      </w:r>
    </w:p>
    <w:p w14:paraId="406A88DE" w14:textId="136CC4E6" w:rsidR="00AA0C97" w:rsidRPr="00AA0C97" w:rsidRDefault="00AA0C97" w:rsidP="00533C28">
      <w:pPr>
        <w:pStyle w:val="Normal4"/>
        <w:shd w:val="clear" w:color="auto" w:fill="DEEAF6" w:themeFill="accent5" w:themeFillTint="33"/>
      </w:pPr>
      <w:r>
        <w:t xml:space="preserve">How permissive or prescriptive the policy approach should be in relation to an </w:t>
      </w:r>
      <w:proofErr w:type="gramStart"/>
      <w:r>
        <w:t>outcome;</w:t>
      </w:r>
      <w:proofErr w:type="gramEnd"/>
    </w:p>
    <w:p w14:paraId="58EA328F" w14:textId="76E1908A" w:rsidR="00AA0C97" w:rsidRDefault="00AA0C97" w:rsidP="00533C28">
      <w:pPr>
        <w:pStyle w:val="Normal4"/>
        <w:shd w:val="clear" w:color="auto" w:fill="DEEAF6" w:themeFill="accent5" w:themeFillTint="33"/>
      </w:pPr>
      <w:r>
        <w:lastRenderedPageBreak/>
        <w:t>The degree of environmental improvement sought, ranging from meeting environmental bottom lines (minimum standards) through to achieving (or maintaining) a high level of environmental quality (a more natural state).</w:t>
      </w:r>
    </w:p>
    <w:p w14:paraId="4672E96E" w14:textId="244B705B" w:rsidR="00821AA6" w:rsidRPr="00AA0C97" w:rsidRDefault="2136A024" w:rsidP="00533C28">
      <w:pPr>
        <w:pStyle w:val="Normal2"/>
        <w:shd w:val="clear" w:color="auto" w:fill="DEEAF6" w:themeFill="accent5" w:themeFillTint="33"/>
        <w:rPr>
          <w:rFonts w:eastAsiaTheme="minorEastAsia"/>
        </w:rPr>
      </w:pPr>
      <w:r>
        <w:t xml:space="preserve">Two further events were also planned for Queenstown and Alexandra. </w:t>
      </w:r>
      <w:r w:rsidR="00821AA6">
        <w:t xml:space="preserve">The COVID-19 </w:t>
      </w:r>
      <w:r w:rsidR="00DB2E0C">
        <w:t>pandemic</w:t>
      </w:r>
      <w:r w:rsidR="00821AA6">
        <w:t xml:space="preserve"> </w:t>
      </w:r>
      <w:r w:rsidR="15D5EB8E">
        <w:t>resulted in these two workshops not proceeding</w:t>
      </w:r>
      <w:r w:rsidR="00D746F0">
        <w:t xml:space="preserve"> and forced a reconsideration of the </w:t>
      </w:r>
      <w:r w:rsidR="00CA1D1C">
        <w:t xml:space="preserve">approach to </w:t>
      </w:r>
      <w:r w:rsidR="00D746F0">
        <w:t>consultation. This occurred through a Council meeting in April 2020 and resulted in the establishment of Phase 3.</w:t>
      </w:r>
    </w:p>
    <w:p w14:paraId="065DB983" w14:textId="387FCA6D" w:rsidR="00667AE0" w:rsidRDefault="00122E88" w:rsidP="00533C28">
      <w:pPr>
        <w:pStyle w:val="Heading3"/>
        <w:shd w:val="clear" w:color="auto" w:fill="DEEAF6" w:themeFill="accent5" w:themeFillTint="33"/>
      </w:pPr>
      <w:r>
        <w:t>Feedback</w:t>
      </w:r>
    </w:p>
    <w:p w14:paraId="79E4E6EB" w14:textId="1BA76F5F" w:rsidR="00623A8B" w:rsidRDefault="00122E88" w:rsidP="00533C28">
      <w:pPr>
        <w:pStyle w:val="Normal2"/>
        <w:shd w:val="clear" w:color="auto" w:fill="DEEAF6" w:themeFill="accent5" w:themeFillTint="33"/>
      </w:pPr>
      <w:r>
        <w:t xml:space="preserve">The online community consultation undertaken as part of Phase 1 confirmed the relevance of the key issues as set out </w:t>
      </w:r>
      <w:r w:rsidRPr="00DF6F2A">
        <w:t>above</w:t>
      </w:r>
      <w:r w:rsidR="00623A8B">
        <w:t xml:space="preserve">. At the Oamaru workshop, two more themes were identified in addition to the nine themes developed during the phase one consultation. These were </w:t>
      </w:r>
      <w:r w:rsidR="00623A8B" w:rsidRPr="7DE66FE7">
        <w:rPr>
          <w:i/>
          <w:iCs/>
        </w:rPr>
        <w:t>improving water quality</w:t>
      </w:r>
      <w:r w:rsidR="00623A8B">
        <w:t xml:space="preserve"> and </w:t>
      </w:r>
      <w:r w:rsidR="00623A8B" w:rsidRPr="7DE66FE7">
        <w:rPr>
          <w:i/>
          <w:iCs/>
        </w:rPr>
        <w:t>protecting biodiversity</w:t>
      </w:r>
      <w:r w:rsidR="00623A8B">
        <w:t>. These were added to the subsequent workshops and feedback sought in the same manner as for the other issues.</w:t>
      </w:r>
    </w:p>
    <w:p w14:paraId="419437A6" w14:textId="48145A4B" w:rsidR="00122E88" w:rsidRDefault="00623A8B" w:rsidP="00533C28">
      <w:pPr>
        <w:pStyle w:val="Normal2"/>
        <w:shd w:val="clear" w:color="auto" w:fill="DEEAF6" w:themeFill="accent5" w:themeFillTint="33"/>
      </w:pPr>
      <w:r>
        <w:t>Broadly, the key findings from Phases 1 and 2 were:</w:t>
      </w:r>
    </w:p>
    <w:p w14:paraId="4FD8C7BC" w14:textId="2C3026FB" w:rsidR="00623A8B" w:rsidRPr="00874220" w:rsidRDefault="00623A8B" w:rsidP="00533C28">
      <w:pPr>
        <w:pStyle w:val="Normal3"/>
        <w:shd w:val="clear" w:color="auto" w:fill="DEEAF6" w:themeFill="accent5" w:themeFillTint="33"/>
      </w:pPr>
      <w:r>
        <w:t>Precautionary approaches to policy that enable environmentally sustainable outcomes for both urban and rural activities with the support of both public and private sectors.</w:t>
      </w:r>
    </w:p>
    <w:p w14:paraId="4E5425DA" w14:textId="7ACC40B7" w:rsidR="00623A8B" w:rsidRPr="00874220" w:rsidRDefault="00623A8B" w:rsidP="00533C28">
      <w:pPr>
        <w:pStyle w:val="Normal3"/>
        <w:shd w:val="clear" w:color="auto" w:fill="DEEAF6" w:themeFill="accent5" w:themeFillTint="33"/>
      </w:pPr>
      <w:r>
        <w:t xml:space="preserve">Upgrading infrastructure, particularly waste, </w:t>
      </w:r>
      <w:proofErr w:type="gramStart"/>
      <w:r>
        <w:t>wastewater</w:t>
      </w:r>
      <w:proofErr w:type="gramEnd"/>
      <w:r>
        <w:t xml:space="preserve"> and stormwater management infrastructure. This was a strong theme across issues related to urban growth, natural hazards and resilience, economic </w:t>
      </w:r>
      <w:proofErr w:type="gramStart"/>
      <w:r>
        <w:t>impacts</w:t>
      </w:r>
      <w:proofErr w:type="gramEnd"/>
      <w:r>
        <w:t xml:space="preserve"> and coast.</w:t>
      </w:r>
    </w:p>
    <w:p w14:paraId="08DBACB0" w14:textId="0A4EDC4A" w:rsidR="00623A8B" w:rsidRPr="00874220" w:rsidRDefault="00623A8B" w:rsidP="00533C28">
      <w:pPr>
        <w:pStyle w:val="Normal3"/>
        <w:shd w:val="clear" w:color="auto" w:fill="DEEAF6" w:themeFill="accent5" w:themeFillTint="33"/>
      </w:pPr>
      <w:r>
        <w:t>Tighter regulations on urban development, ceasing developments on productive land</w:t>
      </w:r>
      <w:r w:rsidR="0024747F">
        <w:t xml:space="preserve"> and in known flood risk areas, and reducing urban sprawl in favour of high-density urbanised areas</w:t>
      </w:r>
      <w:r w:rsidR="00DB1C2D">
        <w:t>.</w:t>
      </w:r>
    </w:p>
    <w:p w14:paraId="7623BE44" w14:textId="70426B62" w:rsidR="0024747F" w:rsidRPr="00874220" w:rsidRDefault="0024747F" w:rsidP="00533C28">
      <w:pPr>
        <w:pStyle w:val="Normal3"/>
        <w:shd w:val="clear" w:color="auto" w:fill="DEEAF6" w:themeFill="accent5" w:themeFillTint="33"/>
      </w:pPr>
      <w:r>
        <w:t>Increasing water storage capabilities for the region was a strong outcome for water demand issues</w:t>
      </w:r>
      <w:r w:rsidR="00DB1C2D">
        <w:t>.</w:t>
      </w:r>
    </w:p>
    <w:p w14:paraId="132A1707" w14:textId="100EE0F8" w:rsidR="0024747F" w:rsidRPr="00874220" w:rsidRDefault="0024747F" w:rsidP="00533C28">
      <w:pPr>
        <w:pStyle w:val="Normal3"/>
        <w:shd w:val="clear" w:color="auto" w:fill="DEEAF6" w:themeFill="accent5" w:themeFillTint="33"/>
      </w:pPr>
      <w:r>
        <w:t>The ORC to be more active in biodiversity loss issues and pest control management through regulation and incentives for landowners and community groups</w:t>
      </w:r>
      <w:r w:rsidR="00DB1C2D">
        <w:t>.</w:t>
      </w:r>
    </w:p>
    <w:p w14:paraId="258ECC47" w14:textId="70ACF82B" w:rsidR="0024747F" w:rsidRPr="00874220" w:rsidRDefault="0024747F" w:rsidP="00533C28">
      <w:pPr>
        <w:pStyle w:val="Normal3"/>
        <w:shd w:val="clear" w:color="auto" w:fill="DEEAF6" w:themeFill="accent5" w:themeFillTint="33"/>
      </w:pPr>
      <w:r>
        <w:t xml:space="preserve">Investing in </w:t>
      </w:r>
      <w:r w:rsidR="00DB1C2D">
        <w:t>alternative</w:t>
      </w:r>
      <w:r>
        <w:t xml:space="preserve"> public transport options to reduce car-based emissions and incentivise alternative heating sources for residential developments to reduce wood or coal burning. These were to improve air quality and help mitigate climate change effects</w:t>
      </w:r>
      <w:r w:rsidR="00DB1C2D">
        <w:t>.</w:t>
      </w:r>
    </w:p>
    <w:p w14:paraId="42BF59BD" w14:textId="55F906DB" w:rsidR="0024747F" w:rsidRDefault="0024747F" w:rsidP="00533C28">
      <w:pPr>
        <w:pStyle w:val="Normal3"/>
        <w:shd w:val="clear" w:color="auto" w:fill="DEEAF6" w:themeFill="accent5" w:themeFillTint="33"/>
      </w:pPr>
      <w:r>
        <w:t>Increased collaborative research and education outcomes across all the issue topics made available to the community. This outcome was particularly relevant for issues relating to coastal pressures, climate change and biodiversity loss.</w:t>
      </w:r>
    </w:p>
    <w:p w14:paraId="4D88D101" w14:textId="30CCF80F" w:rsidR="0024747F" w:rsidRPr="00122E88" w:rsidRDefault="0024747F" w:rsidP="00533C28">
      <w:pPr>
        <w:pStyle w:val="Normal2"/>
        <w:shd w:val="clear" w:color="auto" w:fill="DEEAF6" w:themeFill="accent5" w:themeFillTint="33"/>
      </w:pPr>
      <w:r>
        <w:t xml:space="preserve">ORC has prepared a full report on the findings from the </w:t>
      </w:r>
      <w:r w:rsidR="00CA1D1C">
        <w:t>P</w:t>
      </w:r>
      <w:r>
        <w:t xml:space="preserve">hase 1 and 2 consultation which is attached as Appendix </w:t>
      </w:r>
      <w:r w:rsidR="00720600">
        <w:t xml:space="preserve">3 </w:t>
      </w:r>
      <w:r>
        <w:t xml:space="preserve">to this report. </w:t>
      </w:r>
      <w:r w:rsidR="00CA1D1C">
        <w:t xml:space="preserve">The </w:t>
      </w:r>
      <w:r>
        <w:t>findings from Phase 1 are set out in section 6 (pages 7 to 24) and from Phase 2 in section 7 (pages 24 to 30).</w:t>
      </w:r>
    </w:p>
    <w:p w14:paraId="6F94BB2D" w14:textId="7317148F" w:rsidR="00AA0C97" w:rsidRDefault="0024747F" w:rsidP="00533C28">
      <w:pPr>
        <w:pStyle w:val="Heading2"/>
        <w:shd w:val="clear" w:color="auto" w:fill="DEEAF6" w:themeFill="accent5" w:themeFillTint="33"/>
      </w:pPr>
      <w:bookmarkStart w:id="19" w:name="_Ref50982840"/>
      <w:bookmarkStart w:id="20" w:name="_Ref50982861"/>
      <w:bookmarkStart w:id="21" w:name="_Toc72507622"/>
      <w:r>
        <w:t>Phase 3: June – August 2020</w:t>
      </w:r>
      <w:bookmarkEnd w:id="19"/>
      <w:bookmarkEnd w:id="20"/>
      <w:bookmarkEnd w:id="21"/>
    </w:p>
    <w:p w14:paraId="0F4A78AC" w14:textId="15F341F7" w:rsidR="00667AE0" w:rsidRDefault="00D746F0" w:rsidP="00533C28">
      <w:pPr>
        <w:pStyle w:val="Normal2"/>
        <w:shd w:val="clear" w:color="auto" w:fill="DEEAF6" w:themeFill="accent5" w:themeFillTint="33"/>
      </w:pPr>
      <w:r>
        <w:t xml:space="preserve">The COVID-19 </w:t>
      </w:r>
      <w:r w:rsidR="00DB2E0C">
        <w:t>pandemic</w:t>
      </w:r>
      <w:r>
        <w:t xml:space="preserve"> </w:t>
      </w:r>
      <w:r w:rsidR="00DB2E0C">
        <w:t xml:space="preserve">affected the ability </w:t>
      </w:r>
      <w:r w:rsidR="008945B5">
        <w:t>o</w:t>
      </w:r>
      <w:r w:rsidR="00DB2E0C">
        <w:t xml:space="preserve">f Phase 2 consultation to continue due to the restrictions on travel and social contact. </w:t>
      </w:r>
      <w:r w:rsidR="008945B5">
        <w:t xml:space="preserve">ORC discussed alternative forms of consultation at the Council meeting on 22 April 2020 and decided to establish </w:t>
      </w:r>
      <w:r w:rsidR="00CA1D1C">
        <w:t xml:space="preserve">a </w:t>
      </w:r>
      <w:r w:rsidR="008945B5">
        <w:t xml:space="preserve">Reference Group for </w:t>
      </w:r>
      <w:r w:rsidR="00EC30D8">
        <w:t xml:space="preserve">each of </w:t>
      </w:r>
      <w:r w:rsidR="008945B5">
        <w:t xml:space="preserve">the RPS topics </w:t>
      </w:r>
      <w:r w:rsidR="00EC30D8">
        <w:t xml:space="preserve">and </w:t>
      </w:r>
      <w:r w:rsidR="008945B5">
        <w:t xml:space="preserve">that </w:t>
      </w:r>
      <w:r w:rsidR="00EC30D8">
        <w:t xml:space="preserve">each Reference Group </w:t>
      </w:r>
      <w:r w:rsidR="008945B5">
        <w:t xml:space="preserve">would meet and provide input on the proposed policy direction for </w:t>
      </w:r>
      <w:r w:rsidR="00EC30D8">
        <w:t xml:space="preserve">that </w:t>
      </w:r>
      <w:r w:rsidR="008945B5">
        <w:t>topic.</w:t>
      </w:r>
    </w:p>
    <w:p w14:paraId="6D23D991" w14:textId="4C948671" w:rsidR="008945B5" w:rsidRDefault="008945B5" w:rsidP="00533C28">
      <w:pPr>
        <w:pStyle w:val="Normal2"/>
        <w:shd w:val="clear" w:color="auto" w:fill="DEEAF6" w:themeFill="accent5" w:themeFillTint="33"/>
      </w:pPr>
      <w:r>
        <w:lastRenderedPageBreak/>
        <w:t>Terms of Reference were established,</w:t>
      </w:r>
      <w:r>
        <w:rPr>
          <w:rStyle w:val="FootnoteReference"/>
        </w:rPr>
        <w:footnoteReference w:id="8"/>
      </w:r>
      <w:r>
        <w:t xml:space="preserve"> and 11 Reference Groups appointed.</w:t>
      </w:r>
      <w:r>
        <w:rPr>
          <w:rStyle w:val="FootnoteReference"/>
        </w:rPr>
        <w:footnoteReference w:id="9"/>
      </w:r>
      <w:r>
        <w:t xml:space="preserve"> The objectives of the Reference Groups were to:</w:t>
      </w:r>
    </w:p>
    <w:p w14:paraId="7261ED4F" w14:textId="22E6A151" w:rsidR="008945B5" w:rsidRDefault="008945B5" w:rsidP="00533C28">
      <w:pPr>
        <w:pStyle w:val="Normal3"/>
        <w:shd w:val="clear" w:color="auto" w:fill="DEEAF6" w:themeFill="accent5" w:themeFillTint="33"/>
        <w:rPr>
          <w:rFonts w:eastAsiaTheme="minorEastAsia"/>
        </w:rPr>
      </w:pPr>
      <w:r>
        <w:t xml:space="preserve">Provide input into policy direction based on the knowledge, expertise and experience each member brings to each particular </w:t>
      </w:r>
      <w:proofErr w:type="gramStart"/>
      <w:r>
        <w:t>topic;</w:t>
      </w:r>
      <w:proofErr w:type="gramEnd"/>
    </w:p>
    <w:p w14:paraId="04C753D5" w14:textId="49926F6E" w:rsidR="008945B5" w:rsidRDefault="008945B5" w:rsidP="00533C28">
      <w:pPr>
        <w:pStyle w:val="Normal3"/>
        <w:shd w:val="clear" w:color="auto" w:fill="DEEAF6" w:themeFill="accent5" w:themeFillTint="33"/>
        <w:rPr>
          <w:rFonts w:eastAsiaTheme="minorEastAsia"/>
        </w:rPr>
      </w:pPr>
      <w:r>
        <w:t xml:space="preserve">Consider the policy implications of policy directions papers on the use, development and protection of natural and physical </w:t>
      </w:r>
      <w:proofErr w:type="gramStart"/>
      <w:r>
        <w:t>resources;</w:t>
      </w:r>
      <w:proofErr w:type="gramEnd"/>
    </w:p>
    <w:p w14:paraId="11C9A8CE" w14:textId="49920E33" w:rsidR="008945B5" w:rsidRDefault="008945B5" w:rsidP="00533C28">
      <w:pPr>
        <w:pStyle w:val="Normal3"/>
        <w:shd w:val="clear" w:color="auto" w:fill="DEEAF6" w:themeFill="accent5" w:themeFillTint="33"/>
        <w:rPr>
          <w:rFonts w:eastAsiaTheme="minorEastAsia"/>
        </w:rPr>
      </w:pPr>
      <w:r>
        <w:t>Critically review policy direction papers relevant to the topic/chapter of the new RPS and provide written feedback to ORC.</w:t>
      </w:r>
    </w:p>
    <w:p w14:paraId="5D59796F" w14:textId="0D048C19" w:rsidR="008945B5" w:rsidRDefault="006301FE" w:rsidP="00533C28">
      <w:pPr>
        <w:pStyle w:val="Normal2"/>
        <w:shd w:val="clear" w:color="auto" w:fill="DEEAF6" w:themeFill="accent5" w:themeFillTint="33"/>
      </w:pPr>
      <w:r>
        <w:t xml:space="preserve">Policy direction papers were </w:t>
      </w:r>
      <w:r w:rsidR="001B37C6">
        <w:t>produced,</w:t>
      </w:r>
      <w:r>
        <w:t xml:space="preserve"> and Reference Group workshops held in two tranches. The first tranche occurred as follows:</w:t>
      </w:r>
    </w:p>
    <w:p w14:paraId="755845EC" w14:textId="27AC5018" w:rsidR="006301FE" w:rsidRDefault="006301FE" w:rsidP="00533C28">
      <w:pPr>
        <w:pStyle w:val="Caption"/>
        <w:keepNext/>
        <w:shd w:val="clear" w:color="auto" w:fill="DEEAF6" w:themeFill="accent5" w:themeFillTint="33"/>
        <w:ind w:left="709"/>
      </w:pPr>
      <w:r>
        <w:t xml:space="preserve">Table </w:t>
      </w:r>
      <w:r>
        <w:fldChar w:fldCharType="begin"/>
      </w:r>
      <w:r>
        <w:instrText>SEQ Table \* ARABIC</w:instrText>
      </w:r>
      <w:r>
        <w:fldChar w:fldCharType="separate"/>
      </w:r>
      <w:r w:rsidR="002A7A16">
        <w:rPr>
          <w:noProof/>
        </w:rPr>
        <w:t>1</w:t>
      </w:r>
      <w:r>
        <w:fldChar w:fldCharType="end"/>
      </w:r>
      <w:r>
        <w:t>: Tranche 1 Reference Groups</w:t>
      </w:r>
    </w:p>
    <w:tbl>
      <w:tblPr>
        <w:tblStyle w:val="TableGrid"/>
        <w:tblW w:w="0" w:type="auto"/>
        <w:jc w:val="center"/>
        <w:shd w:val="clear" w:color="auto" w:fill="DEEAF6" w:themeFill="accent5" w:themeFillTint="33"/>
        <w:tblLook w:val="04A0" w:firstRow="1" w:lastRow="0" w:firstColumn="1" w:lastColumn="0" w:noHBand="0" w:noVBand="1"/>
      </w:tblPr>
      <w:tblGrid>
        <w:gridCol w:w="3535"/>
        <w:gridCol w:w="1388"/>
      </w:tblGrid>
      <w:tr w:rsidR="002917C5" w:rsidRPr="006301FE" w14:paraId="23F45F81" w14:textId="77777777" w:rsidTr="00533C28">
        <w:trPr>
          <w:jc w:val="center"/>
        </w:trPr>
        <w:tc>
          <w:tcPr>
            <w:tcW w:w="3535" w:type="dxa"/>
            <w:shd w:val="clear" w:color="auto" w:fill="DEEAF6" w:themeFill="accent5" w:themeFillTint="33"/>
          </w:tcPr>
          <w:p w14:paraId="5D0A2C79" w14:textId="4F85365E" w:rsidR="002917C5" w:rsidRPr="004412F8" w:rsidRDefault="002917C5" w:rsidP="00533C28">
            <w:pPr>
              <w:pStyle w:val="Table1"/>
              <w:rPr>
                <w:b/>
                <w:bCs/>
              </w:rPr>
            </w:pPr>
            <w:r w:rsidRPr="004412F8">
              <w:rPr>
                <w:b/>
                <w:bCs/>
              </w:rPr>
              <w:t>Topic</w:t>
            </w:r>
          </w:p>
        </w:tc>
        <w:tc>
          <w:tcPr>
            <w:tcW w:w="1388" w:type="dxa"/>
            <w:shd w:val="clear" w:color="auto" w:fill="DEEAF6" w:themeFill="accent5" w:themeFillTint="33"/>
          </w:tcPr>
          <w:p w14:paraId="6A591910" w14:textId="25BAF681" w:rsidR="002917C5" w:rsidRPr="004412F8" w:rsidRDefault="002917C5" w:rsidP="00533C28">
            <w:pPr>
              <w:pStyle w:val="Table1"/>
              <w:rPr>
                <w:b/>
                <w:bCs/>
              </w:rPr>
            </w:pPr>
            <w:r w:rsidRPr="004412F8">
              <w:rPr>
                <w:b/>
                <w:bCs/>
              </w:rPr>
              <w:t>Date</w:t>
            </w:r>
          </w:p>
        </w:tc>
      </w:tr>
      <w:tr w:rsidR="00384292" w:rsidRPr="006301FE" w14:paraId="218A3DE6" w14:textId="77777777" w:rsidTr="00533C28">
        <w:trPr>
          <w:jc w:val="center"/>
        </w:trPr>
        <w:tc>
          <w:tcPr>
            <w:tcW w:w="4923" w:type="dxa"/>
            <w:gridSpan w:val="2"/>
            <w:shd w:val="clear" w:color="auto" w:fill="DEEAF6" w:themeFill="accent5" w:themeFillTint="33"/>
          </w:tcPr>
          <w:p w14:paraId="468CC5BA" w14:textId="51024ACB" w:rsidR="00384292" w:rsidRPr="00384292" w:rsidRDefault="00384292" w:rsidP="00533C28">
            <w:pPr>
              <w:pStyle w:val="Table1"/>
            </w:pPr>
            <w:r w:rsidRPr="00384292">
              <w:t>Tranche 1</w:t>
            </w:r>
          </w:p>
        </w:tc>
      </w:tr>
      <w:tr w:rsidR="0068460C" w:rsidRPr="006301FE" w14:paraId="77B6B617" w14:textId="77777777" w:rsidTr="00533C28">
        <w:trPr>
          <w:jc w:val="center"/>
        </w:trPr>
        <w:tc>
          <w:tcPr>
            <w:tcW w:w="3535" w:type="dxa"/>
            <w:shd w:val="clear" w:color="auto" w:fill="DEEAF6" w:themeFill="accent5" w:themeFillTint="33"/>
          </w:tcPr>
          <w:p w14:paraId="601462B3" w14:textId="31375DD6" w:rsidR="0068460C" w:rsidRDefault="0068460C" w:rsidP="00533C28">
            <w:pPr>
              <w:pStyle w:val="Table1"/>
            </w:pPr>
            <w:r>
              <w:t>Historical and cultural values</w:t>
            </w:r>
          </w:p>
        </w:tc>
        <w:tc>
          <w:tcPr>
            <w:tcW w:w="1388" w:type="dxa"/>
            <w:shd w:val="clear" w:color="auto" w:fill="DEEAF6" w:themeFill="accent5" w:themeFillTint="33"/>
          </w:tcPr>
          <w:p w14:paraId="091B4F1D" w14:textId="5E1BF4BA" w:rsidR="0068460C" w:rsidRPr="006301FE" w:rsidRDefault="0068460C" w:rsidP="00533C28">
            <w:pPr>
              <w:pStyle w:val="Table1"/>
            </w:pPr>
            <w:r>
              <w:t>22 June 2020</w:t>
            </w:r>
          </w:p>
        </w:tc>
      </w:tr>
      <w:tr w:rsidR="0068460C" w:rsidRPr="006301FE" w14:paraId="067D3C4E" w14:textId="77777777" w:rsidTr="00533C28">
        <w:trPr>
          <w:jc w:val="center"/>
        </w:trPr>
        <w:tc>
          <w:tcPr>
            <w:tcW w:w="3535" w:type="dxa"/>
            <w:shd w:val="clear" w:color="auto" w:fill="DEEAF6" w:themeFill="accent5" w:themeFillTint="33"/>
          </w:tcPr>
          <w:p w14:paraId="16088A53" w14:textId="33121F8B" w:rsidR="0068460C" w:rsidRPr="006301FE" w:rsidRDefault="0068460C" w:rsidP="00533C28">
            <w:pPr>
              <w:pStyle w:val="Table1"/>
            </w:pPr>
            <w:r>
              <w:t>Air</w:t>
            </w:r>
          </w:p>
        </w:tc>
        <w:tc>
          <w:tcPr>
            <w:tcW w:w="1388" w:type="dxa"/>
            <w:shd w:val="clear" w:color="auto" w:fill="DEEAF6" w:themeFill="accent5" w:themeFillTint="33"/>
          </w:tcPr>
          <w:p w14:paraId="60AF5510" w14:textId="31F076DC" w:rsidR="0068460C" w:rsidRPr="006301FE" w:rsidRDefault="0068460C" w:rsidP="00533C28">
            <w:pPr>
              <w:pStyle w:val="Table1"/>
            </w:pPr>
            <w:r>
              <w:t>23 June 2020</w:t>
            </w:r>
          </w:p>
        </w:tc>
      </w:tr>
      <w:tr w:rsidR="0068460C" w:rsidRPr="006301FE" w14:paraId="53B1CC98" w14:textId="77777777" w:rsidTr="00533C28">
        <w:trPr>
          <w:jc w:val="center"/>
        </w:trPr>
        <w:tc>
          <w:tcPr>
            <w:tcW w:w="3535" w:type="dxa"/>
            <w:shd w:val="clear" w:color="auto" w:fill="DEEAF6" w:themeFill="accent5" w:themeFillTint="33"/>
          </w:tcPr>
          <w:p w14:paraId="0D7F3D87" w14:textId="50D6C020" w:rsidR="0068460C" w:rsidRPr="006301FE" w:rsidRDefault="0068460C" w:rsidP="00533C28">
            <w:pPr>
              <w:pStyle w:val="Table1"/>
            </w:pPr>
            <w:r>
              <w:t>Urban form and development</w:t>
            </w:r>
          </w:p>
        </w:tc>
        <w:tc>
          <w:tcPr>
            <w:tcW w:w="1388" w:type="dxa"/>
            <w:shd w:val="clear" w:color="auto" w:fill="DEEAF6" w:themeFill="accent5" w:themeFillTint="33"/>
          </w:tcPr>
          <w:p w14:paraId="65681891" w14:textId="3B9A91D1" w:rsidR="0068460C" w:rsidRPr="006301FE" w:rsidRDefault="004B6568" w:rsidP="00533C28">
            <w:pPr>
              <w:pStyle w:val="Table1"/>
            </w:pPr>
            <w:r>
              <w:t>23 June 2020</w:t>
            </w:r>
          </w:p>
        </w:tc>
      </w:tr>
      <w:tr w:rsidR="0068460C" w:rsidRPr="006301FE" w14:paraId="1E453A95" w14:textId="77777777" w:rsidTr="00533C28">
        <w:trPr>
          <w:jc w:val="center"/>
        </w:trPr>
        <w:tc>
          <w:tcPr>
            <w:tcW w:w="3535" w:type="dxa"/>
            <w:shd w:val="clear" w:color="auto" w:fill="DEEAF6" w:themeFill="accent5" w:themeFillTint="33"/>
          </w:tcPr>
          <w:p w14:paraId="0A8A1F2B" w14:textId="77777777" w:rsidR="001B37C6" w:rsidRDefault="0068460C" w:rsidP="00533C28">
            <w:pPr>
              <w:pStyle w:val="Table1"/>
            </w:pPr>
            <w:r>
              <w:t>Natural character</w:t>
            </w:r>
          </w:p>
          <w:p w14:paraId="6702CFA3" w14:textId="26C490AE" w:rsidR="0068460C" w:rsidRPr="006301FE" w:rsidRDefault="0068460C" w:rsidP="00533C28">
            <w:pPr>
              <w:pStyle w:val="Table1"/>
            </w:pPr>
            <w:r>
              <w:t xml:space="preserve">Natural features and </w:t>
            </w:r>
            <w:r w:rsidR="001B37C6">
              <w:t>l</w:t>
            </w:r>
            <w:r>
              <w:t>andscapes</w:t>
            </w:r>
          </w:p>
        </w:tc>
        <w:tc>
          <w:tcPr>
            <w:tcW w:w="1388" w:type="dxa"/>
            <w:shd w:val="clear" w:color="auto" w:fill="DEEAF6" w:themeFill="accent5" w:themeFillTint="33"/>
          </w:tcPr>
          <w:p w14:paraId="71E49A0C" w14:textId="0B808948" w:rsidR="0068460C" w:rsidRPr="006301FE" w:rsidRDefault="001B37C6" w:rsidP="00533C28">
            <w:pPr>
              <w:pStyle w:val="Table1"/>
            </w:pPr>
            <w:r>
              <w:t>25 June 2020</w:t>
            </w:r>
          </w:p>
        </w:tc>
      </w:tr>
      <w:tr w:rsidR="0068460C" w:rsidRPr="006301FE" w14:paraId="6889DFDE" w14:textId="77777777" w:rsidTr="00533C28">
        <w:trPr>
          <w:jc w:val="center"/>
        </w:trPr>
        <w:tc>
          <w:tcPr>
            <w:tcW w:w="3535" w:type="dxa"/>
            <w:shd w:val="clear" w:color="auto" w:fill="DEEAF6" w:themeFill="accent5" w:themeFillTint="33"/>
          </w:tcPr>
          <w:p w14:paraId="60E52538" w14:textId="10DF73F5" w:rsidR="0068460C" w:rsidRPr="006301FE" w:rsidRDefault="0068460C" w:rsidP="00533C28">
            <w:pPr>
              <w:pStyle w:val="Table1"/>
            </w:pPr>
            <w:r>
              <w:t>Hazards and risks</w:t>
            </w:r>
          </w:p>
        </w:tc>
        <w:tc>
          <w:tcPr>
            <w:tcW w:w="1388" w:type="dxa"/>
            <w:shd w:val="clear" w:color="auto" w:fill="DEEAF6" w:themeFill="accent5" w:themeFillTint="33"/>
          </w:tcPr>
          <w:p w14:paraId="51D1ACEF" w14:textId="1AE7B207" w:rsidR="0068460C" w:rsidRPr="006301FE" w:rsidRDefault="001B37C6" w:rsidP="00533C28">
            <w:pPr>
              <w:pStyle w:val="Table1"/>
            </w:pPr>
            <w:r>
              <w:t>26 June 2020</w:t>
            </w:r>
          </w:p>
        </w:tc>
      </w:tr>
      <w:tr w:rsidR="001B37C6" w:rsidRPr="006301FE" w14:paraId="55AD86AA" w14:textId="77777777" w:rsidTr="00533C28">
        <w:trPr>
          <w:jc w:val="center"/>
        </w:trPr>
        <w:tc>
          <w:tcPr>
            <w:tcW w:w="4923" w:type="dxa"/>
            <w:gridSpan w:val="2"/>
            <w:shd w:val="clear" w:color="auto" w:fill="DEEAF6" w:themeFill="accent5" w:themeFillTint="33"/>
          </w:tcPr>
          <w:p w14:paraId="15F1DF26" w14:textId="641A5E9E" w:rsidR="001B37C6" w:rsidRPr="001B37C6" w:rsidRDefault="001B37C6" w:rsidP="00533C28">
            <w:pPr>
              <w:pStyle w:val="Table1"/>
            </w:pPr>
            <w:r w:rsidRPr="001B37C6">
              <w:t>Tranche 2</w:t>
            </w:r>
          </w:p>
        </w:tc>
      </w:tr>
      <w:tr w:rsidR="001B37C6" w:rsidRPr="006301FE" w14:paraId="4D19B2C6" w14:textId="77777777" w:rsidTr="00533C28">
        <w:trPr>
          <w:jc w:val="center"/>
        </w:trPr>
        <w:tc>
          <w:tcPr>
            <w:tcW w:w="3535" w:type="dxa"/>
            <w:shd w:val="clear" w:color="auto" w:fill="DEEAF6" w:themeFill="accent5" w:themeFillTint="33"/>
          </w:tcPr>
          <w:p w14:paraId="20A46627" w14:textId="5D1ACD6A" w:rsidR="001B37C6" w:rsidRDefault="001B37C6" w:rsidP="00533C28">
            <w:pPr>
              <w:pStyle w:val="Table1"/>
            </w:pPr>
            <w:r>
              <w:t xml:space="preserve">Energy, </w:t>
            </w:r>
            <w:proofErr w:type="gramStart"/>
            <w:r>
              <w:t>infrastructure</w:t>
            </w:r>
            <w:proofErr w:type="gramEnd"/>
            <w:r>
              <w:t xml:space="preserve"> and transport</w:t>
            </w:r>
          </w:p>
        </w:tc>
        <w:tc>
          <w:tcPr>
            <w:tcW w:w="1388" w:type="dxa"/>
            <w:shd w:val="clear" w:color="auto" w:fill="DEEAF6" w:themeFill="accent5" w:themeFillTint="33"/>
          </w:tcPr>
          <w:p w14:paraId="5DEFA1A9" w14:textId="4D0BAF54" w:rsidR="001B37C6" w:rsidRDefault="001B37C6" w:rsidP="00533C28">
            <w:pPr>
              <w:pStyle w:val="Table1"/>
            </w:pPr>
            <w:r>
              <w:t>20 July 2020</w:t>
            </w:r>
          </w:p>
        </w:tc>
      </w:tr>
      <w:tr w:rsidR="0068460C" w:rsidRPr="006301FE" w14:paraId="064A8EE3" w14:textId="77777777" w:rsidTr="00533C28">
        <w:trPr>
          <w:jc w:val="center"/>
        </w:trPr>
        <w:tc>
          <w:tcPr>
            <w:tcW w:w="3535" w:type="dxa"/>
            <w:shd w:val="clear" w:color="auto" w:fill="DEEAF6" w:themeFill="accent5" w:themeFillTint="33"/>
          </w:tcPr>
          <w:p w14:paraId="04A9476C" w14:textId="4C02B87E" w:rsidR="0068460C" w:rsidRPr="006301FE" w:rsidRDefault="0068460C" w:rsidP="00533C28">
            <w:pPr>
              <w:pStyle w:val="Table1"/>
            </w:pPr>
            <w:r>
              <w:t>Coastal environment</w:t>
            </w:r>
          </w:p>
        </w:tc>
        <w:tc>
          <w:tcPr>
            <w:tcW w:w="1388" w:type="dxa"/>
            <w:shd w:val="clear" w:color="auto" w:fill="DEEAF6" w:themeFill="accent5" w:themeFillTint="33"/>
          </w:tcPr>
          <w:p w14:paraId="6D25A95D" w14:textId="1CCD6D5F" w:rsidR="0068460C" w:rsidRPr="006301FE" w:rsidRDefault="0068460C" w:rsidP="00533C28">
            <w:pPr>
              <w:pStyle w:val="Table1"/>
            </w:pPr>
            <w:r>
              <w:t>21 July 2020</w:t>
            </w:r>
          </w:p>
        </w:tc>
      </w:tr>
      <w:tr w:rsidR="0068460C" w:rsidRPr="006301FE" w14:paraId="428BA300" w14:textId="77777777" w:rsidTr="00533C28">
        <w:trPr>
          <w:jc w:val="center"/>
        </w:trPr>
        <w:tc>
          <w:tcPr>
            <w:tcW w:w="3535" w:type="dxa"/>
            <w:shd w:val="clear" w:color="auto" w:fill="DEEAF6" w:themeFill="accent5" w:themeFillTint="33"/>
          </w:tcPr>
          <w:p w14:paraId="4CF88858" w14:textId="74F6B3E7" w:rsidR="0068460C" w:rsidRPr="006301FE" w:rsidRDefault="001B37C6" w:rsidP="00533C28">
            <w:pPr>
              <w:pStyle w:val="Table1"/>
            </w:pPr>
            <w:r>
              <w:t>Land and fresh water</w:t>
            </w:r>
          </w:p>
        </w:tc>
        <w:tc>
          <w:tcPr>
            <w:tcW w:w="1388" w:type="dxa"/>
            <w:shd w:val="clear" w:color="auto" w:fill="DEEAF6" w:themeFill="accent5" w:themeFillTint="33"/>
          </w:tcPr>
          <w:p w14:paraId="75937E78" w14:textId="0FEDDBFB" w:rsidR="0068460C" w:rsidRPr="006301FE" w:rsidRDefault="0068460C" w:rsidP="00533C28">
            <w:pPr>
              <w:pStyle w:val="Table1"/>
            </w:pPr>
            <w:r>
              <w:t>2</w:t>
            </w:r>
            <w:r w:rsidR="001B37C6">
              <w:t>3</w:t>
            </w:r>
            <w:r>
              <w:t xml:space="preserve"> July 2020</w:t>
            </w:r>
          </w:p>
        </w:tc>
      </w:tr>
      <w:tr w:rsidR="0068460C" w:rsidRPr="006301FE" w14:paraId="6482A644" w14:textId="77777777" w:rsidTr="00533C28">
        <w:trPr>
          <w:jc w:val="center"/>
        </w:trPr>
        <w:tc>
          <w:tcPr>
            <w:tcW w:w="3535" w:type="dxa"/>
            <w:shd w:val="clear" w:color="auto" w:fill="DEEAF6" w:themeFill="accent5" w:themeFillTint="33"/>
          </w:tcPr>
          <w:p w14:paraId="4F901DEF" w14:textId="6A3CEAB5" w:rsidR="0068460C" w:rsidRPr="006301FE" w:rsidRDefault="001B37C6" w:rsidP="00533C28">
            <w:pPr>
              <w:pStyle w:val="Table1"/>
            </w:pPr>
            <w:r>
              <w:t>Ecosystems and indigenous biodiversity</w:t>
            </w:r>
          </w:p>
        </w:tc>
        <w:tc>
          <w:tcPr>
            <w:tcW w:w="1388" w:type="dxa"/>
            <w:shd w:val="clear" w:color="auto" w:fill="DEEAF6" w:themeFill="accent5" w:themeFillTint="33"/>
          </w:tcPr>
          <w:p w14:paraId="66D94798" w14:textId="79691DC6" w:rsidR="0068460C" w:rsidRPr="006301FE" w:rsidRDefault="0068460C" w:rsidP="00533C28">
            <w:pPr>
              <w:pStyle w:val="Table1"/>
            </w:pPr>
            <w:r>
              <w:t>2</w:t>
            </w:r>
            <w:r w:rsidR="001B37C6">
              <w:t>4</w:t>
            </w:r>
            <w:r>
              <w:t xml:space="preserve"> July 2020</w:t>
            </w:r>
          </w:p>
        </w:tc>
      </w:tr>
      <w:tr w:rsidR="0068460C" w:rsidRPr="006301FE" w14:paraId="658E2364" w14:textId="77777777" w:rsidTr="00533C28">
        <w:trPr>
          <w:jc w:val="center"/>
        </w:trPr>
        <w:tc>
          <w:tcPr>
            <w:tcW w:w="3535" w:type="dxa"/>
            <w:shd w:val="clear" w:color="auto" w:fill="DEEAF6" w:themeFill="accent5" w:themeFillTint="33"/>
          </w:tcPr>
          <w:p w14:paraId="63E4F3EF" w14:textId="50E7ED9E" w:rsidR="0068460C" w:rsidRPr="006301FE" w:rsidRDefault="0068460C" w:rsidP="00533C28">
            <w:pPr>
              <w:pStyle w:val="Table1"/>
            </w:pPr>
            <w:r>
              <w:t>Integrated management</w:t>
            </w:r>
          </w:p>
        </w:tc>
        <w:tc>
          <w:tcPr>
            <w:tcW w:w="1388" w:type="dxa"/>
            <w:shd w:val="clear" w:color="auto" w:fill="DEEAF6" w:themeFill="accent5" w:themeFillTint="33"/>
          </w:tcPr>
          <w:p w14:paraId="616F0631" w14:textId="2BA37625" w:rsidR="0068460C" w:rsidRPr="006301FE" w:rsidRDefault="0068460C" w:rsidP="00533C28">
            <w:pPr>
              <w:pStyle w:val="Table1"/>
            </w:pPr>
            <w:r>
              <w:t>27 July 2020</w:t>
            </w:r>
          </w:p>
        </w:tc>
      </w:tr>
    </w:tbl>
    <w:p w14:paraId="039D8465" w14:textId="77777777" w:rsidR="006301FE" w:rsidRDefault="006301FE" w:rsidP="00533C28">
      <w:pPr>
        <w:pStyle w:val="Normal2"/>
        <w:numPr>
          <w:ilvl w:val="0"/>
          <w:numId w:val="0"/>
        </w:numPr>
        <w:shd w:val="clear" w:color="auto" w:fill="DEEAF6" w:themeFill="accent5" w:themeFillTint="33"/>
        <w:ind w:left="709"/>
      </w:pPr>
    </w:p>
    <w:p w14:paraId="30E1008D" w14:textId="5E2F26C8" w:rsidR="00926416" w:rsidRDefault="00926416" w:rsidP="00533C28">
      <w:pPr>
        <w:pStyle w:val="Normal2"/>
        <w:shd w:val="clear" w:color="auto" w:fill="DEEAF6" w:themeFill="accent5" w:themeFillTint="33"/>
      </w:pPr>
      <w:r>
        <w:t xml:space="preserve">ORC has prepared a </w:t>
      </w:r>
      <w:r w:rsidRPr="00926416">
        <w:t>Summary Report</w:t>
      </w:r>
      <w:r>
        <w:t xml:space="preserve"> on the findings from </w:t>
      </w:r>
      <w:r w:rsidR="00EC30D8">
        <w:t>P</w:t>
      </w:r>
      <w:r>
        <w:t xml:space="preserve">hase 3 consultation which is attached as </w:t>
      </w:r>
      <w:r w:rsidRPr="009F7FB4">
        <w:t xml:space="preserve">Appendix </w:t>
      </w:r>
      <w:r w:rsidR="00FF009F">
        <w:t>4</w:t>
      </w:r>
      <w:r w:rsidR="00FF009F" w:rsidRPr="009F7FB4">
        <w:t xml:space="preserve"> </w:t>
      </w:r>
      <w:r w:rsidRPr="009F7FB4">
        <w:t>to</w:t>
      </w:r>
      <w:r>
        <w:t xml:space="preserve"> this report. </w:t>
      </w:r>
      <w:r w:rsidR="003239CE">
        <w:t>Summarised</w:t>
      </w:r>
      <w:r>
        <w:t xml:space="preserve"> </w:t>
      </w:r>
      <w:r w:rsidR="007B3198">
        <w:t>feedback</w:t>
      </w:r>
      <w:r>
        <w:t xml:space="preserve"> from </w:t>
      </w:r>
      <w:r w:rsidR="003239CE">
        <w:t>the Reference Group meetings</w:t>
      </w:r>
      <w:r>
        <w:t xml:space="preserve"> </w:t>
      </w:r>
      <w:r w:rsidR="00EC30D8">
        <w:t xml:space="preserve">is </w:t>
      </w:r>
      <w:r>
        <w:t xml:space="preserve">set out in section </w:t>
      </w:r>
      <w:r w:rsidR="003239CE">
        <w:t>2</w:t>
      </w:r>
      <w:r>
        <w:t xml:space="preserve"> (pages </w:t>
      </w:r>
      <w:r w:rsidR="003239CE">
        <w:t xml:space="preserve">6 to </w:t>
      </w:r>
      <w:r w:rsidR="00B74F30">
        <w:t>2</w:t>
      </w:r>
      <w:r w:rsidR="007B3198">
        <w:t>1</w:t>
      </w:r>
      <w:r>
        <w:t xml:space="preserve">) and </w:t>
      </w:r>
      <w:r w:rsidR="00B74F30">
        <w:t>policy direction</w:t>
      </w:r>
      <w:r>
        <w:t xml:space="preserve"> in section </w:t>
      </w:r>
      <w:r w:rsidR="007B3198">
        <w:t>3</w:t>
      </w:r>
      <w:r>
        <w:t xml:space="preserve"> (pages </w:t>
      </w:r>
      <w:r w:rsidR="007B3198">
        <w:t>22 to 26</w:t>
      </w:r>
      <w:r>
        <w:t>).</w:t>
      </w:r>
      <w:r w:rsidR="007B3198">
        <w:t xml:space="preserve"> </w:t>
      </w:r>
      <w:r w:rsidR="009770A5">
        <w:t>T</w:t>
      </w:r>
      <w:r w:rsidR="007B3198">
        <w:t>he Summary Report</w:t>
      </w:r>
      <w:r w:rsidR="0067377E">
        <w:t xml:space="preserve"> </w:t>
      </w:r>
      <w:r w:rsidR="009770A5">
        <w:t xml:space="preserve">also </w:t>
      </w:r>
      <w:r w:rsidR="0067377E">
        <w:t>outlines the membership of each Reference Group, including their participation in the process.</w:t>
      </w:r>
      <w:r w:rsidR="0067377E">
        <w:rPr>
          <w:rStyle w:val="FootnoteReference"/>
        </w:rPr>
        <w:footnoteReference w:id="10"/>
      </w:r>
    </w:p>
    <w:p w14:paraId="46FE9F18" w14:textId="1583AEDD" w:rsidR="001D721A" w:rsidRDefault="001D721A" w:rsidP="00533C28">
      <w:pPr>
        <w:pStyle w:val="Heading2"/>
        <w:shd w:val="clear" w:color="auto" w:fill="DEEAF6" w:themeFill="accent5" w:themeFillTint="33"/>
      </w:pPr>
      <w:bookmarkStart w:id="22" w:name="_Ref64276461"/>
      <w:bookmarkStart w:id="23" w:name="_Toc72507623"/>
      <w:r>
        <w:t>Phase 4: Freshwater visions consultation</w:t>
      </w:r>
      <w:bookmarkEnd w:id="22"/>
      <w:bookmarkEnd w:id="23"/>
    </w:p>
    <w:p w14:paraId="3FC0B920" w14:textId="6789DE03" w:rsidR="001D721A" w:rsidRDefault="006E330F" w:rsidP="00533C28">
      <w:pPr>
        <w:pStyle w:val="Normal2"/>
        <w:shd w:val="clear" w:color="auto" w:fill="DEEAF6" w:themeFill="accent5" w:themeFillTint="33"/>
      </w:pPr>
      <w:r>
        <w:t xml:space="preserve">In </w:t>
      </w:r>
      <w:r w:rsidR="0050527B">
        <w:t>A</w:t>
      </w:r>
      <w:r>
        <w:t xml:space="preserve">ugust 2020, the Government published </w:t>
      </w:r>
      <w:r w:rsidR="00395213">
        <w:t xml:space="preserve">a new </w:t>
      </w:r>
      <w:r>
        <w:t>NPSFM</w:t>
      </w:r>
      <w:r w:rsidDel="00395213">
        <w:t xml:space="preserve"> </w:t>
      </w:r>
      <w:r w:rsidR="00395213">
        <w:t xml:space="preserve">which took </w:t>
      </w:r>
      <w:r>
        <w:t xml:space="preserve">effect </w:t>
      </w:r>
      <w:r w:rsidR="00395213">
        <w:t xml:space="preserve">in </w:t>
      </w:r>
      <w:r>
        <w:t xml:space="preserve">September 2020. </w:t>
      </w:r>
      <w:r w:rsidR="00067CC6">
        <w:t xml:space="preserve">The NPSFM requires long-term visions for </w:t>
      </w:r>
      <w:r w:rsidR="005F389B">
        <w:t xml:space="preserve">freshwater to be set in each region, at the </w:t>
      </w:r>
      <w:r w:rsidR="005F389B">
        <w:lastRenderedPageBreak/>
        <w:t>FMU, part FMU or catchment level</w:t>
      </w:r>
      <w:r w:rsidR="00A23AFC">
        <w:t>, and included as objectives in the relevant RPS</w:t>
      </w:r>
      <w:r w:rsidR="005F389B">
        <w:t>.</w:t>
      </w:r>
      <w:r w:rsidR="00677951">
        <w:rPr>
          <w:rStyle w:val="FootnoteReference"/>
        </w:rPr>
        <w:footnoteReference w:id="11"/>
      </w:r>
      <w:r w:rsidR="005F389B">
        <w:t xml:space="preserve"> Those visions must set goals that are ambitious </w:t>
      </w:r>
      <w:r w:rsidR="00A05EFE">
        <w:t>and</w:t>
      </w:r>
      <w:r w:rsidR="005F389B">
        <w:t xml:space="preserve"> reasonable and identify a timeframe to achieve those goals that is ambitious and reasonable.</w:t>
      </w:r>
      <w:r w:rsidR="007963D1">
        <w:rPr>
          <w:rStyle w:val="FootnoteReference"/>
        </w:rPr>
        <w:footnoteReference w:id="12"/>
      </w:r>
      <w:r w:rsidR="00A05EFE">
        <w:t xml:space="preserve"> Visions are to be developed through engagement </w:t>
      </w:r>
      <w:r w:rsidR="00E560F9">
        <w:t xml:space="preserve">with communities and tangata whenua, be informed by an understanding of the history of and environmental pressures on the water, and express what communities </w:t>
      </w:r>
      <w:r w:rsidR="00FA35C8">
        <w:t>and tangata whenua want the water to be like in the future.</w:t>
      </w:r>
      <w:r w:rsidR="00C12E47">
        <w:rPr>
          <w:rStyle w:val="FootnoteReference"/>
        </w:rPr>
        <w:footnoteReference w:id="13"/>
      </w:r>
    </w:p>
    <w:p w14:paraId="27ED9E70" w14:textId="26094E80" w:rsidR="00FA35C8" w:rsidRDefault="00AE28A0" w:rsidP="00533C28">
      <w:pPr>
        <w:pStyle w:val="Normal2"/>
        <w:shd w:val="clear" w:color="auto" w:fill="DEEAF6" w:themeFill="accent5" w:themeFillTint="33"/>
      </w:pPr>
      <w:r>
        <w:t>The PORPS 2021 was originally due to be notified in November 2020</w:t>
      </w:r>
      <w:r w:rsidR="00FE4613">
        <w:t xml:space="preserve"> in accordance with ORC’s commitment to the Minister for the Environment (see section </w:t>
      </w:r>
      <w:r>
        <w:fldChar w:fldCharType="begin"/>
      </w:r>
      <w:r>
        <w:instrText xml:space="preserve"> REF _Ref66276740 \r \h </w:instrText>
      </w:r>
      <w:r w:rsidR="00664577">
        <w:instrText xml:space="preserve"> \* MERGEFORMAT </w:instrText>
      </w:r>
      <w:r>
        <w:fldChar w:fldCharType="separate"/>
      </w:r>
      <w:r w:rsidR="002A7A16">
        <w:t>1.3.2</w:t>
      </w:r>
      <w:r>
        <w:fldChar w:fldCharType="end"/>
      </w:r>
      <w:r w:rsidR="00FE4613">
        <w:t xml:space="preserve"> for more information)</w:t>
      </w:r>
      <w:r w:rsidR="00EA05FD">
        <w:t xml:space="preserve">, however with the release of the NPSFM and the additional consultation required to develop freshwater visions, the Minister for the Environment agreed to extend the deadline for notification to June 2021. </w:t>
      </w:r>
      <w:r w:rsidR="00A84126">
        <w:t>This allowed for consultation on freshwater visions to occur through October and November 2020.</w:t>
      </w:r>
      <w:r w:rsidR="00EB65C9">
        <w:t xml:space="preserve"> </w:t>
      </w:r>
    </w:p>
    <w:p w14:paraId="25F53E6B" w14:textId="41C4C8B9" w:rsidR="00EB65C9" w:rsidRDefault="00EB65C9" w:rsidP="00533C28">
      <w:pPr>
        <w:pStyle w:val="Normal2"/>
        <w:shd w:val="clear" w:color="auto" w:fill="DEEAF6" w:themeFill="accent5" w:themeFillTint="33"/>
      </w:pPr>
      <w:r>
        <w:t>Consultation occurred through</w:t>
      </w:r>
      <w:r w:rsidR="00AD6D8F">
        <w:t>:</w:t>
      </w:r>
    </w:p>
    <w:p w14:paraId="224B4716" w14:textId="72A44470" w:rsidR="00AD6D8F" w:rsidRPr="0072574D" w:rsidRDefault="00644CA6" w:rsidP="00533C28">
      <w:pPr>
        <w:pStyle w:val="Normal3"/>
        <w:shd w:val="clear" w:color="auto" w:fill="DEEAF6" w:themeFill="accent5" w:themeFillTint="33"/>
        <w:rPr>
          <w:rFonts w:eastAsiaTheme="minorEastAsia"/>
        </w:rPr>
      </w:pPr>
      <w:r>
        <w:t>23</w:t>
      </w:r>
      <w:r w:rsidR="00AD6D8F">
        <w:t xml:space="preserve"> community workshops </w:t>
      </w:r>
      <w:r>
        <w:t xml:space="preserve">at 18 locations across Otago </w:t>
      </w:r>
      <w:r w:rsidR="00AD6D8F">
        <w:t xml:space="preserve">covering all FMUs </w:t>
      </w:r>
      <w:r w:rsidR="00B16471">
        <w:t>(attended by 237 people</w:t>
      </w:r>
      <w:proofErr w:type="gramStart"/>
      <w:r w:rsidR="00B16471">
        <w:t>)</w:t>
      </w:r>
      <w:r w:rsidR="00AD6D8F">
        <w:t>;</w:t>
      </w:r>
      <w:proofErr w:type="gramEnd"/>
    </w:p>
    <w:p w14:paraId="3CF2CC44" w14:textId="09DC4C29" w:rsidR="00AD6D8F" w:rsidRDefault="00AD6D8F" w:rsidP="00533C28">
      <w:pPr>
        <w:pStyle w:val="Normal3"/>
        <w:shd w:val="clear" w:color="auto" w:fill="DEEAF6" w:themeFill="accent5" w:themeFillTint="33"/>
        <w:rPr>
          <w:rFonts w:eastAsiaTheme="minorEastAsia"/>
        </w:rPr>
      </w:pPr>
      <w:r>
        <w:t>an online survey</w:t>
      </w:r>
      <w:r w:rsidR="00B16471">
        <w:t xml:space="preserve"> (with 216</w:t>
      </w:r>
      <w:r w:rsidR="006309A5">
        <w:t xml:space="preserve"> responses</w:t>
      </w:r>
      <w:proofErr w:type="gramStart"/>
      <w:r w:rsidR="006309A5">
        <w:t>)</w:t>
      </w:r>
      <w:r>
        <w:t>;</w:t>
      </w:r>
      <w:proofErr w:type="gramEnd"/>
    </w:p>
    <w:p w14:paraId="49932C29" w14:textId="77777777" w:rsidR="00AD6D8F" w:rsidRDefault="00AD6D8F" w:rsidP="00533C28">
      <w:pPr>
        <w:pStyle w:val="Normal3"/>
        <w:shd w:val="clear" w:color="auto" w:fill="DEEAF6" w:themeFill="accent5" w:themeFillTint="33"/>
        <w:rPr>
          <w:rFonts w:eastAsiaTheme="minorEastAsia"/>
        </w:rPr>
      </w:pPr>
      <w:r>
        <w:t xml:space="preserve">written feedback and face to face meetings with iwi </w:t>
      </w:r>
      <w:proofErr w:type="gramStart"/>
      <w:r>
        <w:t>representatives;</w:t>
      </w:r>
      <w:proofErr w:type="gramEnd"/>
    </w:p>
    <w:p w14:paraId="2E120A78" w14:textId="23CD2D13" w:rsidR="00AD6D8F" w:rsidRPr="00516999" w:rsidRDefault="00AD6D8F" w:rsidP="00533C28">
      <w:pPr>
        <w:pStyle w:val="Normal3"/>
        <w:shd w:val="clear" w:color="auto" w:fill="DEEAF6" w:themeFill="accent5" w:themeFillTint="33"/>
        <w:rPr>
          <w:rFonts w:eastAsiaTheme="minorEastAsia"/>
        </w:rPr>
      </w:pPr>
      <w:r>
        <w:t>o</w:t>
      </w:r>
      <w:r w:rsidRPr="00516999">
        <w:t>ther submissions or reports received as an adjunct to these processes (such as the Shaping Our Future report</w:t>
      </w:r>
      <w:r w:rsidR="00672768">
        <w:t xml:space="preserve"> </w:t>
      </w:r>
      <w:sdt>
        <w:sdtPr>
          <w:id w:val="-527871809"/>
          <w:placeholder>
            <w:docPart w:val="DefaultPlaceholder_1081868574"/>
          </w:placeholder>
          <w:citation/>
        </w:sdtPr>
        <w:sdtContent>
          <w:r w:rsidR="00672768">
            <w:fldChar w:fldCharType="begin"/>
          </w:r>
          <w:r w:rsidR="00672768">
            <w:instrText xml:space="preserve"> CITATION Sha19 \l 5129 </w:instrText>
          </w:r>
          <w:r w:rsidR="00672768">
            <w:fldChar w:fldCharType="separate"/>
          </w:r>
          <w:r w:rsidR="00246D02">
            <w:rPr>
              <w:noProof/>
            </w:rPr>
            <w:t>(Shaping Our Future, 2019)</w:t>
          </w:r>
          <w:r w:rsidR="00672768">
            <w:fldChar w:fldCharType="end"/>
          </w:r>
        </w:sdtContent>
      </w:sdt>
      <w:r w:rsidRPr="00516999">
        <w:t xml:space="preserve">, prepared by the </w:t>
      </w:r>
      <w:r>
        <w:t>U</w:t>
      </w:r>
      <w:r w:rsidRPr="00516999">
        <w:t>pper Clutha community</w:t>
      </w:r>
      <w:r>
        <w:t>, which</w:t>
      </w:r>
      <w:r w:rsidRPr="00516999">
        <w:t xml:space="preserve"> represented a significant amount of research and community consultation</w:t>
      </w:r>
      <w:r>
        <w:t>)</w:t>
      </w:r>
      <w:r w:rsidRPr="00516999">
        <w:t>.</w:t>
      </w:r>
    </w:p>
    <w:p w14:paraId="35553E7E" w14:textId="77AB2B2E" w:rsidR="00AD6D8F" w:rsidRDefault="00156CCE" w:rsidP="00533C28">
      <w:pPr>
        <w:pStyle w:val="Normal2"/>
        <w:shd w:val="clear" w:color="auto" w:fill="DEEAF6" w:themeFill="accent5" w:themeFillTint="33"/>
      </w:pPr>
      <w:r>
        <w:t xml:space="preserve">The </w:t>
      </w:r>
      <w:proofErr w:type="spellStart"/>
      <w:r>
        <w:t>Manuherekia</w:t>
      </w:r>
      <w:proofErr w:type="spellEnd"/>
      <w:r>
        <w:t xml:space="preserve"> </w:t>
      </w:r>
      <w:proofErr w:type="spellStart"/>
      <w:r>
        <w:t>rohe</w:t>
      </w:r>
      <w:proofErr w:type="spellEnd"/>
      <w:r>
        <w:t xml:space="preserve"> (part of the Clutha Mata-au FMU) was not included in the workshop process because it was already undergoing its own pre-existing comprehensive consultation process on the long-term management of freshwater in the area. There is also considerable existing information about the values and aspirations for the </w:t>
      </w:r>
      <w:proofErr w:type="spellStart"/>
      <w:r>
        <w:t>rohe</w:t>
      </w:r>
      <w:proofErr w:type="spellEnd"/>
      <w:r>
        <w:t>.</w:t>
      </w:r>
    </w:p>
    <w:p w14:paraId="7CA48C87" w14:textId="000F673B" w:rsidR="003C1AC7" w:rsidRDefault="003C1AC7" w:rsidP="00533C28">
      <w:pPr>
        <w:pStyle w:val="Normal2"/>
        <w:shd w:val="clear" w:color="auto" w:fill="DEEAF6" w:themeFill="accent5" w:themeFillTint="33"/>
      </w:pPr>
      <w:r>
        <w:t xml:space="preserve">ORC has prepared a </w:t>
      </w:r>
      <w:r w:rsidR="00E66BF9">
        <w:t xml:space="preserve">Consultation Report which sets out the methodology and findings of the consultation on freshwater visions. The report is attached as Appendix </w:t>
      </w:r>
      <w:r w:rsidR="00BE0F92">
        <w:t>5</w:t>
      </w:r>
      <w:r w:rsidR="00E66BF9">
        <w:t xml:space="preserve">. </w:t>
      </w:r>
      <w:r w:rsidR="00EC303F">
        <w:t xml:space="preserve"> Detailed written feedback was also received from Kāi </w:t>
      </w:r>
      <w:proofErr w:type="spellStart"/>
      <w:r w:rsidR="00EC303F">
        <w:t>Tahu</w:t>
      </w:r>
      <w:proofErr w:type="spellEnd"/>
      <w:r w:rsidR="00EC303F">
        <w:t xml:space="preserve"> ki Otago and Ngāi </w:t>
      </w:r>
      <w:proofErr w:type="spellStart"/>
      <w:r w:rsidR="00EC303F">
        <w:t>Tahu</w:t>
      </w:r>
      <w:proofErr w:type="spellEnd"/>
      <w:r w:rsidR="00EC303F">
        <w:t xml:space="preserve"> ki Murihiku which are attached as </w:t>
      </w:r>
      <w:r w:rsidR="00EC303F" w:rsidRPr="009770A5">
        <w:t xml:space="preserve">Appendices </w:t>
      </w:r>
      <w:r w:rsidR="00BE0F92" w:rsidRPr="009770A5">
        <w:t xml:space="preserve">6 </w:t>
      </w:r>
      <w:r w:rsidR="00EC303F" w:rsidRPr="009770A5">
        <w:t xml:space="preserve">and </w:t>
      </w:r>
      <w:r w:rsidR="00BE0F92" w:rsidRPr="009770A5">
        <w:t>7</w:t>
      </w:r>
      <w:r w:rsidR="00BE0F92">
        <w:t xml:space="preserve"> </w:t>
      </w:r>
      <w:r w:rsidR="00EC303F">
        <w:t xml:space="preserve">respectively. </w:t>
      </w:r>
    </w:p>
    <w:p w14:paraId="2E0A9F26" w14:textId="6B28615B" w:rsidR="00667AE0" w:rsidRDefault="00667AE0" w:rsidP="00533C28">
      <w:pPr>
        <w:pStyle w:val="Heading2"/>
        <w:shd w:val="clear" w:color="auto" w:fill="DEEAF6" w:themeFill="accent5" w:themeFillTint="33"/>
      </w:pPr>
      <w:bookmarkStart w:id="24" w:name="_Toc72507624"/>
      <w:r>
        <w:t xml:space="preserve">Phase </w:t>
      </w:r>
      <w:r w:rsidR="002B0908">
        <w:t>5</w:t>
      </w:r>
      <w:r>
        <w:t>: RMA pre-notification consultation</w:t>
      </w:r>
      <w:bookmarkEnd w:id="24"/>
    </w:p>
    <w:p w14:paraId="060E2436" w14:textId="5D7B2F8D" w:rsidR="00667AE0" w:rsidRDefault="00BC1B5E" w:rsidP="00533C28">
      <w:pPr>
        <w:pStyle w:val="Normal2"/>
        <w:shd w:val="clear" w:color="auto" w:fill="DEEAF6" w:themeFill="accent5" w:themeFillTint="33"/>
      </w:pPr>
      <w:r>
        <w:t>In addition</w:t>
      </w:r>
      <w:r w:rsidR="00990442">
        <w:t xml:space="preserve"> to consultation </w:t>
      </w:r>
      <w:r w:rsidR="007217AA">
        <w:t xml:space="preserve">discussed above for Phases 1 to 4, ORC has also undertaken </w:t>
      </w:r>
      <w:r w:rsidR="006F4F31">
        <w:t xml:space="preserve">consultation as directed by Schedule 1 of the RMA. </w:t>
      </w:r>
    </w:p>
    <w:p w14:paraId="2C175DF3" w14:textId="13F7AD6E" w:rsidR="00667AE0" w:rsidRDefault="00667AE0" w:rsidP="008E6DDB">
      <w:pPr>
        <w:pStyle w:val="Heading3"/>
        <w:shd w:val="clear" w:color="auto" w:fill="DEEAF6" w:themeFill="accent5" w:themeFillTint="33"/>
      </w:pPr>
      <w:bookmarkStart w:id="25" w:name="_Ref68867783"/>
      <w:r>
        <w:t>Clause 3, Schedule 1</w:t>
      </w:r>
      <w:bookmarkEnd w:id="25"/>
    </w:p>
    <w:p w14:paraId="34CDCDFB" w14:textId="143DF3CA" w:rsidR="00AB36C3" w:rsidRDefault="00592EF7" w:rsidP="008E6DDB">
      <w:pPr>
        <w:pStyle w:val="Normal2"/>
        <w:shd w:val="clear" w:color="auto" w:fill="DEEAF6" w:themeFill="accent5" w:themeFillTint="33"/>
      </w:pPr>
      <w:r>
        <w:t xml:space="preserve">Clause 3(1) of Schedule 1 of the RMA includes a requirement to consult </w:t>
      </w:r>
      <w:r w:rsidR="008F13D9">
        <w:t>certain parties during the preparation of a proposed p</w:t>
      </w:r>
      <w:r w:rsidR="00F031C6">
        <w:t>olicy statement</w:t>
      </w:r>
      <w:r w:rsidR="00906770">
        <w:t>,</w:t>
      </w:r>
      <w:r w:rsidR="00C94D6B">
        <w:t xml:space="preserve"> including </w:t>
      </w:r>
      <w:r w:rsidR="0081294E">
        <w:t>(</w:t>
      </w:r>
      <w:r w:rsidR="00C94D6B">
        <w:t>but not limited to</w:t>
      </w:r>
      <w:r w:rsidR="0081294E">
        <w:t>)</w:t>
      </w:r>
      <w:r w:rsidR="00C94D6B">
        <w:t xml:space="preserve"> </w:t>
      </w:r>
      <w:r w:rsidR="00721414">
        <w:t xml:space="preserve">the Minister for the Environment, other Ministers who may be affected, </w:t>
      </w:r>
      <w:r w:rsidR="00A34431">
        <w:t>local authorities</w:t>
      </w:r>
      <w:r w:rsidR="006524E0">
        <w:t xml:space="preserve"> and</w:t>
      </w:r>
      <w:r w:rsidR="00CB153C">
        <w:t xml:space="preserve"> </w:t>
      </w:r>
      <w:proofErr w:type="spellStart"/>
      <w:r w:rsidR="00CB153C">
        <w:t>takata</w:t>
      </w:r>
      <w:proofErr w:type="spellEnd"/>
      <w:r w:rsidR="00CB153C">
        <w:t xml:space="preserve"> whenua</w:t>
      </w:r>
      <w:r w:rsidR="00AC3729">
        <w:t xml:space="preserve"> through iwi authorities.</w:t>
      </w:r>
      <w:r w:rsidR="00A923DF">
        <w:t xml:space="preserve"> </w:t>
      </w:r>
      <w:r w:rsidR="006524E0">
        <w:t xml:space="preserve">In addition to </w:t>
      </w:r>
      <w:r w:rsidR="000247D4">
        <w:t>seeking feedback from</w:t>
      </w:r>
      <w:r w:rsidR="00C2475E">
        <w:t xml:space="preserve"> parties listed in Clause 3(1)</w:t>
      </w:r>
      <w:r w:rsidR="000247D4">
        <w:t xml:space="preserve">, </w:t>
      </w:r>
      <w:r w:rsidR="002D651A">
        <w:t xml:space="preserve">other stakeholders and </w:t>
      </w:r>
      <w:r w:rsidR="006C44EA">
        <w:t>R</w:t>
      </w:r>
      <w:r w:rsidR="002D651A">
        <w:t xml:space="preserve">eference </w:t>
      </w:r>
      <w:r w:rsidR="006C44EA">
        <w:t>G</w:t>
      </w:r>
      <w:r w:rsidR="002D651A">
        <w:t>roup members</w:t>
      </w:r>
      <w:r w:rsidR="00CE75BA">
        <w:t xml:space="preserve"> were also</w:t>
      </w:r>
      <w:r w:rsidR="005D26AA">
        <w:t xml:space="preserve"> </w:t>
      </w:r>
      <w:r w:rsidR="00E50714">
        <w:t>consul</w:t>
      </w:r>
      <w:r w:rsidR="009B7530">
        <w:t xml:space="preserve">ted </w:t>
      </w:r>
      <w:r w:rsidR="008C0AF5">
        <w:t xml:space="preserve">as provided by Clause </w:t>
      </w:r>
      <w:r w:rsidR="008C0AF5">
        <w:lastRenderedPageBreak/>
        <w:t>3(2)</w:t>
      </w:r>
      <w:r w:rsidR="009B7530">
        <w:t xml:space="preserve">. A draft copy of </w:t>
      </w:r>
      <w:r w:rsidR="00ED3B55">
        <w:t>the P</w:t>
      </w:r>
      <w:r w:rsidR="00AC3192">
        <w:t>ORPS 2021</w:t>
      </w:r>
      <w:r w:rsidR="00AE0998">
        <w:t xml:space="preserve"> provisions were sent on </w:t>
      </w:r>
      <w:r w:rsidR="001B34A0">
        <w:t>12</w:t>
      </w:r>
      <w:r w:rsidR="00AE0998">
        <w:t xml:space="preserve"> February 2021 to the following parties for comment: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4148"/>
        <w:gridCol w:w="4148"/>
      </w:tblGrid>
      <w:tr w:rsidR="003A489B" w14:paraId="2769BCF5" w14:textId="77777777" w:rsidTr="008E6DDB">
        <w:tc>
          <w:tcPr>
            <w:tcW w:w="4148" w:type="dxa"/>
            <w:shd w:val="clear" w:color="auto" w:fill="DEEAF6" w:themeFill="accent5" w:themeFillTint="33"/>
          </w:tcPr>
          <w:p w14:paraId="7BED1F3C" w14:textId="77777777" w:rsidR="003A489B" w:rsidRDefault="003A489B" w:rsidP="008E6DDB">
            <w:pPr>
              <w:spacing w:after="40"/>
            </w:pPr>
            <w:r>
              <w:t>Ministry for the Environment</w:t>
            </w:r>
          </w:p>
          <w:p w14:paraId="52D44259" w14:textId="77777777" w:rsidR="003A489B" w:rsidRDefault="003A489B" w:rsidP="008E6DDB">
            <w:pPr>
              <w:spacing w:after="40"/>
            </w:pPr>
            <w:r>
              <w:t>Ministry of Conservation</w:t>
            </w:r>
          </w:p>
          <w:p w14:paraId="34022C6C" w14:textId="77777777" w:rsidR="003A489B" w:rsidRDefault="003A489B" w:rsidP="008E6DDB">
            <w:pPr>
              <w:spacing w:after="40"/>
            </w:pPr>
            <w:r>
              <w:t>Ministry of Transport</w:t>
            </w:r>
          </w:p>
          <w:p w14:paraId="526EE7C7" w14:textId="77777777" w:rsidR="003A489B" w:rsidRDefault="003A489B" w:rsidP="008E6DDB">
            <w:pPr>
              <w:spacing w:after="40"/>
            </w:pPr>
            <w:r>
              <w:t>Ministry of Health</w:t>
            </w:r>
          </w:p>
          <w:p w14:paraId="03BE8E25" w14:textId="77777777" w:rsidR="003A489B" w:rsidRDefault="003A489B" w:rsidP="008E6DDB">
            <w:pPr>
              <w:spacing w:after="40"/>
            </w:pPr>
            <w:r>
              <w:t>Ministry of Education</w:t>
            </w:r>
          </w:p>
          <w:p w14:paraId="405FD48B" w14:textId="77777777" w:rsidR="003A489B" w:rsidRDefault="003A489B" w:rsidP="008E6DDB">
            <w:pPr>
              <w:spacing w:after="40"/>
            </w:pPr>
            <w:r>
              <w:t>Ministry of Primary Industries</w:t>
            </w:r>
          </w:p>
          <w:p w14:paraId="3769ADB1" w14:textId="77777777" w:rsidR="003A489B" w:rsidRDefault="003A489B" w:rsidP="008E6DDB">
            <w:pPr>
              <w:spacing w:after="40"/>
            </w:pPr>
            <w:r>
              <w:t>Ministry for Energy and Resources</w:t>
            </w:r>
          </w:p>
          <w:p w14:paraId="6C3926EE" w14:textId="77777777" w:rsidR="003A489B" w:rsidRDefault="003A489B" w:rsidP="008E6DDB">
            <w:pPr>
              <w:spacing w:after="40"/>
            </w:pPr>
            <w:r>
              <w:t>Ministry for Infrastructure</w:t>
            </w:r>
          </w:p>
          <w:p w14:paraId="67976B2D" w14:textId="77777777" w:rsidR="003A489B" w:rsidRDefault="003A489B" w:rsidP="008E6DDB">
            <w:pPr>
              <w:spacing w:after="40"/>
            </w:pPr>
            <w:r>
              <w:t>Ministry for Arts, Culture and Heritage</w:t>
            </w:r>
          </w:p>
          <w:p w14:paraId="36F77AC9" w14:textId="77777777" w:rsidR="003A489B" w:rsidRDefault="003A489B" w:rsidP="008E6DDB">
            <w:pPr>
              <w:spacing w:after="40"/>
            </w:pPr>
            <w:r>
              <w:t>Ministry for Local Government</w:t>
            </w:r>
          </w:p>
          <w:p w14:paraId="4F2E37E7" w14:textId="77777777" w:rsidR="003A489B" w:rsidRDefault="003A489B" w:rsidP="008E6DDB">
            <w:pPr>
              <w:spacing w:after="40"/>
            </w:pPr>
            <w:r>
              <w:t>Ministry for Tourism</w:t>
            </w:r>
          </w:p>
          <w:p w14:paraId="3B236C50" w14:textId="77777777" w:rsidR="003A489B" w:rsidRDefault="003A489B" w:rsidP="008E6DDB">
            <w:pPr>
              <w:spacing w:after="40"/>
            </w:pPr>
            <w:r>
              <w:t>Ministry for Climate Change</w:t>
            </w:r>
          </w:p>
          <w:p w14:paraId="58FF1945" w14:textId="77777777" w:rsidR="003A489B" w:rsidRDefault="003A489B" w:rsidP="008E6DDB">
            <w:pPr>
              <w:spacing w:after="40"/>
            </w:pPr>
            <w:r>
              <w:t>Ministry of Fisheries</w:t>
            </w:r>
          </w:p>
          <w:p w14:paraId="4D794E99" w14:textId="5CFD6816" w:rsidR="003A489B" w:rsidRDefault="003A489B" w:rsidP="008E6DDB">
            <w:pPr>
              <w:spacing w:after="40"/>
            </w:pPr>
            <w:r>
              <w:t xml:space="preserve">Te </w:t>
            </w:r>
            <w:proofErr w:type="spellStart"/>
            <w:r>
              <w:t>Rūnanga</w:t>
            </w:r>
            <w:proofErr w:type="spellEnd"/>
            <w:r>
              <w:t xml:space="preserve"> o Ngāi </w:t>
            </w:r>
            <w:proofErr w:type="spellStart"/>
            <w:r>
              <w:t>Tahu</w:t>
            </w:r>
            <w:proofErr w:type="spellEnd"/>
            <w:r>
              <w:t xml:space="preserve"> </w:t>
            </w:r>
          </w:p>
          <w:p w14:paraId="41C917F4" w14:textId="1FE53EAE" w:rsidR="003A489B" w:rsidRDefault="003A489B" w:rsidP="008E6DDB">
            <w:pPr>
              <w:spacing w:after="40"/>
            </w:pPr>
            <w:r>
              <w:t>Te Ao Marama Inc</w:t>
            </w:r>
          </w:p>
          <w:p w14:paraId="7A29CE7D" w14:textId="77777777" w:rsidR="003A489B" w:rsidRDefault="003A489B" w:rsidP="008E6DDB">
            <w:pPr>
              <w:spacing w:after="40"/>
            </w:pPr>
            <w:proofErr w:type="spellStart"/>
            <w:r>
              <w:t>Aukaha</w:t>
            </w:r>
            <w:proofErr w:type="spellEnd"/>
          </w:p>
          <w:p w14:paraId="020AD3A2" w14:textId="77777777" w:rsidR="003A489B" w:rsidRDefault="003A489B" w:rsidP="008E6DDB">
            <w:pPr>
              <w:spacing w:after="40"/>
            </w:pPr>
            <w:r>
              <w:t>Environment Canterbury</w:t>
            </w:r>
          </w:p>
          <w:p w14:paraId="7465AF57" w14:textId="77777777" w:rsidR="003A489B" w:rsidRDefault="003A489B" w:rsidP="008E6DDB">
            <w:pPr>
              <w:spacing w:after="40"/>
            </w:pPr>
            <w:r>
              <w:t>Environment Southland</w:t>
            </w:r>
          </w:p>
          <w:p w14:paraId="7C048400" w14:textId="77777777" w:rsidR="003A489B" w:rsidRDefault="003A489B" w:rsidP="008E6DDB">
            <w:pPr>
              <w:spacing w:after="40"/>
            </w:pPr>
            <w:r>
              <w:t>West Coast Regional Council</w:t>
            </w:r>
          </w:p>
          <w:p w14:paraId="5448DFD2" w14:textId="77777777" w:rsidR="003A489B" w:rsidRDefault="003A489B" w:rsidP="008E6DDB">
            <w:pPr>
              <w:spacing w:after="40"/>
            </w:pPr>
            <w:r>
              <w:t>Central Otago District Council</w:t>
            </w:r>
          </w:p>
          <w:p w14:paraId="0ABF63D1" w14:textId="77777777" w:rsidR="003A489B" w:rsidRDefault="003A489B" w:rsidP="008E6DDB">
            <w:pPr>
              <w:spacing w:after="40"/>
            </w:pPr>
            <w:r>
              <w:t>Clutha District Council</w:t>
            </w:r>
          </w:p>
          <w:p w14:paraId="6B650B4F" w14:textId="77777777" w:rsidR="003A489B" w:rsidRDefault="003A489B" w:rsidP="008E6DDB">
            <w:pPr>
              <w:spacing w:after="40"/>
            </w:pPr>
            <w:r>
              <w:t>Dunedin City Council</w:t>
            </w:r>
          </w:p>
          <w:p w14:paraId="3340B2DF" w14:textId="1C009267" w:rsidR="003A489B" w:rsidRDefault="003A489B" w:rsidP="008E6DDB">
            <w:pPr>
              <w:spacing w:after="40"/>
            </w:pPr>
          </w:p>
        </w:tc>
        <w:tc>
          <w:tcPr>
            <w:tcW w:w="4148" w:type="dxa"/>
            <w:shd w:val="clear" w:color="auto" w:fill="DEEAF6" w:themeFill="accent5" w:themeFillTint="33"/>
          </w:tcPr>
          <w:p w14:paraId="5CFD4A57" w14:textId="77777777" w:rsidR="004D59E7" w:rsidRDefault="004D59E7" w:rsidP="008E6DDB">
            <w:pPr>
              <w:spacing w:after="40"/>
            </w:pPr>
            <w:r>
              <w:t>Queenstown Lakes District Council</w:t>
            </w:r>
          </w:p>
          <w:p w14:paraId="1CF73306" w14:textId="1C26786A" w:rsidR="004D59E7" w:rsidRDefault="004D59E7" w:rsidP="008E6DDB">
            <w:pPr>
              <w:spacing w:after="40"/>
            </w:pPr>
            <w:r>
              <w:t>Waitaki District Council</w:t>
            </w:r>
          </w:p>
          <w:p w14:paraId="181608AF" w14:textId="77777777" w:rsidR="003A489B" w:rsidRDefault="003A489B" w:rsidP="008E6DDB">
            <w:pPr>
              <w:spacing w:after="40"/>
            </w:pPr>
            <w:r>
              <w:t>Deer Industry New Zealand</w:t>
            </w:r>
          </w:p>
          <w:p w14:paraId="2057F01A" w14:textId="77777777" w:rsidR="003A489B" w:rsidRDefault="003A489B" w:rsidP="008E6DDB">
            <w:pPr>
              <w:spacing w:after="40"/>
            </w:pPr>
            <w:r>
              <w:t>Federated Farmers</w:t>
            </w:r>
          </w:p>
          <w:p w14:paraId="68A2D6B5" w14:textId="77777777" w:rsidR="003A489B" w:rsidRDefault="003A489B" w:rsidP="008E6DDB">
            <w:pPr>
              <w:spacing w:after="40"/>
            </w:pPr>
            <w:r>
              <w:t>Horticulture NZ</w:t>
            </w:r>
          </w:p>
          <w:p w14:paraId="4A13BF9C" w14:textId="77777777" w:rsidR="003A489B" w:rsidRDefault="003A489B" w:rsidP="008E6DDB">
            <w:pPr>
              <w:spacing w:after="40"/>
            </w:pPr>
            <w:r>
              <w:t>Viticulture NZ</w:t>
            </w:r>
          </w:p>
          <w:p w14:paraId="72AAA60D" w14:textId="77777777" w:rsidR="003A489B" w:rsidRDefault="003A489B" w:rsidP="008E6DDB">
            <w:pPr>
              <w:spacing w:after="40"/>
            </w:pPr>
            <w:r>
              <w:t>Irrigation NZ</w:t>
            </w:r>
          </w:p>
          <w:p w14:paraId="17B12D85" w14:textId="77777777" w:rsidR="003A489B" w:rsidRDefault="003A489B" w:rsidP="008E6DDB">
            <w:pPr>
              <w:spacing w:after="40"/>
            </w:pPr>
            <w:r>
              <w:t>Heritage NZ</w:t>
            </w:r>
          </w:p>
          <w:p w14:paraId="032C1745" w14:textId="77777777" w:rsidR="003A489B" w:rsidRDefault="003A489B" w:rsidP="008E6DDB">
            <w:pPr>
              <w:spacing w:after="40"/>
            </w:pPr>
            <w:proofErr w:type="spellStart"/>
            <w:r>
              <w:t>Trustpower</w:t>
            </w:r>
            <w:proofErr w:type="spellEnd"/>
          </w:p>
          <w:p w14:paraId="4D855E46" w14:textId="77777777" w:rsidR="003A489B" w:rsidRDefault="003A489B" w:rsidP="008E6DDB">
            <w:pPr>
              <w:spacing w:after="40"/>
            </w:pPr>
            <w:r>
              <w:t>Contact Energy</w:t>
            </w:r>
          </w:p>
          <w:p w14:paraId="107E83B8" w14:textId="77777777" w:rsidR="003A489B" w:rsidRDefault="003A489B" w:rsidP="008E6DDB">
            <w:pPr>
              <w:spacing w:after="40"/>
            </w:pPr>
            <w:r>
              <w:t>Pioneer Energy</w:t>
            </w:r>
          </w:p>
          <w:p w14:paraId="608FDD9E" w14:textId="77777777" w:rsidR="003A489B" w:rsidRDefault="003A489B" w:rsidP="008E6DDB">
            <w:pPr>
              <w:spacing w:after="40"/>
            </w:pPr>
            <w:r>
              <w:t xml:space="preserve">Tourism Industry Aotearoa </w:t>
            </w:r>
          </w:p>
          <w:p w14:paraId="0A35E3F2" w14:textId="77777777" w:rsidR="003A489B" w:rsidRDefault="003A489B" w:rsidP="008E6DDB">
            <w:pPr>
              <w:spacing w:after="40"/>
            </w:pPr>
            <w:r>
              <w:t>Meridian Energy</w:t>
            </w:r>
          </w:p>
          <w:p w14:paraId="507683D2" w14:textId="77777777" w:rsidR="003A489B" w:rsidRDefault="003A489B" w:rsidP="008E6DDB">
            <w:pPr>
              <w:spacing w:after="40"/>
            </w:pPr>
            <w:r>
              <w:t>Aurora Energy</w:t>
            </w:r>
          </w:p>
          <w:p w14:paraId="6DABDF03" w14:textId="77777777" w:rsidR="003A489B" w:rsidRDefault="003A489B" w:rsidP="008E6DDB">
            <w:pPr>
              <w:spacing w:after="40"/>
            </w:pPr>
            <w:r>
              <w:t>Beef and Lamb</w:t>
            </w:r>
          </w:p>
          <w:p w14:paraId="75975A1E" w14:textId="77777777" w:rsidR="003A489B" w:rsidRDefault="003A489B" w:rsidP="008E6DDB">
            <w:pPr>
              <w:spacing w:after="40"/>
            </w:pPr>
            <w:r>
              <w:t>Dairy NZ</w:t>
            </w:r>
          </w:p>
          <w:p w14:paraId="4A691D9E" w14:textId="77777777" w:rsidR="003A489B" w:rsidRDefault="003A489B" w:rsidP="008E6DDB">
            <w:pPr>
              <w:spacing w:after="40"/>
            </w:pPr>
            <w:r>
              <w:t>Port Otago Ltd</w:t>
            </w:r>
          </w:p>
          <w:p w14:paraId="3DA225D1" w14:textId="77777777" w:rsidR="003A489B" w:rsidRDefault="003A489B" w:rsidP="008E6DDB">
            <w:pPr>
              <w:spacing w:after="40"/>
            </w:pPr>
            <w:r>
              <w:t>Transpower</w:t>
            </w:r>
          </w:p>
          <w:p w14:paraId="1091A097" w14:textId="77777777" w:rsidR="003A489B" w:rsidRDefault="003A489B" w:rsidP="008E6DDB">
            <w:pPr>
              <w:spacing w:after="40"/>
            </w:pPr>
            <w:r>
              <w:t>Forest and Bird</w:t>
            </w:r>
          </w:p>
          <w:p w14:paraId="3DCA7648" w14:textId="77777777" w:rsidR="003A489B" w:rsidRDefault="003A489B" w:rsidP="008E6DDB">
            <w:pPr>
              <w:spacing w:after="40"/>
            </w:pPr>
            <w:r>
              <w:t>Wise Response Inc.</w:t>
            </w:r>
          </w:p>
          <w:p w14:paraId="1B286F31" w14:textId="77777777" w:rsidR="003A489B" w:rsidRDefault="003A489B" w:rsidP="008E6DDB">
            <w:pPr>
              <w:spacing w:after="40"/>
            </w:pPr>
            <w:r>
              <w:t>Environmental Defence Society</w:t>
            </w:r>
          </w:p>
          <w:p w14:paraId="793E65C4" w14:textId="77777777" w:rsidR="003A489B" w:rsidRDefault="003A489B" w:rsidP="008E6DDB">
            <w:pPr>
              <w:spacing w:after="40"/>
            </w:pPr>
            <w:r>
              <w:t>Fish and Game</w:t>
            </w:r>
          </w:p>
          <w:p w14:paraId="541AE901" w14:textId="77777777" w:rsidR="003A489B" w:rsidRDefault="003A489B" w:rsidP="008E6DDB">
            <w:pPr>
              <w:spacing w:after="40"/>
            </w:pPr>
          </w:p>
        </w:tc>
      </w:tr>
    </w:tbl>
    <w:p w14:paraId="2DE97269" w14:textId="6D1A2C9A" w:rsidR="002D450F" w:rsidRDefault="00CF6F99" w:rsidP="00533C28">
      <w:pPr>
        <w:pStyle w:val="Normal2"/>
        <w:shd w:val="clear" w:color="auto" w:fill="DEEAF6" w:themeFill="accent5" w:themeFillTint="33"/>
      </w:pPr>
      <w:r>
        <w:t xml:space="preserve">For Reference </w:t>
      </w:r>
      <w:r w:rsidR="006C44EA">
        <w:t>G</w:t>
      </w:r>
      <w:r>
        <w:t>roups,</w:t>
      </w:r>
      <w:r w:rsidR="00CE2D2B">
        <w:t xml:space="preserve"> a two hour Zoom workshop was </w:t>
      </w:r>
      <w:r w:rsidR="00970830">
        <w:t xml:space="preserve">also </w:t>
      </w:r>
      <w:r w:rsidR="00CE2D2B">
        <w:t xml:space="preserve">undertaken, with the additional option for </w:t>
      </w:r>
      <w:r w:rsidR="0027473B">
        <w:t xml:space="preserve">participants to provide </w:t>
      </w:r>
      <w:r w:rsidR="00CE2D2B">
        <w:t>written feedback</w:t>
      </w:r>
      <w:r w:rsidR="00E6424F">
        <w:t>.</w:t>
      </w:r>
    </w:p>
    <w:p w14:paraId="79F42E06" w14:textId="6F2C5654" w:rsidR="00E032A3" w:rsidRDefault="000E7280" w:rsidP="00533C28">
      <w:pPr>
        <w:pStyle w:val="Normal2"/>
        <w:shd w:val="clear" w:color="auto" w:fill="DEEAF6" w:themeFill="accent5" w:themeFillTint="33"/>
      </w:pPr>
      <w:r>
        <w:t xml:space="preserve">The </w:t>
      </w:r>
      <w:r w:rsidR="006B0C80">
        <w:t>ORC</w:t>
      </w:r>
      <w:r>
        <w:t xml:space="preserve"> received </w:t>
      </w:r>
      <w:r w:rsidR="00A428F6">
        <w:t xml:space="preserve">a wide range of </w:t>
      </w:r>
      <w:r w:rsidR="00E6424F">
        <w:t xml:space="preserve">written </w:t>
      </w:r>
      <w:r>
        <w:t xml:space="preserve">feedback from </w:t>
      </w:r>
      <w:r w:rsidR="00660BB3">
        <w:t>a total of 42 sources</w:t>
      </w:r>
      <w:r w:rsidR="00A9141C">
        <w:t xml:space="preserve">, </w:t>
      </w:r>
      <w:r w:rsidR="00862DC3">
        <w:t>which</w:t>
      </w:r>
      <w:r w:rsidR="006F64C9">
        <w:t xml:space="preserve"> was</w:t>
      </w:r>
      <w:r w:rsidR="00A9141C">
        <w:t xml:space="preserve"> </w:t>
      </w:r>
      <w:r w:rsidR="008779CC">
        <w:t xml:space="preserve">considered </w:t>
      </w:r>
      <w:r w:rsidR="00A428F6">
        <w:t xml:space="preserve">and consolidated </w:t>
      </w:r>
      <w:r w:rsidR="0078097B">
        <w:t xml:space="preserve">with </w:t>
      </w:r>
      <w:r w:rsidR="00970830">
        <w:t>R</w:t>
      </w:r>
      <w:r w:rsidR="0078097B">
        <w:t xml:space="preserve">eference </w:t>
      </w:r>
      <w:r w:rsidR="003A5E1B">
        <w:t>G</w:t>
      </w:r>
      <w:r w:rsidR="0078097B">
        <w:t xml:space="preserve">roup feedback </w:t>
      </w:r>
      <w:r w:rsidR="00A428F6">
        <w:t xml:space="preserve">into a </w:t>
      </w:r>
      <w:r w:rsidR="005D7909">
        <w:t xml:space="preserve">revised </w:t>
      </w:r>
      <w:r w:rsidR="002162F2">
        <w:t>draft of the</w:t>
      </w:r>
      <w:r w:rsidR="005D7909">
        <w:t xml:space="preserve"> </w:t>
      </w:r>
      <w:r w:rsidR="002162F2">
        <w:t>PO</w:t>
      </w:r>
      <w:r w:rsidR="005D7909">
        <w:t xml:space="preserve">RPS </w:t>
      </w:r>
      <w:r w:rsidR="00F12BB8">
        <w:t xml:space="preserve">prior to </w:t>
      </w:r>
      <w:r w:rsidR="00E73F75">
        <w:t>Clause 4A</w:t>
      </w:r>
      <w:r w:rsidR="00A22AAC">
        <w:t xml:space="preserve"> consultation. </w:t>
      </w:r>
    </w:p>
    <w:p w14:paraId="32340A5B" w14:textId="0061C9E7" w:rsidR="00667AE0" w:rsidRDefault="00667AE0" w:rsidP="00533C28">
      <w:pPr>
        <w:pStyle w:val="Heading3"/>
        <w:shd w:val="clear" w:color="auto" w:fill="DEEAF6" w:themeFill="accent5" w:themeFillTint="33"/>
      </w:pPr>
      <w:bookmarkStart w:id="26" w:name="_Ref72224248"/>
      <w:r>
        <w:t>Clause 4A, Schedule 1</w:t>
      </w:r>
      <w:bookmarkEnd w:id="26"/>
    </w:p>
    <w:p w14:paraId="6880A362" w14:textId="2AF2F55E" w:rsidR="0050211E" w:rsidRDefault="00C82806" w:rsidP="00533C28">
      <w:pPr>
        <w:pStyle w:val="Normal2"/>
        <w:shd w:val="clear" w:color="auto" w:fill="DEEAF6" w:themeFill="accent5" w:themeFillTint="33"/>
      </w:pPr>
      <w:r>
        <w:t xml:space="preserve">Clause 3B of the RMA sets out the requirements for </w:t>
      </w:r>
      <w:r w:rsidR="001014A4">
        <w:t>con</w:t>
      </w:r>
      <w:r w:rsidR="00032035">
        <w:t xml:space="preserve">sultation </w:t>
      </w:r>
      <w:r w:rsidR="00BC0631">
        <w:t xml:space="preserve">with an </w:t>
      </w:r>
      <w:r w:rsidR="00C570EF">
        <w:t>i</w:t>
      </w:r>
      <w:r w:rsidR="00BC0631">
        <w:t xml:space="preserve">wi </w:t>
      </w:r>
      <w:r w:rsidR="008C0A7E">
        <w:t>a</w:t>
      </w:r>
      <w:r w:rsidR="00BC0631">
        <w:t>uthority. Clause 4A of the RMA require</w:t>
      </w:r>
      <w:r w:rsidR="00A933EA">
        <w:t>s</w:t>
      </w:r>
      <w:r w:rsidR="00BC0631">
        <w:t xml:space="preserve"> a local authority to pr</w:t>
      </w:r>
      <w:r w:rsidR="00014333">
        <w:t>ovide a copy of a proposed p</w:t>
      </w:r>
      <w:r w:rsidR="000B0AF9">
        <w:t>olicy statement</w:t>
      </w:r>
      <w:r w:rsidR="00014333">
        <w:t xml:space="preserve"> to </w:t>
      </w:r>
      <w:r w:rsidR="790867C4">
        <w:t xml:space="preserve">an </w:t>
      </w:r>
      <w:r w:rsidR="00C730AF">
        <w:t>iwi authority consulted under clause 3(1)(d)</w:t>
      </w:r>
      <w:r w:rsidR="0034456B">
        <w:t xml:space="preserve"> </w:t>
      </w:r>
      <w:r w:rsidR="00521F18">
        <w:t xml:space="preserve">and allow adequate time </w:t>
      </w:r>
      <w:r w:rsidR="0059347D">
        <w:t xml:space="preserve">and opportunity for the iwi </w:t>
      </w:r>
      <w:r w:rsidR="008244D1">
        <w:t>authorities</w:t>
      </w:r>
      <w:r w:rsidR="0059347D">
        <w:t xml:space="preserve"> to </w:t>
      </w:r>
      <w:r w:rsidR="00B463EF">
        <w:t>consider</w:t>
      </w:r>
      <w:r w:rsidR="0059347D">
        <w:t xml:space="preserve"> the draft policy statement and provide advice on it. </w:t>
      </w:r>
      <w:r w:rsidR="53E872AB">
        <w:t>This</w:t>
      </w:r>
      <w:r w:rsidR="0059347D">
        <w:t xml:space="preserve"> enable</w:t>
      </w:r>
      <w:r w:rsidR="365172A5">
        <w:t>s</w:t>
      </w:r>
      <w:r w:rsidR="0059347D">
        <w:t xml:space="preserve"> an iwi </w:t>
      </w:r>
      <w:r w:rsidR="008244D1">
        <w:t>authority</w:t>
      </w:r>
      <w:r w:rsidR="0059347D">
        <w:t xml:space="preserve"> to identify</w:t>
      </w:r>
      <w:r w:rsidR="002F3AFA">
        <w:t xml:space="preserve"> the resource management issues</w:t>
      </w:r>
      <w:r w:rsidR="00715647">
        <w:t xml:space="preserve"> that are of concern to</w:t>
      </w:r>
      <w:r w:rsidR="00731CF5">
        <w:t xml:space="preserve"> </w:t>
      </w:r>
      <w:r w:rsidR="26F1EA9E">
        <w:t>it</w:t>
      </w:r>
      <w:r w:rsidR="00715647">
        <w:t xml:space="preserve">, as well as providing guidance to the local authority on how these issues have been, or are to be, addressed. </w:t>
      </w:r>
      <w:r w:rsidR="0059347D">
        <w:t xml:space="preserve"> </w:t>
      </w:r>
    </w:p>
    <w:p w14:paraId="7B740E7C" w14:textId="584B40E0" w:rsidR="005B04E2" w:rsidRDefault="005B04E2" w:rsidP="00533C28">
      <w:pPr>
        <w:pStyle w:val="Normal2"/>
        <w:shd w:val="clear" w:color="auto" w:fill="DEEAF6" w:themeFill="accent5" w:themeFillTint="33"/>
      </w:pPr>
      <w:r>
        <w:t xml:space="preserve">The draft RPS was provided to Te </w:t>
      </w:r>
      <w:proofErr w:type="spellStart"/>
      <w:r>
        <w:t>Rūnanga</w:t>
      </w:r>
      <w:proofErr w:type="spellEnd"/>
      <w:r>
        <w:t xml:space="preserve"> o Ngāi </w:t>
      </w:r>
      <w:proofErr w:type="spellStart"/>
      <w:r>
        <w:t>Tahu</w:t>
      </w:r>
      <w:proofErr w:type="spellEnd"/>
      <w:r>
        <w:t xml:space="preserve">, </w:t>
      </w:r>
      <w:r w:rsidR="00267EDC">
        <w:t xml:space="preserve">Kāi </w:t>
      </w:r>
      <w:proofErr w:type="spellStart"/>
      <w:r w:rsidR="00267EDC">
        <w:t>Tahi</w:t>
      </w:r>
      <w:proofErr w:type="spellEnd"/>
      <w:r w:rsidR="00267EDC">
        <w:t xml:space="preserve"> ki Otago (through </w:t>
      </w:r>
      <w:proofErr w:type="spellStart"/>
      <w:r>
        <w:t>Aukaha</w:t>
      </w:r>
      <w:proofErr w:type="spellEnd"/>
      <w:r w:rsidR="00267EDC">
        <w:t>)</w:t>
      </w:r>
      <w:r>
        <w:t xml:space="preserve"> and </w:t>
      </w:r>
      <w:r w:rsidR="00267EDC">
        <w:t xml:space="preserve">Ngāi </w:t>
      </w:r>
      <w:proofErr w:type="spellStart"/>
      <w:r w:rsidR="00267EDC">
        <w:t>Tahu</w:t>
      </w:r>
      <w:proofErr w:type="spellEnd"/>
      <w:r w:rsidR="00267EDC">
        <w:t xml:space="preserve"> ki Murihiku (through </w:t>
      </w:r>
      <w:r>
        <w:t>Te Ao Marama</w:t>
      </w:r>
      <w:r w:rsidR="00267EDC">
        <w:t>)</w:t>
      </w:r>
      <w:r>
        <w:t xml:space="preserve"> on 6 April 2021. A hui was held on 21 April 2021 and attended by representatives from Kāi </w:t>
      </w:r>
      <w:proofErr w:type="spellStart"/>
      <w:r>
        <w:t>Tahu</w:t>
      </w:r>
      <w:proofErr w:type="spellEnd"/>
      <w:r>
        <w:t xml:space="preserve"> ki Otago, Ngāi </w:t>
      </w:r>
      <w:proofErr w:type="spellStart"/>
      <w:r>
        <w:t>Tahu</w:t>
      </w:r>
      <w:proofErr w:type="spellEnd"/>
      <w:r>
        <w:t xml:space="preserve"> ki Murihiku and ORC. The focus of the hui was </w:t>
      </w:r>
      <w:r w:rsidR="00E04EDF">
        <w:t>providing</w:t>
      </w:r>
      <w:r>
        <w:t xml:space="preserve"> iwi views on </w:t>
      </w:r>
      <w:proofErr w:type="gramStart"/>
      <w:r w:rsidR="00E04EDF">
        <w:t>particular</w:t>
      </w:r>
      <w:r>
        <w:t xml:space="preserve"> chapters</w:t>
      </w:r>
      <w:proofErr w:type="gramEnd"/>
      <w:r>
        <w:t xml:space="preserve"> of the RPS: </w:t>
      </w:r>
      <w:r w:rsidR="00E04EDF">
        <w:t xml:space="preserve">Mana Whenua, </w:t>
      </w:r>
      <w:r>
        <w:lastRenderedPageBreak/>
        <w:t xml:space="preserve">Integrated Management, </w:t>
      </w:r>
      <w:r w:rsidR="00E04EDF">
        <w:t>Coastal Environment, Ecosystems and Indigenous Biodiversity, and Land and Freshwater.</w:t>
      </w:r>
    </w:p>
    <w:p w14:paraId="1A987AA8" w14:textId="3C5C9D96" w:rsidR="007D26EE" w:rsidRDefault="00E04EDF" w:rsidP="00533C28">
      <w:pPr>
        <w:pStyle w:val="Normal2"/>
        <w:shd w:val="clear" w:color="auto" w:fill="DEEAF6" w:themeFill="accent5" w:themeFillTint="33"/>
      </w:pPr>
      <w:r>
        <w:t>Written feedback from iwi authorities was provided over the three weeks following the hui, firstly in the form of a table outlining amendments sought</w:t>
      </w:r>
      <w:r w:rsidR="007D26EE">
        <w:t xml:space="preserve"> by Kāi </w:t>
      </w:r>
      <w:proofErr w:type="spellStart"/>
      <w:r w:rsidR="007D26EE">
        <w:t>Tahu</w:t>
      </w:r>
      <w:proofErr w:type="spellEnd"/>
      <w:r>
        <w:t xml:space="preserve"> and reasons, and secondly through ‘track changed’ chapters showing the wording preferred by Kāi </w:t>
      </w:r>
      <w:proofErr w:type="spellStart"/>
      <w:r>
        <w:t>Tahu</w:t>
      </w:r>
      <w:proofErr w:type="spellEnd"/>
      <w:r>
        <w:t xml:space="preserve">. </w:t>
      </w:r>
      <w:r w:rsidR="007D26EE">
        <w:t xml:space="preserve">This feedback canvassed the entirety of the RPS and was a mixture of specific amendments sought to provisions and explanations for Kāi </w:t>
      </w:r>
      <w:proofErr w:type="spellStart"/>
      <w:r w:rsidR="007D26EE">
        <w:t>Tahu</w:t>
      </w:r>
      <w:proofErr w:type="spellEnd"/>
      <w:r w:rsidR="007D26EE">
        <w:t xml:space="preserve"> positions.</w:t>
      </w:r>
    </w:p>
    <w:p w14:paraId="3B267354" w14:textId="32117AB5" w:rsidR="005B04E2" w:rsidRDefault="00E04EDF" w:rsidP="00533C28">
      <w:pPr>
        <w:pStyle w:val="Normal2"/>
        <w:shd w:val="clear" w:color="auto" w:fill="DEEAF6" w:themeFill="accent5" w:themeFillTint="33"/>
      </w:pPr>
      <w:r>
        <w:t xml:space="preserve">In relation to the freshwater visions contained in the LF – Land and Freshwater chapter, ORC and </w:t>
      </w:r>
      <w:proofErr w:type="spellStart"/>
      <w:r>
        <w:t>Aukaha</w:t>
      </w:r>
      <w:proofErr w:type="spellEnd"/>
      <w:r>
        <w:t xml:space="preserve"> staff met</w:t>
      </w:r>
      <w:r w:rsidR="007D26EE">
        <w:t xml:space="preserve"> on 7 May 2021</w:t>
      </w:r>
      <w:r>
        <w:t xml:space="preserve"> to co-draft revisions to those provisions</w:t>
      </w:r>
      <w:r w:rsidR="007D26EE">
        <w:t xml:space="preserve"> which</w:t>
      </w:r>
      <w:r>
        <w:t xml:space="preserve"> were then provided to Te Ao Marama staff for feedback</w:t>
      </w:r>
      <w:r w:rsidR="007D26EE">
        <w:t xml:space="preserve">. Following that, </w:t>
      </w:r>
      <w:proofErr w:type="spellStart"/>
      <w:r w:rsidR="007D26EE">
        <w:t>Aukaha</w:t>
      </w:r>
      <w:proofErr w:type="spellEnd"/>
      <w:r w:rsidR="007D26EE">
        <w:t xml:space="preserve"> staff reviewed the visions alongside </w:t>
      </w:r>
      <w:proofErr w:type="spellStart"/>
      <w:r w:rsidR="007D26EE">
        <w:t>r</w:t>
      </w:r>
      <w:r w:rsidR="007D26EE">
        <w:rPr>
          <w:rFonts w:cstheme="minorHAnsi"/>
        </w:rPr>
        <w:t>ū</w:t>
      </w:r>
      <w:r w:rsidR="007D26EE">
        <w:t>naka</w:t>
      </w:r>
      <w:proofErr w:type="spellEnd"/>
      <w:r w:rsidR="007D26EE">
        <w:t xml:space="preserve"> views that had been developed during the original </w:t>
      </w:r>
      <w:proofErr w:type="gramStart"/>
      <w:r w:rsidR="007D26EE">
        <w:t>visions</w:t>
      </w:r>
      <w:proofErr w:type="gramEnd"/>
      <w:r w:rsidR="007D26EE">
        <w:t xml:space="preserve"> consultation in late 2020. That was then provided to ORC on </w:t>
      </w:r>
      <w:r w:rsidR="005C161A">
        <w:t>12</w:t>
      </w:r>
      <w:r w:rsidR="007D26EE">
        <w:t xml:space="preserve"> May 2021.</w:t>
      </w:r>
    </w:p>
    <w:p w14:paraId="1D3DD1C2" w14:textId="6B9079F6" w:rsidR="002C7687" w:rsidRDefault="002C7687" w:rsidP="00533C28">
      <w:pPr>
        <w:pStyle w:val="Normal2"/>
        <w:shd w:val="clear" w:color="auto" w:fill="DEEAF6" w:themeFill="accent5" w:themeFillTint="33"/>
      </w:pPr>
      <w:r>
        <w:t xml:space="preserve">To support the analysis in this evaluation report, Ngāi </w:t>
      </w:r>
      <w:proofErr w:type="spellStart"/>
      <w:r>
        <w:t>Tahu</w:t>
      </w:r>
      <w:proofErr w:type="spellEnd"/>
      <w:r>
        <w:t xml:space="preserve"> ki Murihiku, through Te Ao Marama, have provided a summary table as an indicative guide of how the PORPS 2021 meets key outcomes and aspirations of Ngāi </w:t>
      </w:r>
      <w:proofErr w:type="spellStart"/>
      <w:r>
        <w:t>Tahu</w:t>
      </w:r>
      <w:proofErr w:type="spellEnd"/>
      <w:r>
        <w:t xml:space="preserve"> ki Murihiku as recorded in relevant tribally recognised documents and position statements. This is attached </w:t>
      </w:r>
      <w:r w:rsidRPr="009770A5">
        <w:t xml:space="preserve">as Appendix </w:t>
      </w:r>
      <w:r w:rsidR="00284F66">
        <w:t>8</w:t>
      </w:r>
      <w:r>
        <w:t xml:space="preserve">. </w:t>
      </w:r>
      <w:r w:rsidR="00FF5529">
        <w:t xml:space="preserve">Te Ao Marama staff shared the draft advice with ORC staff as it was being prepared, which allowed minor issues to be identified and resolved in the PORPS 2021. Although the PORPS 2021 does not fully meet all Ngāi </w:t>
      </w:r>
      <w:proofErr w:type="spellStart"/>
      <w:r w:rsidR="00FF5529">
        <w:t>Tahu</w:t>
      </w:r>
      <w:proofErr w:type="spellEnd"/>
      <w:r w:rsidR="00FF5529">
        <w:t xml:space="preserve"> ki Murihiku aspirations, the advice demonstrates that there has been genuine engagement with Kāi </w:t>
      </w:r>
      <w:proofErr w:type="spellStart"/>
      <w:r w:rsidR="00FF5529">
        <w:t>Tahu</w:t>
      </w:r>
      <w:proofErr w:type="spellEnd"/>
      <w:r w:rsidR="00FF5529">
        <w:t xml:space="preserve"> throughout the development of the PORPS and as a result many of the policy positions adopted in the PORPS support Ngāi </w:t>
      </w:r>
      <w:proofErr w:type="spellStart"/>
      <w:r w:rsidR="00FF5529">
        <w:t>Tahu</w:t>
      </w:r>
      <w:proofErr w:type="spellEnd"/>
      <w:r w:rsidR="00FF5529">
        <w:t xml:space="preserve"> ki Murihiku aspirations and values.</w:t>
      </w:r>
    </w:p>
    <w:p w14:paraId="1057234F" w14:textId="0C986C3F" w:rsidR="00667AE0" w:rsidRPr="006F0A68" w:rsidRDefault="00667AE0" w:rsidP="00533C28">
      <w:pPr>
        <w:shd w:val="clear" w:color="auto" w:fill="DEEAF6" w:themeFill="accent5" w:themeFillTint="33"/>
      </w:pPr>
      <w:r>
        <w:rPr>
          <w:rFonts w:ascii="Calibri" w:hAnsi="Calibri" w:cs="Calibri"/>
        </w:rPr>
        <w:br w:type="page"/>
      </w:r>
    </w:p>
    <w:p w14:paraId="29FB3E99" w14:textId="1BF315DE" w:rsidR="000B0FD7" w:rsidRDefault="00667AE0" w:rsidP="00533C28">
      <w:pPr>
        <w:pStyle w:val="Heading1"/>
        <w:shd w:val="clear" w:color="auto" w:fill="DEEAF6" w:themeFill="accent5" w:themeFillTint="33"/>
      </w:pPr>
      <w:bookmarkStart w:id="27" w:name="_Toc72507625"/>
      <w:r>
        <w:lastRenderedPageBreak/>
        <w:t>Issues</w:t>
      </w:r>
      <w:bookmarkEnd w:id="27"/>
    </w:p>
    <w:p w14:paraId="051782BB" w14:textId="218CB4AB" w:rsidR="00196781" w:rsidRDefault="001E074F" w:rsidP="00533C28">
      <w:pPr>
        <w:pStyle w:val="Normal2"/>
        <w:shd w:val="clear" w:color="auto" w:fill="DEEAF6" w:themeFill="accent5" w:themeFillTint="33"/>
      </w:pPr>
      <w:r>
        <w:t>Issues are</w:t>
      </w:r>
      <w:r w:rsidR="008C2FC6">
        <w:t xml:space="preserve"> existing </w:t>
      </w:r>
      <w:r w:rsidR="00196781" w:rsidRPr="00196781">
        <w:t>or potential problem</w:t>
      </w:r>
      <w:r>
        <w:t>s</w:t>
      </w:r>
      <w:r w:rsidR="00196781" w:rsidRPr="00196781">
        <w:t xml:space="preserve"> that must be resolved to promote the purpose of the RM</w:t>
      </w:r>
      <w:r>
        <w:t>A.</w:t>
      </w:r>
      <w:r w:rsidR="008C2FC6">
        <w:t xml:space="preserve"> Environmental issues usually concern conflicts between users of resources, allocation of resources, or effects on the environment</w:t>
      </w:r>
      <w:r w:rsidR="00680CE7">
        <w:t xml:space="preserve"> </w:t>
      </w:r>
      <w:sdt>
        <w:sdtPr>
          <w:id w:val="1868479798"/>
          <w:placeholder>
            <w:docPart w:val="DefaultPlaceholder_1081868574"/>
          </w:placeholder>
          <w:citation/>
        </w:sdtPr>
        <w:sdtContent>
          <w:r w:rsidR="00680CE7">
            <w:fldChar w:fldCharType="begin"/>
          </w:r>
          <w:r w:rsidR="00680CE7">
            <w:instrText xml:space="preserve"> CITATION Qua13 \l 5129 </w:instrText>
          </w:r>
          <w:r w:rsidR="00680CE7">
            <w:fldChar w:fldCharType="separate"/>
          </w:r>
          <w:r w:rsidR="00246D02">
            <w:rPr>
              <w:noProof/>
            </w:rPr>
            <w:t>(Quality Planning, 2013)</w:t>
          </w:r>
          <w:r w:rsidR="00680CE7">
            <w:fldChar w:fldCharType="end"/>
          </w:r>
        </w:sdtContent>
      </w:sdt>
      <w:r w:rsidR="008C2FC6">
        <w:t>.</w:t>
      </w:r>
      <w:r w:rsidR="00196781">
        <w:t xml:space="preserve"> </w:t>
      </w:r>
      <w:r w:rsidR="0056244F">
        <w:t xml:space="preserve">Issues can arise from the cumulative effects of many </w:t>
      </w:r>
      <w:proofErr w:type="gramStart"/>
      <w:r w:rsidR="0056244F">
        <w:t>resource</w:t>
      </w:r>
      <w:proofErr w:type="gramEnd"/>
      <w:r w:rsidR="0056244F">
        <w:t xml:space="preserve"> uses or from a series of individual proposals. Issues may also </w:t>
      </w:r>
      <w:r w:rsidR="005B0358">
        <w:t>relate to the need to take positive action to correct policy failures or the absence of policy, or the need to promote or reward positive effects</w:t>
      </w:r>
      <w:r w:rsidR="00680CE7">
        <w:t xml:space="preserve"> </w:t>
      </w:r>
      <w:sdt>
        <w:sdtPr>
          <w:id w:val="247931998"/>
          <w:placeholder>
            <w:docPart w:val="DefaultPlaceholder_1081868574"/>
          </w:placeholder>
          <w:citation/>
        </w:sdtPr>
        <w:sdtContent>
          <w:r w:rsidR="00CF79E8">
            <w:fldChar w:fldCharType="begin"/>
          </w:r>
          <w:r w:rsidR="00CF79E8">
            <w:instrText xml:space="preserve"> CITATION Qua13 \l 5129 </w:instrText>
          </w:r>
          <w:r w:rsidR="00CF79E8">
            <w:fldChar w:fldCharType="separate"/>
          </w:r>
          <w:r w:rsidR="00246D02">
            <w:rPr>
              <w:noProof/>
            </w:rPr>
            <w:t>(Quality Planning, 2013)</w:t>
          </w:r>
          <w:r w:rsidR="00CF79E8">
            <w:fldChar w:fldCharType="end"/>
          </w:r>
        </w:sdtContent>
      </w:sdt>
      <w:r w:rsidR="005B0358">
        <w:t>.</w:t>
      </w:r>
      <w:r w:rsidR="005B0358" w:rsidRPr="005B0358">
        <w:rPr>
          <w:rStyle w:val="FootnoteReference"/>
        </w:rPr>
        <w:t xml:space="preserve"> </w:t>
      </w:r>
    </w:p>
    <w:p w14:paraId="34E2EA5F" w14:textId="22EE1603" w:rsidR="00EC0D43" w:rsidRDefault="00BF4EDD" w:rsidP="00533C28">
      <w:pPr>
        <w:pStyle w:val="Normal2"/>
        <w:shd w:val="clear" w:color="auto" w:fill="DEEAF6" w:themeFill="accent5" w:themeFillTint="33"/>
      </w:pPr>
      <w:r>
        <w:t>Regional policy statements must state:</w:t>
      </w:r>
    </w:p>
    <w:p w14:paraId="023BA383" w14:textId="77010A1E" w:rsidR="00BF4EDD" w:rsidRPr="002F7FA6" w:rsidRDefault="00BF4EDD" w:rsidP="00533C28">
      <w:pPr>
        <w:pStyle w:val="Normal3"/>
        <w:shd w:val="clear" w:color="auto" w:fill="DEEAF6" w:themeFill="accent5" w:themeFillTint="33"/>
        <w:rPr>
          <w:rFonts w:eastAsiaTheme="minorEastAsia"/>
        </w:rPr>
      </w:pPr>
      <w:r>
        <w:t xml:space="preserve">The significant </w:t>
      </w:r>
      <w:r w:rsidRPr="002F7FA6">
        <w:t>resource management issues for the region;</w:t>
      </w:r>
      <w:r w:rsidR="007E3023" w:rsidRPr="002F7FA6">
        <w:rPr>
          <w:rStyle w:val="FootnoteReference"/>
        </w:rPr>
        <w:footnoteReference w:id="14"/>
      </w:r>
      <w:r w:rsidRPr="002F7FA6">
        <w:t xml:space="preserve"> and</w:t>
      </w:r>
    </w:p>
    <w:p w14:paraId="2D4D523A" w14:textId="302FFCC9" w:rsidR="00BF4EDD" w:rsidRDefault="00704F07" w:rsidP="00533C28">
      <w:pPr>
        <w:pStyle w:val="Normal3"/>
        <w:shd w:val="clear" w:color="auto" w:fill="DEEAF6" w:themeFill="accent5" w:themeFillTint="33"/>
        <w:rPr>
          <w:rFonts w:eastAsiaTheme="minorEastAsia"/>
        </w:rPr>
      </w:pPr>
      <w:r w:rsidRPr="002F7FA6">
        <w:t xml:space="preserve">The </w:t>
      </w:r>
      <w:r w:rsidR="00C4629C" w:rsidRPr="002F7FA6">
        <w:t>resource managem</w:t>
      </w:r>
      <w:r w:rsidR="00C4629C">
        <w:t>ent issues of significance to iwi authorities in the region.</w:t>
      </w:r>
      <w:r w:rsidR="00A86F21">
        <w:rPr>
          <w:rStyle w:val="FootnoteReference"/>
        </w:rPr>
        <w:footnoteReference w:id="15"/>
      </w:r>
    </w:p>
    <w:p w14:paraId="14BF15E5" w14:textId="344859EC" w:rsidR="00C4629C" w:rsidRPr="00196781" w:rsidRDefault="00756210" w:rsidP="00533C28">
      <w:pPr>
        <w:pStyle w:val="Normal2"/>
        <w:shd w:val="clear" w:color="auto" w:fill="DEEAF6" w:themeFill="accent5" w:themeFillTint="33"/>
      </w:pPr>
      <w:r>
        <w:t xml:space="preserve">Section 32 of the RMA does not require an evaluation of </w:t>
      </w:r>
      <w:r w:rsidR="002D2CD8">
        <w:t xml:space="preserve">issues. However, </w:t>
      </w:r>
      <w:r w:rsidR="007A1C74">
        <w:t xml:space="preserve">issue statements underpin the policy direction in a planning document as they are the starting point for policy development. </w:t>
      </w:r>
      <w:r w:rsidR="008D16B9">
        <w:t>This section outlines the issues</w:t>
      </w:r>
      <w:r w:rsidR="00F76D84">
        <w:t xml:space="preserve">, </w:t>
      </w:r>
      <w:r w:rsidR="00275484">
        <w:t>explains how they were developed</w:t>
      </w:r>
      <w:r w:rsidR="00F76D84">
        <w:t xml:space="preserve"> and summarises the analysis undertaken to determining their appropriateness</w:t>
      </w:r>
      <w:r w:rsidR="005124C0">
        <w:t xml:space="preserve">, </w:t>
      </w:r>
      <w:proofErr w:type="gramStart"/>
      <w:r w:rsidR="005124C0">
        <w:t>relevance</w:t>
      </w:r>
      <w:proofErr w:type="gramEnd"/>
      <w:r w:rsidR="00F76D84">
        <w:t xml:space="preserve"> and significance.</w:t>
      </w:r>
    </w:p>
    <w:p w14:paraId="2410A6CB" w14:textId="23C45D0A" w:rsidR="00005F72" w:rsidRDefault="00005F72" w:rsidP="00533C28">
      <w:pPr>
        <w:pStyle w:val="Heading2"/>
        <w:shd w:val="clear" w:color="auto" w:fill="DEEAF6" w:themeFill="accent5" w:themeFillTint="33"/>
      </w:pPr>
      <w:bookmarkStart w:id="28" w:name="_Toc72507626"/>
      <w:r>
        <w:t>Significant resource management issues for the region</w:t>
      </w:r>
      <w:bookmarkEnd w:id="28"/>
    </w:p>
    <w:p w14:paraId="7F91DD40" w14:textId="4E15404B" w:rsidR="00DA185A" w:rsidRDefault="00024885" w:rsidP="00533C28">
      <w:pPr>
        <w:pStyle w:val="Normal2"/>
        <w:shd w:val="clear" w:color="auto" w:fill="DEEAF6" w:themeFill="accent5" w:themeFillTint="33"/>
      </w:pPr>
      <w:r>
        <w:t>Regional policy statements must state the s</w:t>
      </w:r>
      <w:r w:rsidR="00D1266D">
        <w:t>ignificant resource management issues for the region.</w:t>
      </w:r>
      <w:r w:rsidR="001B474D">
        <w:rPr>
          <w:rStyle w:val="FootnoteReference"/>
        </w:rPr>
        <w:footnoteReference w:id="16"/>
      </w:r>
      <w:r w:rsidR="00D1266D">
        <w:t xml:space="preserve"> </w:t>
      </w:r>
      <w:r w:rsidR="0070276A">
        <w:t xml:space="preserve">In January 2020, </w:t>
      </w:r>
      <w:r w:rsidR="002761E8">
        <w:t>a workshop was held with ORC councillors</w:t>
      </w:r>
      <w:r w:rsidR="00AC6222">
        <w:t xml:space="preserve"> and staff to draft an initial </w:t>
      </w:r>
      <w:r w:rsidR="006D280F">
        <w:t>list of issues for public consultation</w:t>
      </w:r>
      <w:r w:rsidR="00D601FC">
        <w:t xml:space="preserve">, as described previously in paragraph </w:t>
      </w:r>
      <w:r w:rsidR="00D601FC">
        <w:fldChar w:fldCharType="begin"/>
      </w:r>
      <w:r w:rsidR="00D601FC">
        <w:instrText xml:space="preserve"> REF _Ref46920992 \r \h </w:instrText>
      </w:r>
      <w:r w:rsidR="00664577">
        <w:instrText xml:space="preserve"> \* MERGEFORMAT </w:instrText>
      </w:r>
      <w:r w:rsidR="00D601FC">
        <w:fldChar w:fldCharType="separate"/>
      </w:r>
      <w:r w:rsidR="002A7A16">
        <w:t>36</w:t>
      </w:r>
      <w:r w:rsidR="00D601FC">
        <w:fldChar w:fldCharType="end"/>
      </w:r>
      <w:r w:rsidR="00D601FC">
        <w:t xml:space="preserve">. </w:t>
      </w:r>
      <w:r w:rsidR="00AB65F2">
        <w:t xml:space="preserve">These issues were tested with the public through </w:t>
      </w:r>
      <w:r w:rsidR="00D601FC">
        <w:t>the Phase 1 consultation</w:t>
      </w:r>
      <w:r w:rsidR="00F6004D">
        <w:t xml:space="preserve">. </w:t>
      </w:r>
      <w:r w:rsidR="00AA3C48">
        <w:t xml:space="preserve">Public feedback was that two issues (related to water quality and biodiversity) that had formed part of broader issues should be identified as standalone issues. </w:t>
      </w:r>
      <w:r w:rsidR="00C919AA">
        <w:t>ORC’s report on the consultati</w:t>
      </w:r>
      <w:r w:rsidR="00B55F9D">
        <w:t xml:space="preserve">on from Phases 1 and 2 </w:t>
      </w:r>
      <w:r w:rsidR="002A40CB">
        <w:t>(</w:t>
      </w:r>
      <w:r w:rsidR="002A40CB" w:rsidRPr="009F7FB4">
        <w:t xml:space="preserve">attached as Appendix </w:t>
      </w:r>
      <w:r w:rsidR="009770A5">
        <w:t>3</w:t>
      </w:r>
      <w:r w:rsidR="002A40CB">
        <w:t xml:space="preserve">) </w:t>
      </w:r>
      <w:r w:rsidR="00B55F9D">
        <w:t>contains more detailed information on the feedback provided on the issue statements</w:t>
      </w:r>
      <w:r w:rsidR="0857B52A">
        <w:t>,</w:t>
      </w:r>
      <w:r w:rsidR="00B55F9D">
        <w:t xml:space="preserve"> </w:t>
      </w:r>
      <w:r w:rsidR="009B5D13">
        <w:t xml:space="preserve">starting at </w:t>
      </w:r>
      <w:r w:rsidR="00B55F9D">
        <w:t>page 13</w:t>
      </w:r>
      <w:r w:rsidR="002A40CB">
        <w:t xml:space="preserve">. </w:t>
      </w:r>
    </w:p>
    <w:p w14:paraId="6AED5519" w14:textId="77C5A169" w:rsidR="00DA185A" w:rsidRDefault="00DA185A" w:rsidP="00533C28">
      <w:pPr>
        <w:pStyle w:val="Normal2"/>
        <w:shd w:val="clear" w:color="auto" w:fill="DEEAF6" w:themeFill="accent5" w:themeFillTint="33"/>
      </w:pPr>
      <w:r>
        <w:t xml:space="preserve">Issues were also discussed </w:t>
      </w:r>
      <w:r w:rsidR="00E732E3">
        <w:t xml:space="preserve">(albeit more broadly) </w:t>
      </w:r>
      <w:r>
        <w:t xml:space="preserve">at the Reference Group workshops held during June and July 2020. </w:t>
      </w:r>
      <w:r w:rsidR="001240F9">
        <w:t xml:space="preserve">Although the participants were not asked to comment specifically on the issues as drafted, </w:t>
      </w:r>
      <w:r w:rsidR="000F6329">
        <w:t xml:space="preserve">many of the common themes in each workshop </w:t>
      </w:r>
      <w:r w:rsidR="00FB7C3A">
        <w:t xml:space="preserve">were reflected in the issue statements. A summary report on this consultation is attached as Appendix </w:t>
      </w:r>
      <w:r w:rsidR="009770A5">
        <w:t>4</w:t>
      </w:r>
      <w:r w:rsidR="00FB7C3A">
        <w:t xml:space="preserve"> to this report.</w:t>
      </w:r>
    </w:p>
    <w:p w14:paraId="6531731B" w14:textId="20505524" w:rsidR="00430F96" w:rsidRDefault="00430F96" w:rsidP="00533C28">
      <w:pPr>
        <w:pStyle w:val="Normal2"/>
        <w:shd w:val="clear" w:color="auto" w:fill="DEEAF6" w:themeFill="accent5" w:themeFillTint="33"/>
      </w:pPr>
      <w:r>
        <w:t xml:space="preserve">As a result of consultation, the original issue statements were amended. The </w:t>
      </w:r>
      <w:r w:rsidR="005E6A5A">
        <w:t>Significant Resource Management Issues for the Region (</w:t>
      </w:r>
      <w:r>
        <w:t>SRMR</w:t>
      </w:r>
      <w:r w:rsidR="005E6A5A">
        <w:t>)</w:t>
      </w:r>
      <w:r>
        <w:t xml:space="preserve"> section in Part 2 of the PORPS 2021</w:t>
      </w:r>
      <w:r w:rsidR="00C24758">
        <w:t xml:space="preserve"> </w:t>
      </w:r>
      <w:r w:rsidR="00E732E3">
        <w:t xml:space="preserve">comprises a statement of </w:t>
      </w:r>
      <w:r w:rsidR="00C24758">
        <w:t xml:space="preserve">the issues as well as a summary of their environmental, economic, and social impacts. That content is not repeated </w:t>
      </w:r>
      <w:r w:rsidR="00E566C8">
        <w:t xml:space="preserve">here and should be referred to for further explanation about the </w:t>
      </w:r>
      <w:r w:rsidR="00FC0FB5">
        <w:t xml:space="preserve">issue statements. </w:t>
      </w:r>
      <w:r>
        <w:fldChar w:fldCharType="begin"/>
      </w:r>
      <w:r>
        <w:instrText xml:space="preserve"> REF _Ref65227827 \h </w:instrText>
      </w:r>
      <w:r w:rsidR="00664577">
        <w:instrText xml:space="preserve"> \* MERGEFORMAT </w:instrText>
      </w:r>
      <w:r>
        <w:fldChar w:fldCharType="separate"/>
      </w:r>
      <w:r w:rsidR="002A7A16">
        <w:t xml:space="preserve">Table </w:t>
      </w:r>
      <w:r w:rsidR="002A7A16">
        <w:rPr>
          <w:noProof/>
        </w:rPr>
        <w:t>2</w:t>
      </w:r>
      <w:r>
        <w:fldChar w:fldCharType="end"/>
      </w:r>
      <w:r w:rsidR="006C598E">
        <w:t xml:space="preserve"> below sets out the final issue statements from the PORPS 2021.</w:t>
      </w:r>
    </w:p>
    <w:p w14:paraId="7AB64384" w14:textId="1FC4B04C" w:rsidR="00F73B66" w:rsidRDefault="00F73B66" w:rsidP="005653BF">
      <w:pPr>
        <w:pStyle w:val="Caption"/>
        <w:keepNext/>
        <w:ind w:left="709"/>
      </w:pPr>
      <w:bookmarkStart w:id="29" w:name="_Ref65227827"/>
      <w:r>
        <w:t xml:space="preserve">Table </w:t>
      </w:r>
      <w:r>
        <w:fldChar w:fldCharType="begin"/>
      </w:r>
      <w:r>
        <w:instrText>SEQ Table \* ARABIC</w:instrText>
      </w:r>
      <w:r>
        <w:fldChar w:fldCharType="separate"/>
      </w:r>
      <w:r w:rsidR="002A7A16">
        <w:rPr>
          <w:noProof/>
        </w:rPr>
        <w:t>2</w:t>
      </w:r>
      <w:r>
        <w:fldChar w:fldCharType="end"/>
      </w:r>
      <w:bookmarkEnd w:id="29"/>
      <w:r w:rsidR="004A622C">
        <w:t>: Significant resource management issues for the region</w:t>
      </w:r>
    </w:p>
    <w:tbl>
      <w:tblPr>
        <w:tblStyle w:val="TableGrid"/>
        <w:tblW w:w="0" w:type="auto"/>
        <w:tblInd w:w="709" w:type="dxa"/>
        <w:tblLook w:val="04A0" w:firstRow="1" w:lastRow="0" w:firstColumn="1" w:lastColumn="0" w:noHBand="0" w:noVBand="1"/>
      </w:tblPr>
      <w:tblGrid>
        <w:gridCol w:w="1129"/>
        <w:gridCol w:w="7178"/>
      </w:tblGrid>
      <w:tr w:rsidR="00F73B66" w14:paraId="28E35BE6" w14:textId="77777777" w:rsidTr="005653BF">
        <w:tc>
          <w:tcPr>
            <w:tcW w:w="1129" w:type="dxa"/>
            <w:shd w:val="clear" w:color="auto" w:fill="auto"/>
          </w:tcPr>
          <w:p w14:paraId="4F75B3F4" w14:textId="04AAF258" w:rsidR="00F73B66" w:rsidRPr="005653BF" w:rsidRDefault="00610733" w:rsidP="005653BF">
            <w:pPr>
              <w:pStyle w:val="Table1"/>
            </w:pPr>
            <w:r w:rsidRPr="005653BF">
              <w:t>S</w:t>
            </w:r>
            <w:r w:rsidR="002F2985" w:rsidRPr="005653BF">
              <w:t>RMR–I1</w:t>
            </w:r>
          </w:p>
        </w:tc>
        <w:tc>
          <w:tcPr>
            <w:tcW w:w="7178" w:type="dxa"/>
            <w:shd w:val="clear" w:color="auto" w:fill="auto"/>
          </w:tcPr>
          <w:p w14:paraId="71857B98" w14:textId="6CDC2229" w:rsidR="00F73B66" w:rsidRPr="005653BF" w:rsidRDefault="00E55DF5" w:rsidP="005653BF">
            <w:pPr>
              <w:pStyle w:val="Table1"/>
            </w:pPr>
            <w:r w:rsidRPr="005653BF">
              <w:t>Natural hazards pose a risk to many Otago communities.</w:t>
            </w:r>
          </w:p>
        </w:tc>
      </w:tr>
      <w:tr w:rsidR="00F73B66" w14:paraId="60E66DD2" w14:textId="77777777" w:rsidTr="005653BF">
        <w:tc>
          <w:tcPr>
            <w:tcW w:w="1129" w:type="dxa"/>
            <w:shd w:val="clear" w:color="auto" w:fill="auto"/>
          </w:tcPr>
          <w:p w14:paraId="35494CC3" w14:textId="6725281C" w:rsidR="008D1B64" w:rsidRPr="005653BF" w:rsidRDefault="004A1FC3" w:rsidP="005653BF">
            <w:pPr>
              <w:pStyle w:val="Table1"/>
            </w:pPr>
            <w:r w:rsidRPr="005653BF">
              <w:t>SRMR–I2</w:t>
            </w:r>
          </w:p>
        </w:tc>
        <w:tc>
          <w:tcPr>
            <w:tcW w:w="7178" w:type="dxa"/>
            <w:shd w:val="clear" w:color="auto" w:fill="auto"/>
          </w:tcPr>
          <w:p w14:paraId="5812B63F" w14:textId="330174BC" w:rsidR="00F73B66" w:rsidRPr="005653BF" w:rsidRDefault="00E55DF5" w:rsidP="005653BF">
            <w:pPr>
              <w:pStyle w:val="Table1"/>
            </w:pPr>
            <w:r w:rsidRPr="005653BF">
              <w:t xml:space="preserve">Climate change is likely to </w:t>
            </w:r>
            <w:r w:rsidR="00EC61C2" w:rsidRPr="005653BF">
              <w:t>i</w:t>
            </w:r>
            <w:r w:rsidR="00911966" w:rsidRPr="005653BF">
              <w:t>m</w:t>
            </w:r>
            <w:r w:rsidR="00EC61C2" w:rsidRPr="005653BF">
              <w:t xml:space="preserve">pact </w:t>
            </w:r>
            <w:r w:rsidRPr="005653BF">
              <w:t>our economy and environment.</w:t>
            </w:r>
          </w:p>
        </w:tc>
      </w:tr>
      <w:tr w:rsidR="00F73B66" w14:paraId="2611E506" w14:textId="77777777" w:rsidTr="005653BF">
        <w:tc>
          <w:tcPr>
            <w:tcW w:w="1129" w:type="dxa"/>
            <w:shd w:val="clear" w:color="auto" w:fill="auto"/>
          </w:tcPr>
          <w:p w14:paraId="030FF074" w14:textId="3D9AE7A8" w:rsidR="005057B9" w:rsidRPr="005653BF" w:rsidRDefault="006A3FB5" w:rsidP="005653BF">
            <w:pPr>
              <w:pStyle w:val="Table1"/>
            </w:pPr>
            <w:r w:rsidRPr="005653BF">
              <w:lastRenderedPageBreak/>
              <w:t>SRMR–I3</w:t>
            </w:r>
          </w:p>
        </w:tc>
        <w:tc>
          <w:tcPr>
            <w:tcW w:w="7178" w:type="dxa"/>
            <w:shd w:val="clear" w:color="auto" w:fill="auto"/>
          </w:tcPr>
          <w:p w14:paraId="1588397B" w14:textId="10A9885B" w:rsidR="00F73B66" w:rsidRPr="005653BF" w:rsidRDefault="00E55DF5" w:rsidP="005653BF">
            <w:pPr>
              <w:pStyle w:val="Table1"/>
            </w:pPr>
            <w:r w:rsidRPr="005653BF">
              <w:t xml:space="preserve">Pest species pose an ongoing threat to indigenous biodiversity, economic </w:t>
            </w:r>
            <w:proofErr w:type="gramStart"/>
            <w:r w:rsidRPr="005653BF">
              <w:t>activities</w:t>
            </w:r>
            <w:proofErr w:type="gramEnd"/>
            <w:r w:rsidRPr="005653BF">
              <w:t xml:space="preserve"> and landscapes.</w:t>
            </w:r>
          </w:p>
        </w:tc>
      </w:tr>
      <w:tr w:rsidR="00F73B66" w14:paraId="68006958" w14:textId="77777777" w:rsidTr="005653BF">
        <w:tc>
          <w:tcPr>
            <w:tcW w:w="1129" w:type="dxa"/>
            <w:shd w:val="clear" w:color="auto" w:fill="auto"/>
          </w:tcPr>
          <w:p w14:paraId="178BF0A6" w14:textId="4DF3143B" w:rsidR="000A6BDB" w:rsidRPr="005653BF" w:rsidRDefault="000F35A5" w:rsidP="005653BF">
            <w:pPr>
              <w:pStyle w:val="Table1"/>
            </w:pPr>
            <w:r w:rsidRPr="005653BF">
              <w:t xml:space="preserve">SRMR–I4 </w:t>
            </w:r>
          </w:p>
        </w:tc>
        <w:tc>
          <w:tcPr>
            <w:tcW w:w="7178" w:type="dxa"/>
            <w:shd w:val="clear" w:color="auto" w:fill="auto"/>
          </w:tcPr>
          <w:p w14:paraId="6E9BBF22" w14:textId="52E0C594" w:rsidR="00F73B66" w:rsidRPr="005653BF" w:rsidRDefault="00E55DF5" w:rsidP="005653BF">
            <w:pPr>
              <w:pStyle w:val="Table1"/>
            </w:pPr>
            <w:r w:rsidRPr="005653BF">
              <w:t xml:space="preserve">Poorly managed urban and residential growth affects productive land, treasured natural assets, </w:t>
            </w:r>
            <w:proofErr w:type="gramStart"/>
            <w:r w:rsidRPr="005653BF">
              <w:t>infrastructure</w:t>
            </w:r>
            <w:proofErr w:type="gramEnd"/>
            <w:r w:rsidRPr="005653BF">
              <w:t xml:space="preserve"> and community wellbeing.</w:t>
            </w:r>
          </w:p>
        </w:tc>
      </w:tr>
      <w:tr w:rsidR="00F73B66" w14:paraId="1B507441" w14:textId="77777777" w:rsidTr="00533C28">
        <w:tc>
          <w:tcPr>
            <w:tcW w:w="1129" w:type="dxa"/>
            <w:shd w:val="clear" w:color="auto" w:fill="DEEAF6" w:themeFill="accent5" w:themeFillTint="33"/>
          </w:tcPr>
          <w:p w14:paraId="72D647AE" w14:textId="3E480256" w:rsidR="00674F3A" w:rsidRPr="005653BF" w:rsidRDefault="00642400" w:rsidP="005653BF">
            <w:pPr>
              <w:pStyle w:val="Table1"/>
            </w:pPr>
            <w:r w:rsidRPr="005653BF">
              <w:t>SRMR–I5</w:t>
            </w:r>
          </w:p>
        </w:tc>
        <w:tc>
          <w:tcPr>
            <w:tcW w:w="7178" w:type="dxa"/>
            <w:shd w:val="clear" w:color="auto" w:fill="DEEAF6" w:themeFill="accent5" w:themeFillTint="33"/>
          </w:tcPr>
          <w:p w14:paraId="2188E1F0" w14:textId="6B8E7C40" w:rsidR="00F73B66" w:rsidRPr="005653BF" w:rsidRDefault="00995FC6" w:rsidP="005653BF">
            <w:pPr>
              <w:pStyle w:val="Table1"/>
            </w:pPr>
            <w:r w:rsidRPr="005653BF">
              <w:rPr>
                <w:i/>
                <w:iCs/>
              </w:rPr>
              <w:t>Freshwater</w:t>
            </w:r>
            <w:r w:rsidRPr="005653BF">
              <w:t xml:space="preserve"> </w:t>
            </w:r>
            <w:r w:rsidR="00E55DF5" w:rsidRPr="005653BF">
              <w:t>demand exceeds capacity in some places.</w:t>
            </w:r>
          </w:p>
        </w:tc>
      </w:tr>
      <w:tr w:rsidR="00EF57BD" w14:paraId="722BD93B" w14:textId="77777777" w:rsidTr="00533C28">
        <w:tc>
          <w:tcPr>
            <w:tcW w:w="1129" w:type="dxa"/>
            <w:shd w:val="clear" w:color="auto" w:fill="DEEAF6" w:themeFill="accent5" w:themeFillTint="33"/>
          </w:tcPr>
          <w:p w14:paraId="38FF433F" w14:textId="544194D7" w:rsidR="002553D8" w:rsidRDefault="00C17E83" w:rsidP="005653BF">
            <w:pPr>
              <w:pStyle w:val="Table1"/>
            </w:pPr>
            <w:r w:rsidRPr="003D1C57">
              <w:t>SRMR</w:t>
            </w:r>
            <w:r>
              <w:t>–I</w:t>
            </w:r>
            <w:r w:rsidRPr="003D1C57">
              <w:t>6</w:t>
            </w:r>
          </w:p>
        </w:tc>
        <w:tc>
          <w:tcPr>
            <w:tcW w:w="7178" w:type="dxa"/>
            <w:shd w:val="clear" w:color="auto" w:fill="DEEAF6" w:themeFill="accent5" w:themeFillTint="33"/>
          </w:tcPr>
          <w:p w14:paraId="33C39B5C" w14:textId="78F192D8" w:rsidR="00EF57BD" w:rsidRDefault="00E55DF5" w:rsidP="005653BF">
            <w:pPr>
              <w:pStyle w:val="Table1"/>
            </w:pPr>
            <w:r w:rsidRPr="002553D8">
              <w:t xml:space="preserve">Declining water quality has adverse effects on the environment, our </w:t>
            </w:r>
            <w:proofErr w:type="gramStart"/>
            <w:r w:rsidRPr="002553D8">
              <w:t>communities</w:t>
            </w:r>
            <w:proofErr w:type="gramEnd"/>
            <w:r w:rsidRPr="002553D8">
              <w:t xml:space="preserve"> and the economy</w:t>
            </w:r>
            <w:r>
              <w:t>.</w:t>
            </w:r>
          </w:p>
        </w:tc>
      </w:tr>
      <w:tr w:rsidR="00AC664F" w14:paraId="05E0A282" w14:textId="77777777" w:rsidTr="005653BF">
        <w:tc>
          <w:tcPr>
            <w:tcW w:w="1129" w:type="dxa"/>
            <w:shd w:val="clear" w:color="auto" w:fill="auto"/>
          </w:tcPr>
          <w:p w14:paraId="4071F412" w14:textId="72F7E407" w:rsidR="002553D8" w:rsidRDefault="00A03D6E" w:rsidP="005653BF">
            <w:pPr>
              <w:pStyle w:val="Table1"/>
            </w:pPr>
            <w:r w:rsidRPr="003D1C57">
              <w:t>SRMR</w:t>
            </w:r>
            <w:r>
              <w:t>–I</w:t>
            </w:r>
            <w:r w:rsidRPr="003D1C57">
              <w:t>7</w:t>
            </w:r>
            <w:r w:rsidR="002553D8">
              <w:t xml:space="preserve"> </w:t>
            </w:r>
          </w:p>
        </w:tc>
        <w:tc>
          <w:tcPr>
            <w:tcW w:w="7178" w:type="dxa"/>
            <w:shd w:val="clear" w:color="auto" w:fill="auto"/>
          </w:tcPr>
          <w:p w14:paraId="6EAD353F" w14:textId="2AF3DE46" w:rsidR="00AC664F" w:rsidRPr="005B4AFF" w:rsidRDefault="00E55DF5" w:rsidP="005653BF">
            <w:pPr>
              <w:pStyle w:val="Table1"/>
            </w:pPr>
            <w:r w:rsidRPr="002553D8">
              <w:t xml:space="preserve">Biodiversity </w:t>
            </w:r>
            <w:r>
              <w:t>l</w:t>
            </w:r>
            <w:r w:rsidRPr="002553D8">
              <w:t xml:space="preserve">oss: rich and varied biodiversity has been lost </w:t>
            </w:r>
            <w:r w:rsidR="00C9408B">
              <w:t>and</w:t>
            </w:r>
            <w:r w:rsidR="00C9408B" w:rsidRPr="002553D8">
              <w:t xml:space="preserve"> </w:t>
            </w:r>
            <w:r w:rsidRPr="002553D8">
              <w:t>degraded due to human activities or the presence of pests and predators</w:t>
            </w:r>
            <w:r>
              <w:t>.</w:t>
            </w:r>
          </w:p>
        </w:tc>
      </w:tr>
      <w:tr w:rsidR="00F73B66" w14:paraId="42EEB40F" w14:textId="77777777" w:rsidTr="005653BF">
        <w:tc>
          <w:tcPr>
            <w:tcW w:w="1129" w:type="dxa"/>
            <w:shd w:val="clear" w:color="auto" w:fill="auto"/>
          </w:tcPr>
          <w:p w14:paraId="7888A0B3" w14:textId="4EB01F30" w:rsidR="002553D8" w:rsidRDefault="00F1484B" w:rsidP="005653BF">
            <w:pPr>
              <w:pStyle w:val="Table1"/>
            </w:pPr>
            <w:r w:rsidRPr="003D1C57">
              <w:t>SRMR</w:t>
            </w:r>
            <w:r>
              <w:t>–I</w:t>
            </w:r>
            <w:r w:rsidRPr="003D1C57">
              <w:t>8</w:t>
            </w:r>
          </w:p>
        </w:tc>
        <w:tc>
          <w:tcPr>
            <w:tcW w:w="7178" w:type="dxa"/>
            <w:shd w:val="clear" w:color="auto" w:fill="auto"/>
          </w:tcPr>
          <w:p w14:paraId="2C89F0FC" w14:textId="736FFBC7" w:rsidR="00F73B66" w:rsidRDefault="00E55DF5" w:rsidP="005653BF">
            <w:pPr>
              <w:pStyle w:val="Table1"/>
            </w:pPr>
            <w:r w:rsidRPr="002553D8">
              <w:t xml:space="preserve">Otago’s coast is a rich natural, </w:t>
            </w:r>
            <w:proofErr w:type="gramStart"/>
            <w:r w:rsidRPr="002553D8">
              <w:t>cultural</w:t>
            </w:r>
            <w:proofErr w:type="gramEnd"/>
            <w:r w:rsidRPr="002553D8">
              <w:t xml:space="preserve"> and economic resource that is under threat from a range of terrestrial and marine activities</w:t>
            </w:r>
            <w:r>
              <w:t>.</w:t>
            </w:r>
          </w:p>
        </w:tc>
      </w:tr>
      <w:tr w:rsidR="00F73B66" w14:paraId="4723B200" w14:textId="77777777" w:rsidTr="00533C28">
        <w:tc>
          <w:tcPr>
            <w:tcW w:w="1129" w:type="dxa"/>
            <w:shd w:val="clear" w:color="auto" w:fill="DEEAF6" w:themeFill="accent5" w:themeFillTint="33"/>
          </w:tcPr>
          <w:p w14:paraId="5A7E8C59" w14:textId="5C1880DC" w:rsidR="004407D7" w:rsidRDefault="00CE4C70" w:rsidP="005653BF">
            <w:pPr>
              <w:pStyle w:val="Table1"/>
            </w:pPr>
            <w:r w:rsidRPr="003D1C57">
              <w:t>SRMR</w:t>
            </w:r>
            <w:r>
              <w:t>–I</w:t>
            </w:r>
            <w:r w:rsidRPr="003D1C57">
              <w:t>9</w:t>
            </w:r>
          </w:p>
        </w:tc>
        <w:tc>
          <w:tcPr>
            <w:tcW w:w="7178" w:type="dxa"/>
            <w:shd w:val="clear" w:color="auto" w:fill="DEEAF6" w:themeFill="accent5" w:themeFillTint="33"/>
          </w:tcPr>
          <w:p w14:paraId="43DB178F" w14:textId="2A1AF1D6" w:rsidR="00F73B66" w:rsidRDefault="00E55DF5" w:rsidP="005653BF">
            <w:pPr>
              <w:pStyle w:val="Table1"/>
            </w:pPr>
            <w:r w:rsidRPr="004407D7">
              <w:t>Otago lakes are subject to pressures from tourism and population growth</w:t>
            </w:r>
            <w:r>
              <w:t>.</w:t>
            </w:r>
          </w:p>
        </w:tc>
      </w:tr>
      <w:tr w:rsidR="00F73B66" w14:paraId="530ED2B5" w14:textId="77777777" w:rsidTr="005653BF">
        <w:tc>
          <w:tcPr>
            <w:tcW w:w="1129" w:type="dxa"/>
            <w:shd w:val="clear" w:color="auto" w:fill="auto"/>
          </w:tcPr>
          <w:p w14:paraId="3F7076CD" w14:textId="2E99EB9D" w:rsidR="004407D7" w:rsidRDefault="003122D3" w:rsidP="005653BF">
            <w:pPr>
              <w:pStyle w:val="Table1"/>
            </w:pPr>
            <w:r w:rsidRPr="003D1C57">
              <w:t>SRMR</w:t>
            </w:r>
            <w:r>
              <w:t>–I</w:t>
            </w:r>
            <w:r w:rsidRPr="003D1C57">
              <w:t>10</w:t>
            </w:r>
          </w:p>
        </w:tc>
        <w:tc>
          <w:tcPr>
            <w:tcW w:w="7178" w:type="dxa"/>
            <w:shd w:val="clear" w:color="auto" w:fill="auto"/>
          </w:tcPr>
          <w:p w14:paraId="588A7747" w14:textId="61F0C3EB" w:rsidR="00F73B66" w:rsidRDefault="00E55DF5" w:rsidP="005653BF">
            <w:pPr>
              <w:pStyle w:val="Table1"/>
            </w:pPr>
            <w:r w:rsidRPr="004407D7">
              <w:t>Economic and domestic activities</w:t>
            </w:r>
            <w:r w:rsidR="00EE3B2F">
              <w:t xml:space="preserve"> in Otago</w:t>
            </w:r>
            <w:r w:rsidRPr="004407D7">
              <w:t xml:space="preserve"> use natural resources but do not always properly account for the environmental stresses or the future </w:t>
            </w:r>
            <w:r w:rsidR="00A12158">
              <w:t>impacts</w:t>
            </w:r>
            <w:r w:rsidR="00A12158" w:rsidRPr="004407D7">
              <w:t xml:space="preserve"> </w:t>
            </w:r>
            <w:r w:rsidRPr="004407D7">
              <w:t>they cause</w:t>
            </w:r>
            <w:r>
              <w:t>.</w:t>
            </w:r>
          </w:p>
        </w:tc>
      </w:tr>
      <w:tr w:rsidR="006B04D9" w14:paraId="014F7A09" w14:textId="77777777" w:rsidTr="005653BF">
        <w:tc>
          <w:tcPr>
            <w:tcW w:w="1129" w:type="dxa"/>
            <w:shd w:val="clear" w:color="auto" w:fill="auto"/>
          </w:tcPr>
          <w:p w14:paraId="142E69FF" w14:textId="543E9E38" w:rsidR="004407D7" w:rsidRDefault="00FB5D1B" w:rsidP="005653BF">
            <w:pPr>
              <w:pStyle w:val="Table1"/>
            </w:pPr>
            <w:r w:rsidRPr="003D1C57">
              <w:t>SRMR</w:t>
            </w:r>
            <w:r>
              <w:t>–I</w:t>
            </w:r>
            <w:r w:rsidRPr="003D1C57">
              <w:t>11</w:t>
            </w:r>
            <w:r>
              <w:t xml:space="preserve"> </w:t>
            </w:r>
          </w:p>
        </w:tc>
        <w:tc>
          <w:tcPr>
            <w:tcW w:w="7178" w:type="dxa"/>
            <w:shd w:val="clear" w:color="auto" w:fill="auto"/>
          </w:tcPr>
          <w:p w14:paraId="53A5237E" w14:textId="69372C4A" w:rsidR="006B04D9" w:rsidRDefault="00E55DF5" w:rsidP="005653BF">
            <w:pPr>
              <w:pStyle w:val="Table1"/>
            </w:pPr>
            <w:r w:rsidRPr="004407D7">
              <w:t xml:space="preserve">Cumulative impacts and resilience – the environmental costs of our activities </w:t>
            </w:r>
            <w:r w:rsidR="00FB5D1B">
              <w:t xml:space="preserve">in Otago </w:t>
            </w:r>
            <w:r w:rsidRPr="004407D7">
              <w:t xml:space="preserve">are </w:t>
            </w:r>
            <w:r w:rsidR="004055E3">
              <w:t>adding</w:t>
            </w:r>
            <w:r w:rsidR="004055E3" w:rsidRPr="004407D7">
              <w:t xml:space="preserve"> </w:t>
            </w:r>
            <w:r w:rsidRPr="004407D7">
              <w:t xml:space="preserve">up </w:t>
            </w:r>
            <w:r w:rsidR="004055E3">
              <w:t xml:space="preserve">with </w:t>
            </w:r>
            <w:r w:rsidRPr="004407D7">
              <w:t>tipping point</w:t>
            </w:r>
            <w:r w:rsidR="004055E3">
              <w:t>s potentially being reached</w:t>
            </w:r>
            <w:r>
              <w:t>.</w:t>
            </w:r>
          </w:p>
        </w:tc>
      </w:tr>
    </w:tbl>
    <w:p w14:paraId="4F13382C" w14:textId="2BF7F3A6" w:rsidR="00005F72" w:rsidRDefault="00005F72" w:rsidP="00533C28">
      <w:pPr>
        <w:pStyle w:val="Heading2"/>
        <w:shd w:val="clear" w:color="auto" w:fill="DEEAF6" w:themeFill="accent5" w:themeFillTint="33"/>
      </w:pPr>
      <w:bookmarkStart w:id="30" w:name="_Toc72507627"/>
      <w:r>
        <w:t>Resource management issues of significance to iwi authorities</w:t>
      </w:r>
      <w:bookmarkEnd w:id="30"/>
    </w:p>
    <w:p w14:paraId="54556D1D" w14:textId="44D46AC3" w:rsidR="002E08E4" w:rsidRDefault="002E08E4" w:rsidP="00533C28">
      <w:pPr>
        <w:pStyle w:val="Normal2"/>
        <w:shd w:val="clear" w:color="auto" w:fill="DEEAF6" w:themeFill="accent5" w:themeFillTint="33"/>
      </w:pPr>
      <w:r>
        <w:t xml:space="preserve">Resource management issues of significance to iwi authorities </w:t>
      </w:r>
      <w:r w:rsidR="008E46F1">
        <w:t xml:space="preserve">have been identified by </w:t>
      </w:r>
      <w:proofErr w:type="spellStart"/>
      <w:r w:rsidR="008E46F1">
        <w:t>Aukaha</w:t>
      </w:r>
      <w:proofErr w:type="spellEnd"/>
      <w:r w:rsidR="008E46F1">
        <w:t xml:space="preserve"> and Te Ao Marama as the region’s iwi authorities. The corresponding section of the PORPS 2021 has been prepared by </w:t>
      </w:r>
      <w:proofErr w:type="spellStart"/>
      <w:r w:rsidR="008E46F1">
        <w:t>Aukaha</w:t>
      </w:r>
      <w:proofErr w:type="spellEnd"/>
      <w:r w:rsidR="008E46F1">
        <w:t xml:space="preserve"> and Te Ao Marama. </w:t>
      </w:r>
      <w:r w:rsidR="00DD0903">
        <w:t>These are listed below and described briefly, but a comprehensive explanation of these issues</w:t>
      </w:r>
      <w:r w:rsidR="003F1479">
        <w:t xml:space="preserve"> is provided in the PORPS 2021 and should be referred to </w:t>
      </w:r>
      <w:r w:rsidR="00CA6E77">
        <w:t>alongside this report.</w:t>
      </w:r>
    </w:p>
    <w:p w14:paraId="4F61F34F" w14:textId="77777777" w:rsidR="00CA6E77" w:rsidRDefault="00CA6E77" w:rsidP="00533C28">
      <w:pPr>
        <w:pStyle w:val="Heading3"/>
        <w:shd w:val="clear" w:color="auto" w:fill="DEEAF6" w:themeFill="accent5" w:themeFillTint="33"/>
      </w:pPr>
      <w:r>
        <w:t xml:space="preserve">WAI – Wai Māori </w:t>
      </w:r>
    </w:p>
    <w:p w14:paraId="78709D8B" w14:textId="77777777" w:rsidR="00007628" w:rsidRPr="00007628" w:rsidRDefault="00996AE6" w:rsidP="00533C28">
      <w:pPr>
        <w:pStyle w:val="Normal2"/>
        <w:shd w:val="clear" w:color="auto" w:fill="DEEAF6" w:themeFill="accent5" w:themeFillTint="33"/>
        <w:rPr>
          <w:rFonts w:asciiTheme="majorHAnsi" w:eastAsiaTheme="majorEastAsia" w:hAnsiTheme="majorHAnsi" w:cstheme="majorBidi"/>
          <w:color w:val="2F5496" w:themeColor="accent1" w:themeShade="BF"/>
          <w:sz w:val="26"/>
          <w:szCs w:val="26"/>
        </w:rPr>
      </w:pPr>
      <w:r>
        <w:t xml:space="preserve">Water plays a significant role in Kāi </w:t>
      </w:r>
      <w:proofErr w:type="spellStart"/>
      <w:r>
        <w:t>Tahu</w:t>
      </w:r>
      <w:proofErr w:type="spellEnd"/>
      <w:r>
        <w:t xml:space="preserve"> spiritual beliefs and cultural traditions. Kāi </w:t>
      </w:r>
      <w:proofErr w:type="spellStart"/>
      <w:r>
        <w:t>Tahu</w:t>
      </w:r>
      <w:proofErr w:type="spellEnd"/>
      <w:r>
        <w:t xml:space="preserve"> have an obligation through whakapapa to protect wai and all the life it supports. </w:t>
      </w:r>
      <w:proofErr w:type="spellStart"/>
      <w:r>
        <w:t>Whānau</w:t>
      </w:r>
      <w:proofErr w:type="spellEnd"/>
      <w:r>
        <w:t xml:space="preserve"> have observed the health of water degrade through time and consider it is crucial that this degradation is reversed</w:t>
      </w:r>
      <w:r w:rsidR="00007628">
        <w:t xml:space="preserve">. </w:t>
      </w:r>
    </w:p>
    <w:p w14:paraId="15559637" w14:textId="77777777" w:rsidR="00007628" w:rsidRPr="00007628" w:rsidRDefault="00007628" w:rsidP="00533C28">
      <w:pPr>
        <w:pStyle w:val="Normal2"/>
        <w:shd w:val="clear" w:color="auto" w:fill="DEEAF6" w:themeFill="accent5" w:themeFillTint="33"/>
        <w:rPr>
          <w:rFonts w:asciiTheme="majorHAnsi" w:eastAsiaTheme="majorEastAsia" w:hAnsiTheme="majorHAnsi" w:cstheme="majorBidi"/>
          <w:color w:val="2F5496" w:themeColor="accent1" w:themeShade="BF"/>
          <w:sz w:val="26"/>
          <w:szCs w:val="26"/>
        </w:rPr>
      </w:pPr>
      <w:r>
        <w:t>Specific issues for Wai Māori are:</w:t>
      </w:r>
    </w:p>
    <w:p w14:paraId="3FB4B925" w14:textId="094FD151" w:rsidR="00007628" w:rsidRPr="00610733" w:rsidRDefault="00007628" w:rsidP="00533C28">
      <w:pPr>
        <w:pStyle w:val="Normal3"/>
        <w:shd w:val="clear" w:color="auto" w:fill="DEEAF6" w:themeFill="accent5" w:themeFillTint="33"/>
        <w:rPr>
          <w:rFonts w:eastAsiaTheme="minorEastAsia"/>
        </w:rPr>
      </w:pPr>
      <w:r>
        <w:t>RMIA</w:t>
      </w:r>
      <w:r w:rsidR="001928D5">
        <w:t>–</w:t>
      </w:r>
      <w:r>
        <w:t>WAI</w:t>
      </w:r>
      <w:r w:rsidR="001928D5">
        <w:t>–I</w:t>
      </w:r>
      <w:r>
        <w:t xml:space="preserve">1 – The loss and degradation of water resources through drainage, abstraction, </w:t>
      </w:r>
      <w:proofErr w:type="gramStart"/>
      <w:r>
        <w:t>pollution</w:t>
      </w:r>
      <w:proofErr w:type="gramEnd"/>
      <w:r>
        <w:t xml:space="preserve"> and damming has resulted in material and cultural deprivation for Kāi </w:t>
      </w:r>
      <w:proofErr w:type="spellStart"/>
      <w:r>
        <w:t>Tahu</w:t>
      </w:r>
      <w:proofErr w:type="spellEnd"/>
      <w:r>
        <w:t xml:space="preserve"> ki Otago.</w:t>
      </w:r>
    </w:p>
    <w:p w14:paraId="0C906935" w14:textId="016FA97B" w:rsidR="0028484D" w:rsidRPr="00610733" w:rsidRDefault="00007628" w:rsidP="00CF0142">
      <w:pPr>
        <w:pStyle w:val="Normal3"/>
        <w:rPr>
          <w:rFonts w:eastAsiaTheme="minorEastAsia"/>
        </w:rPr>
      </w:pPr>
      <w:r>
        <w:t>RMIA</w:t>
      </w:r>
      <w:r w:rsidR="001928D5">
        <w:t>–WAI–I</w:t>
      </w:r>
      <w:r>
        <w:t>2 – Current water management does not adequately addres</w:t>
      </w:r>
      <w:r w:rsidR="0028484D">
        <w:t>s cultural values and interests.</w:t>
      </w:r>
    </w:p>
    <w:p w14:paraId="393FCE09" w14:textId="2FFD9EB9" w:rsidR="0028484D" w:rsidRPr="00610733" w:rsidRDefault="0028484D" w:rsidP="00533C28">
      <w:pPr>
        <w:pStyle w:val="Normal3"/>
        <w:shd w:val="clear" w:color="auto" w:fill="DEEAF6" w:themeFill="accent5" w:themeFillTint="33"/>
        <w:rPr>
          <w:rFonts w:eastAsiaTheme="minorEastAsia"/>
        </w:rPr>
      </w:pPr>
      <w:r>
        <w:t>RMIA</w:t>
      </w:r>
      <w:r w:rsidR="001928D5">
        <w:t>–WAI–I</w:t>
      </w:r>
      <w:r>
        <w:t xml:space="preserve">3 – The effects of land and water use activities on freshwater habitats have resulted in adverse effects on the diversity and abundance of </w:t>
      </w:r>
      <w:proofErr w:type="spellStart"/>
      <w:r>
        <w:t>mahika</w:t>
      </w:r>
      <w:proofErr w:type="spellEnd"/>
      <w:r>
        <w:t xml:space="preserve"> kai resources and harvesting activity.</w:t>
      </w:r>
    </w:p>
    <w:p w14:paraId="3E758D8B" w14:textId="16833E71" w:rsidR="0028484D" w:rsidRPr="00610733" w:rsidRDefault="0028484D" w:rsidP="00A247C5">
      <w:pPr>
        <w:pStyle w:val="Normal3"/>
        <w:rPr>
          <w:rFonts w:eastAsiaTheme="minorEastAsia"/>
        </w:rPr>
      </w:pPr>
      <w:r>
        <w:t>RMIA</w:t>
      </w:r>
      <w:r w:rsidR="001928D5">
        <w:t>–WAI–I</w:t>
      </w:r>
      <w:r>
        <w:t xml:space="preserve">4 – Effective participation of Kāi </w:t>
      </w:r>
      <w:proofErr w:type="spellStart"/>
      <w:r>
        <w:t>Tahu</w:t>
      </w:r>
      <w:proofErr w:type="spellEnd"/>
      <w:r>
        <w:t xml:space="preserve"> in freshwater management is hampered by poor recognition of mātauraka.</w:t>
      </w:r>
    </w:p>
    <w:p w14:paraId="01A34265" w14:textId="33D2C58A" w:rsidR="0097191C" w:rsidRPr="0097191C" w:rsidRDefault="0028484D" w:rsidP="00A247C5">
      <w:pPr>
        <w:pStyle w:val="Normal3"/>
        <w:rPr>
          <w:rFonts w:eastAsiaTheme="minorEastAsia"/>
        </w:rPr>
      </w:pPr>
      <w:r>
        <w:t>RMIA</w:t>
      </w:r>
      <w:r w:rsidR="001928D5">
        <w:t>–WAI–I</w:t>
      </w:r>
      <w:r>
        <w:t xml:space="preserve">5 </w:t>
      </w:r>
      <w:r w:rsidR="0097191C">
        <w:t>–</w:t>
      </w:r>
      <w:r>
        <w:t xml:space="preserve"> </w:t>
      </w:r>
      <w:r w:rsidR="0097191C">
        <w:t>Poor integration of water management, across agencies and across a catchment, hinders effective and holistic freshwater management.</w:t>
      </w:r>
    </w:p>
    <w:p w14:paraId="11FA9E01" w14:textId="4E296883" w:rsidR="0097191C" w:rsidRDefault="0097191C" w:rsidP="0082271A">
      <w:pPr>
        <w:pStyle w:val="Heading3"/>
      </w:pPr>
      <w:r>
        <w:lastRenderedPageBreak/>
        <w:t xml:space="preserve">MKB – </w:t>
      </w:r>
      <w:proofErr w:type="spellStart"/>
      <w:r>
        <w:t>Mahika</w:t>
      </w:r>
      <w:proofErr w:type="spellEnd"/>
      <w:r>
        <w:t xml:space="preserve"> kai and biodiversity</w:t>
      </w:r>
    </w:p>
    <w:p w14:paraId="259B3723" w14:textId="71647DC5" w:rsidR="0097191C" w:rsidRDefault="0097191C" w:rsidP="00A247C5">
      <w:pPr>
        <w:pStyle w:val="Normal2"/>
      </w:pPr>
      <w:r>
        <w:t>The cold climate in southern Te Waipounamu and the consequent difficulty of growing crops made it difficult for t</w:t>
      </w:r>
      <w:r w:rsidRPr="7DE66FE7">
        <w:t>ū</w:t>
      </w:r>
      <w:r>
        <w:t xml:space="preserve">puna to establish permanent settlements and as a result Kāi </w:t>
      </w:r>
      <w:proofErr w:type="spellStart"/>
      <w:r>
        <w:t>Tahu</w:t>
      </w:r>
      <w:proofErr w:type="spellEnd"/>
      <w:r>
        <w:t xml:space="preserve"> in this area traditionally had a hunter-gatherer </w:t>
      </w:r>
      <w:proofErr w:type="gramStart"/>
      <w:r>
        <w:t>lifestyle, and</w:t>
      </w:r>
      <w:proofErr w:type="gramEnd"/>
      <w:r>
        <w:t xml:space="preserve"> went where the </w:t>
      </w:r>
      <w:proofErr w:type="spellStart"/>
      <w:r>
        <w:t>mahika</w:t>
      </w:r>
      <w:proofErr w:type="spellEnd"/>
      <w:r>
        <w:t xml:space="preserve"> kai was abundant and in season. This lifestyle was unique to southern Kāi </w:t>
      </w:r>
      <w:proofErr w:type="spellStart"/>
      <w:r>
        <w:t>Tahu</w:t>
      </w:r>
      <w:proofErr w:type="spellEnd"/>
      <w:r>
        <w:t xml:space="preserve"> and </w:t>
      </w:r>
      <w:proofErr w:type="spellStart"/>
      <w:r>
        <w:t>mahika</w:t>
      </w:r>
      <w:proofErr w:type="spellEnd"/>
      <w:r>
        <w:t xml:space="preserve"> kai retains a central place in Kāi </w:t>
      </w:r>
      <w:proofErr w:type="spellStart"/>
      <w:r>
        <w:t>Tahu</w:t>
      </w:r>
      <w:proofErr w:type="spellEnd"/>
      <w:r>
        <w:t xml:space="preserve"> cultural identity. All indigenous species and habitats are treasured by Kāi </w:t>
      </w:r>
      <w:proofErr w:type="spellStart"/>
      <w:r>
        <w:t>Tahu</w:t>
      </w:r>
      <w:proofErr w:type="spellEnd"/>
      <w:r>
        <w:t xml:space="preserve"> as </w:t>
      </w:r>
      <w:proofErr w:type="spellStart"/>
      <w:proofErr w:type="gramStart"/>
      <w:r>
        <w:t>taoka</w:t>
      </w:r>
      <w:proofErr w:type="spellEnd"/>
      <w:r>
        <w:t xml:space="preserve"> in their own right, as well as</w:t>
      </w:r>
      <w:proofErr w:type="gramEnd"/>
      <w:r>
        <w:t xml:space="preserve"> for the </w:t>
      </w:r>
      <w:proofErr w:type="spellStart"/>
      <w:r>
        <w:t>mahika</w:t>
      </w:r>
      <w:proofErr w:type="spellEnd"/>
      <w:r>
        <w:t xml:space="preserve"> kai values associated with some species.</w:t>
      </w:r>
    </w:p>
    <w:p w14:paraId="3739DCC9" w14:textId="202E5857" w:rsidR="006A5DFD" w:rsidRDefault="006A5DFD" w:rsidP="00A247C5">
      <w:pPr>
        <w:pStyle w:val="Normal2"/>
      </w:pPr>
      <w:r>
        <w:t xml:space="preserve">Specific issues for </w:t>
      </w:r>
      <w:proofErr w:type="spellStart"/>
      <w:r>
        <w:t>mahika</w:t>
      </w:r>
      <w:proofErr w:type="spellEnd"/>
      <w:r>
        <w:t xml:space="preserve"> kai and biodiversity are:</w:t>
      </w:r>
    </w:p>
    <w:p w14:paraId="2CFFC08C" w14:textId="1EBB07B6" w:rsidR="006A5DFD" w:rsidRDefault="00FB7DE8" w:rsidP="00A247C5">
      <w:pPr>
        <w:pStyle w:val="Normal3"/>
        <w:rPr>
          <w:rFonts w:eastAsiaTheme="minorEastAsia"/>
        </w:rPr>
      </w:pPr>
      <w:r>
        <w:t>RMIA</w:t>
      </w:r>
      <w:r w:rsidR="001928D5">
        <w:t>–</w:t>
      </w:r>
      <w:r>
        <w:t>MKB</w:t>
      </w:r>
      <w:r w:rsidR="001928D5">
        <w:t>–I</w:t>
      </w:r>
      <w:r>
        <w:t>1 – The diversity and abundance of terrestrial and aquatic indigenous species has been reduced due to adverse effects of resource use and development.</w:t>
      </w:r>
    </w:p>
    <w:p w14:paraId="4E96D89D" w14:textId="32051533" w:rsidR="00FB7DE8" w:rsidRDefault="0001134C" w:rsidP="00A247C5">
      <w:pPr>
        <w:pStyle w:val="Normal3"/>
        <w:rPr>
          <w:rFonts w:eastAsiaTheme="minorEastAsia"/>
        </w:rPr>
      </w:pPr>
      <w:r>
        <w:t>RMIA</w:t>
      </w:r>
      <w:r w:rsidR="001928D5">
        <w:t>–MKB–I</w:t>
      </w:r>
      <w:r>
        <w:t xml:space="preserve">2 – Regulatory and physical barriers have impeded the ability of Kāi </w:t>
      </w:r>
      <w:proofErr w:type="spellStart"/>
      <w:r>
        <w:t>Tahu</w:t>
      </w:r>
      <w:proofErr w:type="spellEnd"/>
      <w:r>
        <w:t xml:space="preserve"> to access </w:t>
      </w:r>
      <w:proofErr w:type="spellStart"/>
      <w:r>
        <w:t>mahika</w:t>
      </w:r>
      <w:proofErr w:type="spellEnd"/>
      <w:r>
        <w:t xml:space="preserve"> kai and to undertake customary harvest.</w:t>
      </w:r>
    </w:p>
    <w:p w14:paraId="52353938" w14:textId="76B87906" w:rsidR="0001134C" w:rsidRDefault="0001134C" w:rsidP="00A247C5">
      <w:pPr>
        <w:pStyle w:val="Normal3"/>
        <w:rPr>
          <w:rFonts w:eastAsiaTheme="minorEastAsia"/>
        </w:rPr>
      </w:pPr>
      <w:r>
        <w:t>RMIA</w:t>
      </w:r>
      <w:r w:rsidR="001928D5">
        <w:t>–MKB–I</w:t>
      </w:r>
      <w:r>
        <w:t>3 – Impacts of climate change on both species/habitat viability and increasing pest (flora/fauna) encroachments</w:t>
      </w:r>
    </w:p>
    <w:p w14:paraId="1B6012CF" w14:textId="5426D5DA" w:rsidR="0001134C" w:rsidRDefault="001704B9" w:rsidP="00A247C5">
      <w:pPr>
        <w:pStyle w:val="Normal3"/>
        <w:rPr>
          <w:rFonts w:eastAsiaTheme="minorEastAsia"/>
        </w:rPr>
      </w:pPr>
      <w:r>
        <w:t>RMIA</w:t>
      </w:r>
      <w:r w:rsidR="001928D5">
        <w:t>–MKB–I</w:t>
      </w:r>
      <w:r>
        <w:t>4 – Shortage of protected and secure areas for biodiversity.</w:t>
      </w:r>
    </w:p>
    <w:p w14:paraId="0EFBF277" w14:textId="7720F1D9" w:rsidR="001704B9" w:rsidRDefault="001704B9" w:rsidP="00A247C5">
      <w:pPr>
        <w:pStyle w:val="Normal3"/>
        <w:rPr>
          <w:rFonts w:eastAsiaTheme="minorEastAsia"/>
        </w:rPr>
      </w:pPr>
      <w:r>
        <w:t>RMIA</w:t>
      </w:r>
      <w:r w:rsidR="001928D5">
        <w:t>–MKB–I</w:t>
      </w:r>
      <w:r>
        <w:t>5 – Lack of information on species health and viability.</w:t>
      </w:r>
    </w:p>
    <w:p w14:paraId="1448EF93" w14:textId="6341E245" w:rsidR="00100B83" w:rsidRDefault="00100B83" w:rsidP="0082271A">
      <w:pPr>
        <w:pStyle w:val="Heading3"/>
      </w:pPr>
      <w:proofErr w:type="spellStart"/>
      <w:r>
        <w:t>Wāhi</w:t>
      </w:r>
      <w:proofErr w:type="spellEnd"/>
      <w:r>
        <w:t xml:space="preserve"> tūpuna </w:t>
      </w:r>
    </w:p>
    <w:p w14:paraId="71925E29" w14:textId="29902E52" w:rsidR="00100B83" w:rsidRDefault="00100B83" w:rsidP="00A247C5">
      <w:pPr>
        <w:pStyle w:val="Normal2"/>
      </w:pPr>
      <w:proofErr w:type="spellStart"/>
      <w:r>
        <w:t>Wāhi</w:t>
      </w:r>
      <w:proofErr w:type="spellEnd"/>
      <w:r>
        <w:t xml:space="preserve"> tūpuna (ancestral landscapes) across Otago are made up of interconnected sites and areas reflecting the history and traditions associated with the long settlement of Kāi </w:t>
      </w:r>
      <w:proofErr w:type="spellStart"/>
      <w:r>
        <w:t>Tahu</w:t>
      </w:r>
      <w:proofErr w:type="spellEnd"/>
      <w:r>
        <w:t xml:space="preserve"> in Otago. </w:t>
      </w:r>
      <w:r w:rsidR="00B92AE2">
        <w:t xml:space="preserve">Areas of significance that form part of </w:t>
      </w:r>
      <w:proofErr w:type="spellStart"/>
      <w:r w:rsidR="00B92AE2">
        <w:t>wāhi</w:t>
      </w:r>
      <w:proofErr w:type="spellEnd"/>
      <w:r w:rsidR="00B92AE2">
        <w:t xml:space="preserve"> tūpuna include, but are not limited to:</w:t>
      </w:r>
    </w:p>
    <w:p w14:paraId="1B4DC134" w14:textId="5F64883C" w:rsidR="00B92AE2" w:rsidRDefault="00B92AE2" w:rsidP="00A247C5">
      <w:pPr>
        <w:pStyle w:val="Normal3"/>
        <w:rPr>
          <w:rFonts w:eastAsiaTheme="minorEastAsia"/>
        </w:rPr>
      </w:pPr>
      <w:proofErr w:type="spellStart"/>
      <w:r>
        <w:t>Wāhi</w:t>
      </w:r>
      <w:proofErr w:type="spellEnd"/>
      <w:r>
        <w:t xml:space="preserve"> </w:t>
      </w:r>
      <w:proofErr w:type="spellStart"/>
      <w:r>
        <w:t>tapu</w:t>
      </w:r>
      <w:proofErr w:type="spellEnd"/>
    </w:p>
    <w:p w14:paraId="44223649" w14:textId="21314B08" w:rsidR="00B92AE2" w:rsidRDefault="00B92AE2" w:rsidP="00A247C5">
      <w:pPr>
        <w:pStyle w:val="Normal3"/>
        <w:rPr>
          <w:rFonts w:eastAsiaTheme="minorEastAsia"/>
        </w:rPr>
      </w:pPr>
      <w:proofErr w:type="spellStart"/>
      <w:r>
        <w:t>K</w:t>
      </w:r>
      <w:r w:rsidRPr="7DE66FE7">
        <w:t>ā</w:t>
      </w:r>
      <w:r>
        <w:t>ika</w:t>
      </w:r>
      <w:proofErr w:type="spellEnd"/>
      <w:r>
        <w:t xml:space="preserve"> </w:t>
      </w:r>
      <w:proofErr w:type="spellStart"/>
      <w:r>
        <w:t>nohoaka</w:t>
      </w:r>
      <w:proofErr w:type="spellEnd"/>
      <w:r>
        <w:t xml:space="preserve"> (settlements)</w:t>
      </w:r>
    </w:p>
    <w:p w14:paraId="7B183484" w14:textId="386AC0B4" w:rsidR="00B92AE2" w:rsidRDefault="00B92AE2" w:rsidP="00A247C5">
      <w:pPr>
        <w:pStyle w:val="Normal3"/>
        <w:rPr>
          <w:rFonts w:eastAsiaTheme="minorEastAsia"/>
        </w:rPr>
      </w:pPr>
      <w:proofErr w:type="spellStart"/>
      <w:r>
        <w:t>Wāhi</w:t>
      </w:r>
      <w:proofErr w:type="spellEnd"/>
      <w:r>
        <w:t xml:space="preserve"> </w:t>
      </w:r>
      <w:proofErr w:type="spellStart"/>
      <w:r>
        <w:t>kohātu</w:t>
      </w:r>
      <w:proofErr w:type="spellEnd"/>
      <w:r>
        <w:t xml:space="preserve"> and </w:t>
      </w:r>
      <w:proofErr w:type="spellStart"/>
      <w:r>
        <w:t>wāhi</w:t>
      </w:r>
      <w:proofErr w:type="spellEnd"/>
      <w:r>
        <w:t xml:space="preserve"> mahi </w:t>
      </w:r>
      <w:proofErr w:type="spellStart"/>
      <w:r>
        <w:t>kohātu</w:t>
      </w:r>
      <w:proofErr w:type="spellEnd"/>
      <w:r>
        <w:t xml:space="preserve"> (quarry sites)</w:t>
      </w:r>
    </w:p>
    <w:p w14:paraId="726F9DB8" w14:textId="51196671" w:rsidR="00B92AE2" w:rsidRDefault="00B92AE2" w:rsidP="00A247C5">
      <w:pPr>
        <w:pStyle w:val="Normal3"/>
        <w:rPr>
          <w:rFonts w:eastAsiaTheme="minorEastAsia"/>
        </w:rPr>
      </w:pPr>
      <w:proofErr w:type="spellStart"/>
      <w:r>
        <w:t>Wāhi</w:t>
      </w:r>
      <w:proofErr w:type="spellEnd"/>
      <w:r>
        <w:t xml:space="preserve"> </w:t>
      </w:r>
      <w:proofErr w:type="spellStart"/>
      <w:r w:rsidR="00C3571C">
        <w:t>ikoa</w:t>
      </w:r>
      <w:proofErr w:type="spellEnd"/>
      <w:r w:rsidR="00C3571C">
        <w:t xml:space="preserve"> (place names)</w:t>
      </w:r>
    </w:p>
    <w:p w14:paraId="567BDCCF" w14:textId="484F58FE" w:rsidR="00C3571C" w:rsidRDefault="00C3571C" w:rsidP="00A247C5">
      <w:pPr>
        <w:pStyle w:val="Normal3"/>
        <w:rPr>
          <w:rFonts w:eastAsiaTheme="minorEastAsia"/>
        </w:rPr>
      </w:pPr>
      <w:r>
        <w:t xml:space="preserve">Ara </w:t>
      </w:r>
      <w:proofErr w:type="spellStart"/>
      <w:r>
        <w:t>tawhito</w:t>
      </w:r>
      <w:proofErr w:type="spellEnd"/>
      <w:r>
        <w:t xml:space="preserve"> (traditional travel routes)</w:t>
      </w:r>
    </w:p>
    <w:p w14:paraId="2715D4C7" w14:textId="5F7DAB1F" w:rsidR="00C3571C" w:rsidRDefault="00C3571C" w:rsidP="00A247C5">
      <w:pPr>
        <w:pStyle w:val="Normal3"/>
        <w:rPr>
          <w:rFonts w:eastAsiaTheme="minorEastAsia"/>
        </w:rPr>
      </w:pPr>
      <w:r>
        <w:t>Mauka (mountains)</w:t>
      </w:r>
    </w:p>
    <w:p w14:paraId="731A9E66" w14:textId="7A44049B" w:rsidR="00C3571C" w:rsidRDefault="00C3571C" w:rsidP="00A247C5">
      <w:pPr>
        <w:pStyle w:val="Normal2"/>
      </w:pPr>
      <w:r>
        <w:t xml:space="preserve">Specific issues for </w:t>
      </w:r>
      <w:proofErr w:type="spellStart"/>
      <w:r>
        <w:t>wāhi</w:t>
      </w:r>
      <w:proofErr w:type="spellEnd"/>
      <w:r>
        <w:t xml:space="preserve"> tūpuna are:</w:t>
      </w:r>
    </w:p>
    <w:p w14:paraId="1E719629" w14:textId="3CE92357" w:rsidR="00C3571C" w:rsidRDefault="00C3571C" w:rsidP="00A247C5">
      <w:pPr>
        <w:pStyle w:val="Normal3"/>
        <w:rPr>
          <w:rFonts w:eastAsiaTheme="minorEastAsia"/>
        </w:rPr>
      </w:pPr>
      <w:r>
        <w:t>RMIA</w:t>
      </w:r>
      <w:r w:rsidR="00FB1F18">
        <w:t>–</w:t>
      </w:r>
      <w:r>
        <w:t>WTU</w:t>
      </w:r>
      <w:r w:rsidR="00FB1F18">
        <w:t>–I</w:t>
      </w:r>
      <w:r>
        <w:t xml:space="preserve">1 – The values of </w:t>
      </w:r>
      <w:proofErr w:type="spellStart"/>
      <w:r>
        <w:t>wāhi</w:t>
      </w:r>
      <w:proofErr w:type="spellEnd"/>
      <w:r>
        <w:t xml:space="preserve"> tūpuna are poorly recognised in resource management in Otago.</w:t>
      </w:r>
    </w:p>
    <w:p w14:paraId="438A0A45" w14:textId="5483291E" w:rsidR="00C3571C" w:rsidRDefault="00C3571C" w:rsidP="0082271A">
      <w:pPr>
        <w:pStyle w:val="Heading3"/>
      </w:pPr>
      <w:proofErr w:type="spellStart"/>
      <w:r>
        <w:t>Wāhi</w:t>
      </w:r>
      <w:proofErr w:type="spellEnd"/>
      <w:r>
        <w:t xml:space="preserve"> </w:t>
      </w:r>
      <w:proofErr w:type="spellStart"/>
      <w:r>
        <w:t>tapu</w:t>
      </w:r>
      <w:proofErr w:type="spellEnd"/>
      <w:r>
        <w:t xml:space="preserve"> </w:t>
      </w:r>
    </w:p>
    <w:p w14:paraId="46CD5351" w14:textId="00532C95" w:rsidR="00C3571C" w:rsidRDefault="00402F97" w:rsidP="00A247C5">
      <w:pPr>
        <w:pStyle w:val="Normal2"/>
      </w:pPr>
      <w:r>
        <w:t xml:space="preserve">Tribal land was not just the source of economic wellbeing. For Māori it was also the burial ground of the placenta and of the bones of ancestors, the abode of tribal atua and a storybook through place names and traditions. This is reflected in Te </w:t>
      </w:r>
      <w:proofErr w:type="spellStart"/>
      <w:r>
        <w:t>Reo</w:t>
      </w:r>
      <w:proofErr w:type="spellEnd"/>
      <w:r>
        <w:t xml:space="preserve"> Māori, as the word ‘whenua’ means both ‘placenta’ and ‘land’. Ancestral lands were therefore regarded with deep veneration. For Kāi </w:t>
      </w:r>
      <w:proofErr w:type="spellStart"/>
      <w:r>
        <w:t>Tahu</w:t>
      </w:r>
      <w:proofErr w:type="spellEnd"/>
      <w:r>
        <w:t xml:space="preserve">, </w:t>
      </w:r>
      <w:proofErr w:type="spellStart"/>
      <w:r>
        <w:t>wāhi</w:t>
      </w:r>
      <w:proofErr w:type="spellEnd"/>
      <w:r>
        <w:t xml:space="preserve"> </w:t>
      </w:r>
      <w:proofErr w:type="spellStart"/>
      <w:r>
        <w:t>tapu</w:t>
      </w:r>
      <w:proofErr w:type="spellEnd"/>
      <w:r>
        <w:t xml:space="preserve"> refers to the places that hold the respect of the people in accordance with </w:t>
      </w:r>
      <w:proofErr w:type="spellStart"/>
      <w:r>
        <w:t>tikaka</w:t>
      </w:r>
      <w:proofErr w:type="spellEnd"/>
      <w:r>
        <w:t xml:space="preserve"> or history including:</w:t>
      </w:r>
    </w:p>
    <w:p w14:paraId="757087CC" w14:textId="77777777" w:rsidR="00402F97" w:rsidRDefault="00402F97" w:rsidP="00A247C5">
      <w:pPr>
        <w:pStyle w:val="Normal3"/>
        <w:rPr>
          <w:rFonts w:eastAsiaTheme="minorEastAsia"/>
        </w:rPr>
      </w:pPr>
      <w:r>
        <w:t>Mauka (mountains)</w:t>
      </w:r>
    </w:p>
    <w:p w14:paraId="7916A387" w14:textId="6B0AF614" w:rsidR="00402F97" w:rsidRDefault="00402F97" w:rsidP="00A247C5">
      <w:pPr>
        <w:pStyle w:val="Normal3"/>
        <w:rPr>
          <w:rFonts w:eastAsiaTheme="minorEastAsia"/>
        </w:rPr>
      </w:pPr>
      <w:proofErr w:type="spellStart"/>
      <w:r>
        <w:t>Urupā</w:t>
      </w:r>
      <w:proofErr w:type="spellEnd"/>
      <w:r>
        <w:t xml:space="preserve"> (burial places)</w:t>
      </w:r>
    </w:p>
    <w:p w14:paraId="748C6D26" w14:textId="79C2DBCA" w:rsidR="00402F97" w:rsidRDefault="00402F97" w:rsidP="00A247C5">
      <w:pPr>
        <w:pStyle w:val="Normal3"/>
        <w:rPr>
          <w:rFonts w:eastAsiaTheme="minorEastAsia"/>
        </w:rPr>
      </w:pPr>
      <w:proofErr w:type="spellStart"/>
      <w:r>
        <w:t>Tuhituhi</w:t>
      </w:r>
      <w:proofErr w:type="spellEnd"/>
      <w:r>
        <w:t xml:space="preserve"> </w:t>
      </w:r>
      <w:proofErr w:type="spellStart"/>
      <w:r>
        <w:t>neherā</w:t>
      </w:r>
      <w:proofErr w:type="spellEnd"/>
      <w:r>
        <w:t xml:space="preserve"> (rock art)</w:t>
      </w:r>
    </w:p>
    <w:p w14:paraId="4A44356D" w14:textId="3D4E1847" w:rsidR="00402F97" w:rsidRDefault="00402F97" w:rsidP="00A247C5">
      <w:pPr>
        <w:pStyle w:val="Normal3"/>
        <w:rPr>
          <w:rFonts w:eastAsiaTheme="minorEastAsia"/>
        </w:rPr>
      </w:pPr>
      <w:proofErr w:type="spellStart"/>
      <w:r>
        <w:t>Umu</w:t>
      </w:r>
      <w:proofErr w:type="spellEnd"/>
      <w:r>
        <w:t xml:space="preserve"> (ovens)</w:t>
      </w:r>
    </w:p>
    <w:p w14:paraId="11E200FC" w14:textId="7814E29E" w:rsidR="00402F97" w:rsidRDefault="00402F97" w:rsidP="00A247C5">
      <w:pPr>
        <w:pStyle w:val="Normal3"/>
        <w:rPr>
          <w:rFonts w:eastAsiaTheme="minorEastAsia"/>
        </w:rPr>
      </w:pPr>
      <w:proofErr w:type="spellStart"/>
      <w:r>
        <w:lastRenderedPageBreak/>
        <w:t>Nohoaka</w:t>
      </w:r>
      <w:proofErr w:type="spellEnd"/>
      <w:r>
        <w:t xml:space="preserve"> (seasonal camp sites)</w:t>
      </w:r>
    </w:p>
    <w:p w14:paraId="5446B864" w14:textId="13D0BCE2" w:rsidR="00402F97" w:rsidRDefault="00402F97" w:rsidP="00A247C5">
      <w:pPr>
        <w:pStyle w:val="Normal2"/>
      </w:pPr>
      <w:r>
        <w:t xml:space="preserve">Specific issues for </w:t>
      </w:r>
      <w:proofErr w:type="spellStart"/>
      <w:r>
        <w:t>wāhi</w:t>
      </w:r>
      <w:proofErr w:type="spellEnd"/>
      <w:r>
        <w:t xml:space="preserve"> </w:t>
      </w:r>
      <w:proofErr w:type="spellStart"/>
      <w:r>
        <w:t>tapu</w:t>
      </w:r>
      <w:proofErr w:type="spellEnd"/>
      <w:r>
        <w:t xml:space="preserve"> are:</w:t>
      </w:r>
    </w:p>
    <w:p w14:paraId="49EAE4FF" w14:textId="47242FB5" w:rsidR="00402F97" w:rsidRDefault="00402F97" w:rsidP="00A247C5">
      <w:pPr>
        <w:pStyle w:val="Normal3"/>
        <w:rPr>
          <w:rFonts w:eastAsiaTheme="minorEastAsia"/>
        </w:rPr>
      </w:pPr>
      <w:r>
        <w:t>RMIA</w:t>
      </w:r>
      <w:r w:rsidR="001928D5">
        <w:t>–</w:t>
      </w:r>
      <w:r>
        <w:t>WTA</w:t>
      </w:r>
      <w:r w:rsidR="001928D5">
        <w:t>–I</w:t>
      </w:r>
      <w:r>
        <w:t xml:space="preserve">1 – Land use activities have resulted in disturbance and degradation of </w:t>
      </w:r>
      <w:proofErr w:type="spellStart"/>
      <w:r>
        <w:t>wāhi</w:t>
      </w:r>
      <w:proofErr w:type="spellEnd"/>
      <w:r>
        <w:t xml:space="preserve"> </w:t>
      </w:r>
      <w:proofErr w:type="spellStart"/>
      <w:r>
        <w:t>tapu</w:t>
      </w:r>
      <w:proofErr w:type="spellEnd"/>
      <w:r>
        <w:t xml:space="preserve"> sites and the cultural and spiritual values associated with these areas.</w:t>
      </w:r>
    </w:p>
    <w:p w14:paraId="379AE8E3" w14:textId="748401E7" w:rsidR="00402F97" w:rsidRDefault="00C838FA" w:rsidP="00A247C5">
      <w:pPr>
        <w:pStyle w:val="Normal3"/>
        <w:rPr>
          <w:rFonts w:eastAsiaTheme="minorEastAsia"/>
        </w:rPr>
      </w:pPr>
      <w:r>
        <w:t>RMIA</w:t>
      </w:r>
      <w:r w:rsidR="001928D5">
        <w:t>–</w:t>
      </w:r>
      <w:r>
        <w:t>WTA</w:t>
      </w:r>
      <w:r w:rsidR="001928D5">
        <w:t>–I</w:t>
      </w:r>
      <w:r>
        <w:t xml:space="preserve">2 – Access to </w:t>
      </w:r>
      <w:proofErr w:type="spellStart"/>
      <w:r>
        <w:t>wāhi</w:t>
      </w:r>
      <w:proofErr w:type="spellEnd"/>
      <w:r>
        <w:t xml:space="preserve"> </w:t>
      </w:r>
      <w:proofErr w:type="spellStart"/>
      <w:r>
        <w:t>tapu</w:t>
      </w:r>
      <w:proofErr w:type="spellEnd"/>
      <w:r>
        <w:t xml:space="preserve"> and the ability to undertake customary activities on these sites has been impeded.</w:t>
      </w:r>
    </w:p>
    <w:p w14:paraId="67B70FD3" w14:textId="2E6BD6EB" w:rsidR="00C838FA" w:rsidRDefault="00C838FA" w:rsidP="0082271A">
      <w:pPr>
        <w:pStyle w:val="Heading3"/>
      </w:pPr>
      <w:r>
        <w:t>Air and atmosphere</w:t>
      </w:r>
    </w:p>
    <w:p w14:paraId="7A20B116" w14:textId="4307910E" w:rsidR="00C838FA" w:rsidRDefault="008F0593" w:rsidP="00A247C5">
      <w:pPr>
        <w:pStyle w:val="Normal2"/>
      </w:pPr>
      <w:r>
        <w:t xml:space="preserve">Air is an integral part of the environment that must be valued, used with respect, and passed on intact to the next generation. Pollution of the air and atmosphere adversely affects the mauri of this </w:t>
      </w:r>
      <w:proofErr w:type="spellStart"/>
      <w:r>
        <w:t>taoka</w:t>
      </w:r>
      <w:proofErr w:type="spellEnd"/>
      <w:r>
        <w:t xml:space="preserve"> and other </w:t>
      </w:r>
      <w:proofErr w:type="spellStart"/>
      <w:r>
        <w:t>taoka</w:t>
      </w:r>
      <w:proofErr w:type="spellEnd"/>
      <w:r>
        <w:t xml:space="preserve"> such as plants and animals. In Kāi </w:t>
      </w:r>
      <w:proofErr w:type="spellStart"/>
      <w:r>
        <w:t>Tahu</w:t>
      </w:r>
      <w:proofErr w:type="spellEnd"/>
      <w:r>
        <w:t xml:space="preserve"> traditions, air and atmosphere emerged through the creation traditions and Te Ao Marama. The air is an integral part of the environment that must be valued, used with respect, and passed on intact to the next generation. Pollution of the atmosphere adversely affects the mauri of this </w:t>
      </w:r>
      <w:proofErr w:type="spellStart"/>
      <w:r>
        <w:t>taoka</w:t>
      </w:r>
      <w:proofErr w:type="spellEnd"/>
      <w:r>
        <w:t xml:space="preserve"> and other </w:t>
      </w:r>
      <w:proofErr w:type="spellStart"/>
      <w:r>
        <w:t>taoka</w:t>
      </w:r>
      <w:proofErr w:type="spellEnd"/>
      <w:r>
        <w:t xml:space="preserve"> such as plants and animals.</w:t>
      </w:r>
    </w:p>
    <w:p w14:paraId="1454AE77" w14:textId="42B87E93" w:rsidR="008F0593" w:rsidRDefault="008F0593" w:rsidP="00A247C5">
      <w:pPr>
        <w:pStyle w:val="Normal2"/>
      </w:pPr>
      <w:r>
        <w:t>Specific issues for air and atmosphere are:</w:t>
      </w:r>
    </w:p>
    <w:p w14:paraId="3ADCB8B3" w14:textId="7ACE92D8" w:rsidR="008F0593" w:rsidRDefault="008F0593" w:rsidP="00A247C5">
      <w:pPr>
        <w:pStyle w:val="Normal3"/>
        <w:rPr>
          <w:rFonts w:eastAsiaTheme="minorEastAsia"/>
        </w:rPr>
      </w:pPr>
      <w:r>
        <w:t>RMIA</w:t>
      </w:r>
      <w:r w:rsidR="001928D5">
        <w:t>–</w:t>
      </w:r>
      <w:r>
        <w:t>AA</w:t>
      </w:r>
      <w:r w:rsidR="001928D5">
        <w:t>–I</w:t>
      </w:r>
      <w:r>
        <w:t>1 – The cultural impacts of discharges to air are poorly recognised in resource management.</w:t>
      </w:r>
    </w:p>
    <w:p w14:paraId="05B9941B" w14:textId="1876FEBF" w:rsidR="008F0593" w:rsidRDefault="008F0593" w:rsidP="0082271A">
      <w:pPr>
        <w:pStyle w:val="Heading3"/>
      </w:pPr>
      <w:r>
        <w:t>Coastal environment (</w:t>
      </w:r>
      <w:proofErr w:type="spellStart"/>
      <w:r>
        <w:t>Taku</w:t>
      </w:r>
      <w:proofErr w:type="spellEnd"/>
      <w:r>
        <w:t xml:space="preserve"> tai moana me te wai Māori)</w:t>
      </w:r>
    </w:p>
    <w:p w14:paraId="2817AF6B" w14:textId="42CC5D87" w:rsidR="008F0593" w:rsidRDefault="008F0593" w:rsidP="00A247C5">
      <w:pPr>
        <w:pStyle w:val="Normal2"/>
      </w:pPr>
      <w:r>
        <w:t xml:space="preserve">The coastal environment is particularly significant for Kāi </w:t>
      </w:r>
      <w:proofErr w:type="spellStart"/>
      <w:r>
        <w:t>Tahu</w:t>
      </w:r>
      <w:proofErr w:type="spellEnd"/>
      <w:r>
        <w:t xml:space="preserve"> in the southern South Island. The spiritual and cultural significance of </w:t>
      </w:r>
      <w:proofErr w:type="spellStart"/>
      <w:r>
        <w:t>taku</w:t>
      </w:r>
      <w:proofErr w:type="spellEnd"/>
      <w:r>
        <w:t xml:space="preserve"> tai moana me te wai </w:t>
      </w:r>
      <w:proofErr w:type="spellStart"/>
      <w:r>
        <w:t>māori</w:t>
      </w:r>
      <w:proofErr w:type="spellEnd"/>
      <w:r>
        <w:t xml:space="preserve"> (saltwater and freshwater) and the interconnection between land and sea environments are not always well recognised in management of the coastal environment.</w:t>
      </w:r>
    </w:p>
    <w:p w14:paraId="352CE9F2" w14:textId="11F853FC" w:rsidR="008F0593" w:rsidRDefault="008F0593" w:rsidP="00A247C5">
      <w:pPr>
        <w:pStyle w:val="Normal2"/>
      </w:pPr>
      <w:r>
        <w:t>Specific issues for the coastal environment are:</w:t>
      </w:r>
    </w:p>
    <w:p w14:paraId="7EBA9541" w14:textId="421F20CE" w:rsidR="008F0593" w:rsidRDefault="004039CC" w:rsidP="00A247C5">
      <w:pPr>
        <w:pStyle w:val="Normal3"/>
        <w:rPr>
          <w:rFonts w:eastAsiaTheme="minorEastAsia"/>
        </w:rPr>
      </w:pPr>
      <w:r>
        <w:t>RMIA</w:t>
      </w:r>
      <w:r w:rsidR="001928D5">
        <w:t>–</w:t>
      </w:r>
      <w:r>
        <w:t>CE</w:t>
      </w:r>
      <w:r w:rsidR="001928D5">
        <w:t>–I</w:t>
      </w:r>
      <w:r>
        <w:t xml:space="preserve">1 – </w:t>
      </w:r>
      <w:proofErr w:type="spellStart"/>
      <w:r>
        <w:t>Mahika</w:t>
      </w:r>
      <w:proofErr w:type="spellEnd"/>
      <w:r>
        <w:t xml:space="preserve"> kai and coastal systems are adversely affected by lack of integrated management across the land-water interface.</w:t>
      </w:r>
    </w:p>
    <w:p w14:paraId="203AC532" w14:textId="38D738F6" w:rsidR="004039CC" w:rsidRPr="007A3BA2" w:rsidRDefault="004039CC" w:rsidP="00A247C5">
      <w:pPr>
        <w:pStyle w:val="Normal3"/>
        <w:rPr>
          <w:rFonts w:eastAsiaTheme="minorEastAsia"/>
        </w:rPr>
      </w:pPr>
      <w:r>
        <w:t>RMIA</w:t>
      </w:r>
      <w:r w:rsidR="001928D5">
        <w:t>–CE–I</w:t>
      </w:r>
      <w:r>
        <w:t xml:space="preserve">2 – Discharges into coastal waters and marine dumping of waste degrade </w:t>
      </w:r>
      <w:proofErr w:type="spellStart"/>
      <w:r>
        <w:t>mahika</w:t>
      </w:r>
      <w:proofErr w:type="spellEnd"/>
      <w:r>
        <w:t xml:space="preserve"> kai and the mauri of the waters.</w:t>
      </w:r>
    </w:p>
    <w:p w14:paraId="47E28472" w14:textId="518DD9C1" w:rsidR="004039CC" w:rsidRPr="007A3BA2" w:rsidRDefault="004039CC" w:rsidP="00A247C5">
      <w:pPr>
        <w:pStyle w:val="Normal3"/>
        <w:rPr>
          <w:rFonts w:eastAsiaTheme="minorEastAsia"/>
        </w:rPr>
      </w:pPr>
      <w:r>
        <w:t>RMIA</w:t>
      </w:r>
      <w:r w:rsidR="001928D5">
        <w:t>–CE–I</w:t>
      </w:r>
      <w:r>
        <w:t xml:space="preserve">3 – The ability for Kāi </w:t>
      </w:r>
      <w:proofErr w:type="spellStart"/>
      <w:r>
        <w:t>Tahu</w:t>
      </w:r>
      <w:proofErr w:type="spellEnd"/>
      <w:r>
        <w:t xml:space="preserve"> ki Otago to access and harvest </w:t>
      </w:r>
      <w:proofErr w:type="spellStart"/>
      <w:r>
        <w:t>kaimoana</w:t>
      </w:r>
      <w:proofErr w:type="spellEnd"/>
      <w:r>
        <w:t xml:space="preserve"> has been impeded by the effects of activities in the coastal and marine environment.</w:t>
      </w:r>
    </w:p>
    <w:p w14:paraId="3E45D2AC" w14:textId="51E130FC" w:rsidR="004039CC" w:rsidRPr="007A3BA2" w:rsidRDefault="004039CC" w:rsidP="00A247C5">
      <w:pPr>
        <w:pStyle w:val="Normal3"/>
        <w:rPr>
          <w:rFonts w:eastAsiaTheme="minorEastAsia"/>
        </w:rPr>
      </w:pPr>
      <w:r>
        <w:t>RMIA</w:t>
      </w:r>
      <w:r w:rsidR="001928D5">
        <w:t>–CE–I</w:t>
      </w:r>
      <w:r>
        <w:t>4 – Habitat disturbance and modification has contributed to decline in populations of indigenous marine species, including marine mammals.</w:t>
      </w:r>
    </w:p>
    <w:p w14:paraId="67C9C757" w14:textId="37002ED0" w:rsidR="004039CC" w:rsidRPr="007A3BA2" w:rsidRDefault="004039CC" w:rsidP="00A247C5">
      <w:pPr>
        <w:pStyle w:val="Normal3"/>
        <w:rPr>
          <w:rFonts w:eastAsiaTheme="minorEastAsia"/>
        </w:rPr>
      </w:pPr>
      <w:r>
        <w:t>RMIA</w:t>
      </w:r>
      <w:r w:rsidR="001928D5">
        <w:t>–CE–I</w:t>
      </w:r>
      <w:r>
        <w:t xml:space="preserve">5 – </w:t>
      </w:r>
      <w:proofErr w:type="spellStart"/>
      <w:r>
        <w:t>Wāhi</w:t>
      </w:r>
      <w:proofErr w:type="spellEnd"/>
      <w:r>
        <w:t xml:space="preserve"> </w:t>
      </w:r>
      <w:proofErr w:type="spellStart"/>
      <w:r>
        <w:t>tapu</w:t>
      </w:r>
      <w:proofErr w:type="spellEnd"/>
      <w:r>
        <w:t xml:space="preserve"> and </w:t>
      </w:r>
      <w:proofErr w:type="spellStart"/>
      <w:r>
        <w:t>wāhi</w:t>
      </w:r>
      <w:proofErr w:type="spellEnd"/>
      <w:r>
        <w:t xml:space="preserve"> tūpuna values in the coastal environment are poorly recognised and protected.</w:t>
      </w:r>
    </w:p>
    <w:p w14:paraId="3F83188B" w14:textId="2E4E8059" w:rsidR="004039CC" w:rsidRDefault="004039CC" w:rsidP="0082271A">
      <w:pPr>
        <w:pStyle w:val="Heading3"/>
      </w:pPr>
      <w:r>
        <w:t>Pounamu</w:t>
      </w:r>
    </w:p>
    <w:p w14:paraId="149EA935" w14:textId="4FE95317" w:rsidR="004039CC" w:rsidRDefault="00E50591" w:rsidP="00A247C5">
      <w:pPr>
        <w:pStyle w:val="Normal2"/>
      </w:pPr>
      <w:r>
        <w:t xml:space="preserve">Kāi </w:t>
      </w:r>
      <w:proofErr w:type="spellStart"/>
      <w:r>
        <w:t>Tahu</w:t>
      </w:r>
      <w:proofErr w:type="spellEnd"/>
      <w:r>
        <w:t xml:space="preserve"> customs are intricately linked to this special </w:t>
      </w:r>
      <w:proofErr w:type="spellStart"/>
      <w:r>
        <w:t>taoka</w:t>
      </w:r>
      <w:proofErr w:type="spellEnd"/>
      <w:r>
        <w:t xml:space="preserve">. There is currently no Regional Pounamu Plan for Otago. Management of this </w:t>
      </w:r>
      <w:proofErr w:type="spellStart"/>
      <w:r>
        <w:t>taoka</w:t>
      </w:r>
      <w:proofErr w:type="spellEnd"/>
      <w:r>
        <w:t xml:space="preserve"> is currently dependent on the provisions of the Ngāi </w:t>
      </w:r>
      <w:proofErr w:type="spellStart"/>
      <w:r>
        <w:t>Tahu</w:t>
      </w:r>
      <w:proofErr w:type="spellEnd"/>
      <w:r>
        <w:t xml:space="preserve"> (Pounamu Vesting) Act 1997 and a </w:t>
      </w:r>
      <w:proofErr w:type="spellStart"/>
      <w:r>
        <w:t>rāhui</w:t>
      </w:r>
      <w:proofErr w:type="spellEnd"/>
      <w:r>
        <w:t xml:space="preserve"> pounamu is in place in the Otago region.</w:t>
      </w:r>
    </w:p>
    <w:p w14:paraId="45257F68" w14:textId="3246BA14" w:rsidR="00E50591" w:rsidRDefault="00E50591" w:rsidP="00A247C5">
      <w:pPr>
        <w:pStyle w:val="Normal2"/>
      </w:pPr>
      <w:r>
        <w:t>Specific issues for pounamu are:</w:t>
      </w:r>
    </w:p>
    <w:p w14:paraId="5E5D6C4D" w14:textId="4E413264" w:rsidR="00E50591" w:rsidRPr="004039CC" w:rsidRDefault="00E50591" w:rsidP="00A247C5">
      <w:pPr>
        <w:pStyle w:val="Normal3"/>
        <w:rPr>
          <w:rFonts w:eastAsiaTheme="minorEastAsia"/>
        </w:rPr>
      </w:pPr>
      <w:r>
        <w:lastRenderedPageBreak/>
        <w:t>RMIA</w:t>
      </w:r>
      <w:r w:rsidR="001928D5">
        <w:t>–</w:t>
      </w:r>
      <w:r>
        <w:t>PO</w:t>
      </w:r>
      <w:r w:rsidR="001928D5">
        <w:t>–I</w:t>
      </w:r>
      <w:r>
        <w:t>1 – Pounamu resources need protection from the effects of land use activities.</w:t>
      </w:r>
    </w:p>
    <w:p w14:paraId="61B4A980" w14:textId="61BB416C" w:rsidR="00AE1E21" w:rsidRDefault="00AE1E21" w:rsidP="00A247C5">
      <w:pPr>
        <w:pStyle w:val="Normal3"/>
        <w:rPr>
          <w:rFonts w:asciiTheme="majorHAnsi" w:eastAsiaTheme="majorEastAsia" w:hAnsiTheme="majorHAnsi" w:cstheme="majorBidi"/>
          <w:color w:val="2F5496" w:themeColor="accent1" w:themeShade="BF"/>
          <w:sz w:val="26"/>
          <w:szCs w:val="26"/>
        </w:rPr>
      </w:pPr>
      <w:r>
        <w:br w:type="page"/>
      </w:r>
    </w:p>
    <w:p w14:paraId="193A1E98" w14:textId="6EAD3158" w:rsidR="00AC0A6D" w:rsidRDefault="00BE6EA7" w:rsidP="00533C28">
      <w:pPr>
        <w:pStyle w:val="Heading1"/>
        <w:shd w:val="clear" w:color="auto" w:fill="DEEAF6" w:themeFill="accent5" w:themeFillTint="33"/>
      </w:pPr>
      <w:bookmarkStart w:id="31" w:name="_Toc72507628"/>
      <w:r>
        <w:lastRenderedPageBreak/>
        <w:t>Evaluation of o</w:t>
      </w:r>
      <w:r w:rsidR="00AC0A6D">
        <w:t>bjectives</w:t>
      </w:r>
      <w:bookmarkEnd w:id="31"/>
    </w:p>
    <w:p w14:paraId="1F2E7F42" w14:textId="757ABDF0" w:rsidR="00CA55F7" w:rsidRDefault="00083FEC" w:rsidP="00533C28">
      <w:pPr>
        <w:pStyle w:val="Normal2"/>
        <w:shd w:val="clear" w:color="auto" w:fill="DEEAF6" w:themeFill="accent5" w:themeFillTint="33"/>
      </w:pPr>
      <w:r>
        <w:t>An objective is a statement of what is to be achieved through the resolution of a particular issue. Objectives clearly state what is aimed for in overcoming the issue or promoting a positive outcome, or what the community has expressed as being desirable in resolving an issue</w:t>
      </w:r>
      <w:r w:rsidR="0001784B">
        <w:t xml:space="preserve"> </w:t>
      </w:r>
      <w:sdt>
        <w:sdtPr>
          <w:id w:val="2083942975"/>
          <w:placeholder>
            <w:docPart w:val="DefaultPlaceholder_1081868574"/>
          </w:placeholder>
          <w:citation/>
        </w:sdtPr>
        <w:sdtContent>
          <w:r w:rsidR="00245170">
            <w:fldChar w:fldCharType="begin"/>
          </w:r>
          <w:r w:rsidR="00245170">
            <w:instrText xml:space="preserve"> CITATION Qua13 \l 5129 </w:instrText>
          </w:r>
          <w:r w:rsidR="00245170">
            <w:fldChar w:fldCharType="separate"/>
          </w:r>
          <w:r w:rsidR="00246D02">
            <w:rPr>
              <w:noProof/>
            </w:rPr>
            <w:t>(Quality Planning, 2013)</w:t>
          </w:r>
          <w:r w:rsidR="00245170">
            <w:fldChar w:fldCharType="end"/>
          </w:r>
        </w:sdtContent>
      </w:sdt>
      <w:r>
        <w:t>.</w:t>
      </w:r>
    </w:p>
    <w:p w14:paraId="7F910EFD" w14:textId="5CBCB8A9" w:rsidR="002109EE" w:rsidRDefault="00071448" w:rsidP="00533C28">
      <w:pPr>
        <w:pStyle w:val="Heading2"/>
        <w:shd w:val="clear" w:color="auto" w:fill="DEEAF6" w:themeFill="accent5" w:themeFillTint="33"/>
      </w:pPr>
      <w:bookmarkStart w:id="32" w:name="_Toc72507629"/>
      <w:r>
        <w:t>Methodology</w:t>
      </w:r>
      <w:bookmarkEnd w:id="32"/>
    </w:p>
    <w:p w14:paraId="0CE298B0" w14:textId="6C904E4A" w:rsidR="002109EE" w:rsidRDefault="002109EE" w:rsidP="00533C28">
      <w:pPr>
        <w:pStyle w:val="Normal2"/>
        <w:shd w:val="clear" w:color="auto" w:fill="DEEAF6" w:themeFill="accent5" w:themeFillTint="33"/>
      </w:pPr>
      <w:r>
        <w:t xml:space="preserve">Section </w:t>
      </w:r>
      <w:r w:rsidR="00005D88">
        <w:t>32(1)(a) r</w:t>
      </w:r>
      <w:r w:rsidR="0093747A">
        <w:t xml:space="preserve">equires an examination of the extent to which the objectives of the proposal being evaluated are the most appropriate </w:t>
      </w:r>
      <w:r w:rsidR="004D6AB8">
        <w:t>way to achieve the purpose of the RMA. Section 32(</w:t>
      </w:r>
      <w:r w:rsidR="00732F90">
        <w:t xml:space="preserve">6) clarifies that </w:t>
      </w:r>
      <w:r w:rsidR="0077521E">
        <w:t xml:space="preserve">for a proposal that contains objectives, those are the objectives which must be evaluated. </w:t>
      </w:r>
      <w:r w:rsidR="0018245D">
        <w:t>The purpose of the RMA is:</w:t>
      </w:r>
    </w:p>
    <w:p w14:paraId="1C42E6ED" w14:textId="0781B3A0" w:rsidR="00217F0B" w:rsidRPr="00217F0B" w:rsidRDefault="00217F0B" w:rsidP="00533C28">
      <w:pPr>
        <w:shd w:val="clear" w:color="auto" w:fill="DEEAF6" w:themeFill="accent5" w:themeFillTint="33"/>
        <w:spacing w:after="0" w:line="240" w:lineRule="auto"/>
        <w:ind w:left="1276" w:hanging="567"/>
        <w:rPr>
          <w:rFonts w:cs="Arial"/>
          <w:i/>
          <w:sz w:val="20"/>
          <w:szCs w:val="20"/>
        </w:rPr>
      </w:pPr>
      <w:r w:rsidRPr="00217F0B">
        <w:rPr>
          <w:rFonts w:cs="Arial"/>
          <w:i/>
          <w:sz w:val="20"/>
          <w:szCs w:val="20"/>
        </w:rPr>
        <w:t>(1)</w:t>
      </w:r>
      <w:r w:rsidRPr="00217F0B">
        <w:rPr>
          <w:rFonts w:cs="Arial"/>
          <w:i/>
          <w:sz w:val="20"/>
          <w:szCs w:val="20"/>
        </w:rPr>
        <w:tab/>
        <w:t>The purpose of this Act is to promote the sustainable management of natural and physical resources.</w:t>
      </w:r>
    </w:p>
    <w:p w14:paraId="4DA1C892" w14:textId="55C33BE9" w:rsidR="00217F0B" w:rsidRPr="00217F0B" w:rsidRDefault="00217F0B" w:rsidP="00533C28">
      <w:pPr>
        <w:shd w:val="clear" w:color="auto" w:fill="DEEAF6" w:themeFill="accent5" w:themeFillTint="33"/>
        <w:spacing w:after="0" w:line="240" w:lineRule="auto"/>
        <w:ind w:left="1276" w:hanging="567"/>
        <w:rPr>
          <w:rFonts w:cs="Arial"/>
          <w:i/>
          <w:sz w:val="20"/>
          <w:szCs w:val="20"/>
        </w:rPr>
      </w:pPr>
      <w:r w:rsidRPr="00217F0B">
        <w:rPr>
          <w:rFonts w:cs="Arial"/>
          <w:i/>
          <w:sz w:val="20"/>
          <w:szCs w:val="20"/>
        </w:rPr>
        <w:t>(2)</w:t>
      </w:r>
      <w:r w:rsidRPr="00217F0B">
        <w:rPr>
          <w:rFonts w:cs="Arial"/>
          <w:i/>
          <w:sz w:val="20"/>
          <w:szCs w:val="20"/>
        </w:rPr>
        <w:tab/>
        <w:t xml:space="preserve">In this RMA, </w:t>
      </w:r>
      <w:r w:rsidRPr="00217F0B">
        <w:rPr>
          <w:rFonts w:cs="Arial"/>
          <w:b/>
          <w:bCs/>
          <w:i/>
          <w:sz w:val="20"/>
          <w:szCs w:val="20"/>
        </w:rPr>
        <w:t xml:space="preserve">sustainable management </w:t>
      </w:r>
      <w:r w:rsidRPr="00217F0B">
        <w:rPr>
          <w:rFonts w:cs="Arial"/>
          <w:i/>
          <w:sz w:val="20"/>
          <w:szCs w:val="20"/>
        </w:rPr>
        <w:t xml:space="preserve">means managing the use, development, and protection of natural and physical resources in a way, or at a rate, which enables people and communities to provide for their social, economic, and cultural wellbeing and for their health and safety while </w:t>
      </w:r>
      <w:r w:rsidRPr="00217F0B">
        <w:rPr>
          <w:rFonts w:cs="Arial"/>
          <w:sz w:val="20"/>
          <w:szCs w:val="20"/>
          <w:lang w:eastAsia="en-NZ"/>
        </w:rPr>
        <w:t>–</w:t>
      </w:r>
    </w:p>
    <w:p w14:paraId="529864E6" w14:textId="7ADE3400" w:rsidR="00217F0B" w:rsidRPr="00217F0B" w:rsidRDefault="00217F0B" w:rsidP="00533C28">
      <w:pPr>
        <w:shd w:val="clear" w:color="auto" w:fill="DEEAF6" w:themeFill="accent5" w:themeFillTint="33"/>
        <w:spacing w:after="0" w:line="240" w:lineRule="auto"/>
        <w:ind w:left="1843" w:hanging="567"/>
        <w:rPr>
          <w:rFonts w:cs="Arial"/>
          <w:i/>
          <w:sz w:val="20"/>
          <w:szCs w:val="20"/>
        </w:rPr>
      </w:pPr>
      <w:r w:rsidRPr="00217F0B">
        <w:rPr>
          <w:rFonts w:cs="Arial"/>
          <w:i/>
          <w:sz w:val="20"/>
          <w:szCs w:val="20"/>
        </w:rPr>
        <w:t>(a)</w:t>
      </w:r>
      <w:r w:rsidRPr="00217F0B">
        <w:rPr>
          <w:rFonts w:cs="Arial"/>
          <w:i/>
          <w:sz w:val="20"/>
          <w:szCs w:val="20"/>
        </w:rPr>
        <w:tab/>
        <w:t>Sustaining the potential of natural and physical resources (excluding minerals) to meet the reasonably foreseeable needs of future generations; and</w:t>
      </w:r>
    </w:p>
    <w:p w14:paraId="3B63BFEB" w14:textId="73306615" w:rsidR="00217F0B" w:rsidRPr="00217F0B" w:rsidRDefault="00217F0B" w:rsidP="00533C28">
      <w:pPr>
        <w:shd w:val="clear" w:color="auto" w:fill="DEEAF6" w:themeFill="accent5" w:themeFillTint="33"/>
        <w:spacing w:after="0" w:line="240" w:lineRule="auto"/>
        <w:ind w:left="1843" w:hanging="567"/>
        <w:rPr>
          <w:rFonts w:cs="Arial"/>
          <w:i/>
          <w:sz w:val="20"/>
          <w:szCs w:val="20"/>
        </w:rPr>
      </w:pPr>
      <w:r w:rsidRPr="00217F0B">
        <w:rPr>
          <w:rFonts w:cs="Arial"/>
          <w:i/>
          <w:sz w:val="20"/>
          <w:szCs w:val="20"/>
        </w:rPr>
        <w:t>(b)</w:t>
      </w:r>
      <w:r w:rsidRPr="00217F0B">
        <w:rPr>
          <w:rFonts w:cs="Arial"/>
          <w:i/>
          <w:sz w:val="20"/>
          <w:szCs w:val="20"/>
        </w:rPr>
        <w:tab/>
        <w:t>Safeguarding the life-supporting capacity of air, water, soil, and ecosystems; and</w:t>
      </w:r>
    </w:p>
    <w:p w14:paraId="7CC67794" w14:textId="50126472" w:rsidR="00217F0B" w:rsidRPr="00217F0B" w:rsidRDefault="00217F0B" w:rsidP="00533C28">
      <w:pPr>
        <w:shd w:val="clear" w:color="auto" w:fill="DEEAF6" w:themeFill="accent5" w:themeFillTint="33"/>
        <w:spacing w:after="120" w:line="240" w:lineRule="auto"/>
        <w:ind w:left="1843" w:hanging="567"/>
        <w:rPr>
          <w:rFonts w:cs="Arial"/>
          <w:i/>
          <w:sz w:val="20"/>
          <w:szCs w:val="20"/>
        </w:rPr>
      </w:pPr>
      <w:r w:rsidRPr="00217F0B">
        <w:rPr>
          <w:rFonts w:cs="Arial"/>
          <w:i/>
          <w:sz w:val="20"/>
          <w:szCs w:val="20"/>
        </w:rPr>
        <w:t>(c)</w:t>
      </w:r>
      <w:r w:rsidRPr="00217F0B">
        <w:rPr>
          <w:rFonts w:cs="Arial"/>
          <w:i/>
          <w:sz w:val="20"/>
          <w:szCs w:val="20"/>
        </w:rPr>
        <w:tab/>
        <w:t>Avoiding, remedying, or mitigating any adverse effects of activities on the environment.</w:t>
      </w:r>
    </w:p>
    <w:p w14:paraId="28BC2075" w14:textId="41BAA1ED" w:rsidR="00352615" w:rsidRDefault="00C944FB" w:rsidP="00533C28">
      <w:pPr>
        <w:pStyle w:val="Normal2"/>
        <w:shd w:val="clear" w:color="auto" w:fill="DEEAF6" w:themeFill="accent5" w:themeFillTint="33"/>
      </w:pPr>
      <w:r>
        <w:t>Section</w:t>
      </w:r>
      <w:r w:rsidR="00352615">
        <w:t xml:space="preserve"> 32 does not require different options for </w:t>
      </w:r>
      <w:r>
        <w:t>objectives</w:t>
      </w:r>
      <w:r w:rsidR="00352615">
        <w:t xml:space="preserve"> to be identified however it is considered that</w:t>
      </w:r>
      <w:r>
        <w:t>,</w:t>
      </w:r>
      <w:r w:rsidR="00352615">
        <w:t xml:space="preserve"> at </w:t>
      </w:r>
      <w:r w:rsidR="001D554C">
        <w:t xml:space="preserve">a </w:t>
      </w:r>
      <w:r w:rsidR="00352615">
        <w:t>minimum</w:t>
      </w:r>
      <w:r>
        <w:t xml:space="preserve">, proposed objectives should be assessed against </w:t>
      </w:r>
      <w:r w:rsidR="00BF7CE1">
        <w:t>the status quo (in this case the PORPS 2019).</w:t>
      </w:r>
      <w:r w:rsidR="001D5E1E">
        <w:t xml:space="preserve"> </w:t>
      </w:r>
      <w:r w:rsidR="005654E7">
        <w:t xml:space="preserve">The Ministry for the Environment’s </w:t>
      </w:r>
      <w:r w:rsidR="00EF7DC0">
        <w:t xml:space="preserve">guidance on section 32 </w:t>
      </w:r>
      <w:r w:rsidR="006C344C">
        <w:t xml:space="preserve">outlines three criteria for </w:t>
      </w:r>
      <w:r w:rsidR="00AB1118">
        <w:t>evaluating objectives</w:t>
      </w:r>
      <w:sdt>
        <w:sdtPr>
          <w:id w:val="775764483"/>
          <w:placeholder>
            <w:docPart w:val="DefaultPlaceholder_1081868574"/>
          </w:placeholder>
          <w:citation/>
        </w:sdtPr>
        <w:sdtContent>
          <w:r w:rsidR="0001784B">
            <w:fldChar w:fldCharType="begin"/>
          </w:r>
          <w:r w:rsidR="0001784B">
            <w:instrText xml:space="preserve"> CITATION Min17 \l 5129 </w:instrText>
          </w:r>
          <w:r w:rsidR="0001784B">
            <w:fldChar w:fldCharType="separate"/>
          </w:r>
          <w:r w:rsidR="00246D02">
            <w:rPr>
              <w:noProof/>
            </w:rPr>
            <w:t xml:space="preserve"> (Ministry for the Environment, 2017)</w:t>
          </w:r>
          <w:r w:rsidR="0001784B">
            <w:fldChar w:fldCharType="end"/>
          </w:r>
        </w:sdtContent>
      </w:sdt>
      <w:r w:rsidR="00AB1118">
        <w:t>:</w:t>
      </w:r>
    </w:p>
    <w:p w14:paraId="22A1F1BB" w14:textId="6FA96D9B" w:rsidR="00AB1118" w:rsidRDefault="00AB1118" w:rsidP="00533C28">
      <w:pPr>
        <w:pStyle w:val="Normal3"/>
        <w:shd w:val="clear" w:color="auto" w:fill="DEEAF6" w:themeFill="accent5" w:themeFillTint="33"/>
      </w:pPr>
      <w:proofErr w:type="gramStart"/>
      <w:r>
        <w:t>relevance;</w:t>
      </w:r>
      <w:proofErr w:type="gramEnd"/>
    </w:p>
    <w:p w14:paraId="5AFD956B" w14:textId="6BC141C8" w:rsidR="00AB1118" w:rsidRDefault="00AB1118" w:rsidP="00533C28">
      <w:pPr>
        <w:pStyle w:val="Normal3"/>
        <w:shd w:val="clear" w:color="auto" w:fill="DEEAF6" w:themeFill="accent5" w:themeFillTint="33"/>
      </w:pPr>
      <w:r>
        <w:t>feasibility; and</w:t>
      </w:r>
    </w:p>
    <w:p w14:paraId="48497396" w14:textId="5C173525" w:rsidR="00AB1118" w:rsidRDefault="00AB1118" w:rsidP="00533C28">
      <w:pPr>
        <w:pStyle w:val="Normal3"/>
        <w:shd w:val="clear" w:color="auto" w:fill="DEEAF6" w:themeFill="accent5" w:themeFillTint="33"/>
      </w:pPr>
      <w:r>
        <w:t>acceptability.</w:t>
      </w:r>
    </w:p>
    <w:p w14:paraId="52C28C4B" w14:textId="1AFED0E3" w:rsidR="00FE35B5" w:rsidRDefault="00AB31EC" w:rsidP="00533C28">
      <w:pPr>
        <w:pStyle w:val="Heading2"/>
        <w:shd w:val="clear" w:color="auto" w:fill="DEEAF6" w:themeFill="accent5" w:themeFillTint="33"/>
      </w:pPr>
      <w:bookmarkStart w:id="33" w:name="_Toc72507630"/>
      <w:r>
        <w:t>Status quo</w:t>
      </w:r>
      <w:bookmarkEnd w:id="33"/>
    </w:p>
    <w:p w14:paraId="45B17576" w14:textId="232AFF89" w:rsidR="00181980" w:rsidRDefault="00CF784B" w:rsidP="00533C28">
      <w:pPr>
        <w:pStyle w:val="Normal2"/>
        <w:shd w:val="clear" w:color="auto" w:fill="DEEAF6" w:themeFill="accent5" w:themeFillTint="33"/>
      </w:pPr>
      <w:r>
        <w:t>The objectives of the PORPS 2019 represent the status quo for resource management</w:t>
      </w:r>
      <w:r w:rsidR="00181980">
        <w:t xml:space="preserve">. They are listed </w:t>
      </w:r>
      <w:r w:rsidR="00DE2EB4">
        <w:t xml:space="preserve">in </w:t>
      </w:r>
      <w:r>
        <w:fldChar w:fldCharType="begin"/>
      </w:r>
      <w:r>
        <w:instrText xml:space="preserve"> REF _Ref46928441 \h </w:instrText>
      </w:r>
      <w:r w:rsidR="00CF0142">
        <w:instrText xml:space="preserve"> \* MERGEFORMAT </w:instrText>
      </w:r>
      <w:r>
        <w:fldChar w:fldCharType="separate"/>
      </w:r>
      <w:r w:rsidR="002A7A16">
        <w:t xml:space="preserve">Table </w:t>
      </w:r>
      <w:r w:rsidR="002A7A16">
        <w:rPr>
          <w:noProof/>
        </w:rPr>
        <w:t>3</w:t>
      </w:r>
      <w:r>
        <w:fldChar w:fldCharType="end"/>
      </w:r>
      <w:r w:rsidR="00DE2EB4">
        <w:t xml:space="preserve"> below for reference.</w:t>
      </w:r>
      <w:r w:rsidR="00181980">
        <w:t xml:space="preserve"> </w:t>
      </w:r>
    </w:p>
    <w:p w14:paraId="47F972C4" w14:textId="663883E0" w:rsidR="00181980" w:rsidRDefault="00181980" w:rsidP="00533C28">
      <w:pPr>
        <w:pStyle w:val="Caption"/>
        <w:keepNext/>
        <w:ind w:left="709"/>
      </w:pPr>
      <w:bookmarkStart w:id="34" w:name="_Ref46928441"/>
      <w:r>
        <w:t xml:space="preserve">Table </w:t>
      </w:r>
      <w:r>
        <w:fldChar w:fldCharType="begin"/>
      </w:r>
      <w:r>
        <w:instrText>SEQ Table \* ARABIC</w:instrText>
      </w:r>
      <w:r>
        <w:fldChar w:fldCharType="separate"/>
      </w:r>
      <w:r w:rsidR="002A7A16">
        <w:rPr>
          <w:noProof/>
        </w:rPr>
        <w:t>3</w:t>
      </w:r>
      <w:r>
        <w:fldChar w:fldCharType="end"/>
      </w:r>
      <w:bookmarkEnd w:id="34"/>
      <w:r w:rsidR="00DE2EB4">
        <w:t>: Objectives from the PORPS 2019</w:t>
      </w:r>
    </w:p>
    <w:tbl>
      <w:tblPr>
        <w:tblStyle w:val="TableGrid"/>
        <w:tblW w:w="0" w:type="auto"/>
        <w:tblInd w:w="704" w:type="dxa"/>
        <w:shd w:val="clear" w:color="auto" w:fill="DEEAF6" w:themeFill="accent5" w:themeFillTint="33"/>
        <w:tblLook w:val="04A0" w:firstRow="1" w:lastRow="0" w:firstColumn="1" w:lastColumn="0" w:noHBand="0" w:noVBand="1"/>
      </w:tblPr>
      <w:tblGrid>
        <w:gridCol w:w="567"/>
        <w:gridCol w:w="7745"/>
      </w:tblGrid>
      <w:tr w:rsidR="00181980" w:rsidRPr="00DA6F88" w14:paraId="14D871EB" w14:textId="77777777" w:rsidTr="00533C28">
        <w:tc>
          <w:tcPr>
            <w:tcW w:w="8312" w:type="dxa"/>
            <w:gridSpan w:val="2"/>
            <w:shd w:val="clear" w:color="auto" w:fill="DEEAF6" w:themeFill="accent5" w:themeFillTint="33"/>
          </w:tcPr>
          <w:p w14:paraId="4F65F0EC" w14:textId="15C1DF04" w:rsidR="00181980" w:rsidRPr="00A31999" w:rsidRDefault="0015193D" w:rsidP="00533C28">
            <w:pPr>
              <w:pStyle w:val="Table1"/>
              <w:rPr>
                <w:b/>
                <w:bCs/>
              </w:rPr>
            </w:pPr>
            <w:r w:rsidRPr="00A31999">
              <w:rPr>
                <w:b/>
                <w:bCs/>
              </w:rPr>
              <w:t xml:space="preserve">PORPS 2019 </w:t>
            </w:r>
            <w:r w:rsidR="00DA6F88" w:rsidRPr="00A31999">
              <w:rPr>
                <w:b/>
                <w:bCs/>
              </w:rPr>
              <w:t>Objectives</w:t>
            </w:r>
          </w:p>
        </w:tc>
      </w:tr>
      <w:tr w:rsidR="00181980" w:rsidRPr="00DA6F88" w14:paraId="589E5574" w14:textId="77777777" w:rsidTr="00533C28">
        <w:tc>
          <w:tcPr>
            <w:tcW w:w="567" w:type="dxa"/>
            <w:shd w:val="clear" w:color="auto" w:fill="DEEAF6" w:themeFill="accent5" w:themeFillTint="33"/>
          </w:tcPr>
          <w:p w14:paraId="4E96F23A" w14:textId="42690814" w:rsidR="00181980" w:rsidRPr="00DA6F88" w:rsidRDefault="00FF34AF" w:rsidP="00533C28">
            <w:pPr>
              <w:pStyle w:val="Table1"/>
            </w:pPr>
            <w:r w:rsidRPr="00DA6F88">
              <w:t>1.1</w:t>
            </w:r>
          </w:p>
        </w:tc>
        <w:tc>
          <w:tcPr>
            <w:tcW w:w="7745" w:type="dxa"/>
            <w:shd w:val="clear" w:color="auto" w:fill="DEEAF6" w:themeFill="accent5" w:themeFillTint="33"/>
          </w:tcPr>
          <w:p w14:paraId="0FD77B35" w14:textId="4E60E2C6" w:rsidR="00181980" w:rsidRPr="00DA6F88" w:rsidRDefault="00FF34AF" w:rsidP="00533C28">
            <w:pPr>
              <w:pStyle w:val="Table1"/>
            </w:pPr>
            <w:r w:rsidRPr="00DA6F88">
              <w:t xml:space="preserve">Otago’s resources are used sustainably to promote economic, </w:t>
            </w:r>
            <w:proofErr w:type="gramStart"/>
            <w:r w:rsidRPr="00DA6F88">
              <w:t>social</w:t>
            </w:r>
            <w:proofErr w:type="gramEnd"/>
            <w:r w:rsidRPr="00DA6F88">
              <w:t xml:space="preserve"> and cultural wellbeing for its people and communities.</w:t>
            </w:r>
          </w:p>
        </w:tc>
      </w:tr>
      <w:tr w:rsidR="00181980" w:rsidRPr="00DA6F88" w14:paraId="55AB2AEA" w14:textId="77777777" w:rsidTr="00533C28">
        <w:tc>
          <w:tcPr>
            <w:tcW w:w="567" w:type="dxa"/>
            <w:shd w:val="clear" w:color="auto" w:fill="DEEAF6" w:themeFill="accent5" w:themeFillTint="33"/>
          </w:tcPr>
          <w:p w14:paraId="4D411BA1" w14:textId="2E4F407A" w:rsidR="00181980" w:rsidRPr="00DA6F88" w:rsidRDefault="0064799A" w:rsidP="00533C28">
            <w:pPr>
              <w:pStyle w:val="Table1"/>
            </w:pPr>
            <w:r w:rsidRPr="00DA6F88">
              <w:t>1.2</w:t>
            </w:r>
          </w:p>
        </w:tc>
        <w:tc>
          <w:tcPr>
            <w:tcW w:w="7745" w:type="dxa"/>
            <w:shd w:val="clear" w:color="auto" w:fill="DEEAF6" w:themeFill="accent5" w:themeFillTint="33"/>
          </w:tcPr>
          <w:p w14:paraId="55CDDD2F" w14:textId="5EE1FC85" w:rsidR="00181980" w:rsidRPr="00DA6F88" w:rsidRDefault="0064799A" w:rsidP="00533C28">
            <w:pPr>
              <w:pStyle w:val="Table1"/>
            </w:pPr>
            <w:r w:rsidRPr="00DA6F88">
              <w:t>Recognise and provide for the integrated management of natural and physical resources to support the wellbeing of people and communities in Otago.</w:t>
            </w:r>
          </w:p>
        </w:tc>
      </w:tr>
      <w:tr w:rsidR="007F4A16" w:rsidRPr="00DA6F88" w14:paraId="14AD375C" w14:textId="77777777" w:rsidTr="00533C28">
        <w:tc>
          <w:tcPr>
            <w:tcW w:w="567" w:type="dxa"/>
            <w:shd w:val="clear" w:color="auto" w:fill="DEEAF6" w:themeFill="accent5" w:themeFillTint="33"/>
          </w:tcPr>
          <w:p w14:paraId="437273DE" w14:textId="2573B3F0" w:rsidR="007F4A16" w:rsidRPr="00DA6F88" w:rsidRDefault="007F4A16" w:rsidP="00533C28">
            <w:pPr>
              <w:pStyle w:val="Table1"/>
            </w:pPr>
            <w:r>
              <w:t>2.1</w:t>
            </w:r>
          </w:p>
        </w:tc>
        <w:tc>
          <w:tcPr>
            <w:tcW w:w="7745" w:type="dxa"/>
            <w:shd w:val="clear" w:color="auto" w:fill="DEEAF6" w:themeFill="accent5" w:themeFillTint="33"/>
          </w:tcPr>
          <w:p w14:paraId="18D3E963" w14:textId="12641462" w:rsidR="007F4A16" w:rsidRPr="00DA6F88" w:rsidRDefault="007F4A16" w:rsidP="00533C28">
            <w:pPr>
              <w:pStyle w:val="Table1"/>
            </w:pPr>
            <w:r>
              <w:t xml:space="preserve">The principles of Te </w:t>
            </w:r>
            <w:proofErr w:type="spellStart"/>
            <w:r>
              <w:t>Tiriti</w:t>
            </w:r>
            <w:proofErr w:type="spellEnd"/>
            <w:r>
              <w:t xml:space="preserve"> o Waitangi are </w:t>
            </w:r>
            <w:proofErr w:type="gramStart"/>
            <w:r>
              <w:t>taken into account</w:t>
            </w:r>
            <w:proofErr w:type="gramEnd"/>
            <w:r>
              <w:t xml:space="preserve"> in resource management processes and decisions.</w:t>
            </w:r>
          </w:p>
        </w:tc>
      </w:tr>
      <w:tr w:rsidR="00181980" w:rsidRPr="00DA6F88" w14:paraId="362C9DEB" w14:textId="77777777" w:rsidTr="00533C28">
        <w:tc>
          <w:tcPr>
            <w:tcW w:w="567" w:type="dxa"/>
            <w:shd w:val="clear" w:color="auto" w:fill="DEEAF6" w:themeFill="accent5" w:themeFillTint="33"/>
          </w:tcPr>
          <w:p w14:paraId="09AC49FB" w14:textId="59540A09" w:rsidR="00181980" w:rsidRPr="00DA6F88" w:rsidRDefault="00862615" w:rsidP="00533C28">
            <w:pPr>
              <w:pStyle w:val="Table1"/>
            </w:pPr>
            <w:r w:rsidRPr="00DA6F88">
              <w:t>2.</w:t>
            </w:r>
            <w:r w:rsidR="00AC200D">
              <w:t>2</w:t>
            </w:r>
          </w:p>
        </w:tc>
        <w:tc>
          <w:tcPr>
            <w:tcW w:w="7745" w:type="dxa"/>
            <w:shd w:val="clear" w:color="auto" w:fill="DEEAF6" w:themeFill="accent5" w:themeFillTint="33"/>
          </w:tcPr>
          <w:p w14:paraId="319EDA62" w14:textId="44DAF27F" w:rsidR="00181980" w:rsidRPr="00DA6F88" w:rsidRDefault="00862615" w:rsidP="00533C28">
            <w:pPr>
              <w:pStyle w:val="Table1"/>
            </w:pPr>
            <w:r w:rsidRPr="00DA6F88">
              <w:t xml:space="preserve">Kāi </w:t>
            </w:r>
            <w:proofErr w:type="spellStart"/>
            <w:r w:rsidRPr="00DA6F88">
              <w:t>Tahu</w:t>
            </w:r>
            <w:proofErr w:type="spellEnd"/>
            <w:r w:rsidRPr="00DA6F88">
              <w:t xml:space="preserve"> values, interests and customary resources are recognised and provided for.</w:t>
            </w:r>
          </w:p>
        </w:tc>
      </w:tr>
      <w:tr w:rsidR="00181980" w:rsidRPr="00DA6F88" w14:paraId="0E2CBCEC" w14:textId="77777777" w:rsidTr="00533C28">
        <w:tc>
          <w:tcPr>
            <w:tcW w:w="567" w:type="dxa"/>
            <w:shd w:val="clear" w:color="auto" w:fill="DEEAF6" w:themeFill="accent5" w:themeFillTint="33"/>
          </w:tcPr>
          <w:p w14:paraId="68B322AD" w14:textId="049E0BFD" w:rsidR="00181980" w:rsidRPr="00DA6F88" w:rsidRDefault="00862615" w:rsidP="00533C28">
            <w:pPr>
              <w:pStyle w:val="Table1"/>
            </w:pPr>
            <w:r w:rsidRPr="00DA6F88">
              <w:t>3.1</w:t>
            </w:r>
          </w:p>
        </w:tc>
        <w:tc>
          <w:tcPr>
            <w:tcW w:w="7745" w:type="dxa"/>
            <w:shd w:val="clear" w:color="auto" w:fill="DEEAF6" w:themeFill="accent5" w:themeFillTint="33"/>
          </w:tcPr>
          <w:p w14:paraId="3B462CAD" w14:textId="1F7EB714" w:rsidR="00181980" w:rsidRPr="00DA6F88" w:rsidRDefault="00862615" w:rsidP="00533C28">
            <w:pPr>
              <w:pStyle w:val="Table1"/>
            </w:pPr>
            <w:r w:rsidRPr="00DA6F88">
              <w:t xml:space="preserve">The functions and values of Otago’s ecosystems and natural resources are recognised, </w:t>
            </w:r>
            <w:proofErr w:type="gramStart"/>
            <w:r w:rsidRPr="00DA6F88">
              <w:t>maintained</w:t>
            </w:r>
            <w:proofErr w:type="gramEnd"/>
            <w:r w:rsidRPr="00DA6F88">
              <w:t xml:space="preserve"> or enhanced where degraded.</w:t>
            </w:r>
          </w:p>
        </w:tc>
      </w:tr>
      <w:tr w:rsidR="00181980" w:rsidRPr="00DA6F88" w14:paraId="4E42696D" w14:textId="77777777" w:rsidTr="00533C28">
        <w:tc>
          <w:tcPr>
            <w:tcW w:w="567" w:type="dxa"/>
            <w:shd w:val="clear" w:color="auto" w:fill="DEEAF6" w:themeFill="accent5" w:themeFillTint="33"/>
          </w:tcPr>
          <w:p w14:paraId="65585591" w14:textId="2127B4DC" w:rsidR="00181980" w:rsidRPr="00DA6F88" w:rsidRDefault="00862615" w:rsidP="00533C28">
            <w:pPr>
              <w:pStyle w:val="Table1"/>
            </w:pPr>
            <w:r w:rsidRPr="00DA6F88">
              <w:lastRenderedPageBreak/>
              <w:t>3.2</w:t>
            </w:r>
          </w:p>
        </w:tc>
        <w:tc>
          <w:tcPr>
            <w:tcW w:w="7745" w:type="dxa"/>
            <w:shd w:val="clear" w:color="auto" w:fill="DEEAF6" w:themeFill="accent5" w:themeFillTint="33"/>
          </w:tcPr>
          <w:p w14:paraId="08D77F7C" w14:textId="74E2A2B3" w:rsidR="00181980" w:rsidRPr="00DA6F88" w:rsidRDefault="00862615" w:rsidP="00533C28">
            <w:pPr>
              <w:pStyle w:val="Table1"/>
            </w:pPr>
            <w:r w:rsidRPr="00DA6F88">
              <w:t>Otago’s significant and highly valued natural resources are identified, and protected or enhanced where degraded.</w:t>
            </w:r>
          </w:p>
        </w:tc>
      </w:tr>
      <w:tr w:rsidR="00181980" w:rsidRPr="00DA6F88" w14:paraId="4C933F8A" w14:textId="77777777" w:rsidTr="00533C28">
        <w:tc>
          <w:tcPr>
            <w:tcW w:w="567" w:type="dxa"/>
            <w:shd w:val="clear" w:color="auto" w:fill="DEEAF6" w:themeFill="accent5" w:themeFillTint="33"/>
          </w:tcPr>
          <w:p w14:paraId="64D348F9" w14:textId="188FA201" w:rsidR="00181980" w:rsidRPr="00DA6F88" w:rsidRDefault="00862615" w:rsidP="00533C28">
            <w:pPr>
              <w:pStyle w:val="Table1"/>
            </w:pPr>
            <w:r w:rsidRPr="00DA6F88">
              <w:t>4.1</w:t>
            </w:r>
          </w:p>
        </w:tc>
        <w:tc>
          <w:tcPr>
            <w:tcW w:w="7745" w:type="dxa"/>
            <w:shd w:val="clear" w:color="auto" w:fill="DEEAF6" w:themeFill="accent5" w:themeFillTint="33"/>
          </w:tcPr>
          <w:p w14:paraId="18A35226" w14:textId="07BBAAD8" w:rsidR="00181980" w:rsidRPr="00DA6F88" w:rsidRDefault="00862615" w:rsidP="00533C28">
            <w:pPr>
              <w:pStyle w:val="Table1"/>
            </w:pPr>
            <w:r w:rsidRPr="00DA6F88">
              <w:t>Risks that natural hazards pose to Otago’s communities are minimised.</w:t>
            </w:r>
          </w:p>
        </w:tc>
      </w:tr>
      <w:tr w:rsidR="00862615" w:rsidRPr="00DA6F88" w14:paraId="1FB1F15A" w14:textId="77777777" w:rsidTr="00533C28">
        <w:tc>
          <w:tcPr>
            <w:tcW w:w="567" w:type="dxa"/>
            <w:shd w:val="clear" w:color="auto" w:fill="DEEAF6" w:themeFill="accent5" w:themeFillTint="33"/>
          </w:tcPr>
          <w:p w14:paraId="506FCC27" w14:textId="5D50B338" w:rsidR="00862615" w:rsidRPr="00DA6F88" w:rsidRDefault="00862615" w:rsidP="00533C28">
            <w:pPr>
              <w:pStyle w:val="Table1"/>
            </w:pPr>
            <w:r w:rsidRPr="00DA6F88">
              <w:t>4.2</w:t>
            </w:r>
          </w:p>
        </w:tc>
        <w:tc>
          <w:tcPr>
            <w:tcW w:w="7745" w:type="dxa"/>
            <w:shd w:val="clear" w:color="auto" w:fill="DEEAF6" w:themeFill="accent5" w:themeFillTint="33"/>
          </w:tcPr>
          <w:p w14:paraId="6BF7E24F" w14:textId="3316DD5E" w:rsidR="00862615" w:rsidRPr="00DA6F88" w:rsidRDefault="00862615" w:rsidP="00533C28">
            <w:pPr>
              <w:pStyle w:val="Table1"/>
            </w:pPr>
            <w:r w:rsidRPr="00DA6F88">
              <w:t>Otago’s communities are prepared for and able to adapt to the effects of climate change.</w:t>
            </w:r>
          </w:p>
        </w:tc>
      </w:tr>
      <w:tr w:rsidR="00862615" w:rsidRPr="00DA6F88" w14:paraId="7D4F7E5C" w14:textId="77777777" w:rsidTr="00533C28">
        <w:tc>
          <w:tcPr>
            <w:tcW w:w="567" w:type="dxa"/>
            <w:shd w:val="clear" w:color="auto" w:fill="DEEAF6" w:themeFill="accent5" w:themeFillTint="33"/>
          </w:tcPr>
          <w:p w14:paraId="62347B01" w14:textId="43F40D28" w:rsidR="00862615" w:rsidRPr="00DA6F88" w:rsidRDefault="002F1AF0" w:rsidP="00533C28">
            <w:pPr>
              <w:pStyle w:val="Table1"/>
            </w:pPr>
            <w:r w:rsidRPr="00DA6F88">
              <w:t>4.3</w:t>
            </w:r>
          </w:p>
        </w:tc>
        <w:tc>
          <w:tcPr>
            <w:tcW w:w="7745" w:type="dxa"/>
            <w:shd w:val="clear" w:color="auto" w:fill="DEEAF6" w:themeFill="accent5" w:themeFillTint="33"/>
          </w:tcPr>
          <w:p w14:paraId="125FB92C" w14:textId="782A5DBD" w:rsidR="00862615" w:rsidRPr="00DA6F88" w:rsidRDefault="002F1AF0" w:rsidP="00533C28">
            <w:pPr>
              <w:pStyle w:val="Table1"/>
            </w:pPr>
            <w:r w:rsidRPr="00DA6F88">
              <w:t>Infrastructure is managed and developed in a sustainable way.</w:t>
            </w:r>
          </w:p>
        </w:tc>
      </w:tr>
      <w:tr w:rsidR="002F1AF0" w:rsidRPr="00DA6F88" w14:paraId="419F143C" w14:textId="77777777" w:rsidTr="00533C28">
        <w:tc>
          <w:tcPr>
            <w:tcW w:w="567" w:type="dxa"/>
            <w:shd w:val="clear" w:color="auto" w:fill="DEEAF6" w:themeFill="accent5" w:themeFillTint="33"/>
          </w:tcPr>
          <w:p w14:paraId="1D2155B4" w14:textId="596D7AEB" w:rsidR="002F1AF0" w:rsidRPr="00DA6F88" w:rsidRDefault="002F1AF0" w:rsidP="00533C28">
            <w:pPr>
              <w:pStyle w:val="Table1"/>
            </w:pPr>
            <w:r w:rsidRPr="00DA6F88">
              <w:t>4.4</w:t>
            </w:r>
          </w:p>
        </w:tc>
        <w:tc>
          <w:tcPr>
            <w:tcW w:w="7745" w:type="dxa"/>
            <w:shd w:val="clear" w:color="auto" w:fill="DEEAF6" w:themeFill="accent5" w:themeFillTint="33"/>
          </w:tcPr>
          <w:p w14:paraId="22E18B05" w14:textId="5733102A" w:rsidR="002F1AF0" w:rsidRPr="00DA6F88" w:rsidRDefault="002F1AF0" w:rsidP="00533C28">
            <w:pPr>
              <w:pStyle w:val="Table1"/>
            </w:pPr>
            <w:r w:rsidRPr="00DA6F88">
              <w:t xml:space="preserve">Energy resources and supplies are secure, </w:t>
            </w:r>
            <w:proofErr w:type="gramStart"/>
            <w:r w:rsidRPr="00DA6F88">
              <w:t>reliable</w:t>
            </w:r>
            <w:proofErr w:type="gramEnd"/>
            <w:r w:rsidRPr="00DA6F88">
              <w:t xml:space="preserve"> and sustainable.</w:t>
            </w:r>
          </w:p>
        </w:tc>
      </w:tr>
      <w:tr w:rsidR="002F1AF0" w:rsidRPr="00DA6F88" w14:paraId="58B41662" w14:textId="77777777" w:rsidTr="00533C28">
        <w:tc>
          <w:tcPr>
            <w:tcW w:w="567" w:type="dxa"/>
            <w:shd w:val="clear" w:color="auto" w:fill="DEEAF6" w:themeFill="accent5" w:themeFillTint="33"/>
          </w:tcPr>
          <w:p w14:paraId="0D82D434" w14:textId="17E608BD" w:rsidR="002F1AF0" w:rsidRPr="00DA6F88" w:rsidRDefault="004A223E" w:rsidP="00533C28">
            <w:pPr>
              <w:pStyle w:val="Table1"/>
            </w:pPr>
            <w:r w:rsidRPr="00DA6F88">
              <w:t>4.5</w:t>
            </w:r>
          </w:p>
        </w:tc>
        <w:tc>
          <w:tcPr>
            <w:tcW w:w="7745" w:type="dxa"/>
            <w:shd w:val="clear" w:color="auto" w:fill="DEEAF6" w:themeFill="accent5" w:themeFillTint="33"/>
          </w:tcPr>
          <w:p w14:paraId="6F137673" w14:textId="110BC5F2" w:rsidR="002F1AF0" w:rsidRPr="00DA6F88" w:rsidRDefault="004A223E" w:rsidP="00533C28">
            <w:pPr>
              <w:pStyle w:val="Table1"/>
            </w:pPr>
            <w:r w:rsidRPr="00DA6F88">
              <w:t xml:space="preserve">Urban growth and development </w:t>
            </w:r>
            <w:proofErr w:type="gramStart"/>
            <w:r w:rsidRPr="00DA6F88">
              <w:t>is</w:t>
            </w:r>
            <w:proofErr w:type="gramEnd"/>
            <w:r w:rsidRPr="00DA6F88">
              <w:t xml:space="preserve"> well designed, occurs in a strategic and coordinated way, and integrates effectively with adjoining urban and rural environments.</w:t>
            </w:r>
          </w:p>
        </w:tc>
      </w:tr>
      <w:tr w:rsidR="004A223E" w:rsidRPr="00DA6F88" w14:paraId="39457EE3" w14:textId="77777777" w:rsidTr="00533C28">
        <w:tc>
          <w:tcPr>
            <w:tcW w:w="567" w:type="dxa"/>
            <w:shd w:val="clear" w:color="auto" w:fill="DEEAF6" w:themeFill="accent5" w:themeFillTint="33"/>
          </w:tcPr>
          <w:p w14:paraId="690487AB" w14:textId="71469AE2" w:rsidR="004A223E" w:rsidRPr="00DA6F88" w:rsidRDefault="004A223E" w:rsidP="00533C28">
            <w:pPr>
              <w:pStyle w:val="Table1"/>
            </w:pPr>
            <w:r w:rsidRPr="00DA6F88">
              <w:t>4.6</w:t>
            </w:r>
          </w:p>
        </w:tc>
        <w:tc>
          <w:tcPr>
            <w:tcW w:w="7745" w:type="dxa"/>
            <w:shd w:val="clear" w:color="auto" w:fill="DEEAF6" w:themeFill="accent5" w:themeFillTint="33"/>
          </w:tcPr>
          <w:p w14:paraId="6DD5AC72" w14:textId="519CF56E" w:rsidR="004A223E" w:rsidRPr="00DA6F88" w:rsidRDefault="004A223E" w:rsidP="00533C28">
            <w:pPr>
              <w:pStyle w:val="Table1"/>
            </w:pPr>
            <w:r w:rsidRPr="00DA6F88">
              <w:t>Hazardous substances, contaminated land and waste materials do not harm human health or the quality of the environment in Otago.</w:t>
            </w:r>
          </w:p>
        </w:tc>
      </w:tr>
      <w:tr w:rsidR="004A223E" w:rsidRPr="00DA6F88" w14:paraId="46DD81F1" w14:textId="77777777" w:rsidTr="00533C28">
        <w:tc>
          <w:tcPr>
            <w:tcW w:w="567" w:type="dxa"/>
            <w:shd w:val="clear" w:color="auto" w:fill="DEEAF6" w:themeFill="accent5" w:themeFillTint="33"/>
          </w:tcPr>
          <w:p w14:paraId="6952EB61" w14:textId="7D86DADA" w:rsidR="004A223E" w:rsidRPr="00DA6F88" w:rsidRDefault="00634D7A" w:rsidP="00533C28">
            <w:pPr>
              <w:pStyle w:val="Table1"/>
            </w:pPr>
            <w:r w:rsidRPr="00DA6F88">
              <w:t>5.1</w:t>
            </w:r>
          </w:p>
        </w:tc>
        <w:tc>
          <w:tcPr>
            <w:tcW w:w="7745" w:type="dxa"/>
            <w:shd w:val="clear" w:color="auto" w:fill="DEEAF6" w:themeFill="accent5" w:themeFillTint="33"/>
          </w:tcPr>
          <w:p w14:paraId="2D1CD9D5" w14:textId="6F23CCBE" w:rsidR="004A223E" w:rsidRPr="00DA6F88" w:rsidRDefault="00634D7A" w:rsidP="00533C28">
            <w:pPr>
              <w:pStyle w:val="Table1"/>
            </w:pPr>
            <w:r w:rsidRPr="00DA6F88">
              <w:t>Public access to areas of value to the community is maintained or enhanced.</w:t>
            </w:r>
          </w:p>
        </w:tc>
      </w:tr>
      <w:tr w:rsidR="00634D7A" w:rsidRPr="00DA6F88" w14:paraId="5CCE8787" w14:textId="77777777" w:rsidTr="00533C28">
        <w:tc>
          <w:tcPr>
            <w:tcW w:w="567" w:type="dxa"/>
            <w:shd w:val="clear" w:color="auto" w:fill="DEEAF6" w:themeFill="accent5" w:themeFillTint="33"/>
          </w:tcPr>
          <w:p w14:paraId="7C3DAF26" w14:textId="761F77C0" w:rsidR="00634D7A" w:rsidRPr="00DA6F88" w:rsidRDefault="00932765" w:rsidP="00533C28">
            <w:pPr>
              <w:pStyle w:val="Table1"/>
            </w:pPr>
            <w:r w:rsidRPr="00DA6F88">
              <w:t>5.2</w:t>
            </w:r>
          </w:p>
        </w:tc>
        <w:tc>
          <w:tcPr>
            <w:tcW w:w="7745" w:type="dxa"/>
            <w:shd w:val="clear" w:color="auto" w:fill="DEEAF6" w:themeFill="accent5" w:themeFillTint="33"/>
          </w:tcPr>
          <w:p w14:paraId="65753712" w14:textId="2A9C9F7F" w:rsidR="00634D7A" w:rsidRPr="00DA6F88" w:rsidRDefault="00932765" w:rsidP="00533C28">
            <w:pPr>
              <w:pStyle w:val="Table1"/>
            </w:pPr>
            <w:r w:rsidRPr="00DA6F88">
              <w:t>Historic heritage resources are recognised and contribute to the region’s character and sense of identity.</w:t>
            </w:r>
          </w:p>
        </w:tc>
      </w:tr>
      <w:tr w:rsidR="00932765" w:rsidRPr="00DA6F88" w14:paraId="4D3A90CF" w14:textId="77777777" w:rsidTr="00533C28">
        <w:tc>
          <w:tcPr>
            <w:tcW w:w="567" w:type="dxa"/>
            <w:shd w:val="clear" w:color="auto" w:fill="DEEAF6" w:themeFill="accent5" w:themeFillTint="33"/>
          </w:tcPr>
          <w:p w14:paraId="14B98317" w14:textId="74C26282" w:rsidR="00932765" w:rsidRPr="00DA6F88" w:rsidRDefault="00932765" w:rsidP="00533C28">
            <w:pPr>
              <w:pStyle w:val="Table1"/>
            </w:pPr>
            <w:r w:rsidRPr="00DA6F88">
              <w:t>5.3</w:t>
            </w:r>
          </w:p>
        </w:tc>
        <w:tc>
          <w:tcPr>
            <w:tcW w:w="7745" w:type="dxa"/>
            <w:shd w:val="clear" w:color="auto" w:fill="DEEAF6" w:themeFill="accent5" w:themeFillTint="33"/>
          </w:tcPr>
          <w:p w14:paraId="2BE6B856" w14:textId="77A286AE" w:rsidR="00932765" w:rsidRPr="00DA6F88" w:rsidRDefault="00932765" w:rsidP="00533C28">
            <w:pPr>
              <w:pStyle w:val="Table1"/>
            </w:pPr>
            <w:r w:rsidRPr="00DA6F88">
              <w:t>Sufficient land is managed and protected for economic production.</w:t>
            </w:r>
          </w:p>
        </w:tc>
      </w:tr>
      <w:tr w:rsidR="00932765" w:rsidRPr="00DA6F88" w14:paraId="418FD1E5" w14:textId="77777777" w:rsidTr="00533C28">
        <w:tc>
          <w:tcPr>
            <w:tcW w:w="567" w:type="dxa"/>
            <w:shd w:val="clear" w:color="auto" w:fill="DEEAF6" w:themeFill="accent5" w:themeFillTint="33"/>
          </w:tcPr>
          <w:p w14:paraId="4409BB23" w14:textId="14491207" w:rsidR="00932765" w:rsidRPr="00DA6F88" w:rsidRDefault="00932765" w:rsidP="00533C28">
            <w:pPr>
              <w:pStyle w:val="Table1"/>
            </w:pPr>
            <w:r w:rsidRPr="00DA6F88">
              <w:t>5.4</w:t>
            </w:r>
          </w:p>
        </w:tc>
        <w:tc>
          <w:tcPr>
            <w:tcW w:w="7745" w:type="dxa"/>
            <w:shd w:val="clear" w:color="auto" w:fill="DEEAF6" w:themeFill="accent5" w:themeFillTint="33"/>
          </w:tcPr>
          <w:p w14:paraId="445D1232" w14:textId="52EDD79C" w:rsidR="00932765" w:rsidRPr="00DA6F88" w:rsidRDefault="00932765" w:rsidP="00533C28">
            <w:pPr>
              <w:pStyle w:val="Table1"/>
            </w:pPr>
            <w:r w:rsidRPr="00DA6F88">
              <w:t>Adverse effects of using and enjoying Otago’s natural and physical resources are minimised.</w:t>
            </w:r>
          </w:p>
        </w:tc>
      </w:tr>
    </w:tbl>
    <w:p w14:paraId="320D2BA5" w14:textId="1CB0D0C3" w:rsidR="10AE7C61" w:rsidRDefault="10AE7C61" w:rsidP="00533C28">
      <w:pPr>
        <w:shd w:val="clear" w:color="auto" w:fill="DEEAF6" w:themeFill="accent5" w:themeFillTint="33"/>
      </w:pPr>
    </w:p>
    <w:p w14:paraId="685EC00B" w14:textId="631A333A" w:rsidR="007E30A6" w:rsidRDefault="00C96D75" w:rsidP="00533C28">
      <w:pPr>
        <w:pStyle w:val="Normal2"/>
        <w:shd w:val="clear" w:color="auto" w:fill="DEEAF6" w:themeFill="accent5" w:themeFillTint="33"/>
      </w:pPr>
      <w:r>
        <w:t>O</w:t>
      </w:r>
      <w:r w:rsidR="00DE3AB7">
        <w:t xml:space="preserve">ne of the main criticisms of the PORPS 2019 </w:t>
      </w:r>
      <w:r w:rsidR="00FC285F">
        <w:t xml:space="preserve">is that the objectives have been drafted at a </w:t>
      </w:r>
      <w:r w:rsidR="0060299D">
        <w:t xml:space="preserve">broad, </w:t>
      </w:r>
      <w:r w:rsidR="00FC285F">
        <w:t xml:space="preserve">high level and do not contain enough detail about the specific outcomes sought, either in an environmental sense or from the management framework. </w:t>
      </w:r>
      <w:r w:rsidR="00DF5AEB">
        <w:t>To address this issue, the objectives in the PORPS 2021 contain more detail and seek to specify as far as possible the outcomes sought from implementing the RPS.</w:t>
      </w:r>
      <w:r w:rsidR="00AA3C48">
        <w:t xml:space="preserve"> Collectively they aim to provide a clear vision for Otago that is not evident in the PORPS 2019.</w:t>
      </w:r>
      <w:r w:rsidR="00DF5AEB">
        <w:t xml:space="preserve"> </w:t>
      </w:r>
    </w:p>
    <w:p w14:paraId="6FA66FAC" w14:textId="6DA3D047" w:rsidR="00AB31EC" w:rsidRPr="00AB31EC" w:rsidRDefault="00AB31EC" w:rsidP="00CB405E">
      <w:pPr>
        <w:pStyle w:val="Heading2"/>
      </w:pPr>
      <w:bookmarkStart w:id="35" w:name="_Toc72507631"/>
      <w:r w:rsidRPr="00AB31EC">
        <w:t>Evaluation</w:t>
      </w:r>
      <w:bookmarkEnd w:id="35"/>
    </w:p>
    <w:p w14:paraId="11467460" w14:textId="22B5023C" w:rsidR="00144D71" w:rsidRDefault="00D14000" w:rsidP="0082271A">
      <w:pPr>
        <w:pStyle w:val="Heading3"/>
      </w:pPr>
      <w:r>
        <w:t>MW – Mana whenua</w:t>
      </w:r>
    </w:p>
    <w:p w14:paraId="7D3FB33D" w14:textId="756F755C" w:rsidR="00247E1D" w:rsidRPr="00247E1D" w:rsidRDefault="00311DE9" w:rsidP="00A247C5">
      <w:pPr>
        <w:pStyle w:val="Normal2"/>
        <w:rPr>
          <w:rStyle w:val="eop"/>
          <w:rFonts w:ascii="Calibri" w:hAnsi="Calibri" w:cs="Calibri"/>
          <w:i/>
          <w:iCs/>
          <w:color w:val="000000"/>
          <w:shd w:val="clear" w:color="auto" w:fill="FFFFFF"/>
        </w:rPr>
      </w:pPr>
      <w:r w:rsidRPr="009B3012">
        <w:rPr>
          <w:rStyle w:val="normaltextrun"/>
          <w:rFonts w:ascii="Calibri" w:hAnsi="Calibri" w:cs="Calibri"/>
          <w:color w:val="000000"/>
          <w:shd w:val="clear" w:color="auto" w:fill="FFFFFF"/>
        </w:rPr>
        <w:t>T</w:t>
      </w:r>
      <w:r w:rsidRPr="00247E1D">
        <w:rPr>
          <w:rStyle w:val="normaltextrun"/>
          <w:rFonts w:ascii="Calibri" w:hAnsi="Calibri" w:cs="Calibri"/>
          <w:color w:val="000000"/>
          <w:shd w:val="clear" w:color="auto" w:fill="FFFFFF"/>
        </w:rPr>
        <w:t>e </w:t>
      </w:r>
      <w:proofErr w:type="spellStart"/>
      <w:r w:rsidRPr="00247E1D">
        <w:rPr>
          <w:rStyle w:val="normaltextrun"/>
          <w:rFonts w:ascii="Calibri" w:hAnsi="Calibri" w:cs="Calibri"/>
          <w:color w:val="000000"/>
          <w:shd w:val="clear" w:color="auto" w:fill="FFFFFF"/>
        </w:rPr>
        <w:t>Tiriti</w:t>
      </w:r>
      <w:proofErr w:type="spellEnd"/>
      <w:r w:rsidRPr="00247E1D">
        <w:rPr>
          <w:rStyle w:val="normaltextrun"/>
          <w:rFonts w:ascii="Calibri" w:hAnsi="Calibri" w:cs="Calibri"/>
          <w:color w:val="000000"/>
          <w:shd w:val="clear" w:color="auto" w:fill="FFFFFF"/>
        </w:rPr>
        <w:t> o Waitangi establishes a partnership between Kāi </w:t>
      </w:r>
      <w:proofErr w:type="spellStart"/>
      <w:r w:rsidRPr="00247E1D">
        <w:rPr>
          <w:rStyle w:val="normaltextrun"/>
          <w:rFonts w:ascii="Calibri" w:hAnsi="Calibri" w:cs="Calibri"/>
          <w:color w:val="000000"/>
          <w:shd w:val="clear" w:color="auto" w:fill="FFFFFF"/>
        </w:rPr>
        <w:t>Tahu</w:t>
      </w:r>
      <w:proofErr w:type="spellEnd"/>
      <w:r w:rsidRPr="00247E1D">
        <w:rPr>
          <w:rStyle w:val="normaltextrun"/>
          <w:rFonts w:ascii="Calibri" w:hAnsi="Calibri" w:cs="Calibri"/>
          <w:color w:val="000000"/>
          <w:shd w:val="clear" w:color="auto" w:fill="FFFFFF"/>
        </w:rPr>
        <w:t xml:space="preserve"> and the Crown. The RMA requires that the relationship of Māori and their culture and traditions with their ancestral lands, water, sites, </w:t>
      </w:r>
      <w:proofErr w:type="spellStart"/>
      <w:r w:rsidRPr="00247E1D">
        <w:rPr>
          <w:rStyle w:val="normaltextrun"/>
          <w:rFonts w:ascii="Calibri" w:hAnsi="Calibri" w:cs="Calibri"/>
          <w:color w:val="000000"/>
          <w:shd w:val="clear" w:color="auto" w:fill="FFFFFF"/>
        </w:rPr>
        <w:t>wāhi</w:t>
      </w:r>
      <w:proofErr w:type="spellEnd"/>
      <w:r w:rsidRPr="00247E1D">
        <w:rPr>
          <w:rStyle w:val="normaltextrun"/>
          <w:rFonts w:ascii="Calibri" w:hAnsi="Calibri" w:cs="Calibri"/>
          <w:color w:val="000000"/>
          <w:shd w:val="clear" w:color="auto" w:fill="FFFFFF"/>
        </w:rPr>
        <w:t> </w:t>
      </w:r>
      <w:proofErr w:type="spellStart"/>
      <w:r w:rsidRPr="00247E1D">
        <w:rPr>
          <w:rStyle w:val="normaltextrun"/>
          <w:rFonts w:ascii="Calibri" w:hAnsi="Calibri" w:cs="Calibri"/>
          <w:color w:val="000000"/>
          <w:shd w:val="clear" w:color="auto" w:fill="FFFFFF"/>
        </w:rPr>
        <w:t>tapu</w:t>
      </w:r>
      <w:proofErr w:type="spellEnd"/>
      <w:r w:rsidRPr="00247E1D">
        <w:rPr>
          <w:rStyle w:val="normaltextrun"/>
          <w:rFonts w:ascii="Calibri" w:hAnsi="Calibri" w:cs="Calibri"/>
          <w:color w:val="000000"/>
          <w:shd w:val="clear" w:color="auto" w:fill="FFFFFF"/>
        </w:rPr>
        <w:t>, and other </w:t>
      </w:r>
      <w:proofErr w:type="spellStart"/>
      <w:r w:rsidR="00A84623">
        <w:rPr>
          <w:rStyle w:val="normaltextrun"/>
          <w:rFonts w:ascii="Calibri" w:hAnsi="Calibri" w:cs="Calibri"/>
          <w:color w:val="000000"/>
          <w:shd w:val="clear" w:color="auto" w:fill="FFFFFF"/>
        </w:rPr>
        <w:t>taoka</w:t>
      </w:r>
      <w:proofErr w:type="spellEnd"/>
      <w:r w:rsidR="00A84623">
        <w:rPr>
          <w:rStyle w:val="normaltextrun"/>
          <w:rFonts w:ascii="Calibri" w:hAnsi="Calibri" w:cs="Calibri"/>
          <w:color w:val="000000"/>
          <w:shd w:val="clear" w:color="auto" w:fill="FFFFFF"/>
        </w:rPr>
        <w:t xml:space="preserve">, </w:t>
      </w:r>
      <w:r w:rsidRPr="00247E1D">
        <w:rPr>
          <w:rStyle w:val="normaltextrun"/>
          <w:rFonts w:ascii="Calibri" w:hAnsi="Calibri" w:cs="Calibri"/>
          <w:color w:val="000000"/>
          <w:shd w:val="clear" w:color="auto" w:fill="FFFFFF"/>
        </w:rPr>
        <w:t>is recognised and provided for</w:t>
      </w:r>
      <w:r w:rsidRPr="00247E1D">
        <w:rPr>
          <w:rStyle w:val="superscript"/>
          <w:rFonts w:ascii="Calibri" w:hAnsi="Calibri" w:cs="Calibri"/>
          <w:color w:val="000000"/>
          <w:sz w:val="17"/>
          <w:szCs w:val="17"/>
          <w:shd w:val="clear" w:color="auto" w:fill="FFFFFF"/>
          <w:vertAlign w:val="superscript"/>
        </w:rPr>
        <w:t>9</w:t>
      </w:r>
      <w:r w:rsidRPr="00247E1D">
        <w:rPr>
          <w:rStyle w:val="normaltextrun"/>
          <w:rFonts w:ascii="Calibri" w:hAnsi="Calibri" w:cs="Calibri"/>
          <w:color w:val="000000"/>
          <w:shd w:val="clear" w:color="auto" w:fill="FFFFFF"/>
        </w:rPr>
        <w:t> and that the principles of the Treaty of Waitangi are </w:t>
      </w:r>
      <w:proofErr w:type="gramStart"/>
      <w:r w:rsidRPr="00247E1D">
        <w:rPr>
          <w:rStyle w:val="normaltextrun"/>
          <w:rFonts w:ascii="Calibri" w:hAnsi="Calibri" w:cs="Calibri"/>
          <w:color w:val="000000"/>
          <w:shd w:val="clear" w:color="auto" w:fill="FFFFFF"/>
        </w:rPr>
        <w:t>taken into account</w:t>
      </w:r>
      <w:proofErr w:type="gramEnd"/>
      <w:r w:rsidRPr="00247E1D">
        <w:rPr>
          <w:rStyle w:val="normaltextrun"/>
          <w:rFonts w:ascii="Calibri" w:hAnsi="Calibri" w:cs="Calibri"/>
          <w:color w:val="000000"/>
          <w:shd w:val="clear" w:color="auto" w:fill="FFFFFF"/>
        </w:rPr>
        <w:t xml:space="preserve">. </w:t>
      </w:r>
      <w:r w:rsidR="007558B3">
        <w:rPr>
          <w:rStyle w:val="normaltextrun"/>
          <w:rFonts w:ascii="Calibri" w:hAnsi="Calibri" w:cs="Calibri"/>
          <w:color w:val="000000"/>
          <w:shd w:val="clear" w:color="auto" w:fill="FFFFFF"/>
        </w:rPr>
        <w:t xml:space="preserve">The </w:t>
      </w:r>
      <w:r w:rsidRPr="00247E1D">
        <w:rPr>
          <w:rStyle w:val="normaltextrun"/>
          <w:rFonts w:ascii="Calibri" w:hAnsi="Calibri" w:cs="Calibri"/>
          <w:color w:val="000000"/>
          <w:shd w:val="clear" w:color="auto" w:fill="FFFFFF"/>
        </w:rPr>
        <w:t>ORPS seeks to </w:t>
      </w:r>
      <w:r w:rsidR="00A84623">
        <w:rPr>
          <w:rStyle w:val="normaltextrun"/>
          <w:rFonts w:ascii="Calibri" w:hAnsi="Calibri" w:cs="Calibri"/>
          <w:color w:val="000000"/>
          <w:shd w:val="clear" w:color="auto" w:fill="FFFFFF"/>
        </w:rPr>
        <w:t>facilitate</w:t>
      </w:r>
      <w:r w:rsidR="00A84623" w:rsidRPr="00A84623">
        <w:rPr>
          <w:rStyle w:val="normaltextrun"/>
          <w:rFonts w:ascii="Calibri" w:hAnsi="Calibri" w:cs="Calibri"/>
          <w:color w:val="000000"/>
          <w:shd w:val="clear" w:color="auto" w:fill="FFFFFF"/>
        </w:rPr>
        <w:t xml:space="preserve"> </w:t>
      </w:r>
      <w:r w:rsidR="00A84623" w:rsidRPr="00247E1D">
        <w:rPr>
          <w:rStyle w:val="normaltextrun"/>
          <w:rFonts w:ascii="Calibri" w:hAnsi="Calibri" w:cs="Calibri"/>
          <w:color w:val="000000"/>
          <w:shd w:val="clear" w:color="auto" w:fill="FFFFFF"/>
        </w:rPr>
        <w:t>Kāi </w:t>
      </w:r>
      <w:proofErr w:type="spellStart"/>
      <w:r w:rsidR="00A84623" w:rsidRPr="00247E1D">
        <w:rPr>
          <w:rStyle w:val="normaltextrun"/>
          <w:rFonts w:ascii="Calibri" w:hAnsi="Calibri" w:cs="Calibri"/>
          <w:color w:val="000000"/>
          <w:shd w:val="clear" w:color="auto" w:fill="FFFFFF"/>
        </w:rPr>
        <w:t>Tahu</w:t>
      </w:r>
      <w:proofErr w:type="spellEnd"/>
      <w:r w:rsidR="00A84623">
        <w:rPr>
          <w:rStyle w:val="normaltextrun"/>
          <w:rFonts w:ascii="Calibri" w:hAnsi="Calibri" w:cs="Calibri"/>
          <w:color w:val="000000"/>
          <w:shd w:val="clear" w:color="auto" w:fill="FFFFFF"/>
        </w:rPr>
        <w:t xml:space="preserve"> engagement</w:t>
      </w:r>
      <w:r w:rsidR="00237E63" w:rsidRPr="00247E1D">
        <w:rPr>
          <w:rStyle w:val="normaltextrun"/>
          <w:rFonts w:ascii="Calibri" w:hAnsi="Calibri" w:cs="Calibri"/>
          <w:color w:val="000000"/>
          <w:shd w:val="clear" w:color="auto" w:fill="FFFFFF"/>
        </w:rPr>
        <w:t xml:space="preserve"> </w:t>
      </w:r>
      <w:r w:rsidRPr="00247E1D">
        <w:rPr>
          <w:rStyle w:val="normaltextrun"/>
          <w:rFonts w:ascii="Calibri" w:hAnsi="Calibri" w:cs="Calibri"/>
          <w:color w:val="000000"/>
          <w:shd w:val="clear" w:color="auto" w:fill="FFFFFF"/>
        </w:rPr>
        <w:t>in resource management</w:t>
      </w:r>
      <w:r w:rsidR="00237E63">
        <w:rPr>
          <w:rStyle w:val="normaltextrun"/>
          <w:rFonts w:ascii="Calibri" w:hAnsi="Calibri" w:cs="Calibri"/>
          <w:color w:val="000000"/>
          <w:shd w:val="clear" w:color="auto" w:fill="FFFFFF"/>
        </w:rPr>
        <w:t xml:space="preserve"> in Otago</w:t>
      </w:r>
      <w:r w:rsidR="001B1B9F">
        <w:rPr>
          <w:rStyle w:val="normaltextrun"/>
          <w:rFonts w:ascii="Calibri" w:hAnsi="Calibri" w:cs="Calibri"/>
          <w:color w:val="000000"/>
          <w:shd w:val="clear" w:color="auto" w:fill="FFFFFF"/>
        </w:rPr>
        <w:t xml:space="preserve"> </w:t>
      </w:r>
      <w:r w:rsidR="00192645">
        <w:rPr>
          <w:rStyle w:val="normaltextrun"/>
          <w:rFonts w:ascii="Calibri" w:hAnsi="Calibri" w:cs="Calibri"/>
          <w:color w:val="000000"/>
          <w:shd w:val="clear" w:color="auto" w:fill="FFFFFF"/>
        </w:rPr>
        <w:t xml:space="preserve">in a way </w:t>
      </w:r>
      <w:r w:rsidR="001B1B9F">
        <w:rPr>
          <w:rStyle w:val="normaltextrun"/>
          <w:rFonts w:ascii="Calibri" w:hAnsi="Calibri" w:cs="Calibri"/>
          <w:color w:val="000000"/>
          <w:shd w:val="clear" w:color="auto" w:fill="FFFFFF"/>
        </w:rPr>
        <w:t xml:space="preserve">that </w:t>
      </w:r>
      <w:r w:rsidR="007558B3">
        <w:rPr>
          <w:rStyle w:val="normaltextrun"/>
          <w:rFonts w:ascii="Calibri" w:hAnsi="Calibri" w:cs="Calibri"/>
          <w:color w:val="000000"/>
          <w:shd w:val="clear" w:color="auto" w:fill="FFFFFF"/>
        </w:rPr>
        <w:t>gives effect to the</w:t>
      </w:r>
      <w:r w:rsidR="007E159C">
        <w:rPr>
          <w:rStyle w:val="normaltextrun"/>
          <w:rFonts w:ascii="Calibri" w:hAnsi="Calibri" w:cs="Calibri"/>
          <w:color w:val="000000"/>
          <w:shd w:val="clear" w:color="auto" w:fill="FFFFFF"/>
        </w:rPr>
        <w:t xml:space="preserve"> principles of </w:t>
      </w:r>
      <w:r w:rsidR="007E159C">
        <w:rPr>
          <w:rStyle w:val="normaltextrun"/>
          <w:rFonts w:ascii="Calibri" w:eastAsiaTheme="majorEastAsia" w:hAnsi="Calibri" w:cs="Calibri"/>
        </w:rPr>
        <w:t>Te </w:t>
      </w:r>
      <w:proofErr w:type="spellStart"/>
      <w:r w:rsidR="007E159C" w:rsidRPr="6800BF5C">
        <w:rPr>
          <w:rStyle w:val="normaltextrun"/>
          <w:rFonts w:ascii="Calibri" w:eastAsiaTheme="majorEastAsia" w:hAnsi="Calibri" w:cs="Calibri"/>
          <w:color w:val="000000" w:themeColor="text1"/>
        </w:rPr>
        <w:t>Tiriti</w:t>
      </w:r>
      <w:proofErr w:type="spellEnd"/>
      <w:r w:rsidR="007E159C">
        <w:rPr>
          <w:rStyle w:val="normaltextrun"/>
          <w:rFonts w:ascii="Calibri" w:eastAsiaTheme="majorEastAsia" w:hAnsi="Calibri" w:cs="Calibri"/>
        </w:rPr>
        <w:t> o Waitangi</w:t>
      </w:r>
      <w:r w:rsidR="007558B3">
        <w:rPr>
          <w:rStyle w:val="normaltextrun"/>
          <w:rFonts w:ascii="Calibri" w:hAnsi="Calibri" w:cs="Calibri"/>
          <w:color w:val="000000"/>
          <w:shd w:val="clear" w:color="auto" w:fill="FFFFFF"/>
        </w:rPr>
        <w:t>,</w:t>
      </w:r>
      <w:r w:rsidR="007558B3" w:rsidRPr="00247E1D">
        <w:rPr>
          <w:rStyle w:val="normaltextrun"/>
          <w:rFonts w:ascii="Calibri" w:hAnsi="Calibri" w:cs="Calibri"/>
          <w:color w:val="000000"/>
          <w:shd w:val="clear" w:color="auto" w:fill="FFFFFF"/>
        </w:rPr>
        <w:t> </w:t>
      </w:r>
      <w:r w:rsidR="007E159C">
        <w:rPr>
          <w:rStyle w:val="normaltextrun"/>
          <w:rFonts w:ascii="Calibri" w:hAnsi="Calibri" w:cs="Calibri"/>
          <w:color w:val="000000"/>
          <w:shd w:val="clear" w:color="auto" w:fill="FFFFFF"/>
        </w:rPr>
        <w:t xml:space="preserve">with particular emphasis on </w:t>
      </w:r>
      <w:r w:rsidR="00424BA0">
        <w:rPr>
          <w:rStyle w:val="normaltextrun"/>
          <w:rFonts w:ascii="Calibri" w:hAnsi="Calibri" w:cs="Calibri"/>
          <w:color w:val="000000"/>
          <w:shd w:val="clear" w:color="auto" w:fill="FFFFFF"/>
        </w:rPr>
        <w:t>partnership and active protection</w:t>
      </w:r>
      <w:r w:rsidR="00237E63">
        <w:rPr>
          <w:rStyle w:val="normaltextrun"/>
          <w:rFonts w:ascii="Calibri" w:hAnsi="Calibri" w:cs="Calibri"/>
          <w:color w:val="000000"/>
          <w:shd w:val="clear" w:color="auto" w:fill="FFFFFF"/>
        </w:rPr>
        <w:t xml:space="preserve">. </w:t>
      </w:r>
      <w:r w:rsidR="00DA267F" w:rsidRPr="005A2B33">
        <w:rPr>
          <w:rStyle w:val="normaltextrun"/>
          <w:rFonts w:ascii="Calibri" w:hAnsi="Calibri" w:cs="Calibri"/>
          <w:iCs/>
          <w:color w:val="000000"/>
          <w:shd w:val="clear" w:color="auto" w:fill="FFFFFF"/>
        </w:rPr>
        <w:t>The MW chapter of the ORPS</w:t>
      </w:r>
      <w:r w:rsidR="00A87D18" w:rsidRPr="005A2B33">
        <w:rPr>
          <w:rStyle w:val="normaltextrun"/>
          <w:rFonts w:ascii="Calibri" w:hAnsi="Calibri" w:cs="Calibri"/>
          <w:iCs/>
          <w:color w:val="000000"/>
          <w:shd w:val="clear" w:color="auto" w:fill="FFFFFF"/>
        </w:rPr>
        <w:t xml:space="preserve"> sets out this</w:t>
      </w:r>
      <w:r w:rsidR="005A2B33" w:rsidRPr="005A2B33">
        <w:rPr>
          <w:rStyle w:val="normaltextrun"/>
          <w:rFonts w:ascii="Calibri" w:hAnsi="Calibri" w:cs="Calibri"/>
          <w:iCs/>
          <w:color w:val="000000"/>
          <w:shd w:val="clear" w:color="auto" w:fill="FFFFFF"/>
        </w:rPr>
        <w:t xml:space="preserve"> outcome </w:t>
      </w:r>
      <w:r w:rsidR="001B1B9F">
        <w:rPr>
          <w:rStyle w:val="normaltextrun"/>
          <w:rFonts w:ascii="Calibri" w:hAnsi="Calibri" w:cs="Calibri"/>
          <w:iCs/>
          <w:color w:val="000000"/>
          <w:shd w:val="clear" w:color="auto" w:fill="FFFFFF"/>
        </w:rPr>
        <w:t>in</w:t>
      </w:r>
      <w:r w:rsidR="00A87D18" w:rsidRPr="005A2B33">
        <w:rPr>
          <w:rStyle w:val="normaltextrun"/>
          <w:rFonts w:ascii="Calibri" w:hAnsi="Calibri" w:cs="Calibri"/>
          <w:iCs/>
          <w:color w:val="000000"/>
          <w:shd w:val="clear" w:color="auto" w:fill="FFFFFF"/>
        </w:rPr>
        <w:t xml:space="preserve"> MW-O1</w:t>
      </w:r>
      <w:r w:rsidR="005A2B33" w:rsidRPr="005A2B33">
        <w:rPr>
          <w:rStyle w:val="normaltextrun"/>
          <w:rFonts w:ascii="Calibri" w:hAnsi="Calibri" w:cs="Calibri"/>
          <w:iCs/>
          <w:color w:val="000000"/>
          <w:shd w:val="clear" w:color="auto" w:fill="FFFFFF"/>
        </w:rPr>
        <w:t xml:space="preserve">, which is evaluated in Table </w:t>
      </w:r>
      <w:r w:rsidR="005A2B33">
        <w:rPr>
          <w:rStyle w:val="normaltextrun"/>
          <w:rFonts w:ascii="Calibri" w:hAnsi="Calibri" w:cs="Calibri"/>
          <w:iCs/>
          <w:color w:val="000000"/>
          <w:shd w:val="clear" w:color="auto" w:fill="FFFFFF"/>
        </w:rPr>
        <w:t>4</w:t>
      </w:r>
      <w:r w:rsidR="005A2B33" w:rsidRPr="005A2B33">
        <w:rPr>
          <w:rStyle w:val="normaltextrun"/>
          <w:rFonts w:ascii="Calibri" w:hAnsi="Calibri" w:cs="Calibri"/>
          <w:iCs/>
          <w:color w:val="000000"/>
          <w:shd w:val="clear" w:color="auto" w:fill="FFFFFF"/>
        </w:rPr>
        <w:t xml:space="preserve"> below</w:t>
      </w:r>
      <w:r w:rsidR="005A2B33">
        <w:rPr>
          <w:rStyle w:val="normaltextrun"/>
          <w:rFonts w:ascii="Calibri" w:hAnsi="Calibri" w:cs="Calibri"/>
          <w:iCs/>
          <w:color w:val="000000"/>
          <w:shd w:val="clear" w:color="auto" w:fill="FFFFFF"/>
        </w:rPr>
        <w:t>.</w:t>
      </w:r>
      <w:r w:rsidR="00A87D18">
        <w:rPr>
          <w:rStyle w:val="normaltextrun"/>
          <w:rFonts w:ascii="Calibri" w:hAnsi="Calibri" w:cs="Calibri"/>
          <w:i/>
          <w:color w:val="000000"/>
          <w:shd w:val="clear" w:color="auto" w:fill="FFFFFF"/>
        </w:rPr>
        <w:t xml:space="preserve"> </w:t>
      </w:r>
      <w:r w:rsidR="00DA267F">
        <w:rPr>
          <w:rStyle w:val="normaltextrun"/>
          <w:rFonts w:ascii="Calibri" w:hAnsi="Calibri" w:cs="Calibri"/>
          <w:i/>
          <w:color w:val="000000"/>
          <w:shd w:val="clear" w:color="auto" w:fill="FFFFFF"/>
        </w:rPr>
        <w:t xml:space="preserve"> </w:t>
      </w:r>
      <w:r w:rsidRPr="00247E1D">
        <w:rPr>
          <w:rStyle w:val="eop"/>
          <w:rFonts w:ascii="Calibri" w:hAnsi="Calibri" w:cs="Calibri"/>
          <w:i/>
          <w:color w:val="000000"/>
          <w:shd w:val="clear" w:color="auto" w:fill="FFFFFF"/>
        </w:rPr>
        <w:t> </w:t>
      </w:r>
    </w:p>
    <w:p w14:paraId="44FCE847" w14:textId="77777777" w:rsidR="008716D9" w:rsidRDefault="008716D9" w:rsidP="00EC6EE7">
      <w:pPr>
        <w:pStyle w:val="Caption"/>
      </w:pPr>
    </w:p>
    <w:p w14:paraId="5467CCB5" w14:textId="4FF9DCA4" w:rsidR="00EC6EE7" w:rsidRDefault="00EC6EE7" w:rsidP="00EC6EE7">
      <w:pPr>
        <w:pStyle w:val="Caption"/>
      </w:pPr>
      <w:r>
        <w:t xml:space="preserve">Table </w:t>
      </w:r>
      <w:r>
        <w:fldChar w:fldCharType="begin"/>
      </w:r>
      <w:r>
        <w:instrText>SEQ Table \* ARABIC</w:instrText>
      </w:r>
      <w:r>
        <w:fldChar w:fldCharType="separate"/>
      </w:r>
      <w:r w:rsidR="002A7A16">
        <w:rPr>
          <w:noProof/>
        </w:rPr>
        <w:t>4</w:t>
      </w:r>
      <w:r>
        <w:fldChar w:fldCharType="end"/>
      </w:r>
      <w:r>
        <w:t>: Assessment of MW objectives</w:t>
      </w:r>
    </w:p>
    <w:tbl>
      <w:tblPr>
        <w:tblStyle w:val="TableGrid"/>
        <w:tblW w:w="0" w:type="auto"/>
        <w:tblLook w:val="04A0" w:firstRow="1" w:lastRow="0" w:firstColumn="1" w:lastColumn="0" w:noHBand="0" w:noVBand="1"/>
      </w:tblPr>
      <w:tblGrid>
        <w:gridCol w:w="3489"/>
        <w:gridCol w:w="5527"/>
      </w:tblGrid>
      <w:tr w:rsidR="000F64D6" w:rsidRPr="00462638" w14:paraId="5019FCBC" w14:textId="77777777" w:rsidTr="0093339F">
        <w:tc>
          <w:tcPr>
            <w:tcW w:w="3489" w:type="dxa"/>
            <w:shd w:val="clear" w:color="auto" w:fill="B4C6E7" w:themeFill="accent1" w:themeFillTint="66"/>
          </w:tcPr>
          <w:p w14:paraId="41C83AA6" w14:textId="77777777" w:rsidR="000F64D6" w:rsidRPr="00845E95" w:rsidRDefault="000F64D6" w:rsidP="00A247C5">
            <w:pPr>
              <w:pStyle w:val="Table1"/>
            </w:pPr>
            <w:r w:rsidRPr="00845E95">
              <w:t>Objective</w:t>
            </w:r>
          </w:p>
        </w:tc>
        <w:tc>
          <w:tcPr>
            <w:tcW w:w="5527" w:type="dxa"/>
            <w:shd w:val="clear" w:color="auto" w:fill="B4C6E7" w:themeFill="accent1" w:themeFillTint="66"/>
          </w:tcPr>
          <w:p w14:paraId="397ECA0C" w14:textId="77777777" w:rsidR="000F64D6" w:rsidRPr="00845E95" w:rsidRDefault="000F64D6" w:rsidP="00A247C5">
            <w:pPr>
              <w:pStyle w:val="Table1"/>
            </w:pPr>
            <w:r w:rsidRPr="00845E95">
              <w:t>Assessment</w:t>
            </w:r>
          </w:p>
        </w:tc>
      </w:tr>
      <w:tr w:rsidR="000F64D6" w:rsidRPr="00462638" w14:paraId="60B1F8E8" w14:textId="77777777" w:rsidTr="0093339F">
        <w:tc>
          <w:tcPr>
            <w:tcW w:w="3489" w:type="dxa"/>
          </w:tcPr>
          <w:p w14:paraId="549C31C4" w14:textId="686CF251" w:rsidR="00822F88" w:rsidRPr="00780C89" w:rsidRDefault="00822F88" w:rsidP="00822F88">
            <w:pPr>
              <w:pStyle w:val="paragraph"/>
              <w:spacing w:before="0" w:beforeAutospacing="0" w:after="0" w:afterAutospacing="0"/>
              <w:textAlignment w:val="baseline"/>
              <w:rPr>
                <w:rFonts w:ascii="Segoe UI" w:hAnsi="Segoe UI" w:cs="Segoe UI"/>
                <w:b/>
                <w:bCs/>
                <w:sz w:val="20"/>
                <w:szCs w:val="20"/>
              </w:rPr>
            </w:pPr>
            <w:r w:rsidRPr="00780C89">
              <w:rPr>
                <w:rStyle w:val="normaltextrun"/>
                <w:rFonts w:ascii="Calibri" w:eastAsiaTheme="majorEastAsia" w:hAnsi="Calibri" w:cs="Calibri"/>
                <w:b/>
                <w:sz w:val="20"/>
                <w:szCs w:val="20"/>
              </w:rPr>
              <w:t>MW–O1 – Principles of Te </w:t>
            </w:r>
            <w:proofErr w:type="spellStart"/>
            <w:r w:rsidRPr="00780C89">
              <w:rPr>
                <w:rStyle w:val="normaltextrun"/>
                <w:rFonts w:ascii="Calibri" w:eastAsiaTheme="majorEastAsia" w:hAnsi="Calibri" w:cs="Calibri"/>
                <w:b/>
                <w:sz w:val="20"/>
                <w:szCs w:val="20"/>
              </w:rPr>
              <w:t>Tiriti</w:t>
            </w:r>
            <w:proofErr w:type="spellEnd"/>
            <w:r w:rsidRPr="00780C89">
              <w:rPr>
                <w:rStyle w:val="normaltextrun"/>
                <w:rFonts w:ascii="Calibri" w:eastAsiaTheme="majorEastAsia" w:hAnsi="Calibri" w:cs="Calibri"/>
                <w:b/>
                <w:sz w:val="20"/>
                <w:szCs w:val="20"/>
              </w:rPr>
              <w:t> o Waitangi</w:t>
            </w:r>
            <w:r w:rsidRPr="00780C89">
              <w:rPr>
                <w:rStyle w:val="eop"/>
                <w:rFonts w:ascii="Calibri" w:eastAsiaTheme="majorEastAsia" w:hAnsi="Calibri" w:cs="Calibri"/>
                <w:b/>
                <w:sz w:val="20"/>
                <w:szCs w:val="20"/>
              </w:rPr>
              <w:t> </w:t>
            </w:r>
          </w:p>
          <w:p w14:paraId="5EFF987E" w14:textId="6765DCC6" w:rsidR="000F64D6" w:rsidRPr="00CC0A8B" w:rsidRDefault="00822F88" w:rsidP="003F70EE">
            <w:pPr>
              <w:pStyle w:val="Table1"/>
              <w:rPr>
                <w:rFonts w:ascii="Segoe UI" w:hAnsi="Segoe UI" w:cs="Segoe UI"/>
              </w:rPr>
            </w:pPr>
            <w:r w:rsidRPr="00780C89">
              <w:rPr>
                <w:rStyle w:val="normaltextrun"/>
                <w:rFonts w:ascii="Calibri" w:eastAsiaTheme="majorEastAsia" w:hAnsi="Calibri" w:cs="Calibri"/>
              </w:rPr>
              <w:t>The principles of Te </w:t>
            </w:r>
            <w:proofErr w:type="spellStart"/>
            <w:r w:rsidRPr="00780C89">
              <w:rPr>
                <w:rStyle w:val="normaltextrun"/>
                <w:rFonts w:ascii="Calibri" w:eastAsiaTheme="majorEastAsia" w:hAnsi="Calibri" w:cs="Calibri"/>
                <w:color w:val="000000" w:themeColor="text1"/>
              </w:rPr>
              <w:t>Tiriti</w:t>
            </w:r>
            <w:proofErr w:type="spellEnd"/>
            <w:r w:rsidRPr="00780C89">
              <w:rPr>
                <w:rStyle w:val="normaltextrun"/>
                <w:rFonts w:ascii="Calibri" w:eastAsiaTheme="majorEastAsia" w:hAnsi="Calibri" w:cs="Calibri"/>
              </w:rPr>
              <w:t> o Waitangi are</w:t>
            </w:r>
            <w:r w:rsidR="00A84623" w:rsidRPr="00780C89">
              <w:rPr>
                <w:rStyle w:val="normaltextrun"/>
                <w:rFonts w:ascii="Calibri" w:eastAsiaTheme="majorEastAsia" w:hAnsi="Calibri" w:cs="Calibri"/>
              </w:rPr>
              <w:t xml:space="preserve"> given effect </w:t>
            </w:r>
            <w:r w:rsidRPr="00780C89">
              <w:rPr>
                <w:rStyle w:val="normaltextrun"/>
                <w:rFonts w:ascii="Calibri" w:eastAsiaTheme="majorEastAsia" w:hAnsi="Calibri" w:cs="Calibri"/>
              </w:rPr>
              <w:t xml:space="preserve">in resource management processes and decisions, utilising a partnership approach between councils </w:t>
            </w:r>
            <w:r w:rsidRPr="00780C89">
              <w:rPr>
                <w:rStyle w:val="normaltextrun"/>
                <w:rFonts w:ascii="Calibri" w:eastAsiaTheme="majorEastAsia" w:hAnsi="Calibri" w:cs="Calibri"/>
              </w:rPr>
              <w:lastRenderedPageBreak/>
              <w:t>and Papatipu </w:t>
            </w:r>
            <w:proofErr w:type="spellStart"/>
            <w:r w:rsidRPr="00780C89">
              <w:rPr>
                <w:rStyle w:val="normaltextrun"/>
                <w:rFonts w:ascii="Calibri" w:eastAsiaTheme="majorEastAsia" w:hAnsi="Calibri" w:cs="Calibri"/>
              </w:rPr>
              <w:t>Rūnaka</w:t>
            </w:r>
            <w:proofErr w:type="spellEnd"/>
            <w:r w:rsidRPr="00780C89">
              <w:rPr>
                <w:rStyle w:val="normaltextrun"/>
                <w:rFonts w:ascii="Calibri" w:eastAsiaTheme="majorEastAsia" w:hAnsi="Calibri" w:cs="Calibri"/>
              </w:rPr>
              <w:t> </w:t>
            </w:r>
            <w:r w:rsidRPr="003F70EE">
              <w:rPr>
                <w:rStyle w:val="normaltextrun"/>
                <w:rFonts w:ascii="Calibri" w:eastAsiaTheme="majorEastAsia" w:hAnsi="Calibri" w:cs="Calibri"/>
              </w:rPr>
              <w:t>to</w:t>
            </w:r>
            <w:r w:rsidR="003F70EE" w:rsidRPr="003F70EE">
              <w:rPr>
                <w:rStyle w:val="normaltextrun"/>
                <w:rFonts w:ascii="Calibri" w:eastAsiaTheme="majorEastAsia" w:hAnsi="Calibri" w:cs="Calibri"/>
              </w:rPr>
              <w:t xml:space="preserve"> </w:t>
            </w:r>
            <w:r w:rsidRPr="003F70EE">
              <w:rPr>
                <w:rStyle w:val="normaltextrun"/>
                <w:rFonts w:ascii="Calibri" w:eastAsiaTheme="majorEastAsia" w:hAnsi="Calibri" w:cs="Calibri"/>
              </w:rPr>
              <w:t>ensure that what is valued by mana whenua is actively protected in the region.</w:t>
            </w:r>
            <w:r w:rsidRPr="00780C89">
              <w:rPr>
                <w:rStyle w:val="eop"/>
                <w:rFonts w:ascii="Calibri" w:eastAsiaTheme="majorEastAsia" w:hAnsi="Calibri" w:cs="Calibri"/>
              </w:rPr>
              <w:t> </w:t>
            </w:r>
          </w:p>
        </w:tc>
        <w:tc>
          <w:tcPr>
            <w:tcW w:w="5527" w:type="dxa"/>
          </w:tcPr>
          <w:p w14:paraId="0E8A0A18" w14:textId="4848F759" w:rsidR="000F64D6" w:rsidRDefault="00F85A91" w:rsidP="00CC0A8B">
            <w:pPr>
              <w:pStyle w:val="Table1"/>
            </w:pPr>
            <w:r>
              <w:lastRenderedPageBreak/>
              <w:t>This objective responds to s</w:t>
            </w:r>
            <w:r w:rsidR="00CC0A8B">
              <w:t xml:space="preserve">ection </w:t>
            </w:r>
            <w:r>
              <w:t xml:space="preserve">8 of the RMA, requiring local authorities to </w:t>
            </w:r>
            <w:proofErr w:type="gramStart"/>
            <w:r>
              <w:t>take into account</w:t>
            </w:r>
            <w:proofErr w:type="gramEnd"/>
            <w:r>
              <w:t xml:space="preserve"> the principles of Te </w:t>
            </w:r>
            <w:proofErr w:type="spellStart"/>
            <w:r>
              <w:t>Tiriti</w:t>
            </w:r>
            <w:proofErr w:type="spellEnd"/>
            <w:r>
              <w:t xml:space="preserve"> o Waitangi in </w:t>
            </w:r>
            <w:r w:rsidR="00685C6E">
              <w:t xml:space="preserve">all </w:t>
            </w:r>
            <w:r>
              <w:t>RMA processes and decision</w:t>
            </w:r>
            <w:r w:rsidR="00685C6E">
              <w:t>-making</w:t>
            </w:r>
            <w:r>
              <w:t xml:space="preserve">. In doing so, it responds to </w:t>
            </w:r>
            <w:proofErr w:type="gramStart"/>
            <w:r>
              <w:t>a number of</w:t>
            </w:r>
            <w:proofErr w:type="gramEnd"/>
            <w:r>
              <w:t xml:space="preserve"> issues of significance to iwi, in particular RMIA</w:t>
            </w:r>
            <w:r w:rsidR="00CC0A8B">
              <w:t>–</w:t>
            </w:r>
            <w:r>
              <w:t>WAI</w:t>
            </w:r>
            <w:r w:rsidR="00CC0A8B">
              <w:t>–I</w:t>
            </w:r>
            <w:r>
              <w:t>4 and RMIA</w:t>
            </w:r>
            <w:r w:rsidR="00CC0A8B">
              <w:t>–</w:t>
            </w:r>
            <w:r>
              <w:t>MKB</w:t>
            </w:r>
            <w:r w:rsidR="00CC0A8B">
              <w:t>–I</w:t>
            </w:r>
            <w:r>
              <w:t xml:space="preserve">2. It articulates the partnership approach required to </w:t>
            </w:r>
            <w:proofErr w:type="gramStart"/>
            <w:r>
              <w:t>take into account</w:t>
            </w:r>
            <w:proofErr w:type="gramEnd"/>
            <w:r>
              <w:t xml:space="preserve"> the principles of Te </w:t>
            </w:r>
            <w:proofErr w:type="spellStart"/>
            <w:r>
              <w:t>Tiriti</w:t>
            </w:r>
            <w:proofErr w:type="spellEnd"/>
            <w:r>
              <w:t xml:space="preserve">. </w:t>
            </w:r>
            <w:r>
              <w:lastRenderedPageBreak/>
              <w:t>Section 8 continues to be a highly relevant matter for local authorities.</w:t>
            </w:r>
          </w:p>
        </w:tc>
      </w:tr>
    </w:tbl>
    <w:p w14:paraId="39029A2D" w14:textId="7DB00C91" w:rsidR="10AE7C61" w:rsidRDefault="10AE7C61"/>
    <w:p w14:paraId="4E3CEDA3" w14:textId="6F688DEA" w:rsidR="000A4AA1" w:rsidRPr="005C161A" w:rsidRDefault="000A4AA1" w:rsidP="00A247C5">
      <w:pPr>
        <w:pStyle w:val="Normal2"/>
      </w:pPr>
      <w:r w:rsidRPr="005C161A">
        <w:t>The provisions of direct relevance to this evaluation, and which are evaluated in detail</w:t>
      </w:r>
      <w:r w:rsidR="001F4ADF" w:rsidRPr="005C161A">
        <w:t>,</w:t>
      </w:r>
      <w:r w:rsidRPr="005C161A">
        <w:t xml:space="preserve"> in Section </w:t>
      </w:r>
      <w:r w:rsidR="00CC0A8B">
        <w:fldChar w:fldCharType="begin"/>
      </w:r>
      <w:r w:rsidR="00CC0A8B">
        <w:instrText xml:space="preserve"> REF _Ref72669194 \r \h </w:instrText>
      </w:r>
      <w:r w:rsidR="00CC0A8B">
        <w:fldChar w:fldCharType="separate"/>
      </w:r>
      <w:r w:rsidR="002A7A16">
        <w:t>5.3</w:t>
      </w:r>
      <w:r w:rsidR="00CC0A8B">
        <w:fldChar w:fldCharType="end"/>
      </w:r>
      <w:r w:rsidRPr="005C161A">
        <w:t xml:space="preserve"> of this Report, are:</w:t>
      </w:r>
    </w:p>
    <w:p w14:paraId="045E7BB8" w14:textId="77777777" w:rsidR="00590E50" w:rsidRDefault="00590E50" w:rsidP="00A247C5">
      <w:pPr>
        <w:pStyle w:val="Normal3"/>
      </w:pPr>
      <w:r>
        <w:t>MW–P1 – Treaty obligations</w:t>
      </w:r>
    </w:p>
    <w:p w14:paraId="37BCF5EB" w14:textId="6BB8B086" w:rsidR="00590E50" w:rsidRDefault="00590E50" w:rsidP="00A247C5">
      <w:pPr>
        <w:pStyle w:val="Normal3"/>
      </w:pPr>
      <w:r>
        <w:t xml:space="preserve">MW–P2 </w:t>
      </w:r>
      <w:r w:rsidR="0046773B">
        <w:t xml:space="preserve">– </w:t>
      </w:r>
      <w:r>
        <w:t>Treaty principles</w:t>
      </w:r>
    </w:p>
    <w:p w14:paraId="67331B6D" w14:textId="77777777" w:rsidR="00590E50" w:rsidRDefault="00590E50" w:rsidP="00A247C5">
      <w:pPr>
        <w:pStyle w:val="Normal3"/>
      </w:pPr>
      <w:r>
        <w:t xml:space="preserve">MW–P3 – Supporting Kāi </w:t>
      </w:r>
      <w:proofErr w:type="spellStart"/>
      <w:r>
        <w:t>Tahu</w:t>
      </w:r>
      <w:proofErr w:type="spellEnd"/>
      <w:r>
        <w:t xml:space="preserve"> wellbeing</w:t>
      </w:r>
    </w:p>
    <w:p w14:paraId="2EB00362" w14:textId="77777777" w:rsidR="00590E50" w:rsidRDefault="00590E50" w:rsidP="00A247C5">
      <w:pPr>
        <w:pStyle w:val="Normal3"/>
      </w:pPr>
      <w:r>
        <w:t>MW–P4 – Sustainable use of Māori land</w:t>
      </w:r>
    </w:p>
    <w:p w14:paraId="317E97D3" w14:textId="520C3811" w:rsidR="00590E50" w:rsidRDefault="00590E50" w:rsidP="00A247C5">
      <w:pPr>
        <w:pStyle w:val="Normal3"/>
      </w:pPr>
      <w:r>
        <w:t xml:space="preserve">MW–M1 – Collaboration with Kāi </w:t>
      </w:r>
      <w:proofErr w:type="spellStart"/>
      <w:r>
        <w:t>Tahu</w:t>
      </w:r>
      <w:proofErr w:type="spellEnd"/>
    </w:p>
    <w:p w14:paraId="39CFD1F2" w14:textId="57872EFA" w:rsidR="00296291" w:rsidRDefault="00296291" w:rsidP="00A247C5">
      <w:pPr>
        <w:pStyle w:val="Normal3"/>
      </w:pPr>
      <w:r>
        <w:t>MW</w:t>
      </w:r>
      <w:r w:rsidR="00CC0A8B">
        <w:t>–</w:t>
      </w:r>
      <w:r>
        <w:t xml:space="preserve">M2 – Work with Kāi </w:t>
      </w:r>
      <w:proofErr w:type="spellStart"/>
      <w:r>
        <w:t>Tahu</w:t>
      </w:r>
      <w:proofErr w:type="spellEnd"/>
    </w:p>
    <w:p w14:paraId="60934F98" w14:textId="6D4CAC9B" w:rsidR="00590E50" w:rsidRDefault="00590E50" w:rsidP="00A247C5">
      <w:pPr>
        <w:pStyle w:val="Normal3"/>
      </w:pPr>
      <w:r>
        <w:t>MW–M</w:t>
      </w:r>
      <w:r w:rsidR="00FA77FD">
        <w:t>3</w:t>
      </w:r>
      <w:r>
        <w:t xml:space="preserve"> – Kāi </w:t>
      </w:r>
      <w:proofErr w:type="spellStart"/>
      <w:r>
        <w:t>Tahu</w:t>
      </w:r>
      <w:proofErr w:type="spellEnd"/>
      <w:r>
        <w:t xml:space="preserve"> relationships</w:t>
      </w:r>
    </w:p>
    <w:p w14:paraId="0E61612C" w14:textId="140C9FB1" w:rsidR="00590E50" w:rsidRDefault="00590E50" w:rsidP="00A247C5">
      <w:pPr>
        <w:pStyle w:val="Normal3"/>
      </w:pPr>
      <w:r>
        <w:t>MW–M</w:t>
      </w:r>
      <w:r w:rsidR="00FA77FD">
        <w:t>4</w:t>
      </w:r>
      <w:r>
        <w:t xml:space="preserve"> – Kāi </w:t>
      </w:r>
      <w:proofErr w:type="spellStart"/>
      <w:r>
        <w:t>Tahu</w:t>
      </w:r>
      <w:proofErr w:type="spellEnd"/>
      <w:r>
        <w:t xml:space="preserve"> involvement in resource management</w:t>
      </w:r>
    </w:p>
    <w:p w14:paraId="48D99E7D" w14:textId="7E59AB5D" w:rsidR="00590E50" w:rsidRDefault="00590E50" w:rsidP="00A247C5">
      <w:pPr>
        <w:pStyle w:val="Normal3"/>
      </w:pPr>
      <w:r>
        <w:t>MW–M</w:t>
      </w:r>
      <w:r w:rsidR="00FA77FD">
        <w:t>5</w:t>
      </w:r>
      <w:r>
        <w:t xml:space="preserve"> – Regional and district plans</w:t>
      </w:r>
    </w:p>
    <w:p w14:paraId="5FA20284" w14:textId="6124C451" w:rsidR="00590E50" w:rsidRDefault="00590E50" w:rsidP="00A247C5">
      <w:pPr>
        <w:pStyle w:val="Normal3"/>
      </w:pPr>
      <w:r>
        <w:t>MW–M</w:t>
      </w:r>
      <w:r w:rsidR="003D0B46">
        <w:t>6</w:t>
      </w:r>
      <w:r>
        <w:t xml:space="preserve"> – Incentives and education</w:t>
      </w:r>
    </w:p>
    <w:p w14:paraId="65476B60" w14:textId="52D446A3" w:rsidR="00590E50" w:rsidRDefault="00590E50" w:rsidP="00A247C5">
      <w:pPr>
        <w:pStyle w:val="Normal3"/>
      </w:pPr>
      <w:r>
        <w:t>MW–M</w:t>
      </w:r>
      <w:r w:rsidR="003D0B46">
        <w:t>7</w:t>
      </w:r>
      <w:r>
        <w:t xml:space="preserve"> – Advocacy and facilitation</w:t>
      </w:r>
    </w:p>
    <w:p w14:paraId="64EB4526" w14:textId="5C1D974A" w:rsidR="00C4614E" w:rsidRDefault="00C4614E" w:rsidP="00A247C5">
      <w:pPr>
        <w:pStyle w:val="Normal2"/>
      </w:pPr>
      <w:r>
        <w:t xml:space="preserve">While there may be some uncertainty about how the principles of Te </w:t>
      </w:r>
      <w:proofErr w:type="spellStart"/>
      <w:r>
        <w:t>Tiriti</w:t>
      </w:r>
      <w:proofErr w:type="spellEnd"/>
      <w:r>
        <w:t xml:space="preserve"> will apply in every situation, that uncertainty would exist whether this objective was considered or not given the overriding requirements of s8. This objective is consistent with the outcomes sought by Kāi </w:t>
      </w:r>
      <w:proofErr w:type="spellStart"/>
      <w:r>
        <w:t>Tahu</w:t>
      </w:r>
      <w:proofErr w:type="spellEnd"/>
      <w:r>
        <w:t xml:space="preserve"> for Otago and has been carried over from the existing PORPS 2019 meaning there will be limited or no change in costs from the status quo. MW</w:t>
      </w:r>
      <w:r w:rsidR="00CC0A8B">
        <w:t>–</w:t>
      </w:r>
      <w:r>
        <w:t>O1 is therefore considered feasible and acceptable.</w:t>
      </w:r>
    </w:p>
    <w:p w14:paraId="30C89DFE" w14:textId="23E7F06F" w:rsidR="00C4614E" w:rsidRDefault="00C4614E" w:rsidP="00A247C5">
      <w:pPr>
        <w:pStyle w:val="Normal2"/>
      </w:pPr>
      <w:r>
        <w:t xml:space="preserve"> </w:t>
      </w:r>
      <w:r w:rsidR="004F4834">
        <w:t xml:space="preserve">Policies </w:t>
      </w:r>
      <w:r>
        <w:t>MW</w:t>
      </w:r>
      <w:r w:rsidR="00CC0A8B">
        <w:t>–</w:t>
      </w:r>
      <w:r>
        <w:t>P1</w:t>
      </w:r>
      <w:r w:rsidR="004F4834">
        <w:t xml:space="preserve"> to MW</w:t>
      </w:r>
      <w:r w:rsidR="00CC0A8B">
        <w:t>–</w:t>
      </w:r>
      <w:r w:rsidR="00AA3307">
        <w:t>P</w:t>
      </w:r>
      <w:r>
        <w:t xml:space="preserve">4 and </w:t>
      </w:r>
      <w:r w:rsidR="00AA3307">
        <w:t xml:space="preserve">methods </w:t>
      </w:r>
      <w:r>
        <w:t>MW</w:t>
      </w:r>
      <w:r w:rsidR="00CC0A8B">
        <w:t>–</w:t>
      </w:r>
      <w:r>
        <w:t>M1</w:t>
      </w:r>
      <w:r w:rsidR="006D1AE7">
        <w:t xml:space="preserve"> </w:t>
      </w:r>
      <w:r w:rsidR="00AA3307">
        <w:t>to</w:t>
      </w:r>
      <w:r w:rsidR="006D1AE7">
        <w:t xml:space="preserve"> MW</w:t>
      </w:r>
      <w:r w:rsidR="00CC0A8B">
        <w:t>–</w:t>
      </w:r>
      <w:r w:rsidR="006D1AE7">
        <w:t>M</w:t>
      </w:r>
      <w:r w:rsidR="003D0B46">
        <w:t>7</w:t>
      </w:r>
      <w:r>
        <w:t xml:space="preserve"> are included in the </w:t>
      </w:r>
      <w:r w:rsidR="006D1AE7">
        <w:t>PO</w:t>
      </w:r>
      <w:r>
        <w:t>RPS</w:t>
      </w:r>
      <w:r w:rsidR="006D1AE7">
        <w:t xml:space="preserve"> 2021</w:t>
      </w:r>
      <w:r>
        <w:t xml:space="preserve"> to achieve </w:t>
      </w:r>
      <w:r w:rsidR="00F10564">
        <w:t xml:space="preserve">the outcome sought by </w:t>
      </w:r>
      <w:r>
        <w:t xml:space="preserve">this objective.  The evaluation of those provisions in section </w:t>
      </w:r>
      <w:r w:rsidR="005D28E7">
        <w:t>5.3</w:t>
      </w:r>
      <w:r>
        <w:t xml:space="preserve"> considers them to improve effectiveness and efficiency, and comply with the National Planning Standards, by bringing the tangata whenua/mana whenua provisions into a single chapter, without any material increase in environmental, social, </w:t>
      </w:r>
      <w:proofErr w:type="gramStart"/>
      <w:r>
        <w:t>cultural</w:t>
      </w:r>
      <w:proofErr w:type="gramEnd"/>
      <w:r>
        <w:t xml:space="preserve"> or economic cost.  The objective is, therefore, </w:t>
      </w:r>
      <w:proofErr w:type="gramStart"/>
      <w:r>
        <w:t>relevant</w:t>
      </w:r>
      <w:proofErr w:type="gramEnd"/>
      <w:r>
        <w:t xml:space="preserve"> and acceptable in terms of issues of significance to iwi, achievable, and does not impose undue cost. It </w:t>
      </w:r>
      <w:r w:rsidR="00744F73">
        <w:t xml:space="preserve">is </w:t>
      </w:r>
      <w:r>
        <w:t xml:space="preserve">the most appropriate way to </w:t>
      </w:r>
      <w:r w:rsidR="00406191">
        <w:t>meet the obligation expressed in</w:t>
      </w:r>
      <w:r w:rsidR="000A723C">
        <w:t xml:space="preserve"> </w:t>
      </w:r>
      <w:r>
        <w:t>s</w:t>
      </w:r>
      <w:r w:rsidR="00CC0A8B">
        <w:t xml:space="preserve">ection </w:t>
      </w:r>
      <w:r>
        <w:t>8</w:t>
      </w:r>
      <w:r w:rsidR="000A723C">
        <w:t xml:space="preserve"> of the </w:t>
      </w:r>
      <w:r w:rsidR="00DB6C8E">
        <w:t>RMA</w:t>
      </w:r>
      <w:r w:rsidR="000A723C">
        <w:t xml:space="preserve"> </w:t>
      </w:r>
      <w:r w:rsidR="00405C10">
        <w:t>and therefore positively and directly contributes</w:t>
      </w:r>
      <w:r w:rsidR="00576BCD">
        <w:t xml:space="preserve"> to</w:t>
      </w:r>
      <w:r>
        <w:t xml:space="preserve"> achieving the purpose of the </w:t>
      </w:r>
      <w:r w:rsidR="00DB6C8E">
        <w:t>RMA</w:t>
      </w:r>
      <w:r>
        <w:t>.</w:t>
      </w:r>
    </w:p>
    <w:p w14:paraId="2FCDFE96" w14:textId="2171777E" w:rsidR="006D7939" w:rsidRDefault="006D7939" w:rsidP="0082271A">
      <w:pPr>
        <w:pStyle w:val="Heading3"/>
      </w:pPr>
      <w:r>
        <w:t>IM – Integrated management</w:t>
      </w:r>
    </w:p>
    <w:p w14:paraId="76ECC540" w14:textId="7458181D" w:rsidR="006D0A4E" w:rsidRDefault="765BA290" w:rsidP="00A247C5">
      <w:pPr>
        <w:pStyle w:val="Normal2"/>
      </w:pPr>
      <w:r>
        <w:t xml:space="preserve">The integrated management of the natural and physical resources of the </w:t>
      </w:r>
      <w:r w:rsidR="004B3614">
        <w:t>Otago r</w:t>
      </w:r>
      <w:r>
        <w:t>egion is at the heart of the planning approach to resource management as expressed in the PORPS.</w:t>
      </w:r>
      <w:r w:rsidR="6981782D">
        <w:t xml:space="preserve"> </w:t>
      </w:r>
      <w:r w:rsidR="006D0A4E">
        <w:t>Section 59 of the RMA states:</w:t>
      </w:r>
    </w:p>
    <w:p w14:paraId="72A21814" w14:textId="4669E41D" w:rsidR="006D0A4E" w:rsidRPr="00CC0A8B" w:rsidRDefault="006D0A4E" w:rsidP="00A247C5">
      <w:pPr>
        <w:pStyle w:val="Normal2"/>
        <w:numPr>
          <w:ilvl w:val="0"/>
          <w:numId w:val="0"/>
        </w:numPr>
        <w:ind w:left="720"/>
        <w:rPr>
          <w:i/>
          <w:iCs/>
        </w:rPr>
      </w:pPr>
      <w:r w:rsidRPr="00CC0A8B">
        <w:rPr>
          <w:i/>
          <w:iCs/>
        </w:rPr>
        <w:t>The purpose of a regional policy statement is to achieve the purpose of the Act by providing an overview of the resource management issues of the region and policies and methods to achieve integrated management of the natural and physical resources of the whole region</w:t>
      </w:r>
    </w:p>
    <w:p w14:paraId="1901E3CF" w14:textId="6B7EF7BA" w:rsidR="006D7939" w:rsidRDefault="6981782D" w:rsidP="00A247C5">
      <w:pPr>
        <w:pStyle w:val="Normal2"/>
      </w:pPr>
      <w:r>
        <w:t xml:space="preserve"> Integrated</w:t>
      </w:r>
      <w:r w:rsidR="004B3614">
        <w:t xml:space="preserve"> management</w:t>
      </w:r>
      <w:r>
        <w:t>, in this context, is focussed on the notion that everything is connected</w:t>
      </w:r>
      <w:r w:rsidR="00F165AC">
        <w:t xml:space="preserve">. It </w:t>
      </w:r>
      <w:r w:rsidR="004728E9">
        <w:t xml:space="preserve">is </w:t>
      </w:r>
      <w:r w:rsidR="00F165AC">
        <w:t xml:space="preserve">therefore </w:t>
      </w:r>
      <w:r w:rsidR="004728E9">
        <w:t xml:space="preserve">appropriate to </w:t>
      </w:r>
      <w:proofErr w:type="gramStart"/>
      <w:r w:rsidR="004728E9">
        <w:t>take into account</w:t>
      </w:r>
      <w:proofErr w:type="gramEnd"/>
      <w:r w:rsidR="004728E9">
        <w:t xml:space="preserve"> and provide for those</w:t>
      </w:r>
      <w:r w:rsidR="5D4B0293">
        <w:t xml:space="preserve"> </w:t>
      </w:r>
      <w:r w:rsidR="2103D9E2">
        <w:t>interconnections</w:t>
      </w:r>
      <w:r w:rsidR="5D4B0293">
        <w:t xml:space="preserve"> and </w:t>
      </w:r>
      <w:r w:rsidR="4D0A7077">
        <w:t>interdependencies</w:t>
      </w:r>
      <w:r w:rsidR="004728E9">
        <w:t xml:space="preserve"> in </w:t>
      </w:r>
      <w:r w:rsidR="00F165AC">
        <w:t>the approach to resource management</w:t>
      </w:r>
      <w:r w:rsidR="00C12E61">
        <w:t xml:space="preserve"> in Otago</w:t>
      </w:r>
      <w:r w:rsidR="388C7227">
        <w:t xml:space="preserve">.  </w:t>
      </w:r>
      <w:r w:rsidR="006D0A4E">
        <w:t>In the context of</w:t>
      </w:r>
      <w:r w:rsidR="388C7227">
        <w:t xml:space="preserve"> Part 2 of the RMA </w:t>
      </w:r>
      <w:r w:rsidR="006D0A4E">
        <w:t>(</w:t>
      </w:r>
      <w:r w:rsidR="43954D93">
        <w:t>particularly</w:t>
      </w:r>
      <w:r w:rsidR="388C7227">
        <w:t xml:space="preserve"> section 5) </w:t>
      </w:r>
      <w:r w:rsidR="00036E20">
        <w:t xml:space="preserve">integrated management will ensure that natural and physical resources are sustained for future generations, communities will be </w:t>
      </w:r>
      <w:r w:rsidR="00036E20">
        <w:lastRenderedPageBreak/>
        <w:t xml:space="preserve">able to provide for their economic social and cultural wellbeing, and all relevant effects of activities on the environment will be addressed. </w:t>
      </w:r>
    </w:p>
    <w:p w14:paraId="6918C89C" w14:textId="195FAEA2" w:rsidR="00EC6EE7" w:rsidRDefault="00EC6EE7" w:rsidP="00EC6EE7">
      <w:pPr>
        <w:pStyle w:val="Caption"/>
      </w:pPr>
      <w:r>
        <w:t xml:space="preserve">Table </w:t>
      </w:r>
      <w:r>
        <w:fldChar w:fldCharType="begin"/>
      </w:r>
      <w:r>
        <w:instrText>SEQ Table \* ARABIC</w:instrText>
      </w:r>
      <w:r>
        <w:fldChar w:fldCharType="separate"/>
      </w:r>
      <w:r w:rsidR="002A7A16">
        <w:rPr>
          <w:noProof/>
        </w:rPr>
        <w:t>5</w:t>
      </w:r>
      <w:r>
        <w:fldChar w:fldCharType="end"/>
      </w:r>
      <w:r>
        <w:t xml:space="preserve">: </w:t>
      </w:r>
      <w:r w:rsidRPr="00DD66DE">
        <w:t xml:space="preserve">Assessment of </w:t>
      </w:r>
      <w:r>
        <w:t>IM</w:t>
      </w:r>
      <w:r w:rsidRPr="00DD66DE">
        <w:t xml:space="preserve"> objectives</w:t>
      </w:r>
    </w:p>
    <w:tbl>
      <w:tblPr>
        <w:tblStyle w:val="TableGrid"/>
        <w:tblW w:w="0" w:type="auto"/>
        <w:tblLook w:val="04A0" w:firstRow="1" w:lastRow="0" w:firstColumn="1" w:lastColumn="0" w:noHBand="0" w:noVBand="1"/>
      </w:tblPr>
      <w:tblGrid>
        <w:gridCol w:w="3489"/>
        <w:gridCol w:w="5527"/>
      </w:tblGrid>
      <w:tr w:rsidR="000F64D6" w:rsidRPr="00462638" w14:paraId="3F6292B3" w14:textId="77777777" w:rsidTr="29589E8D">
        <w:tc>
          <w:tcPr>
            <w:tcW w:w="3489" w:type="dxa"/>
            <w:shd w:val="clear" w:color="auto" w:fill="B4C6E7" w:themeFill="accent1" w:themeFillTint="66"/>
          </w:tcPr>
          <w:p w14:paraId="31344B20" w14:textId="77777777" w:rsidR="000F64D6" w:rsidRPr="00CC0A8B" w:rsidRDefault="000F64D6" w:rsidP="00A247C5">
            <w:pPr>
              <w:pStyle w:val="Table1"/>
              <w:rPr>
                <w:b/>
                <w:bCs/>
              </w:rPr>
            </w:pPr>
            <w:r w:rsidRPr="00CC0A8B">
              <w:rPr>
                <w:b/>
                <w:bCs/>
              </w:rPr>
              <w:t>Objective</w:t>
            </w:r>
          </w:p>
        </w:tc>
        <w:tc>
          <w:tcPr>
            <w:tcW w:w="5527" w:type="dxa"/>
            <w:shd w:val="clear" w:color="auto" w:fill="B4C6E7" w:themeFill="accent1" w:themeFillTint="66"/>
          </w:tcPr>
          <w:p w14:paraId="3E32D6AD" w14:textId="77777777" w:rsidR="000F64D6" w:rsidRPr="00CC0A8B" w:rsidRDefault="000F64D6" w:rsidP="00A247C5">
            <w:pPr>
              <w:pStyle w:val="Table1"/>
              <w:rPr>
                <w:b/>
                <w:bCs/>
              </w:rPr>
            </w:pPr>
            <w:r w:rsidRPr="00CC0A8B">
              <w:rPr>
                <w:b/>
                <w:bCs/>
              </w:rPr>
              <w:t>Assessment</w:t>
            </w:r>
          </w:p>
        </w:tc>
      </w:tr>
      <w:tr w:rsidR="000F64D6" w:rsidRPr="00462638" w14:paraId="1091E8F5" w14:textId="77777777" w:rsidTr="29589E8D">
        <w:tc>
          <w:tcPr>
            <w:tcW w:w="3489" w:type="dxa"/>
          </w:tcPr>
          <w:p w14:paraId="13877225" w14:textId="0D0B9A3F" w:rsidR="000F64D6" w:rsidRPr="00CC0A8B" w:rsidRDefault="58D28558" w:rsidP="00A247C5">
            <w:pPr>
              <w:pStyle w:val="Table1"/>
              <w:rPr>
                <w:b/>
                <w:bCs/>
              </w:rPr>
            </w:pPr>
            <w:r w:rsidRPr="00CC0A8B">
              <w:rPr>
                <w:b/>
                <w:bCs/>
              </w:rPr>
              <w:t>IM–O1 – Long term vision</w:t>
            </w:r>
          </w:p>
          <w:p w14:paraId="51D31CB9" w14:textId="523D5BC6" w:rsidR="000F64D6" w:rsidRPr="005C161A" w:rsidRDefault="58D28558" w:rsidP="00A247C5">
            <w:pPr>
              <w:pStyle w:val="Table1"/>
            </w:pPr>
            <w:r w:rsidRPr="005C161A">
              <w:t xml:space="preserve">The management of natural and physical resources in Otago, </w:t>
            </w:r>
            <w:r w:rsidR="00DD73CA">
              <w:t>by and for the people of Otago, including K</w:t>
            </w:r>
            <w:r w:rsidR="00DD73CA" w:rsidRPr="0056728B">
              <w:rPr>
                <w:rFonts w:eastAsia="Times New Roman"/>
              </w:rPr>
              <w:t>ā</w:t>
            </w:r>
            <w:r w:rsidR="00DD73CA">
              <w:t xml:space="preserve">i </w:t>
            </w:r>
            <w:proofErr w:type="spellStart"/>
            <w:r w:rsidR="00DD73CA">
              <w:t>Tahu</w:t>
            </w:r>
            <w:proofErr w:type="spellEnd"/>
            <w:r w:rsidR="00DD73CA">
              <w:t xml:space="preserve">, and </w:t>
            </w:r>
            <w:r w:rsidRPr="005C161A">
              <w:t xml:space="preserve">as expressed in </w:t>
            </w:r>
            <w:r w:rsidR="00DD73CA">
              <w:t xml:space="preserve">all </w:t>
            </w:r>
            <w:r w:rsidRPr="005C161A">
              <w:t xml:space="preserve">resource management plans and decision-making, achieves healthy, resilient, and safeguarded natural systems, and the ecosystem services they offer, and supports the well-being of present and future generations, </w:t>
            </w:r>
            <w:proofErr w:type="spellStart"/>
            <w:r w:rsidRPr="005C161A">
              <w:t>mō</w:t>
            </w:r>
            <w:proofErr w:type="spellEnd"/>
            <w:r w:rsidRPr="005C161A">
              <w:t xml:space="preserve"> </w:t>
            </w:r>
            <w:proofErr w:type="spellStart"/>
            <w:r w:rsidRPr="005C161A">
              <w:t>tātou</w:t>
            </w:r>
            <w:proofErr w:type="spellEnd"/>
            <w:r w:rsidRPr="005C161A">
              <w:t xml:space="preserve">, ā, </w:t>
            </w:r>
            <w:proofErr w:type="spellStart"/>
            <w:r w:rsidRPr="005C161A">
              <w:t>mō</w:t>
            </w:r>
            <w:proofErr w:type="spellEnd"/>
            <w:r w:rsidRPr="005C161A">
              <w:t xml:space="preserve"> </w:t>
            </w:r>
            <w:proofErr w:type="spellStart"/>
            <w:r w:rsidRPr="005C161A">
              <w:t>kā</w:t>
            </w:r>
            <w:proofErr w:type="spellEnd"/>
            <w:r w:rsidRPr="005C161A">
              <w:t xml:space="preserve"> </w:t>
            </w:r>
            <w:proofErr w:type="spellStart"/>
            <w:r w:rsidRPr="005C161A">
              <w:t>uri</w:t>
            </w:r>
            <w:proofErr w:type="spellEnd"/>
            <w:r w:rsidRPr="005C161A">
              <w:t xml:space="preserve"> ā muri </w:t>
            </w:r>
            <w:proofErr w:type="spellStart"/>
            <w:r w:rsidRPr="005C161A">
              <w:t>ake</w:t>
            </w:r>
            <w:proofErr w:type="spellEnd"/>
            <w:r w:rsidRPr="005C161A">
              <w:t xml:space="preserve"> nei</w:t>
            </w:r>
            <w:r w:rsidR="00DD73CA">
              <w:t>.</w:t>
            </w:r>
          </w:p>
          <w:p w14:paraId="41AB51B8" w14:textId="2721515B" w:rsidR="000F64D6" w:rsidRPr="005C161A" w:rsidRDefault="000F64D6" w:rsidP="00A247C5">
            <w:pPr>
              <w:pStyle w:val="Table1"/>
            </w:pPr>
            <w:r w:rsidRPr="005C161A">
              <w:br/>
            </w:r>
          </w:p>
          <w:p w14:paraId="43A2AD6D" w14:textId="3D43A3DD" w:rsidR="000F64D6" w:rsidRPr="005C161A" w:rsidRDefault="000F64D6" w:rsidP="00A247C5">
            <w:pPr>
              <w:pStyle w:val="Table1"/>
            </w:pPr>
          </w:p>
        </w:tc>
        <w:tc>
          <w:tcPr>
            <w:tcW w:w="5527" w:type="dxa"/>
          </w:tcPr>
          <w:p w14:paraId="620853AA" w14:textId="1A3C9BEA" w:rsidR="000F64D6" w:rsidRDefault="14A525F8" w:rsidP="00A247C5">
            <w:pPr>
              <w:pStyle w:val="Table1"/>
            </w:pPr>
            <w:r w:rsidRPr="7C6B34CA">
              <w:t>This objective broadly sets out the goal of sustainable management for Otago, drawing together the issues identified by iwi and the community.</w:t>
            </w:r>
          </w:p>
          <w:p w14:paraId="276E31E9" w14:textId="00F27C5B" w:rsidR="29589E8D" w:rsidRPr="009B3012" w:rsidRDefault="3A338934" w:rsidP="00A247C5">
            <w:pPr>
              <w:pStyle w:val="Table1"/>
              <w:rPr>
                <w:rFonts w:ascii="Calibri" w:eastAsia="Calibri" w:hAnsi="Calibri" w:cs="Calibri"/>
              </w:rPr>
            </w:pPr>
            <w:r w:rsidRPr="29589E8D">
              <w:t xml:space="preserve">It is </w:t>
            </w:r>
            <w:r w:rsidR="4DC43460" w:rsidRPr="29589E8D">
              <w:t>one of a suite of objective</w:t>
            </w:r>
            <w:r w:rsidR="572EDA23" w:rsidRPr="29589E8D">
              <w:t>s</w:t>
            </w:r>
            <w:r w:rsidR="00B066BF">
              <w:t>,</w:t>
            </w:r>
            <w:r w:rsidR="572EDA23" w:rsidRPr="29589E8D">
              <w:t xml:space="preserve"> the collective purpose of which is</w:t>
            </w:r>
            <w:r w:rsidR="4DC43460" w:rsidRPr="29589E8D">
              <w:t xml:space="preserve"> to achieve sustainable integrated management</w:t>
            </w:r>
            <w:r w:rsidR="3B6730F9" w:rsidRPr="29589E8D">
              <w:t xml:space="preserve"> of resources within the Otago Region</w:t>
            </w:r>
            <w:r w:rsidR="4DC43460" w:rsidRPr="29589E8D">
              <w:t xml:space="preserve">.  </w:t>
            </w:r>
            <w:r w:rsidR="453BB268" w:rsidRPr="29589E8D">
              <w:t xml:space="preserve">In </w:t>
            </w:r>
            <w:r w:rsidR="349A11B6" w:rsidRPr="29589E8D">
              <w:t>addition,</w:t>
            </w:r>
            <w:r w:rsidR="453BB268" w:rsidRPr="29589E8D">
              <w:t xml:space="preserve"> it directly responds to input received from consultation that managing resources in isolation has the potential to</w:t>
            </w:r>
            <w:r w:rsidR="0436AE0B" w:rsidRPr="29589E8D">
              <w:t xml:space="preserve"> create unforeseen </w:t>
            </w:r>
            <w:r w:rsidR="11C47C3A" w:rsidRPr="29589E8D">
              <w:t xml:space="preserve">outcomes; </w:t>
            </w:r>
            <w:r w:rsidR="45E96C70" w:rsidRPr="29589E8D">
              <w:t>result in</w:t>
            </w:r>
            <w:r w:rsidR="11C47C3A" w:rsidRPr="29589E8D">
              <w:t xml:space="preserve"> failure to properly manage resources; </w:t>
            </w:r>
            <w:r w:rsidR="4708BA2A" w:rsidRPr="29589E8D">
              <w:t xml:space="preserve">and result in </w:t>
            </w:r>
            <w:r w:rsidR="11C47C3A" w:rsidRPr="29589E8D">
              <w:t>failure to achieve the outcomes sought.</w:t>
            </w:r>
          </w:p>
          <w:p w14:paraId="52E4049D" w14:textId="220AFBF9" w:rsidR="005E1EC5" w:rsidRPr="000D100C" w:rsidRDefault="74707FD2" w:rsidP="00A247C5">
            <w:pPr>
              <w:pStyle w:val="Table1"/>
            </w:pPr>
            <w:r w:rsidRPr="29589E8D">
              <w:t>The objective has at its core prioritising the life supporting capacity of the environment</w:t>
            </w:r>
            <w:r w:rsidR="479070AA" w:rsidRPr="29589E8D">
              <w:t xml:space="preserve"> because if this is not achieved it follows that the health needs of people will be compromised </w:t>
            </w:r>
            <w:r w:rsidR="462909FC" w:rsidRPr="29589E8D">
              <w:t xml:space="preserve">or not provided and people and communities will not be able to provide for their social, </w:t>
            </w:r>
            <w:proofErr w:type="gramStart"/>
            <w:r w:rsidR="462909FC" w:rsidRPr="29589E8D">
              <w:t>economic</w:t>
            </w:r>
            <w:proofErr w:type="gramEnd"/>
            <w:r w:rsidR="462909FC" w:rsidRPr="29589E8D">
              <w:t xml:space="preserve"> or cultural wellbeing</w:t>
            </w:r>
            <w:r w:rsidR="009B5265">
              <w:t>, which would be inconsistent with the purpose of the RMA (s5)</w:t>
            </w:r>
            <w:r w:rsidR="462909FC" w:rsidRPr="29589E8D">
              <w:t>.</w:t>
            </w:r>
          </w:p>
        </w:tc>
      </w:tr>
      <w:tr w:rsidR="000F64D6" w:rsidRPr="00462638" w14:paraId="7FD95A50" w14:textId="77777777" w:rsidTr="29589E8D">
        <w:tc>
          <w:tcPr>
            <w:tcW w:w="3489" w:type="dxa"/>
          </w:tcPr>
          <w:p w14:paraId="64C271AD" w14:textId="5119F228" w:rsidR="000F64D6" w:rsidRPr="00CC0A8B" w:rsidRDefault="58D28558" w:rsidP="00A247C5">
            <w:pPr>
              <w:pStyle w:val="Table1"/>
              <w:rPr>
                <w:b/>
                <w:bCs/>
              </w:rPr>
            </w:pPr>
            <w:r w:rsidRPr="00CC0A8B">
              <w:rPr>
                <w:b/>
                <w:bCs/>
              </w:rPr>
              <w:t>IM–O2 – Ki uta ki tai</w:t>
            </w:r>
          </w:p>
          <w:p w14:paraId="78175F52" w14:textId="262A2E2D" w:rsidR="000F64D6" w:rsidRPr="005C161A" w:rsidRDefault="58D28558" w:rsidP="00A247C5">
            <w:pPr>
              <w:pStyle w:val="Table1"/>
            </w:pPr>
            <w:r w:rsidRPr="005C161A">
              <w:t>Natural and physical resource management and decision-making in Otago embraces ki uta ki tai, recognising that the environment is an interconnected system, which depends on its connections to flourish, and must be considered as an interdependent whole.</w:t>
            </w:r>
          </w:p>
          <w:p w14:paraId="48A2C463" w14:textId="5E8476B3" w:rsidR="000F64D6" w:rsidRPr="005C161A" w:rsidRDefault="000F64D6" w:rsidP="00A247C5">
            <w:pPr>
              <w:pStyle w:val="Table1"/>
            </w:pPr>
          </w:p>
        </w:tc>
        <w:tc>
          <w:tcPr>
            <w:tcW w:w="5527" w:type="dxa"/>
          </w:tcPr>
          <w:p w14:paraId="41A78396" w14:textId="5E18FF45" w:rsidR="000F64D6" w:rsidRDefault="4E6ABE0A" w:rsidP="00A247C5">
            <w:pPr>
              <w:pStyle w:val="Table1"/>
            </w:pPr>
            <w:r>
              <w:t xml:space="preserve">IM–O2 recognises the need for the PORPS 2021 to achieve integrated management in accordance with s59 of the RMA and recognise the interconnections between resources. It does </w:t>
            </w:r>
            <w:r w:rsidR="6B3AAB81">
              <w:t xml:space="preserve">this </w:t>
            </w:r>
            <w:r>
              <w:t xml:space="preserve">through a te </w:t>
            </w:r>
            <w:proofErr w:type="spellStart"/>
            <w:r>
              <w:t>ao</w:t>
            </w:r>
            <w:proofErr w:type="spellEnd"/>
            <w:r>
              <w:t xml:space="preserve"> Māori philosophy, ki uta ki tai, recognising that all parts of the environment are connected and interrelated.</w:t>
            </w:r>
          </w:p>
          <w:p w14:paraId="2754EB73" w14:textId="25A6BC98" w:rsidR="000F64D6" w:rsidRDefault="4E6ABE0A" w:rsidP="00A247C5">
            <w:pPr>
              <w:pStyle w:val="Table1"/>
            </w:pPr>
            <w:r>
              <w:t xml:space="preserve">This objective reflects Kāi </w:t>
            </w:r>
            <w:proofErr w:type="spellStart"/>
            <w:r>
              <w:t>Tahu</w:t>
            </w:r>
            <w:proofErr w:type="spellEnd"/>
            <w:r>
              <w:t xml:space="preserve"> values and responds to </w:t>
            </w:r>
            <w:proofErr w:type="gramStart"/>
            <w:r>
              <w:t>a number of</w:t>
            </w:r>
            <w:proofErr w:type="gramEnd"/>
            <w:r>
              <w:t xml:space="preserve"> issues of significance to iwi, including RMIA–WAI–I5 and RMIA–CE–I1.  </w:t>
            </w:r>
            <w:r w:rsidR="4F092B1B">
              <w:t>K</w:t>
            </w:r>
            <w:r>
              <w:t>i uta ki tai is an expression of integrated management which aligns closely with the statutory purpose of the PORPS 2021 under the RMA and will enhance the likelihood of achieving the purpose of the RMA.</w:t>
            </w:r>
          </w:p>
        </w:tc>
      </w:tr>
      <w:tr w:rsidR="00104C03" w:rsidRPr="00462638" w14:paraId="459DB13C" w14:textId="77777777" w:rsidTr="29589E8D">
        <w:tc>
          <w:tcPr>
            <w:tcW w:w="3489" w:type="dxa"/>
          </w:tcPr>
          <w:p w14:paraId="2F4ABBFC" w14:textId="4AC237FC" w:rsidR="00104C03" w:rsidRPr="00CC0A8B" w:rsidRDefault="58D28558" w:rsidP="00A247C5">
            <w:pPr>
              <w:pStyle w:val="Table1"/>
              <w:rPr>
                <w:b/>
                <w:bCs/>
              </w:rPr>
            </w:pPr>
            <w:r w:rsidRPr="00CC0A8B">
              <w:rPr>
                <w:b/>
                <w:bCs/>
              </w:rPr>
              <w:t>IM–O3 – Environmentally sustainable impact</w:t>
            </w:r>
          </w:p>
          <w:p w14:paraId="758BAE4B" w14:textId="5B3DB543" w:rsidR="00104C03" w:rsidRPr="005C161A" w:rsidRDefault="58D28558" w:rsidP="00A247C5">
            <w:pPr>
              <w:pStyle w:val="Table1"/>
            </w:pPr>
            <w:r w:rsidRPr="005C161A">
              <w:t>Otago’s communities carry out their activities in a way that preserves environmental integrity, form, function, and resilience, so that the life-supporting capacities of air, water, soil, ecosystems, and indigenous biodiversity endure for future generations.</w:t>
            </w:r>
          </w:p>
        </w:tc>
        <w:tc>
          <w:tcPr>
            <w:tcW w:w="5527" w:type="dxa"/>
          </w:tcPr>
          <w:p w14:paraId="0AAA62D1" w14:textId="727CD55C" w:rsidR="00104C03" w:rsidRDefault="7970FF02" w:rsidP="00A247C5">
            <w:pPr>
              <w:pStyle w:val="Table1"/>
            </w:pPr>
            <w:r>
              <w:t>This objective</w:t>
            </w:r>
            <w:r w:rsidR="30D74749">
              <w:t>, in combination with the others in this IM Ch</w:t>
            </w:r>
            <w:r w:rsidR="1EACF7CE">
              <w:t xml:space="preserve">apter, establishes a framework for all </w:t>
            </w:r>
            <w:r>
              <w:t xml:space="preserve">decision-making </w:t>
            </w:r>
            <w:r w:rsidR="67B37C89">
              <w:t>so that the goal of</w:t>
            </w:r>
            <w:r>
              <w:t xml:space="preserve"> sustainable management</w:t>
            </w:r>
            <w:r w:rsidR="2535E5BA">
              <w:t xml:space="preserve"> of the natural and physical resources of the Region</w:t>
            </w:r>
            <w:r w:rsidR="1E691C8E">
              <w:t>, as d</w:t>
            </w:r>
            <w:r w:rsidR="687ED2AC">
              <w:t>efined</w:t>
            </w:r>
            <w:r>
              <w:t xml:space="preserve"> in s5 of the RMA</w:t>
            </w:r>
            <w:r w:rsidR="4D0EE8A0">
              <w:t>, is achieved</w:t>
            </w:r>
            <w:r>
              <w:t xml:space="preserve">. It responds to issues of significance to iwi, particularly RMIA–WAI–I3, RMIA–MKB–I1 and RMIA–CE–I4. It also addresses other issues of regional significance, such as SRMR–I10 and SRMR–I11.  </w:t>
            </w:r>
          </w:p>
        </w:tc>
      </w:tr>
      <w:tr w:rsidR="00104C03" w:rsidRPr="00462638" w14:paraId="5F6C5F17" w14:textId="77777777" w:rsidTr="29589E8D">
        <w:tc>
          <w:tcPr>
            <w:tcW w:w="3489" w:type="dxa"/>
          </w:tcPr>
          <w:p w14:paraId="08E2256C" w14:textId="175FE97E" w:rsidR="00104C03" w:rsidRPr="00CC0A8B" w:rsidRDefault="58D28558" w:rsidP="00A247C5">
            <w:pPr>
              <w:pStyle w:val="Table1"/>
              <w:rPr>
                <w:b/>
                <w:bCs/>
              </w:rPr>
            </w:pPr>
            <w:r w:rsidRPr="00CC0A8B">
              <w:rPr>
                <w:b/>
                <w:bCs/>
              </w:rPr>
              <w:t>IM–O4 – Climate change</w:t>
            </w:r>
          </w:p>
          <w:p w14:paraId="1DA160DF" w14:textId="6631BCBB" w:rsidR="00104C03" w:rsidRPr="005C161A" w:rsidRDefault="00E96F46" w:rsidP="00D51E45">
            <w:pPr>
              <w:pStyle w:val="JustifiedSpacing"/>
            </w:pPr>
            <w:r w:rsidRPr="00D51E45">
              <w:rPr>
                <w:color w:val="000000" w:themeColor="text1"/>
                <w:sz w:val="20"/>
                <w:szCs w:val="20"/>
              </w:rPr>
              <w:t>Otago’s communities</w:t>
            </w:r>
            <w:r w:rsidR="00D51E45" w:rsidRPr="00D51E45">
              <w:rPr>
                <w:color w:val="000000" w:themeColor="text1"/>
                <w:sz w:val="20"/>
                <w:szCs w:val="20"/>
              </w:rPr>
              <w:t xml:space="preserve">, including Kāi </w:t>
            </w:r>
            <w:proofErr w:type="spellStart"/>
            <w:r w:rsidR="00D51E45" w:rsidRPr="00D51E45">
              <w:rPr>
                <w:color w:val="000000" w:themeColor="text1"/>
                <w:sz w:val="20"/>
                <w:szCs w:val="20"/>
              </w:rPr>
              <w:t>Tahu</w:t>
            </w:r>
            <w:proofErr w:type="spellEnd"/>
            <w:r w:rsidRPr="00D51E45">
              <w:rPr>
                <w:color w:val="000000" w:themeColor="text1"/>
                <w:sz w:val="20"/>
                <w:szCs w:val="20"/>
              </w:rPr>
              <w:t xml:space="preserve">, understand what </w:t>
            </w:r>
            <w:r w:rsidRPr="00D51E45">
              <w:rPr>
                <w:i/>
                <w:iCs/>
                <w:color w:val="000000" w:themeColor="text1"/>
                <w:sz w:val="20"/>
                <w:szCs w:val="20"/>
              </w:rPr>
              <w:t>climate change</w:t>
            </w:r>
            <w:r w:rsidRPr="00D51E45">
              <w:rPr>
                <w:color w:val="000000" w:themeColor="text1"/>
                <w:sz w:val="20"/>
                <w:szCs w:val="20"/>
              </w:rPr>
              <w:t xml:space="preserve"> means </w:t>
            </w:r>
            <w:r w:rsidRPr="00D51E45">
              <w:rPr>
                <w:sz w:val="20"/>
                <w:szCs w:val="20"/>
              </w:rPr>
              <w:t xml:space="preserve">for their future, and climate change responses in the region, including adaptation and mitigation actions, are aligned with national level climate change </w:t>
            </w:r>
            <w:proofErr w:type="gramStart"/>
            <w:r w:rsidRPr="00D51E45">
              <w:rPr>
                <w:sz w:val="20"/>
                <w:szCs w:val="20"/>
              </w:rPr>
              <w:t>responses</w:t>
            </w:r>
            <w:proofErr w:type="gramEnd"/>
            <w:r w:rsidRPr="00D51E45">
              <w:rPr>
                <w:sz w:val="20"/>
                <w:szCs w:val="20"/>
              </w:rPr>
              <w:t xml:space="preserve"> and are recognised as integral to achieving the outcomes sought by this RPS.</w:t>
            </w:r>
          </w:p>
        </w:tc>
        <w:tc>
          <w:tcPr>
            <w:tcW w:w="5527" w:type="dxa"/>
          </w:tcPr>
          <w:p w14:paraId="530E1C9C" w14:textId="79DB4B09" w:rsidR="00104C03" w:rsidRDefault="2CEE5622" w:rsidP="00A247C5">
            <w:pPr>
              <w:pStyle w:val="Table1"/>
            </w:pPr>
            <w:r>
              <w:t>This objective outlines how Otago’s communities will respond to the effects of climate change in accordance with s7(</w:t>
            </w:r>
            <w:proofErr w:type="spellStart"/>
            <w:r>
              <w:t>i</w:t>
            </w:r>
            <w:proofErr w:type="spellEnd"/>
            <w:r>
              <w:t xml:space="preserve">) of the RMA. It also responds to issues of significance to iwi, particularly RMIA–MKB–I3 and RMIA–CE–I6, and other regionally significant issues, particularly SRMR2. Responding to climate change has been a common theme throughout the consultation undertaken in the development of the PORPS 2021. </w:t>
            </w:r>
          </w:p>
        </w:tc>
      </w:tr>
    </w:tbl>
    <w:p w14:paraId="29204DC7" w14:textId="54C2D724" w:rsidR="0C8CE6FD" w:rsidRPr="005C161A" w:rsidRDefault="30CD1A19" w:rsidP="00A247C5">
      <w:pPr>
        <w:pStyle w:val="Normal2"/>
      </w:pPr>
      <w:r w:rsidRPr="005C161A">
        <w:lastRenderedPageBreak/>
        <w:t>In the context of the PORPS</w:t>
      </w:r>
      <w:r w:rsidR="007D2F4D">
        <w:t xml:space="preserve"> 2021</w:t>
      </w:r>
      <w:r w:rsidRPr="005C161A">
        <w:t>, the integrated management objectives, along with the policies and methods that implement those objectives, form a suite of ‘process’ provisions</w:t>
      </w:r>
      <w:r w:rsidR="40B4E106" w:rsidRPr="005C161A">
        <w:t xml:space="preserve"> whose primary focus is on defeating a </w:t>
      </w:r>
      <w:r w:rsidR="2CDBB5F0" w:rsidRPr="005C161A">
        <w:t>‘silo</w:t>
      </w:r>
      <w:r w:rsidR="40B4E106" w:rsidRPr="005C161A">
        <w:t xml:space="preserve"> approach</w:t>
      </w:r>
      <w:r w:rsidR="3EB3AC18" w:rsidRPr="005C161A">
        <w:t>’</w:t>
      </w:r>
      <w:r w:rsidR="40B4E106" w:rsidRPr="005C161A">
        <w:t xml:space="preserve"> to resource </w:t>
      </w:r>
      <w:r w:rsidR="3C48D06A" w:rsidRPr="005C161A">
        <w:t xml:space="preserve">management.  They </w:t>
      </w:r>
      <w:r w:rsidR="0FE4A0B2" w:rsidRPr="005C161A">
        <w:t>achieve this by requiring</w:t>
      </w:r>
      <w:r w:rsidR="4B585BE8" w:rsidRPr="005C161A">
        <w:t>,</w:t>
      </w:r>
      <w:r w:rsidR="0FE4A0B2" w:rsidRPr="005C161A">
        <w:t xml:space="preserve"> </w:t>
      </w:r>
      <w:r w:rsidR="03D9D95B" w:rsidRPr="005C161A">
        <w:t xml:space="preserve">when </w:t>
      </w:r>
      <w:r w:rsidR="0FE4A0B2" w:rsidRPr="005C161A">
        <w:t>interpreting and applying all other provisions in the PORPS</w:t>
      </w:r>
      <w:r w:rsidR="00CC0A8B">
        <w:t xml:space="preserve"> 2021</w:t>
      </w:r>
      <w:r w:rsidR="573F5636" w:rsidRPr="005C161A">
        <w:t>,</w:t>
      </w:r>
      <w:r w:rsidR="2350762E" w:rsidRPr="005C161A">
        <w:t xml:space="preserve"> the adoption of a broad and holistic </w:t>
      </w:r>
      <w:r w:rsidR="40EB9F75" w:rsidRPr="005C161A">
        <w:t>perspective</w:t>
      </w:r>
      <w:r w:rsidR="385C4E6C" w:rsidRPr="005C161A">
        <w:t xml:space="preserve"> that i</w:t>
      </w:r>
      <w:r w:rsidR="1A1E24CB" w:rsidRPr="005C161A">
        <w:t>s focussed on the protection and enhancement of the life supporting capacity of the environ</w:t>
      </w:r>
      <w:r w:rsidR="70DFA3BD" w:rsidRPr="005C161A">
        <w:t>ment.</w:t>
      </w:r>
    </w:p>
    <w:p w14:paraId="1656AF5A" w14:textId="1A93050A" w:rsidR="1019E55E" w:rsidRPr="005C161A" w:rsidRDefault="70DFA3BD" w:rsidP="00A247C5">
      <w:pPr>
        <w:pStyle w:val="Normal2"/>
      </w:pPr>
      <w:r w:rsidRPr="005C161A">
        <w:t>The reason for this particular focus is that unless the life supporting capacity of the environment is protected and enhanced</w:t>
      </w:r>
      <w:r w:rsidR="37E8587F" w:rsidRPr="005C161A">
        <w:t xml:space="preserve"> it is not possible to provide for the health needs of people and</w:t>
      </w:r>
      <w:r w:rsidR="2CF6DF0A" w:rsidRPr="005C161A">
        <w:t xml:space="preserve"> there is no foreseeable </w:t>
      </w:r>
      <w:r w:rsidR="4C3DFDC4" w:rsidRPr="005C161A">
        <w:t xml:space="preserve">long-term way for people and communities to provide for their social, </w:t>
      </w:r>
      <w:proofErr w:type="gramStart"/>
      <w:r w:rsidR="4C3DFDC4" w:rsidRPr="005C161A">
        <w:t>economic</w:t>
      </w:r>
      <w:proofErr w:type="gramEnd"/>
      <w:r w:rsidR="4C3DFDC4" w:rsidRPr="005C161A">
        <w:t xml:space="preserve"> and cultural wellbeing.</w:t>
      </w:r>
    </w:p>
    <w:p w14:paraId="53E80A78" w14:textId="0466359F" w:rsidR="5D05A740" w:rsidRPr="005C161A" w:rsidRDefault="581AAF33" w:rsidP="00A247C5">
      <w:pPr>
        <w:pStyle w:val="Normal2"/>
      </w:pPr>
      <w:r w:rsidRPr="005C161A">
        <w:t xml:space="preserve">These objectives, and the policies and methods that implement them, also give </w:t>
      </w:r>
      <w:r w:rsidR="6D95F3F5" w:rsidRPr="005C161A">
        <w:t xml:space="preserve">further </w:t>
      </w:r>
      <w:r w:rsidRPr="005C161A">
        <w:t xml:space="preserve">expression </w:t>
      </w:r>
      <w:proofErr w:type="gramStart"/>
      <w:r w:rsidRPr="005C161A">
        <w:t>to</w:t>
      </w:r>
      <w:proofErr w:type="gramEnd"/>
      <w:r w:rsidRPr="005C161A">
        <w:t xml:space="preserve"> and assist with the achievem</w:t>
      </w:r>
      <w:r w:rsidR="1D06F4FC" w:rsidRPr="005C161A">
        <w:t xml:space="preserve">ent of the resource management outcomes sought by </w:t>
      </w:r>
      <w:r w:rsidR="00C81816">
        <w:t>m</w:t>
      </w:r>
      <w:r w:rsidR="1D06F4FC" w:rsidRPr="005C161A">
        <w:t xml:space="preserve">ana </w:t>
      </w:r>
      <w:r w:rsidR="00C81816">
        <w:t>w</w:t>
      </w:r>
      <w:r w:rsidR="1D06F4FC" w:rsidRPr="005C161A">
        <w:t>henua.</w:t>
      </w:r>
    </w:p>
    <w:p w14:paraId="67311B18" w14:textId="5595FF8F" w:rsidR="00F41A16" w:rsidRPr="005C161A" w:rsidRDefault="00F41A16" w:rsidP="00A247C5">
      <w:pPr>
        <w:pStyle w:val="Normal2"/>
      </w:pPr>
      <w:r w:rsidRPr="005C161A">
        <w:t xml:space="preserve">The provisions of </w:t>
      </w:r>
      <w:r w:rsidR="00F947E5">
        <w:t xml:space="preserve">the PORPS 2021 </w:t>
      </w:r>
      <w:r w:rsidR="00B62AE7">
        <w:t xml:space="preserve">that </w:t>
      </w:r>
      <w:r w:rsidR="00F947E5">
        <w:t xml:space="preserve">implement </w:t>
      </w:r>
      <w:r w:rsidR="00B62AE7">
        <w:t>the IM objectives are set out below. The</w:t>
      </w:r>
      <w:r w:rsidR="00A72550">
        <w:t xml:space="preserve"> detailed evaluation of these</w:t>
      </w:r>
      <w:r w:rsidR="00B62AE7">
        <w:t xml:space="preserve"> provisions </w:t>
      </w:r>
      <w:r w:rsidR="00A72550">
        <w:t xml:space="preserve">is set out </w:t>
      </w:r>
      <w:r w:rsidR="00986C2B" w:rsidRPr="005C161A">
        <w:t xml:space="preserve">in Section </w:t>
      </w:r>
      <w:r w:rsidR="00CC0A8B">
        <w:fldChar w:fldCharType="begin"/>
      </w:r>
      <w:r w:rsidR="00CC0A8B">
        <w:instrText xml:space="preserve"> REF _Ref72669271 \r \h </w:instrText>
      </w:r>
      <w:r w:rsidR="00CC0A8B">
        <w:fldChar w:fldCharType="separate"/>
      </w:r>
      <w:r w:rsidR="002A7A16">
        <w:t>5.4</w:t>
      </w:r>
      <w:r w:rsidR="00CC0A8B">
        <w:fldChar w:fldCharType="end"/>
      </w:r>
      <w:r w:rsidR="00CC0A8B">
        <w:t xml:space="preserve"> </w:t>
      </w:r>
      <w:r w:rsidR="00986C2B" w:rsidRPr="005C161A">
        <w:t xml:space="preserve">of this </w:t>
      </w:r>
      <w:r w:rsidR="00A72550">
        <w:t>r</w:t>
      </w:r>
      <w:r w:rsidR="00986C2B" w:rsidRPr="005C161A">
        <w:t>eport</w:t>
      </w:r>
      <w:r w:rsidR="00A72550">
        <w:t>.</w:t>
      </w:r>
    </w:p>
    <w:p w14:paraId="175C96D0" w14:textId="4E2E6E50" w:rsidR="00F412DB" w:rsidRPr="005C161A" w:rsidRDefault="00805B5C" w:rsidP="00A247C5">
      <w:pPr>
        <w:pStyle w:val="Normal3"/>
      </w:pPr>
      <w:r w:rsidRPr="005C161A">
        <w:t>IM</w:t>
      </w:r>
      <w:r w:rsidR="00CC0A8B">
        <w:t>–</w:t>
      </w:r>
      <w:r w:rsidRPr="005C161A">
        <w:t>P1</w:t>
      </w:r>
      <w:r w:rsidR="0080057D" w:rsidRPr="005C161A">
        <w:t xml:space="preserve"> – Integrated </w:t>
      </w:r>
      <w:r w:rsidR="00163735" w:rsidRPr="005C161A">
        <w:t>a</w:t>
      </w:r>
      <w:r w:rsidR="0080057D" w:rsidRPr="005C161A">
        <w:t>pproach</w:t>
      </w:r>
    </w:p>
    <w:p w14:paraId="74FD02A4" w14:textId="6232C297" w:rsidR="0080057D" w:rsidRPr="005C161A" w:rsidRDefault="0080057D" w:rsidP="00A247C5">
      <w:pPr>
        <w:pStyle w:val="Normal3"/>
      </w:pPr>
      <w:r w:rsidRPr="005C161A">
        <w:t>IM</w:t>
      </w:r>
      <w:r w:rsidR="00CC0A8B">
        <w:t>–</w:t>
      </w:r>
      <w:r w:rsidRPr="005C161A">
        <w:t xml:space="preserve">P2 </w:t>
      </w:r>
      <w:r w:rsidR="00163735" w:rsidRPr="005C161A">
        <w:t>–</w:t>
      </w:r>
      <w:r w:rsidRPr="005C161A">
        <w:t xml:space="preserve"> </w:t>
      </w:r>
      <w:r w:rsidR="00163735" w:rsidRPr="005C161A">
        <w:t>Decision priorities</w:t>
      </w:r>
    </w:p>
    <w:p w14:paraId="4D0F1C1B" w14:textId="119C0464" w:rsidR="00163735" w:rsidRPr="005C161A" w:rsidRDefault="00163735" w:rsidP="00A247C5">
      <w:pPr>
        <w:pStyle w:val="Normal3"/>
      </w:pPr>
      <w:r w:rsidRPr="005C161A">
        <w:t>IM</w:t>
      </w:r>
      <w:r w:rsidR="00CC0A8B">
        <w:t>–</w:t>
      </w:r>
      <w:r w:rsidRPr="005C161A">
        <w:t xml:space="preserve">P3 </w:t>
      </w:r>
      <w:r w:rsidR="00EE4435" w:rsidRPr="005C161A">
        <w:t>–</w:t>
      </w:r>
      <w:r w:rsidRPr="005C161A">
        <w:t xml:space="preserve"> </w:t>
      </w:r>
      <w:r w:rsidR="00EE4435" w:rsidRPr="005C161A">
        <w:t xml:space="preserve">Providing for </w:t>
      </w:r>
      <w:r w:rsidR="00A40491" w:rsidRPr="00A40491">
        <w:rPr>
          <w:iCs/>
        </w:rPr>
        <w:t>mana whenua</w:t>
      </w:r>
      <w:r w:rsidR="00A40491">
        <w:t xml:space="preserve"> </w:t>
      </w:r>
      <w:r w:rsidR="00EE4435" w:rsidRPr="005C161A">
        <w:t>cultural values in achieving integrated management</w:t>
      </w:r>
    </w:p>
    <w:p w14:paraId="421CBDA6" w14:textId="11B82434" w:rsidR="00EE4435" w:rsidRPr="005C161A" w:rsidRDefault="00EE4435" w:rsidP="00A247C5">
      <w:pPr>
        <w:pStyle w:val="Normal3"/>
      </w:pPr>
      <w:r w:rsidRPr="005C161A">
        <w:t>IM</w:t>
      </w:r>
      <w:r w:rsidR="00CC0A8B">
        <w:t>–</w:t>
      </w:r>
      <w:r w:rsidRPr="005C161A">
        <w:t xml:space="preserve">P4 </w:t>
      </w:r>
      <w:r w:rsidR="00CD2A9C" w:rsidRPr="005C161A">
        <w:t>–</w:t>
      </w:r>
      <w:r w:rsidRPr="005C161A">
        <w:t xml:space="preserve"> </w:t>
      </w:r>
      <w:r w:rsidR="00CD2A9C" w:rsidRPr="005C161A">
        <w:t>Setting a strategic approach to ecosystem health</w:t>
      </w:r>
    </w:p>
    <w:p w14:paraId="3CA6CACB" w14:textId="383765FB" w:rsidR="00CD2A9C" w:rsidRPr="005C161A" w:rsidRDefault="00CD2A9C" w:rsidP="00A247C5">
      <w:pPr>
        <w:pStyle w:val="Normal3"/>
      </w:pPr>
      <w:r w:rsidRPr="005C161A">
        <w:t>IM</w:t>
      </w:r>
      <w:r w:rsidR="00CC0A8B">
        <w:t>–</w:t>
      </w:r>
      <w:r w:rsidRPr="005C161A">
        <w:t>P5 – Managing environmental interconnections</w:t>
      </w:r>
    </w:p>
    <w:p w14:paraId="60401114" w14:textId="5BA6BC2C" w:rsidR="00664A5A" w:rsidRPr="005C161A" w:rsidRDefault="00664A5A" w:rsidP="00A247C5">
      <w:pPr>
        <w:pStyle w:val="Normal3"/>
      </w:pPr>
      <w:r w:rsidRPr="005C161A">
        <w:t>IM</w:t>
      </w:r>
      <w:r w:rsidR="00CC0A8B">
        <w:t>–</w:t>
      </w:r>
      <w:r w:rsidRPr="005C161A">
        <w:t>P6 – Acting on best available information</w:t>
      </w:r>
    </w:p>
    <w:p w14:paraId="49A59B71" w14:textId="29AC1750" w:rsidR="00664A5A" w:rsidRPr="005C161A" w:rsidRDefault="00664A5A" w:rsidP="00A247C5">
      <w:pPr>
        <w:pStyle w:val="Normal3"/>
      </w:pPr>
      <w:r w:rsidRPr="005C161A">
        <w:t>IM</w:t>
      </w:r>
      <w:r w:rsidR="00CC0A8B">
        <w:t>–</w:t>
      </w:r>
      <w:r w:rsidRPr="005C161A">
        <w:t xml:space="preserve">P7 </w:t>
      </w:r>
      <w:r w:rsidR="007859E0" w:rsidRPr="005C161A">
        <w:t>–</w:t>
      </w:r>
      <w:r w:rsidRPr="005C161A">
        <w:t xml:space="preserve"> </w:t>
      </w:r>
      <w:r w:rsidR="007859E0" w:rsidRPr="005C161A">
        <w:t>Cross boundary management</w:t>
      </w:r>
    </w:p>
    <w:p w14:paraId="77A0FA3E" w14:textId="0F8E2E0D" w:rsidR="007859E0" w:rsidRPr="005C161A" w:rsidRDefault="007859E0" w:rsidP="00A247C5">
      <w:pPr>
        <w:pStyle w:val="Normal3"/>
      </w:pPr>
      <w:r w:rsidRPr="005C161A">
        <w:t>IM</w:t>
      </w:r>
      <w:r w:rsidR="00CC0A8B">
        <w:t>–</w:t>
      </w:r>
      <w:r w:rsidRPr="005C161A">
        <w:t>P8 – Climate change impacts</w:t>
      </w:r>
    </w:p>
    <w:p w14:paraId="1090FDD5" w14:textId="1F7461BE" w:rsidR="0019265D" w:rsidRPr="005C161A" w:rsidRDefault="0019265D" w:rsidP="00A247C5">
      <w:pPr>
        <w:pStyle w:val="Normal3"/>
      </w:pPr>
      <w:r w:rsidRPr="005C161A">
        <w:t>IM</w:t>
      </w:r>
      <w:r w:rsidR="00CC0A8B">
        <w:t>–</w:t>
      </w:r>
      <w:r w:rsidRPr="005C161A">
        <w:t xml:space="preserve">P9 </w:t>
      </w:r>
      <w:r w:rsidR="00E74A82" w:rsidRPr="005C161A">
        <w:t>–</w:t>
      </w:r>
      <w:r w:rsidRPr="005C161A">
        <w:t xml:space="preserve"> </w:t>
      </w:r>
      <w:r w:rsidR="00311964">
        <w:t>Community response to climate change impacts</w:t>
      </w:r>
    </w:p>
    <w:p w14:paraId="7D6C24F6" w14:textId="12BF837E" w:rsidR="00E74A82" w:rsidRPr="005C161A" w:rsidRDefault="00E74A82" w:rsidP="00A247C5">
      <w:pPr>
        <w:pStyle w:val="Normal3"/>
      </w:pPr>
      <w:r w:rsidRPr="005C161A">
        <w:t>IM</w:t>
      </w:r>
      <w:r w:rsidR="00CC0A8B">
        <w:t>–</w:t>
      </w:r>
      <w:r w:rsidRPr="005C161A">
        <w:t>P</w:t>
      </w:r>
      <w:r w:rsidR="00375443" w:rsidRPr="005C161A">
        <w:t xml:space="preserve">10 – </w:t>
      </w:r>
      <w:r w:rsidR="0021541B" w:rsidRPr="005C161A">
        <w:t>Climate</w:t>
      </w:r>
      <w:r w:rsidR="00375443" w:rsidRPr="005C161A">
        <w:t xml:space="preserve"> change adaptation and</w:t>
      </w:r>
      <w:r w:rsidR="00CF35FE" w:rsidRPr="005C161A">
        <w:t xml:space="preserve"> mitigation</w:t>
      </w:r>
    </w:p>
    <w:p w14:paraId="3A2AB065" w14:textId="02295DBD" w:rsidR="00CF35FE" w:rsidRPr="005C161A" w:rsidRDefault="00CF35FE" w:rsidP="00A247C5">
      <w:pPr>
        <w:pStyle w:val="Normal3"/>
      </w:pPr>
      <w:r w:rsidRPr="005C161A">
        <w:t>IM</w:t>
      </w:r>
      <w:r w:rsidR="00CC0A8B">
        <w:t>–</w:t>
      </w:r>
      <w:r w:rsidRPr="005C161A">
        <w:t>P11 – Enhancing environmental resilience to effects of climate change</w:t>
      </w:r>
    </w:p>
    <w:p w14:paraId="29847ED9" w14:textId="3187064B" w:rsidR="00CF35FE" w:rsidRPr="005C161A" w:rsidRDefault="00CF35FE" w:rsidP="00A247C5">
      <w:pPr>
        <w:pStyle w:val="Normal3"/>
      </w:pPr>
      <w:r w:rsidRPr="005C161A">
        <w:t>IM</w:t>
      </w:r>
      <w:r w:rsidR="00CC0A8B">
        <w:t>–</w:t>
      </w:r>
      <w:r w:rsidRPr="005C161A">
        <w:t xml:space="preserve">P12 </w:t>
      </w:r>
      <w:r w:rsidR="00EC2265" w:rsidRPr="005C161A">
        <w:t>–</w:t>
      </w:r>
      <w:r w:rsidRPr="005C161A">
        <w:t xml:space="preserve"> </w:t>
      </w:r>
      <w:r w:rsidR="00EC2265" w:rsidRPr="005C161A">
        <w:t>Contravening environmental bottom lines for climate change mitigation</w:t>
      </w:r>
    </w:p>
    <w:p w14:paraId="063A832A" w14:textId="0F53393B" w:rsidR="0021541B" w:rsidRPr="005C161A" w:rsidRDefault="0021541B" w:rsidP="00A247C5">
      <w:pPr>
        <w:pStyle w:val="Normal3"/>
      </w:pPr>
      <w:r w:rsidRPr="005C161A">
        <w:t>IM</w:t>
      </w:r>
      <w:r w:rsidR="00CC0A8B">
        <w:t>–</w:t>
      </w:r>
      <w:r w:rsidRPr="005C161A">
        <w:t>P13 – Managing cumulative effects</w:t>
      </w:r>
    </w:p>
    <w:p w14:paraId="2D2DFC06" w14:textId="2800ABD1" w:rsidR="0012696D" w:rsidRPr="005C161A" w:rsidRDefault="0012696D" w:rsidP="00A247C5">
      <w:pPr>
        <w:pStyle w:val="Normal3"/>
      </w:pPr>
      <w:r w:rsidRPr="005C161A">
        <w:t>IM</w:t>
      </w:r>
      <w:r w:rsidR="00CC0A8B">
        <w:t>–</w:t>
      </w:r>
      <w:r w:rsidRPr="005C161A">
        <w:t xml:space="preserve">P14 – Human </w:t>
      </w:r>
      <w:r w:rsidR="00E87D77" w:rsidRPr="005C161A">
        <w:t>impact</w:t>
      </w:r>
    </w:p>
    <w:p w14:paraId="5CED5EDD" w14:textId="045E82D0" w:rsidR="0012696D" w:rsidRPr="005C161A" w:rsidRDefault="0012696D" w:rsidP="00A247C5">
      <w:pPr>
        <w:pStyle w:val="Normal3"/>
      </w:pPr>
      <w:r w:rsidRPr="005C161A">
        <w:t>IM</w:t>
      </w:r>
      <w:r w:rsidR="00CC0A8B">
        <w:t>–</w:t>
      </w:r>
      <w:r w:rsidRPr="005C161A">
        <w:t>P15 – Precautionary approach</w:t>
      </w:r>
    </w:p>
    <w:p w14:paraId="240DAE1A" w14:textId="31C76977" w:rsidR="002E78DB" w:rsidRPr="005C161A" w:rsidRDefault="002E78DB" w:rsidP="00A247C5">
      <w:pPr>
        <w:pStyle w:val="Normal3"/>
      </w:pPr>
      <w:r w:rsidRPr="005C161A">
        <w:t>IM</w:t>
      </w:r>
      <w:r w:rsidR="00CC0A8B">
        <w:t>–</w:t>
      </w:r>
      <w:r w:rsidRPr="005C161A">
        <w:t>M1 – Regional and district plans</w:t>
      </w:r>
    </w:p>
    <w:p w14:paraId="6ECA1124" w14:textId="28766604" w:rsidR="00C557DC" w:rsidRPr="005C161A" w:rsidRDefault="00C557DC" w:rsidP="00A247C5">
      <w:pPr>
        <w:pStyle w:val="Normal3"/>
      </w:pPr>
      <w:r w:rsidRPr="005C161A">
        <w:t>IM</w:t>
      </w:r>
      <w:r w:rsidR="00CC0A8B">
        <w:t>–</w:t>
      </w:r>
      <w:r w:rsidRPr="005C161A">
        <w:t>M2 – Relationships</w:t>
      </w:r>
    </w:p>
    <w:p w14:paraId="1946F49D" w14:textId="317FC366" w:rsidR="00C557DC" w:rsidRPr="005C161A" w:rsidRDefault="00E203BB" w:rsidP="00A247C5">
      <w:pPr>
        <w:pStyle w:val="Normal3"/>
      </w:pPr>
      <w:r w:rsidRPr="005C161A">
        <w:t>IM</w:t>
      </w:r>
      <w:r w:rsidR="00CC0A8B">
        <w:t>–</w:t>
      </w:r>
      <w:r w:rsidRPr="005C161A">
        <w:t>M3 – Identification of climate change impacts and community guidance</w:t>
      </w:r>
    </w:p>
    <w:p w14:paraId="78C6CDE0" w14:textId="4F24F314" w:rsidR="00196D4F" w:rsidRPr="005C161A" w:rsidRDefault="00196D4F" w:rsidP="00A247C5">
      <w:pPr>
        <w:pStyle w:val="Normal3"/>
      </w:pPr>
      <w:r w:rsidRPr="005C161A">
        <w:t>IM</w:t>
      </w:r>
      <w:r w:rsidR="00CC0A8B">
        <w:t>–</w:t>
      </w:r>
      <w:r w:rsidRPr="005C161A">
        <w:t>M4 – Climate change response</w:t>
      </w:r>
    </w:p>
    <w:p w14:paraId="0E047963" w14:textId="02869C94" w:rsidR="007A7F18" w:rsidRPr="005C161A" w:rsidRDefault="007A7F18" w:rsidP="00A247C5">
      <w:pPr>
        <w:pStyle w:val="Normal3"/>
      </w:pPr>
      <w:r w:rsidRPr="005C161A">
        <w:t>IM</w:t>
      </w:r>
      <w:r w:rsidR="00CC0A8B">
        <w:t>–</w:t>
      </w:r>
      <w:r w:rsidRPr="005C161A">
        <w:t>M5 – Other methods</w:t>
      </w:r>
    </w:p>
    <w:p w14:paraId="1873D059" w14:textId="16F6A242" w:rsidR="33FCF0A2" w:rsidRPr="005C161A" w:rsidRDefault="581AAF33" w:rsidP="00A247C5">
      <w:pPr>
        <w:pStyle w:val="Normal2"/>
        <w:rPr>
          <w:rFonts w:eastAsiaTheme="minorEastAsia"/>
        </w:rPr>
      </w:pPr>
      <w:r w:rsidRPr="005C161A">
        <w:t xml:space="preserve">Given </w:t>
      </w:r>
      <w:r w:rsidR="51A30B19" w:rsidRPr="005C161A">
        <w:t xml:space="preserve">their </w:t>
      </w:r>
      <w:r w:rsidRPr="005C161A">
        <w:t>overarching position within the PORPS</w:t>
      </w:r>
      <w:r w:rsidR="00CC0A8B">
        <w:t xml:space="preserve"> 2021</w:t>
      </w:r>
      <w:r w:rsidRPr="005C161A">
        <w:t xml:space="preserve">, </w:t>
      </w:r>
      <w:r w:rsidR="0DF445C5" w:rsidRPr="005C161A">
        <w:t xml:space="preserve">the </w:t>
      </w:r>
      <w:r w:rsidR="00921EA1">
        <w:t>IM</w:t>
      </w:r>
      <w:r w:rsidR="0DF445C5" w:rsidRPr="005C161A">
        <w:t xml:space="preserve"> objectives</w:t>
      </w:r>
      <w:r w:rsidR="6C12976A" w:rsidRPr="005C161A">
        <w:t xml:space="preserve"> are to be achieved through implementing the policies and methods set out within the </w:t>
      </w:r>
      <w:r w:rsidR="00CC0A8B">
        <w:rPr>
          <w:i/>
          <w:iCs/>
        </w:rPr>
        <w:t>IM – Integrated management</w:t>
      </w:r>
      <w:r w:rsidR="00CC0A8B">
        <w:t xml:space="preserve"> chapter</w:t>
      </w:r>
      <w:r w:rsidR="6C12976A" w:rsidRPr="005C161A">
        <w:t xml:space="preserve"> along with applying the principles expressed in that Chapte</w:t>
      </w:r>
      <w:r w:rsidR="0E49956B" w:rsidRPr="005C161A">
        <w:t xml:space="preserve">r when reading, </w:t>
      </w:r>
      <w:proofErr w:type="gramStart"/>
      <w:r w:rsidR="0E49956B" w:rsidRPr="005C161A">
        <w:t>interpreting</w:t>
      </w:r>
      <w:proofErr w:type="gramEnd"/>
      <w:r w:rsidR="0E49956B" w:rsidRPr="005C161A">
        <w:t xml:space="preserve"> and implementing all other provisions within the PORPS</w:t>
      </w:r>
      <w:r w:rsidR="00CC0A8B">
        <w:t xml:space="preserve"> 2021</w:t>
      </w:r>
      <w:r w:rsidR="0E49956B" w:rsidRPr="005C161A">
        <w:t>.</w:t>
      </w:r>
      <w:r w:rsidR="42B4448E" w:rsidRPr="005C161A">
        <w:t xml:space="preserve">  By approaching the PORPS </w:t>
      </w:r>
      <w:r w:rsidR="00CC0A8B">
        <w:t xml:space="preserve">2021 </w:t>
      </w:r>
      <w:r w:rsidR="42B4448E" w:rsidRPr="005C161A">
        <w:t xml:space="preserve">and its implementation in this manner </w:t>
      </w:r>
      <w:r w:rsidR="171B0F80" w:rsidRPr="005C161A">
        <w:t xml:space="preserve">all </w:t>
      </w:r>
      <w:r w:rsidR="080F490C" w:rsidRPr="005C161A">
        <w:t xml:space="preserve">its </w:t>
      </w:r>
      <w:r w:rsidR="171B0F80" w:rsidRPr="005C161A">
        <w:t xml:space="preserve">provisions will positively contribute to </w:t>
      </w:r>
      <w:r w:rsidR="00DE2A2F">
        <w:t>achieving the purpose of the RMA</w:t>
      </w:r>
      <w:r w:rsidR="401CD776" w:rsidRPr="005C161A">
        <w:t>.</w:t>
      </w:r>
    </w:p>
    <w:p w14:paraId="130E255F" w14:textId="3ED4F1AF" w:rsidR="13F72226" w:rsidRPr="005C161A" w:rsidRDefault="56E70E97" w:rsidP="00A247C5">
      <w:pPr>
        <w:pStyle w:val="Normal2"/>
      </w:pPr>
      <w:r w:rsidRPr="005C161A">
        <w:t xml:space="preserve">Section </w:t>
      </w:r>
      <w:r w:rsidR="00CC0A8B">
        <w:fldChar w:fldCharType="begin"/>
      </w:r>
      <w:r w:rsidR="00CC0A8B">
        <w:instrText xml:space="preserve"> REF _Ref72669335 \r \h </w:instrText>
      </w:r>
      <w:r w:rsidR="00CC0A8B">
        <w:fldChar w:fldCharType="separate"/>
      </w:r>
      <w:r w:rsidR="002A7A16">
        <w:t>5.4</w:t>
      </w:r>
      <w:r w:rsidR="00CC0A8B">
        <w:fldChar w:fldCharType="end"/>
      </w:r>
      <w:r w:rsidR="00CC0A8B">
        <w:t xml:space="preserve"> </w:t>
      </w:r>
      <w:r w:rsidRPr="005C161A">
        <w:t xml:space="preserve">of this </w:t>
      </w:r>
      <w:r w:rsidR="00CC0A8B">
        <w:t>r</w:t>
      </w:r>
      <w:r w:rsidRPr="005C161A">
        <w:t xml:space="preserve">eport contains an evaluation of the policies and methods set out in the </w:t>
      </w:r>
      <w:r w:rsidR="00CC0A8B">
        <w:rPr>
          <w:i/>
          <w:iCs/>
        </w:rPr>
        <w:t xml:space="preserve">IM – Integrated management </w:t>
      </w:r>
      <w:r w:rsidR="00CC0A8B">
        <w:t>chapter</w:t>
      </w:r>
      <w:r w:rsidRPr="005C161A">
        <w:t xml:space="preserve"> of the PORPS</w:t>
      </w:r>
      <w:r w:rsidR="00CC0A8B">
        <w:t xml:space="preserve"> 2021</w:t>
      </w:r>
      <w:r w:rsidRPr="005C161A">
        <w:t>.  Other sections</w:t>
      </w:r>
      <w:r w:rsidR="2B2767D7" w:rsidRPr="005C161A">
        <w:t xml:space="preserve"> in Part </w:t>
      </w:r>
      <w:r w:rsidR="00DE2A2F">
        <w:t>5</w:t>
      </w:r>
      <w:r w:rsidR="2B2767D7" w:rsidRPr="005C161A">
        <w:t xml:space="preserve"> of this Report contain the evaluation of the other provisions</w:t>
      </w:r>
      <w:r w:rsidR="6AA6E433" w:rsidRPr="005C161A">
        <w:t xml:space="preserve"> (policies and methods) that will also contribute to the attainment of these overarching integr</w:t>
      </w:r>
      <w:r w:rsidR="614082C3" w:rsidRPr="005C161A">
        <w:t>ated management objectives.</w:t>
      </w:r>
    </w:p>
    <w:p w14:paraId="42DF1D17" w14:textId="193F6FF3" w:rsidR="78359E64" w:rsidRPr="00C46997" w:rsidRDefault="05BBE44C" w:rsidP="00A247C5">
      <w:pPr>
        <w:pStyle w:val="Normal2"/>
      </w:pPr>
      <w:r w:rsidRPr="005C161A">
        <w:lastRenderedPageBreak/>
        <w:t xml:space="preserve">The purpose of the PORPS </w:t>
      </w:r>
      <w:r w:rsidR="00CC0A8B">
        <w:t xml:space="preserve">2021 </w:t>
      </w:r>
      <w:r w:rsidRPr="005C161A">
        <w:t>is to achieve the purpose of the RMA.  The format and style of the PORPS</w:t>
      </w:r>
      <w:r w:rsidR="00CC0A8B">
        <w:t xml:space="preserve"> 2021</w:t>
      </w:r>
      <w:r w:rsidRPr="005C161A">
        <w:t xml:space="preserve">, as required by the </w:t>
      </w:r>
      <w:r w:rsidR="6B9AA7D6" w:rsidRPr="005C161A">
        <w:t>Planning Standards, lends itself to the inclusion of a suite of integrated management provision</w:t>
      </w:r>
      <w:r w:rsidR="00744F73">
        <w:t>s</w:t>
      </w:r>
      <w:r w:rsidR="10243C31" w:rsidRPr="005C161A">
        <w:t xml:space="preserve"> so that sight is not lost of the single purpose of the RMA.  </w:t>
      </w:r>
      <w:r w:rsidR="0DFD11D5" w:rsidRPr="005C161A">
        <w:t xml:space="preserve">Implementation of these integrated management objectives will not be without costs.  These costs will arise through the preparation of </w:t>
      </w:r>
      <w:r w:rsidR="71ED94DD" w:rsidRPr="005C161A">
        <w:t>subordinate regulation and, ultimately, through the various</w:t>
      </w:r>
      <w:r w:rsidR="49BAEC09" w:rsidRPr="005C161A">
        <w:t xml:space="preserve"> processes (application preparation and processing) in respect of </w:t>
      </w:r>
      <w:r w:rsidR="71ED94DD" w:rsidRPr="005C161A">
        <w:t>resource</w:t>
      </w:r>
      <w:r w:rsidR="5FADED24" w:rsidRPr="005C161A">
        <w:t xml:space="preserve"> consents.  They are not, however, able to be classified as unexpected.  The requirement for an integrated approach to resource management within Otago has been present since 1991 when the RM</w:t>
      </w:r>
      <w:r w:rsidR="23171FD7" w:rsidRPr="005C161A">
        <w:t>A became law.</w:t>
      </w:r>
    </w:p>
    <w:p w14:paraId="6C1BBEF3" w14:textId="34824C99" w:rsidR="1E631982" w:rsidRPr="00C46997" w:rsidRDefault="23171FD7" w:rsidP="00A247C5">
      <w:pPr>
        <w:pStyle w:val="Normal2"/>
      </w:pPr>
      <w:r w:rsidRPr="005C161A">
        <w:t>While there might be costs linked to an integrated management approach, there are also benefits.  In the main, the benefits accrue to the environment</w:t>
      </w:r>
      <w:r w:rsidR="5969D26F" w:rsidRPr="005C161A">
        <w:t xml:space="preserve"> and arise from </w:t>
      </w:r>
      <w:r w:rsidR="5F2A0EFF" w:rsidRPr="005C161A">
        <w:t>the adoption of holistic approaches to the</w:t>
      </w:r>
      <w:r w:rsidR="6DB68D97" w:rsidRPr="00C46997">
        <w:t xml:space="preserve"> use, development, and protection of natural and physical resources</w:t>
      </w:r>
      <w:r w:rsidR="6DB68D97" w:rsidRPr="005C161A">
        <w:t xml:space="preserve"> where all the implications of each proposal are considered</w:t>
      </w:r>
      <w:r w:rsidR="654D17E2" w:rsidRPr="005C161A">
        <w:t>.</w:t>
      </w:r>
      <w:r w:rsidR="1060CBFD" w:rsidRPr="005C161A">
        <w:t xml:space="preserve">  At a regional level, these benefits are considered to significantly outweigh any costs of having to implement an integrated approach to resource management</w:t>
      </w:r>
      <w:r w:rsidR="528800C1" w:rsidRPr="005C161A">
        <w:t>.</w:t>
      </w:r>
      <w:r w:rsidR="00F25887">
        <w:t xml:space="preserve"> The evaluations set out in </w:t>
      </w:r>
      <w:r w:rsidR="00595DD9">
        <w:t>Section 5 of this report also indicate that the provisions of the PORPS 2021 are effective methods to achieve the objectives, demonstrating that the proposed objectives are feasible.</w:t>
      </w:r>
    </w:p>
    <w:p w14:paraId="77BCDC7E" w14:textId="6D075C61" w:rsidR="24549181" w:rsidRPr="005C161A" w:rsidRDefault="6B750914" w:rsidP="00A247C5">
      <w:pPr>
        <w:pStyle w:val="Normal2"/>
        <w:rPr>
          <w:rFonts w:eastAsiaTheme="minorEastAsia"/>
        </w:rPr>
      </w:pPr>
      <w:r w:rsidRPr="005C161A">
        <w:t xml:space="preserve">When taken in the context of the PORPS </w:t>
      </w:r>
      <w:proofErr w:type="gramStart"/>
      <w:r w:rsidR="00C46997">
        <w:t xml:space="preserve">2021 </w:t>
      </w:r>
      <w:r w:rsidRPr="005C161A">
        <w:t>as a whole, and</w:t>
      </w:r>
      <w:proofErr w:type="gramEnd"/>
      <w:r w:rsidRPr="005C161A">
        <w:t xml:space="preserve"> in recognition of sections 5, 30 and 59 of the RMA 1991, the integrated management objectives are a necessary inclusion</w:t>
      </w:r>
      <w:r w:rsidR="00A77B6B">
        <w:t>, and are therefore considered to be appropriate and acceptable</w:t>
      </w:r>
      <w:r w:rsidRPr="005C161A">
        <w:t xml:space="preserve">.  Given these IM objectives are process </w:t>
      </w:r>
      <w:proofErr w:type="gramStart"/>
      <w:r w:rsidRPr="005C161A">
        <w:t>focussed, and</w:t>
      </w:r>
      <w:proofErr w:type="gramEnd"/>
      <w:r w:rsidRPr="005C161A">
        <w:t xml:space="preserve"> direct an approach to resource management that is to be achieved across all domains and topics within the PORPS, their particular focus and phrasing is considered to be the most appropriate way of achieving the single purpose of the RMA.</w:t>
      </w:r>
    </w:p>
    <w:p w14:paraId="6A96FE52" w14:textId="178B7967" w:rsidR="006D7939" w:rsidRDefault="009F3F14" w:rsidP="0082271A">
      <w:pPr>
        <w:pStyle w:val="Heading3"/>
      </w:pPr>
      <w:r>
        <w:t>AIR – Air</w:t>
      </w:r>
    </w:p>
    <w:p w14:paraId="6E48AE6B" w14:textId="1A534F21" w:rsidR="00E600A3" w:rsidRDefault="0015712A" w:rsidP="00A247C5">
      <w:pPr>
        <w:pStyle w:val="Normal2"/>
      </w:pPr>
      <w:r>
        <w:t xml:space="preserve">The management of </w:t>
      </w:r>
      <w:r w:rsidR="00B843CE">
        <w:t xml:space="preserve">discharges to air </w:t>
      </w:r>
      <w:r>
        <w:t>is a function of regional councils</w:t>
      </w:r>
      <w:r w:rsidR="004C1C3E">
        <w:t>,</w:t>
      </w:r>
      <w:r>
        <w:t xml:space="preserve"> as </w:t>
      </w:r>
      <w:r w:rsidR="0062485D">
        <w:t>specified in section 30</w:t>
      </w:r>
      <w:r w:rsidR="005E1E89">
        <w:t>(f)</w:t>
      </w:r>
      <w:r w:rsidR="0062485D">
        <w:t xml:space="preserve"> of the </w:t>
      </w:r>
      <w:r w:rsidR="00595DD9">
        <w:t>RMA.</w:t>
      </w:r>
      <w:r w:rsidR="0062485D">
        <w:t xml:space="preserve"> </w:t>
      </w:r>
      <w:r w:rsidR="00A423EA">
        <w:t>The</w:t>
      </w:r>
      <w:r w:rsidR="005E1E89">
        <w:t xml:space="preserve"> AIR chapter of the PORPS contains </w:t>
      </w:r>
      <w:r w:rsidR="00A15AE8">
        <w:t>two</w:t>
      </w:r>
      <w:r w:rsidR="005E1E89">
        <w:t xml:space="preserve"> objectives, which collectively </w:t>
      </w:r>
      <w:r w:rsidR="00FF541F">
        <w:t xml:space="preserve">provide for sustainable management of air </w:t>
      </w:r>
      <w:r w:rsidR="00461B42">
        <w:t>in the Otago region</w:t>
      </w:r>
      <w:r w:rsidR="00FF541F">
        <w:t>.</w:t>
      </w:r>
      <w:r w:rsidR="00A423EA">
        <w:t xml:space="preserve"> </w:t>
      </w:r>
      <w:r w:rsidR="00FF541F">
        <w:t>Table 6</w:t>
      </w:r>
      <w:r w:rsidR="00A423EA">
        <w:t xml:space="preserve"> below details the </w:t>
      </w:r>
      <w:r w:rsidR="00895FC5">
        <w:t>assessment</w:t>
      </w:r>
      <w:r w:rsidR="00A423EA">
        <w:t xml:space="preserve"> of the objectives for the A</w:t>
      </w:r>
      <w:r w:rsidR="00FF541F">
        <w:t>IR</w:t>
      </w:r>
      <w:r w:rsidR="00A423EA">
        <w:t xml:space="preserve"> chapter. </w:t>
      </w:r>
      <w:r w:rsidR="00CB3BD5">
        <w:t xml:space="preserve">The objectives give effect to the </w:t>
      </w:r>
      <w:r w:rsidR="0062485D">
        <w:t>RMA</w:t>
      </w:r>
      <w:r w:rsidR="00CB3BD5">
        <w:t xml:space="preserve"> and </w:t>
      </w:r>
      <w:r w:rsidR="00F6013C">
        <w:t xml:space="preserve">National </w:t>
      </w:r>
      <w:r w:rsidR="00FF6104">
        <w:t>Environmental</w:t>
      </w:r>
      <w:r w:rsidR="00F6013C">
        <w:t xml:space="preserve"> </w:t>
      </w:r>
      <w:r w:rsidR="00FF6104">
        <w:t>Standards</w:t>
      </w:r>
      <w:r w:rsidR="00F6013C">
        <w:t xml:space="preserve"> for Air Quality </w:t>
      </w:r>
      <w:r w:rsidR="00FF6104">
        <w:t>2004</w:t>
      </w:r>
      <w:r w:rsidR="00EA1154">
        <w:t>. At a regional level</w:t>
      </w:r>
      <w:r w:rsidR="003A1BDC">
        <w:t>,</w:t>
      </w:r>
      <w:r w:rsidR="00EA1154">
        <w:t xml:space="preserve"> the objectives </w:t>
      </w:r>
      <w:r w:rsidR="003A1BDC">
        <w:t xml:space="preserve">also </w:t>
      </w:r>
      <w:r w:rsidR="009258C5">
        <w:t>address significant resource management issues</w:t>
      </w:r>
      <w:r w:rsidR="003A1BDC">
        <w:t xml:space="preserve"> raised during consultation, and in response to clause 3 and 4A consultation. </w:t>
      </w:r>
    </w:p>
    <w:p w14:paraId="3AECB639" w14:textId="77777777" w:rsidR="00E600A3" w:rsidRDefault="00E600A3" w:rsidP="00A247C5">
      <w:pPr>
        <w:pStyle w:val="Normal2"/>
        <w:numPr>
          <w:ilvl w:val="0"/>
          <w:numId w:val="0"/>
        </w:numPr>
        <w:ind w:left="720"/>
      </w:pPr>
    </w:p>
    <w:p w14:paraId="7D6747A0" w14:textId="1603DFE3" w:rsidR="00EC6EE7" w:rsidRDefault="00EC6EE7" w:rsidP="00DB41DB">
      <w:pPr>
        <w:pStyle w:val="Caption"/>
      </w:pPr>
      <w:r>
        <w:t xml:space="preserve">Table </w:t>
      </w:r>
      <w:r>
        <w:fldChar w:fldCharType="begin"/>
      </w:r>
      <w:r>
        <w:instrText>SEQ Table \* ARABIC</w:instrText>
      </w:r>
      <w:r>
        <w:fldChar w:fldCharType="separate"/>
      </w:r>
      <w:r w:rsidR="002A7A16">
        <w:rPr>
          <w:noProof/>
        </w:rPr>
        <w:t>6</w:t>
      </w:r>
      <w:r>
        <w:fldChar w:fldCharType="end"/>
      </w:r>
      <w:r>
        <w:t xml:space="preserve">: </w:t>
      </w:r>
      <w:r w:rsidRPr="00F26F5E">
        <w:t xml:space="preserve">Assessment of </w:t>
      </w:r>
      <w:r>
        <w:t>AIR</w:t>
      </w:r>
      <w:r w:rsidRPr="00F26F5E">
        <w:t xml:space="preserve"> objectives</w:t>
      </w:r>
    </w:p>
    <w:tbl>
      <w:tblPr>
        <w:tblStyle w:val="TableGrid"/>
        <w:tblW w:w="0" w:type="auto"/>
        <w:tblLook w:val="04A0" w:firstRow="1" w:lastRow="0" w:firstColumn="1" w:lastColumn="0" w:noHBand="0" w:noVBand="1"/>
      </w:tblPr>
      <w:tblGrid>
        <w:gridCol w:w="3489"/>
        <w:gridCol w:w="5527"/>
      </w:tblGrid>
      <w:tr w:rsidR="000F64D6" w:rsidRPr="00462638" w14:paraId="36EC350F" w14:textId="77777777" w:rsidTr="0093339F">
        <w:tc>
          <w:tcPr>
            <w:tcW w:w="3489" w:type="dxa"/>
            <w:shd w:val="clear" w:color="auto" w:fill="B4C6E7" w:themeFill="accent1" w:themeFillTint="66"/>
          </w:tcPr>
          <w:p w14:paraId="01471D0B" w14:textId="77777777" w:rsidR="000F64D6" w:rsidRPr="00930CFC" w:rsidRDefault="000F64D6" w:rsidP="00A247C5">
            <w:pPr>
              <w:pStyle w:val="Table1"/>
              <w:rPr>
                <w:b/>
                <w:bCs/>
              </w:rPr>
            </w:pPr>
            <w:r w:rsidRPr="00930CFC">
              <w:rPr>
                <w:b/>
                <w:bCs/>
              </w:rPr>
              <w:t>Objective</w:t>
            </w:r>
          </w:p>
        </w:tc>
        <w:tc>
          <w:tcPr>
            <w:tcW w:w="5527" w:type="dxa"/>
            <w:shd w:val="clear" w:color="auto" w:fill="B4C6E7" w:themeFill="accent1" w:themeFillTint="66"/>
          </w:tcPr>
          <w:p w14:paraId="2031F0B6" w14:textId="77777777" w:rsidR="000F64D6" w:rsidRPr="00930CFC" w:rsidRDefault="000F64D6" w:rsidP="00A247C5">
            <w:pPr>
              <w:pStyle w:val="Table1"/>
              <w:rPr>
                <w:b/>
                <w:bCs/>
              </w:rPr>
            </w:pPr>
            <w:r w:rsidRPr="00930CFC">
              <w:rPr>
                <w:b/>
                <w:bCs/>
              </w:rPr>
              <w:t>Assessment</w:t>
            </w:r>
          </w:p>
        </w:tc>
      </w:tr>
      <w:tr w:rsidR="000F64D6" w:rsidRPr="00462638" w14:paraId="6966A8BE" w14:textId="77777777" w:rsidTr="0093339F">
        <w:tc>
          <w:tcPr>
            <w:tcW w:w="3489" w:type="dxa"/>
          </w:tcPr>
          <w:p w14:paraId="6B33EF39" w14:textId="0130204C" w:rsidR="00F32E5A" w:rsidRPr="00780C89" w:rsidRDefault="00F32E5A" w:rsidP="00D56F76">
            <w:pPr>
              <w:pStyle w:val="JustifiedSpacing"/>
              <w:rPr>
                <w:b/>
                <w:bCs/>
                <w:sz w:val="20"/>
                <w:szCs w:val="20"/>
              </w:rPr>
            </w:pPr>
            <w:r w:rsidRPr="00780C89">
              <w:rPr>
                <w:b/>
                <w:bCs/>
                <w:sz w:val="20"/>
                <w:szCs w:val="20"/>
              </w:rPr>
              <w:t>AIR–O1 – Ambient air quality</w:t>
            </w:r>
          </w:p>
          <w:p w14:paraId="08E85AB6" w14:textId="0130204C" w:rsidR="00D56F76" w:rsidRPr="00A15AE8" w:rsidRDefault="00E62B86" w:rsidP="00D56F76">
            <w:pPr>
              <w:pStyle w:val="JustifiedSpacing"/>
              <w:rPr>
                <w:sz w:val="20"/>
                <w:szCs w:val="20"/>
              </w:rPr>
            </w:pPr>
            <w:r w:rsidRPr="00A15AE8">
              <w:rPr>
                <w:sz w:val="20"/>
                <w:szCs w:val="20"/>
              </w:rPr>
              <w:t xml:space="preserve">Ambient air quality provides for the health and well-being of the people of Otago, amenity and mana whenua values, and the life-supporting capacity of ecosystems.  </w:t>
            </w:r>
          </w:p>
          <w:p w14:paraId="14D92AE8" w14:textId="0130204C" w:rsidR="00D56F76" w:rsidRPr="00A15AE8" w:rsidRDefault="00D56F76" w:rsidP="00D56F76">
            <w:pPr>
              <w:pStyle w:val="JustifiedSpacing"/>
              <w:rPr>
                <w:sz w:val="20"/>
                <w:szCs w:val="20"/>
              </w:rPr>
            </w:pPr>
          </w:p>
          <w:p w14:paraId="1EBC559C" w14:textId="147F49B0" w:rsidR="000F64D6" w:rsidRPr="00A15AE8" w:rsidRDefault="000F64D6" w:rsidP="00D56F76">
            <w:pPr>
              <w:pStyle w:val="JustifiedSpacing"/>
              <w:rPr>
                <w:sz w:val="20"/>
                <w:szCs w:val="20"/>
              </w:rPr>
            </w:pPr>
          </w:p>
        </w:tc>
        <w:tc>
          <w:tcPr>
            <w:tcW w:w="5527" w:type="dxa"/>
          </w:tcPr>
          <w:p w14:paraId="5D6BB7E9" w14:textId="77777777" w:rsidR="005A2347" w:rsidRPr="00A15AE8" w:rsidRDefault="00DD477D" w:rsidP="00D56F76">
            <w:pPr>
              <w:pStyle w:val="JustifiedSpacing"/>
              <w:rPr>
                <w:sz w:val="20"/>
                <w:szCs w:val="20"/>
              </w:rPr>
            </w:pPr>
            <w:r w:rsidRPr="00A15AE8">
              <w:rPr>
                <w:sz w:val="20"/>
                <w:szCs w:val="20"/>
              </w:rPr>
              <w:t>AIR–O1 sets out the long-term goal for Otago’s air resource and drives the policy framework for improving the air quality in Otago.  It responds to community views in relation to SRMR–I8 and SRMR–I10 as well as issues of significance to iwi, particularly RMIA–AA–I1. Section 5(b) of the RMA requires safeguarding the life supporting capacity of air</w:t>
            </w:r>
            <w:r w:rsidR="00D21346" w:rsidRPr="00A15AE8">
              <w:rPr>
                <w:sz w:val="20"/>
                <w:szCs w:val="20"/>
              </w:rPr>
              <w:t xml:space="preserve">, which is reflected in the </w:t>
            </w:r>
            <w:r w:rsidR="005A2347" w:rsidRPr="00A15AE8">
              <w:rPr>
                <w:sz w:val="20"/>
                <w:szCs w:val="20"/>
              </w:rPr>
              <w:t>wording of AIR–O1</w:t>
            </w:r>
            <w:r w:rsidRPr="00A15AE8">
              <w:rPr>
                <w:sz w:val="20"/>
                <w:szCs w:val="20"/>
              </w:rPr>
              <w:t>.</w:t>
            </w:r>
            <w:r w:rsidR="00D21346" w:rsidRPr="00A15AE8">
              <w:rPr>
                <w:sz w:val="20"/>
                <w:szCs w:val="20"/>
              </w:rPr>
              <w:t xml:space="preserve"> </w:t>
            </w:r>
          </w:p>
          <w:p w14:paraId="63642AA2" w14:textId="77777777" w:rsidR="00DD477D" w:rsidRPr="00A15AE8" w:rsidRDefault="00DD477D" w:rsidP="00D56F76">
            <w:pPr>
              <w:pStyle w:val="JustifiedSpacing"/>
              <w:rPr>
                <w:sz w:val="20"/>
                <w:szCs w:val="20"/>
              </w:rPr>
            </w:pPr>
          </w:p>
          <w:p w14:paraId="3A2CF2AD" w14:textId="5F508947" w:rsidR="006B48A6" w:rsidRPr="00A15AE8" w:rsidRDefault="00DD477D" w:rsidP="00D56F76">
            <w:pPr>
              <w:pStyle w:val="JustifiedSpacing"/>
              <w:rPr>
                <w:sz w:val="20"/>
                <w:szCs w:val="20"/>
              </w:rPr>
            </w:pPr>
            <w:r w:rsidRPr="00A15AE8">
              <w:rPr>
                <w:sz w:val="20"/>
                <w:szCs w:val="20"/>
              </w:rPr>
              <w:t xml:space="preserve">Section 30 of the RMA specifies that it is a function of the Regional Council to manage regional air quality. AIR–O1 additionally gives effect to sections 6(e) and 7(b), (c) and (f) of the RMA by providing for mana whenua values, amenity, and life supporting capacity of </w:t>
            </w:r>
            <w:r w:rsidRPr="00A15AE8">
              <w:rPr>
                <w:sz w:val="20"/>
                <w:szCs w:val="20"/>
              </w:rPr>
              <w:lastRenderedPageBreak/>
              <w:t xml:space="preserve">ecosystems. The objective also addresses </w:t>
            </w:r>
            <w:r w:rsidR="00024552">
              <w:rPr>
                <w:sz w:val="20"/>
                <w:szCs w:val="20"/>
              </w:rPr>
              <w:t>S</w:t>
            </w:r>
            <w:r w:rsidRPr="00A15AE8">
              <w:rPr>
                <w:sz w:val="20"/>
                <w:szCs w:val="20"/>
              </w:rPr>
              <w:t xml:space="preserve">ection 13 and </w:t>
            </w:r>
            <w:r w:rsidR="00024552">
              <w:rPr>
                <w:sz w:val="20"/>
                <w:szCs w:val="20"/>
              </w:rPr>
              <w:t>S</w:t>
            </w:r>
            <w:r w:rsidRPr="00A15AE8">
              <w:rPr>
                <w:sz w:val="20"/>
                <w:szCs w:val="20"/>
              </w:rPr>
              <w:t xml:space="preserve">chedule 1 of the NESAQ which requires ambient air quality to meet set standards. </w:t>
            </w:r>
          </w:p>
        </w:tc>
      </w:tr>
      <w:tr w:rsidR="000F64D6" w:rsidRPr="00462638" w14:paraId="22AEF98C" w14:textId="77777777" w:rsidTr="0093339F">
        <w:tc>
          <w:tcPr>
            <w:tcW w:w="3489" w:type="dxa"/>
          </w:tcPr>
          <w:p w14:paraId="5894DE33" w14:textId="0130204C" w:rsidR="006B13D7" w:rsidRPr="00780C89" w:rsidRDefault="006B13D7" w:rsidP="00D56F76">
            <w:pPr>
              <w:pStyle w:val="JustifiedSpacing"/>
              <w:rPr>
                <w:b/>
                <w:bCs/>
                <w:sz w:val="20"/>
                <w:szCs w:val="20"/>
              </w:rPr>
            </w:pPr>
            <w:r w:rsidRPr="00780C89">
              <w:rPr>
                <w:b/>
                <w:bCs/>
                <w:sz w:val="20"/>
                <w:szCs w:val="20"/>
              </w:rPr>
              <w:lastRenderedPageBreak/>
              <w:t>AIR–O2 – Discharges to air</w:t>
            </w:r>
          </w:p>
          <w:p w14:paraId="7A123C79" w14:textId="0130204C" w:rsidR="00D56F76" w:rsidRPr="00A15AE8" w:rsidRDefault="2D4AADD3" w:rsidP="00D56F76">
            <w:pPr>
              <w:pStyle w:val="JustifiedSpacing"/>
              <w:rPr>
                <w:sz w:val="20"/>
                <w:szCs w:val="20"/>
              </w:rPr>
            </w:pPr>
            <w:r w:rsidRPr="00A15AE8">
              <w:rPr>
                <w:rStyle w:val="JustifiedSpacingChar"/>
                <w:sz w:val="20"/>
                <w:szCs w:val="20"/>
              </w:rPr>
              <w:t>Human health, amenity and mana whenua values and the life supporting capacity of ecosystems are protected from the adverse effects of discharges to air</w:t>
            </w:r>
            <w:r w:rsidRPr="00A15AE8">
              <w:rPr>
                <w:sz w:val="20"/>
                <w:szCs w:val="20"/>
              </w:rPr>
              <w:t xml:space="preserve">. </w:t>
            </w:r>
          </w:p>
          <w:p w14:paraId="23DB115F" w14:textId="0130204C" w:rsidR="00D56F76" w:rsidRPr="00A15AE8" w:rsidRDefault="00D56F76" w:rsidP="00D56F76">
            <w:pPr>
              <w:pStyle w:val="JustifiedSpacing"/>
              <w:rPr>
                <w:sz w:val="20"/>
                <w:szCs w:val="20"/>
              </w:rPr>
            </w:pPr>
          </w:p>
          <w:p w14:paraId="22646F52" w14:textId="630E8EDB" w:rsidR="000F64D6" w:rsidRPr="00A15AE8" w:rsidRDefault="000F64D6" w:rsidP="00D56F76">
            <w:pPr>
              <w:pStyle w:val="JustifiedSpacing"/>
              <w:rPr>
                <w:sz w:val="20"/>
                <w:szCs w:val="20"/>
              </w:rPr>
            </w:pPr>
          </w:p>
        </w:tc>
        <w:tc>
          <w:tcPr>
            <w:tcW w:w="5527" w:type="dxa"/>
          </w:tcPr>
          <w:p w14:paraId="53C180D4" w14:textId="50C6C3DE" w:rsidR="00F1072F" w:rsidRPr="00A15AE8" w:rsidRDefault="00AD6901" w:rsidP="00D56F76">
            <w:pPr>
              <w:pStyle w:val="JustifiedSpacing"/>
              <w:rPr>
                <w:sz w:val="20"/>
                <w:szCs w:val="20"/>
              </w:rPr>
            </w:pPr>
            <w:r w:rsidRPr="00A15AE8">
              <w:rPr>
                <w:sz w:val="20"/>
                <w:szCs w:val="20"/>
              </w:rPr>
              <w:t xml:space="preserve">Section </w:t>
            </w:r>
            <w:r w:rsidR="00C708B0" w:rsidRPr="00A15AE8">
              <w:rPr>
                <w:sz w:val="20"/>
                <w:szCs w:val="20"/>
              </w:rPr>
              <w:t>15 of t</w:t>
            </w:r>
            <w:r w:rsidR="001A7DDC" w:rsidRPr="00A15AE8">
              <w:rPr>
                <w:sz w:val="20"/>
                <w:szCs w:val="20"/>
              </w:rPr>
              <w:t xml:space="preserve">he RMA </w:t>
            </w:r>
            <w:r w:rsidR="00C708B0" w:rsidRPr="00A15AE8">
              <w:rPr>
                <w:sz w:val="20"/>
                <w:szCs w:val="20"/>
              </w:rPr>
              <w:t>specifies strict controls on discharging contamina</w:t>
            </w:r>
            <w:r w:rsidR="00EA1310" w:rsidRPr="00A15AE8">
              <w:rPr>
                <w:sz w:val="20"/>
                <w:szCs w:val="20"/>
              </w:rPr>
              <w:t>n</w:t>
            </w:r>
            <w:r w:rsidR="00C708B0" w:rsidRPr="00A15AE8">
              <w:rPr>
                <w:sz w:val="20"/>
                <w:szCs w:val="20"/>
              </w:rPr>
              <w:t xml:space="preserve">ts into the environment, including into air. </w:t>
            </w:r>
            <w:r w:rsidR="008F0877" w:rsidRPr="00A15AE8">
              <w:rPr>
                <w:sz w:val="20"/>
                <w:szCs w:val="20"/>
              </w:rPr>
              <w:t xml:space="preserve">AIR–O2 </w:t>
            </w:r>
            <w:r w:rsidR="00823D32" w:rsidRPr="00A15AE8">
              <w:rPr>
                <w:sz w:val="20"/>
                <w:szCs w:val="20"/>
              </w:rPr>
              <w:t>specifies that</w:t>
            </w:r>
            <w:r w:rsidR="00C05F81" w:rsidRPr="00A15AE8">
              <w:rPr>
                <w:sz w:val="20"/>
                <w:szCs w:val="20"/>
              </w:rPr>
              <w:t xml:space="preserve"> human health, </w:t>
            </w:r>
            <w:r w:rsidR="002567AA" w:rsidRPr="00A15AE8">
              <w:rPr>
                <w:sz w:val="20"/>
                <w:szCs w:val="20"/>
              </w:rPr>
              <w:t xml:space="preserve">amenity, mana whenua values and the life supporting capacity of ecosystems are all </w:t>
            </w:r>
            <w:r w:rsidR="003253B1" w:rsidRPr="00A15AE8">
              <w:rPr>
                <w:sz w:val="20"/>
                <w:szCs w:val="20"/>
              </w:rPr>
              <w:t>protected from adverse effects of discharges to air</w:t>
            </w:r>
            <w:r w:rsidR="00B81B60">
              <w:rPr>
                <w:sz w:val="20"/>
                <w:szCs w:val="20"/>
              </w:rPr>
              <w:t xml:space="preserve">, consistent with </w:t>
            </w:r>
            <w:r w:rsidR="008715E8">
              <w:rPr>
                <w:sz w:val="20"/>
                <w:szCs w:val="20"/>
              </w:rPr>
              <w:t xml:space="preserve">requirements of s5 of </w:t>
            </w:r>
            <w:r w:rsidR="00F1072F" w:rsidRPr="00A15AE8">
              <w:rPr>
                <w:sz w:val="20"/>
                <w:szCs w:val="20"/>
              </w:rPr>
              <w:t>the RMA.</w:t>
            </w:r>
          </w:p>
          <w:p w14:paraId="3BA2866C" w14:textId="77777777" w:rsidR="00F1072F" w:rsidRPr="00A15AE8" w:rsidRDefault="00F1072F" w:rsidP="00D56F76">
            <w:pPr>
              <w:pStyle w:val="JustifiedSpacing"/>
              <w:rPr>
                <w:sz w:val="20"/>
                <w:szCs w:val="20"/>
              </w:rPr>
            </w:pPr>
          </w:p>
          <w:p w14:paraId="131FF976" w14:textId="07FDFC95" w:rsidR="009946A2" w:rsidRPr="00A15AE8" w:rsidRDefault="00834319" w:rsidP="00D56F76">
            <w:pPr>
              <w:pStyle w:val="JustifiedSpacing"/>
              <w:rPr>
                <w:sz w:val="20"/>
                <w:szCs w:val="20"/>
              </w:rPr>
            </w:pPr>
            <w:r w:rsidRPr="00A15AE8">
              <w:rPr>
                <w:sz w:val="20"/>
                <w:szCs w:val="20"/>
              </w:rPr>
              <w:t>The objective also</w:t>
            </w:r>
            <w:r w:rsidR="003253B1" w:rsidRPr="00A15AE8">
              <w:rPr>
                <w:sz w:val="20"/>
                <w:szCs w:val="20"/>
              </w:rPr>
              <w:t xml:space="preserve"> </w:t>
            </w:r>
            <w:r w:rsidR="00EA5122" w:rsidRPr="00A15AE8">
              <w:rPr>
                <w:sz w:val="20"/>
                <w:szCs w:val="20"/>
              </w:rPr>
              <w:t>responds to a specific issue with</w:t>
            </w:r>
            <w:r w:rsidR="007B69BC" w:rsidRPr="00A15AE8">
              <w:rPr>
                <w:sz w:val="20"/>
                <w:szCs w:val="20"/>
              </w:rPr>
              <w:t xml:space="preserve"> </w:t>
            </w:r>
            <w:r w:rsidR="004F41F8" w:rsidRPr="00A15AE8">
              <w:rPr>
                <w:sz w:val="20"/>
                <w:szCs w:val="20"/>
              </w:rPr>
              <w:t xml:space="preserve">adverse effects of </w:t>
            </w:r>
            <w:r w:rsidR="00EA5122" w:rsidRPr="00A15AE8">
              <w:rPr>
                <w:sz w:val="20"/>
                <w:szCs w:val="20"/>
              </w:rPr>
              <w:t>discharges</w:t>
            </w:r>
            <w:r w:rsidR="004F41F8" w:rsidRPr="00A15AE8">
              <w:rPr>
                <w:sz w:val="20"/>
                <w:szCs w:val="20"/>
              </w:rPr>
              <w:t xml:space="preserve"> to air</w:t>
            </w:r>
            <w:r w:rsidR="009F2A6A" w:rsidRPr="00A15AE8">
              <w:rPr>
                <w:sz w:val="20"/>
                <w:szCs w:val="20"/>
              </w:rPr>
              <w:t xml:space="preserve"> on mana whenua values as</w:t>
            </w:r>
            <w:r w:rsidR="00EA5122" w:rsidRPr="00A15AE8">
              <w:rPr>
                <w:sz w:val="20"/>
                <w:szCs w:val="20"/>
              </w:rPr>
              <w:t xml:space="preserve"> highlighted by iwi in relation to RMIA–AA–I1. It also responds to parts of the issues of regional significance, </w:t>
            </w:r>
            <w:r w:rsidR="008F5A3F">
              <w:rPr>
                <w:sz w:val="20"/>
                <w:szCs w:val="20"/>
              </w:rPr>
              <w:t>including SRMR-I4</w:t>
            </w:r>
            <w:r w:rsidR="00FF70F9">
              <w:rPr>
                <w:sz w:val="20"/>
                <w:szCs w:val="20"/>
              </w:rPr>
              <w:t xml:space="preserve">, </w:t>
            </w:r>
            <w:r w:rsidR="00FF70F9" w:rsidRPr="00A15AE8">
              <w:rPr>
                <w:sz w:val="20"/>
                <w:szCs w:val="20"/>
              </w:rPr>
              <w:t>SRMR–I10</w:t>
            </w:r>
            <w:r w:rsidR="008F5A3F">
              <w:rPr>
                <w:sz w:val="20"/>
                <w:szCs w:val="20"/>
              </w:rPr>
              <w:t xml:space="preserve"> and</w:t>
            </w:r>
            <w:r w:rsidR="00EA5122" w:rsidRPr="00A15AE8">
              <w:rPr>
                <w:sz w:val="20"/>
                <w:szCs w:val="20"/>
              </w:rPr>
              <w:t xml:space="preserve"> SRMR–I1</w:t>
            </w:r>
            <w:r w:rsidR="00FF70F9">
              <w:rPr>
                <w:sz w:val="20"/>
                <w:szCs w:val="20"/>
              </w:rPr>
              <w:t>1</w:t>
            </w:r>
            <w:r w:rsidR="00EA5122" w:rsidRPr="00A15AE8">
              <w:rPr>
                <w:sz w:val="20"/>
                <w:szCs w:val="20"/>
              </w:rPr>
              <w:t xml:space="preserve">. </w:t>
            </w:r>
            <w:r w:rsidR="007C1DF6" w:rsidRPr="00A15AE8">
              <w:rPr>
                <w:sz w:val="20"/>
                <w:szCs w:val="20"/>
              </w:rPr>
              <w:t xml:space="preserve">There are considerable benefits for the environment and for human health in this approach, which will assist with achieving the purpose of the RMA. </w:t>
            </w:r>
          </w:p>
          <w:p w14:paraId="020F5EA8" w14:textId="2CDE5C21" w:rsidR="004F2F08" w:rsidRPr="00A15AE8" w:rsidRDefault="004F2F08" w:rsidP="00D56F76">
            <w:pPr>
              <w:pStyle w:val="JustifiedSpacing"/>
              <w:rPr>
                <w:b/>
                <w:sz w:val="20"/>
                <w:szCs w:val="20"/>
              </w:rPr>
            </w:pPr>
          </w:p>
        </w:tc>
      </w:tr>
    </w:tbl>
    <w:p w14:paraId="1FD19F35" w14:textId="79111DCF" w:rsidR="4B430790" w:rsidRDefault="4B430790" w:rsidP="00A247C5">
      <w:pPr>
        <w:pStyle w:val="Normal2"/>
      </w:pPr>
      <w:r>
        <w:t xml:space="preserve">The provisions </w:t>
      </w:r>
      <w:r w:rsidR="00514EC0">
        <w:t xml:space="preserve">contained in the AIR chapter of the PORPS 2021 that </w:t>
      </w:r>
      <w:r w:rsidR="00F947E5">
        <w:t>implement</w:t>
      </w:r>
      <w:r w:rsidR="00514EC0">
        <w:t xml:space="preserve"> the objectives are set out below. These provisions are </w:t>
      </w:r>
      <w:r>
        <w:t xml:space="preserve">evaluated in </w:t>
      </w:r>
      <w:r w:rsidR="003A1BDC">
        <w:t>S</w:t>
      </w:r>
      <w:r w:rsidRPr="003A1BDC">
        <w:t xml:space="preserve">ection </w:t>
      </w:r>
      <w:r w:rsidR="00ED30CA" w:rsidRPr="00ED30CA">
        <w:t>5.5</w:t>
      </w:r>
      <w:r w:rsidR="003A1BDC">
        <w:t xml:space="preserve"> </w:t>
      </w:r>
      <w:r>
        <w:t xml:space="preserve">of this </w:t>
      </w:r>
      <w:r w:rsidR="001D4BEE">
        <w:t>r</w:t>
      </w:r>
      <w:r>
        <w:t>eport</w:t>
      </w:r>
      <w:r w:rsidR="00514EC0">
        <w:t>.</w:t>
      </w:r>
    </w:p>
    <w:p w14:paraId="1BD21AA2" w14:textId="77777777" w:rsidR="005F11C8" w:rsidRPr="005F11C8" w:rsidRDefault="005F11C8" w:rsidP="00A247C5">
      <w:pPr>
        <w:pStyle w:val="Normal3"/>
      </w:pPr>
      <w:r w:rsidRPr="005F11C8">
        <w:t xml:space="preserve">AIR–P1 – Maintain good ambient air quality </w:t>
      </w:r>
    </w:p>
    <w:p w14:paraId="66547983" w14:textId="77777777" w:rsidR="00915470" w:rsidRDefault="00915470" w:rsidP="00A247C5">
      <w:pPr>
        <w:pStyle w:val="Normal3"/>
      </w:pPr>
      <w:r>
        <w:t>AIR–P2 – Improve poor ambient air quality</w:t>
      </w:r>
    </w:p>
    <w:p w14:paraId="06F13AD9" w14:textId="451EAFF7" w:rsidR="00380D8D" w:rsidRPr="005F11C8" w:rsidRDefault="00915470" w:rsidP="00A247C5">
      <w:pPr>
        <w:pStyle w:val="Normal3"/>
      </w:pPr>
      <w:r>
        <w:t xml:space="preserve">AIR–P3 – </w:t>
      </w:r>
      <w:r w:rsidR="00380D8D" w:rsidRPr="00380D8D">
        <w:t>Providing for discharges to ai</w:t>
      </w:r>
      <w:r w:rsidR="00380D8D">
        <w:t>r</w:t>
      </w:r>
    </w:p>
    <w:p w14:paraId="51C68D6D" w14:textId="2D2B2643" w:rsidR="00915470" w:rsidRDefault="005F11C8" w:rsidP="00A247C5">
      <w:pPr>
        <w:pStyle w:val="Normal3"/>
      </w:pPr>
      <w:r w:rsidRPr="005F11C8">
        <w:t>AIR–P</w:t>
      </w:r>
      <w:r w:rsidR="00380D8D">
        <w:t>4</w:t>
      </w:r>
      <w:r w:rsidRPr="005F11C8">
        <w:t xml:space="preserve"> – </w:t>
      </w:r>
      <w:r w:rsidR="00915470">
        <w:t>Avoiding certain discharges</w:t>
      </w:r>
    </w:p>
    <w:p w14:paraId="4C333743" w14:textId="41A983FA" w:rsidR="003F6BA2" w:rsidRPr="005F11C8" w:rsidRDefault="00915470" w:rsidP="00A247C5">
      <w:pPr>
        <w:pStyle w:val="Normal3"/>
      </w:pPr>
      <w:r>
        <w:t>AIR–</w:t>
      </w:r>
      <w:r w:rsidR="1638FA4E">
        <w:t>P</w:t>
      </w:r>
      <w:r w:rsidR="00380D8D">
        <w:t>5</w:t>
      </w:r>
      <w:r>
        <w:t xml:space="preserve"> – </w:t>
      </w:r>
      <w:r w:rsidR="004A144B">
        <w:t>Managing certain discharges</w:t>
      </w:r>
    </w:p>
    <w:p w14:paraId="492C6B95" w14:textId="679C4B9E" w:rsidR="00915470" w:rsidRDefault="005F11C8" w:rsidP="00A247C5">
      <w:pPr>
        <w:pStyle w:val="Normal3"/>
      </w:pPr>
      <w:r w:rsidRPr="005F11C8">
        <w:t>AIR–</w:t>
      </w:r>
      <w:r w:rsidR="239AABF1">
        <w:t>P</w:t>
      </w:r>
      <w:r w:rsidR="00380D8D">
        <w:t>6</w:t>
      </w:r>
      <w:r w:rsidRPr="005F11C8">
        <w:t xml:space="preserve"> – </w:t>
      </w:r>
      <w:r w:rsidR="00915470">
        <w:t xml:space="preserve">Impacts on </w:t>
      </w:r>
      <w:r w:rsidR="004741EE">
        <w:t xml:space="preserve">mana whenua </w:t>
      </w:r>
      <w:r w:rsidR="00915470">
        <w:t>values</w:t>
      </w:r>
    </w:p>
    <w:p w14:paraId="48281CED" w14:textId="77777777" w:rsidR="005F11C8" w:rsidRPr="005F11C8" w:rsidRDefault="005F11C8" w:rsidP="00A247C5">
      <w:pPr>
        <w:pStyle w:val="Normal3"/>
      </w:pPr>
      <w:r w:rsidRPr="005F11C8">
        <w:t xml:space="preserve">AIR–M1 – Review airshed boundaries </w:t>
      </w:r>
    </w:p>
    <w:p w14:paraId="45EA9C38" w14:textId="77777777" w:rsidR="005D255C" w:rsidRDefault="005D255C" w:rsidP="00A247C5">
      <w:pPr>
        <w:pStyle w:val="Normal3"/>
      </w:pPr>
      <w:r>
        <w:t>AIR–M2 – Regional plans</w:t>
      </w:r>
    </w:p>
    <w:p w14:paraId="5477EE4E" w14:textId="77777777" w:rsidR="005F11C8" w:rsidRPr="005F11C8" w:rsidRDefault="005F11C8" w:rsidP="00A247C5">
      <w:pPr>
        <w:pStyle w:val="Normal3"/>
      </w:pPr>
      <w:r w:rsidRPr="005F11C8">
        <w:t xml:space="preserve">AIR–M3 – Territorial authorities </w:t>
      </w:r>
    </w:p>
    <w:p w14:paraId="1AF07D27" w14:textId="77777777" w:rsidR="0035257A" w:rsidRDefault="005D255C" w:rsidP="00A247C5">
      <w:pPr>
        <w:pStyle w:val="Normal3"/>
      </w:pPr>
      <w:r>
        <w:t>AIR–M4 – Monitoring and reporting</w:t>
      </w:r>
    </w:p>
    <w:p w14:paraId="3244DBF3" w14:textId="49D8206A" w:rsidR="003C1701" w:rsidRPr="005F11C8" w:rsidRDefault="005F11C8" w:rsidP="00A247C5">
      <w:pPr>
        <w:pStyle w:val="Normal3"/>
      </w:pPr>
      <w:r w:rsidRPr="005F11C8">
        <w:t xml:space="preserve">AIR–M5 – Incentives and other mechanisms </w:t>
      </w:r>
    </w:p>
    <w:p w14:paraId="7404F59D" w14:textId="4A24ACD4" w:rsidR="00103B97" w:rsidRDefault="00103B97" w:rsidP="00A247C5">
      <w:pPr>
        <w:pStyle w:val="Normal2"/>
      </w:pPr>
      <w:r>
        <w:t>AIR–O1 sets out the values that ambient air quality must provide for</w:t>
      </w:r>
      <w:r w:rsidR="005077BC">
        <w:t>,</w:t>
      </w:r>
      <w:r>
        <w:t xml:space="preserve"> </w:t>
      </w:r>
      <w:proofErr w:type="gramStart"/>
      <w:r>
        <w:t>as a result of</w:t>
      </w:r>
      <w:proofErr w:type="gramEnd"/>
      <w:r>
        <w:t xml:space="preserve"> resolving air quality issues within Otago. AIR–O2 specifically relates to discharges and provides for these so long as the values </w:t>
      </w:r>
      <w:r w:rsidR="005077BC">
        <w:t xml:space="preserve">identified in AIR–O1 </w:t>
      </w:r>
      <w:r>
        <w:t xml:space="preserve">are protected. AIR–O1 and </w:t>
      </w:r>
      <w:r w:rsidR="005077BC">
        <w:t>AIR–</w:t>
      </w:r>
      <w:r>
        <w:t xml:space="preserve">O2 are appropriate objectives for protecting air quality in Otago consistent with the requirements and direction set out in sections 5, 6(e) and 7(b), (c) and (f) of the RMA. The objectives appropriately direct the management of air quality in a way that accords with NESAQ (as required by </w:t>
      </w:r>
      <w:r w:rsidRPr="00103B97">
        <w:t>s61(1)(e) of the RMA) and responds to community feedback, specifically SRMR-4, SRMR-8, SRMR-</w:t>
      </w:r>
      <w:proofErr w:type="gramStart"/>
      <w:r w:rsidRPr="00103B97">
        <w:t>10</w:t>
      </w:r>
      <w:proofErr w:type="gramEnd"/>
      <w:r w:rsidRPr="00103B97">
        <w:t xml:space="preserve"> and RIMA-WTU-1</w:t>
      </w:r>
      <w:r>
        <w:t xml:space="preserve">. </w:t>
      </w:r>
      <w:r w:rsidR="000C330A">
        <w:t>While</w:t>
      </w:r>
      <w:r>
        <w:t xml:space="preserve"> </w:t>
      </w:r>
      <w:r w:rsidR="000C330A">
        <w:t xml:space="preserve">there are implementation </w:t>
      </w:r>
      <w:r>
        <w:t>costs</w:t>
      </w:r>
      <w:r w:rsidR="000C330A" w:rsidRPr="000C330A">
        <w:t xml:space="preserve"> </w:t>
      </w:r>
      <w:r w:rsidR="000C330A">
        <w:t>both for regional and district councils</w:t>
      </w:r>
      <w:r>
        <w:t>, the benefits to human health</w:t>
      </w:r>
      <w:r w:rsidR="007B7724">
        <w:t xml:space="preserve"> and the associated reduction in economic costs,</w:t>
      </w:r>
      <w:r>
        <w:t xml:space="preserve"> are significant</w:t>
      </w:r>
      <w:r w:rsidR="009F5CDA">
        <w:t>.</w:t>
      </w:r>
      <w:r w:rsidR="00DA477E">
        <w:t xml:space="preserve"> </w:t>
      </w:r>
      <w:r w:rsidR="009F5CDA">
        <w:t>The</w:t>
      </w:r>
      <w:r w:rsidR="00DA477E">
        <w:t xml:space="preserve"> efficiency and effectiveness evaluation in Section 5.5 of this report</w:t>
      </w:r>
      <w:r w:rsidR="009F5CDA">
        <w:t xml:space="preserve"> also</w:t>
      </w:r>
      <w:r w:rsidR="00546F62">
        <w:t xml:space="preserve"> shows that the provisions are effective, meaning that the </w:t>
      </w:r>
      <w:r>
        <w:t xml:space="preserve">objectives </w:t>
      </w:r>
      <w:r w:rsidR="00546F62">
        <w:t>are</w:t>
      </w:r>
      <w:r>
        <w:t xml:space="preserve"> feasible. Overall, the objectives are considered appropriate in terms of achieving the purpose of the RMA, are relevant and acceptable as they are a response to community feedback and accord with the requirements of the NESAQ.</w:t>
      </w:r>
    </w:p>
    <w:p w14:paraId="6EB0ECC6" w14:textId="37C3F7C4" w:rsidR="009F3F14" w:rsidRDefault="009F3F14" w:rsidP="0082271A">
      <w:pPr>
        <w:pStyle w:val="Heading3"/>
      </w:pPr>
      <w:r>
        <w:t>CE – Coastal environment</w:t>
      </w:r>
    </w:p>
    <w:p w14:paraId="21CD4649" w14:textId="25E17DD7" w:rsidR="009F3F14" w:rsidRDefault="00F33D4D" w:rsidP="00A247C5">
      <w:pPr>
        <w:pStyle w:val="Normal2"/>
      </w:pPr>
      <w:r>
        <w:t>The coastal environment in Otago</w:t>
      </w:r>
      <w:r w:rsidR="00482C51">
        <w:t xml:space="preserve"> is highly valued</w:t>
      </w:r>
      <w:r w:rsidR="00061788">
        <w:t xml:space="preserve"> by the community for its many different values and functions. The </w:t>
      </w:r>
      <w:r w:rsidR="00DD7621">
        <w:t>dynamic and interdependent nature of the coastal environment</w:t>
      </w:r>
      <w:r w:rsidR="00482C51">
        <w:t xml:space="preserve"> </w:t>
      </w:r>
      <w:r>
        <w:lastRenderedPageBreak/>
        <w:t xml:space="preserve">requires </w:t>
      </w:r>
      <w:r w:rsidR="00744F73">
        <w:t xml:space="preserve">a </w:t>
      </w:r>
      <w:r w:rsidR="00DD7621">
        <w:t>broad</w:t>
      </w:r>
      <w:r>
        <w:t xml:space="preserve"> </w:t>
      </w:r>
      <w:r w:rsidR="00DB41DB">
        <w:t xml:space="preserve">policy </w:t>
      </w:r>
      <w:r>
        <w:t>approach</w:t>
      </w:r>
      <w:r w:rsidR="00DB41DB">
        <w:t xml:space="preserve"> </w:t>
      </w:r>
      <w:proofErr w:type="gramStart"/>
      <w:r w:rsidR="00DB41DB">
        <w:t>in order to</w:t>
      </w:r>
      <w:proofErr w:type="gramEnd"/>
      <w:r w:rsidR="00DB41DB">
        <w:t xml:space="preserve"> achieve the purpose of the RMA and give effect to the New Zealand Coastal Policy Statement (NZCPS). </w:t>
      </w:r>
      <w:r w:rsidR="008C1EB9">
        <w:t>The CE – Coastal environment chapter</w:t>
      </w:r>
      <w:r w:rsidR="00C67303">
        <w:t xml:space="preserve"> contains </w:t>
      </w:r>
      <w:r w:rsidR="00991E2E">
        <w:t>five objectives</w:t>
      </w:r>
      <w:r w:rsidR="00E43923">
        <w:t xml:space="preserve"> </w:t>
      </w:r>
      <w:r w:rsidR="00BC0B17">
        <w:t xml:space="preserve">that </w:t>
      </w:r>
      <w:r w:rsidR="005E3CC2">
        <w:t xml:space="preserve">respond to the direction set out in Part 2 of the RMA and the NZCPS. </w:t>
      </w:r>
      <w:r w:rsidR="00130F89">
        <w:t xml:space="preserve">The objectives are assessed in </w:t>
      </w:r>
      <w:r w:rsidR="00AD209D">
        <w:fldChar w:fldCharType="begin"/>
      </w:r>
      <w:r w:rsidR="00AD209D">
        <w:instrText xml:space="preserve"> REF _Ref72495369 \h </w:instrText>
      </w:r>
      <w:r w:rsidR="00AD209D">
        <w:fldChar w:fldCharType="separate"/>
      </w:r>
      <w:r w:rsidR="002A7A16">
        <w:t xml:space="preserve">Table </w:t>
      </w:r>
      <w:r w:rsidR="002A7A16">
        <w:rPr>
          <w:noProof/>
        </w:rPr>
        <w:t>7</w:t>
      </w:r>
      <w:r w:rsidR="00AD209D">
        <w:fldChar w:fldCharType="end"/>
      </w:r>
      <w:r w:rsidR="00AD209D">
        <w:t xml:space="preserve"> </w:t>
      </w:r>
      <w:r w:rsidR="00130F89">
        <w:t>below:</w:t>
      </w:r>
    </w:p>
    <w:p w14:paraId="15F89304" w14:textId="5A3C1D67" w:rsidR="00F607A0" w:rsidRDefault="00AD209D" w:rsidP="00AD209D">
      <w:pPr>
        <w:pStyle w:val="Caption"/>
      </w:pPr>
      <w:bookmarkStart w:id="36" w:name="_Ref72495369"/>
      <w:r>
        <w:t xml:space="preserve">Table </w:t>
      </w:r>
      <w:r>
        <w:fldChar w:fldCharType="begin"/>
      </w:r>
      <w:r>
        <w:instrText xml:space="preserve"> SEQ Table \* ARABIC </w:instrText>
      </w:r>
      <w:r>
        <w:fldChar w:fldCharType="separate"/>
      </w:r>
      <w:r w:rsidR="002A7A16">
        <w:rPr>
          <w:noProof/>
        </w:rPr>
        <w:t>7</w:t>
      </w:r>
      <w:r>
        <w:rPr>
          <w:noProof/>
        </w:rPr>
        <w:fldChar w:fldCharType="end"/>
      </w:r>
      <w:bookmarkEnd w:id="36"/>
      <w:r>
        <w:t>: Evaluation of CE objectives</w:t>
      </w:r>
    </w:p>
    <w:tbl>
      <w:tblPr>
        <w:tblStyle w:val="TableGrid"/>
        <w:tblW w:w="0" w:type="auto"/>
        <w:tblLook w:val="04A0" w:firstRow="1" w:lastRow="0" w:firstColumn="1" w:lastColumn="0" w:noHBand="0" w:noVBand="1"/>
      </w:tblPr>
      <w:tblGrid>
        <w:gridCol w:w="3489"/>
        <w:gridCol w:w="5527"/>
      </w:tblGrid>
      <w:tr w:rsidR="006F7059" w:rsidRPr="00462638" w14:paraId="40F99B1E" w14:textId="77777777" w:rsidTr="0093339F">
        <w:tc>
          <w:tcPr>
            <w:tcW w:w="3489" w:type="dxa"/>
            <w:shd w:val="clear" w:color="auto" w:fill="B4C6E7" w:themeFill="accent1" w:themeFillTint="66"/>
          </w:tcPr>
          <w:p w14:paraId="3AC6564B" w14:textId="77777777" w:rsidR="006F7059" w:rsidRPr="00930CFC" w:rsidRDefault="006F7059" w:rsidP="00A247C5">
            <w:pPr>
              <w:pStyle w:val="Table1"/>
              <w:rPr>
                <w:b/>
                <w:bCs/>
              </w:rPr>
            </w:pPr>
            <w:r w:rsidRPr="00930CFC">
              <w:rPr>
                <w:b/>
                <w:bCs/>
              </w:rPr>
              <w:t>Objective</w:t>
            </w:r>
          </w:p>
        </w:tc>
        <w:tc>
          <w:tcPr>
            <w:tcW w:w="5527" w:type="dxa"/>
            <w:shd w:val="clear" w:color="auto" w:fill="B4C6E7" w:themeFill="accent1" w:themeFillTint="66"/>
          </w:tcPr>
          <w:p w14:paraId="65E94499" w14:textId="40C07AF4" w:rsidR="006F7059" w:rsidRPr="00930CFC" w:rsidRDefault="006F7059" w:rsidP="00A247C5">
            <w:pPr>
              <w:pStyle w:val="Table1"/>
              <w:rPr>
                <w:b/>
                <w:bCs/>
              </w:rPr>
            </w:pPr>
            <w:r w:rsidRPr="00930CFC">
              <w:rPr>
                <w:b/>
                <w:bCs/>
              </w:rPr>
              <w:t>Assessment</w:t>
            </w:r>
          </w:p>
        </w:tc>
      </w:tr>
      <w:tr w:rsidR="00F607A0" w14:paraId="35274489" w14:textId="77777777" w:rsidTr="00F607A0">
        <w:tc>
          <w:tcPr>
            <w:tcW w:w="3489" w:type="dxa"/>
            <w:hideMark/>
          </w:tcPr>
          <w:p w14:paraId="200DA008" w14:textId="77777777" w:rsidR="00F607A0" w:rsidRPr="00930CFC" w:rsidRDefault="00F607A0" w:rsidP="00A247C5">
            <w:pPr>
              <w:pStyle w:val="Table1"/>
              <w:rPr>
                <w:b/>
                <w:bCs/>
              </w:rPr>
            </w:pPr>
            <w:r w:rsidRPr="00930CFC">
              <w:rPr>
                <w:b/>
                <w:bCs/>
              </w:rPr>
              <w:t>CE-O1 – Safeguarding the coastal environment</w:t>
            </w:r>
          </w:p>
          <w:p w14:paraId="45C1257A" w14:textId="77777777" w:rsidR="00F607A0" w:rsidRDefault="00F607A0" w:rsidP="00A247C5">
            <w:pPr>
              <w:pStyle w:val="Table1"/>
            </w:pPr>
            <w:r>
              <w:t>The integrity, form, functioning and resilience of the coastal environment is safeguarded so that:</w:t>
            </w:r>
          </w:p>
          <w:p w14:paraId="1DC7999B" w14:textId="77777777" w:rsidR="00F607A0" w:rsidRDefault="00F607A0">
            <w:pPr>
              <w:pStyle w:val="JustifiedSpacing"/>
              <w:ind w:left="567" w:hanging="567"/>
              <w:rPr>
                <w:sz w:val="20"/>
                <w:szCs w:val="20"/>
              </w:rPr>
            </w:pPr>
            <w:r>
              <w:rPr>
                <w:sz w:val="20"/>
                <w:szCs w:val="20"/>
              </w:rPr>
              <w:t>(1)</w:t>
            </w:r>
            <w:r>
              <w:rPr>
                <w:sz w:val="20"/>
                <w:szCs w:val="20"/>
              </w:rPr>
              <w:tab/>
              <w:t xml:space="preserve">the mauri of coastal water is protected and restored where it has degraded, </w:t>
            </w:r>
          </w:p>
          <w:p w14:paraId="0D5C9273" w14:textId="77777777" w:rsidR="00F607A0" w:rsidRDefault="00F607A0">
            <w:pPr>
              <w:pStyle w:val="JustifiedSpacing"/>
              <w:ind w:left="567" w:hanging="567"/>
              <w:rPr>
                <w:sz w:val="20"/>
                <w:szCs w:val="20"/>
              </w:rPr>
            </w:pPr>
            <w:r>
              <w:rPr>
                <w:sz w:val="20"/>
                <w:szCs w:val="20"/>
              </w:rPr>
              <w:t>(2)</w:t>
            </w:r>
            <w:r>
              <w:rPr>
                <w:sz w:val="20"/>
                <w:szCs w:val="20"/>
              </w:rPr>
              <w:tab/>
              <w:t xml:space="preserve">coastal water quality supports healthy ecosystems, natural habitats, water-based recreational activities, existing activities, and customary uses, included practices associated with </w:t>
            </w:r>
            <w:proofErr w:type="spellStart"/>
            <w:r>
              <w:rPr>
                <w:sz w:val="20"/>
                <w:szCs w:val="20"/>
              </w:rPr>
              <w:t>mahika</w:t>
            </w:r>
            <w:proofErr w:type="spellEnd"/>
            <w:r>
              <w:rPr>
                <w:sz w:val="20"/>
                <w:szCs w:val="20"/>
              </w:rPr>
              <w:t xml:space="preserve"> kai and </w:t>
            </w:r>
            <w:proofErr w:type="spellStart"/>
            <w:r>
              <w:rPr>
                <w:sz w:val="20"/>
                <w:szCs w:val="20"/>
              </w:rPr>
              <w:t>kaimoana</w:t>
            </w:r>
            <w:proofErr w:type="spellEnd"/>
            <w:r>
              <w:rPr>
                <w:sz w:val="20"/>
                <w:szCs w:val="20"/>
              </w:rPr>
              <w:t>,</w:t>
            </w:r>
          </w:p>
          <w:p w14:paraId="336AEFAA" w14:textId="77777777" w:rsidR="00F607A0" w:rsidRDefault="00F607A0">
            <w:pPr>
              <w:spacing w:after="120"/>
              <w:ind w:left="567" w:hanging="567"/>
              <w:rPr>
                <w:sz w:val="20"/>
                <w:szCs w:val="20"/>
              </w:rPr>
            </w:pPr>
            <w:r>
              <w:rPr>
                <w:sz w:val="20"/>
                <w:szCs w:val="20"/>
              </w:rPr>
              <w:t>(3)</w:t>
            </w:r>
            <w:r>
              <w:rPr>
                <w:sz w:val="20"/>
                <w:szCs w:val="20"/>
              </w:rPr>
              <w:tab/>
              <w:t xml:space="preserve">the dynamic and interdependent natural biological and physical process in the coastal environment </w:t>
            </w:r>
            <w:proofErr w:type="gramStart"/>
            <w:r>
              <w:rPr>
                <w:sz w:val="20"/>
                <w:szCs w:val="20"/>
              </w:rPr>
              <w:t>are</w:t>
            </w:r>
            <w:proofErr w:type="gramEnd"/>
            <w:r>
              <w:rPr>
                <w:sz w:val="20"/>
                <w:szCs w:val="20"/>
              </w:rPr>
              <w:t xml:space="preserve"> maintained or enhanced,</w:t>
            </w:r>
          </w:p>
          <w:p w14:paraId="287914D7" w14:textId="77777777" w:rsidR="00F607A0" w:rsidRDefault="00F607A0">
            <w:pPr>
              <w:spacing w:after="120"/>
              <w:ind w:left="567" w:hanging="567"/>
              <w:rPr>
                <w:sz w:val="20"/>
                <w:szCs w:val="20"/>
              </w:rPr>
            </w:pPr>
            <w:r>
              <w:rPr>
                <w:sz w:val="20"/>
                <w:szCs w:val="20"/>
              </w:rPr>
              <w:t>(4)</w:t>
            </w:r>
            <w:r>
              <w:rPr>
                <w:sz w:val="20"/>
                <w:szCs w:val="20"/>
              </w:rPr>
              <w:tab/>
              <w:t xml:space="preserve">representative or significant areas of biodiversity are protected, and </w:t>
            </w:r>
          </w:p>
          <w:p w14:paraId="48214BE7" w14:textId="77777777" w:rsidR="00F607A0" w:rsidRDefault="00F607A0">
            <w:pPr>
              <w:spacing w:after="120"/>
              <w:ind w:left="567" w:hanging="567"/>
              <w:rPr>
                <w:sz w:val="20"/>
                <w:szCs w:val="20"/>
              </w:rPr>
            </w:pPr>
            <w:r>
              <w:rPr>
                <w:sz w:val="20"/>
                <w:szCs w:val="20"/>
              </w:rPr>
              <w:t>(5)</w:t>
            </w:r>
            <w:r>
              <w:rPr>
                <w:sz w:val="20"/>
                <w:szCs w:val="20"/>
              </w:rPr>
              <w:tab/>
              <w:t>surf breaks of national significance are protected.</w:t>
            </w:r>
          </w:p>
        </w:tc>
        <w:tc>
          <w:tcPr>
            <w:tcW w:w="5527" w:type="dxa"/>
          </w:tcPr>
          <w:p w14:paraId="2AAB31A9" w14:textId="246F67E0" w:rsidR="00BA61E1" w:rsidRPr="00C25E09" w:rsidRDefault="006911F6" w:rsidP="00930CFC">
            <w:pPr>
              <w:pStyle w:val="Table1"/>
            </w:pPr>
            <w:r>
              <w:t xml:space="preserve">This objective sets out the </w:t>
            </w:r>
            <w:r w:rsidR="000B0127">
              <w:t>broad</w:t>
            </w:r>
            <w:r w:rsidR="00151C8C">
              <w:t xml:space="preserve"> outcomes</w:t>
            </w:r>
            <w:r w:rsidR="000B0127">
              <w:t xml:space="preserve"> sought</w:t>
            </w:r>
            <w:r w:rsidR="00151C8C">
              <w:t xml:space="preserve"> for the coastal environment </w:t>
            </w:r>
            <w:r w:rsidR="00DB10A3">
              <w:t>that will be achieved by safeguarding its</w:t>
            </w:r>
            <w:r w:rsidR="00151C8C">
              <w:t xml:space="preserve"> integrity, form, </w:t>
            </w:r>
            <w:proofErr w:type="gramStart"/>
            <w:r w:rsidR="00151C8C">
              <w:t>function</w:t>
            </w:r>
            <w:proofErr w:type="gramEnd"/>
            <w:r w:rsidR="00151C8C">
              <w:t xml:space="preserve"> and resilience</w:t>
            </w:r>
            <w:r w:rsidR="00DB10A3">
              <w:t>. Protecting a</w:t>
            </w:r>
            <w:r w:rsidR="00E1388A">
              <w:t xml:space="preserve">reas of significant indigenous vegetation and significant indigenous fauna, outstanding natural features, landscapes and seascapes, and natural character in the coastal environment are matters of national importance under </w:t>
            </w:r>
            <w:r w:rsidR="00D51622">
              <w:t>Sections 6 of the</w:t>
            </w:r>
            <w:r w:rsidR="00E1388A">
              <w:t xml:space="preserve"> RMA</w:t>
            </w:r>
            <w:r w:rsidR="00375137">
              <w:t xml:space="preserve"> that must be recognised and provided for</w:t>
            </w:r>
            <w:r w:rsidR="00E1388A">
              <w:t>.</w:t>
            </w:r>
            <w:r w:rsidR="00BA61E1">
              <w:t xml:space="preserve"> Objective 1 of the</w:t>
            </w:r>
            <w:r w:rsidR="00BA61E1" w:rsidRPr="00C25E09">
              <w:t xml:space="preserve"> NZCPS requires that the integrity, form, functioning and resilience of the coastal environment is safeguarded and its ecosystems, including marine and intertidal areas, estuaries, </w:t>
            </w:r>
            <w:proofErr w:type="gramStart"/>
            <w:r w:rsidR="00BA61E1" w:rsidRPr="00C25E09">
              <w:t>dunes</w:t>
            </w:r>
            <w:proofErr w:type="gramEnd"/>
            <w:r w:rsidR="00BA61E1" w:rsidRPr="00C25E09">
              <w:t xml:space="preserve"> and land, are sustained.</w:t>
            </w:r>
            <w:r w:rsidR="00BA61E1">
              <w:t xml:space="preserve"> </w:t>
            </w:r>
            <w:r w:rsidR="008F0DB7">
              <w:t>Th</w:t>
            </w:r>
            <w:r w:rsidR="00B37BD6">
              <w:t xml:space="preserve">is objective </w:t>
            </w:r>
            <w:r w:rsidR="00642299">
              <w:t xml:space="preserve">is particularly relevant </w:t>
            </w:r>
            <w:r w:rsidR="004A1D07">
              <w:t>for</w:t>
            </w:r>
            <w:r w:rsidR="00642299">
              <w:t xml:space="preserve"> achieving the </w:t>
            </w:r>
            <w:r w:rsidR="00B45647">
              <w:t xml:space="preserve">purpose of the </w:t>
            </w:r>
            <w:r w:rsidR="00642299">
              <w:t>RMA, in that i</w:t>
            </w:r>
            <w:r w:rsidR="003A4387">
              <w:t>t</w:t>
            </w:r>
            <w:r w:rsidR="00642299">
              <w:t xml:space="preserve"> </w:t>
            </w:r>
            <w:r w:rsidR="00B37BD6">
              <w:t xml:space="preserve">specifically provides </w:t>
            </w:r>
            <w:r w:rsidR="000B5F07">
              <w:t>for the</w:t>
            </w:r>
            <w:r w:rsidR="00430E0F">
              <w:t xml:space="preserve"> </w:t>
            </w:r>
            <w:r w:rsidR="00DA74E3">
              <w:t xml:space="preserve">relevant matters </w:t>
            </w:r>
            <w:r w:rsidR="009E297B">
              <w:t>i</w:t>
            </w:r>
            <w:r w:rsidR="00725CD8">
              <w:t>n Section 6 a</w:t>
            </w:r>
            <w:r w:rsidR="00D867EE">
              <w:t>n</w:t>
            </w:r>
            <w:r w:rsidR="00725CD8">
              <w:t>d 7 of the RMA and</w:t>
            </w:r>
            <w:r w:rsidR="004A1D07">
              <w:t xml:space="preserve"> gives effect to Objective 1 of</w:t>
            </w:r>
            <w:r w:rsidR="00725CD8">
              <w:t xml:space="preserve"> the NZCPS.</w:t>
            </w:r>
            <w:r w:rsidR="00563BB9">
              <w:t xml:space="preserve"> </w:t>
            </w:r>
            <w:r w:rsidR="00725CD8">
              <w:t xml:space="preserve">CE-01 also </w:t>
            </w:r>
            <w:r w:rsidR="000B5F07">
              <w:t>responds to</w:t>
            </w:r>
            <w:r w:rsidR="008D5C88">
              <w:t xml:space="preserve"> significant resource management</w:t>
            </w:r>
            <w:r w:rsidR="000B5F07">
              <w:t xml:space="preserve"> issues raised by iwi </w:t>
            </w:r>
            <w:r w:rsidR="008D5C88">
              <w:t>(</w:t>
            </w:r>
            <w:bookmarkStart w:id="37" w:name="_Hlk68791208"/>
            <w:r w:rsidR="00FD6BB4" w:rsidRPr="00C25E09">
              <w:t>RMIA–CE–I2</w:t>
            </w:r>
            <w:bookmarkEnd w:id="37"/>
            <w:r w:rsidR="00FD6BB4" w:rsidRPr="00C25E09">
              <w:t xml:space="preserve"> through to </w:t>
            </w:r>
            <w:r w:rsidR="00B03D49" w:rsidRPr="00C25E09">
              <w:t>RMIA–CE–I5</w:t>
            </w:r>
            <w:r w:rsidR="008D5C88">
              <w:t xml:space="preserve">) </w:t>
            </w:r>
            <w:r w:rsidR="00FD6BB4">
              <w:t xml:space="preserve">and issues raised by </w:t>
            </w:r>
            <w:r w:rsidR="000B5F07">
              <w:t xml:space="preserve">the community </w:t>
            </w:r>
            <w:r w:rsidR="008D5C88">
              <w:t xml:space="preserve">(SRMR-I8) </w:t>
            </w:r>
            <w:r w:rsidR="000B5F07">
              <w:t>during consultation on the RPS</w:t>
            </w:r>
            <w:r w:rsidR="00ED6396">
              <w:t xml:space="preserve">, indicating that the </w:t>
            </w:r>
            <w:r w:rsidR="00790012">
              <w:t>o</w:t>
            </w:r>
            <w:r w:rsidR="00CC71F3">
              <w:t xml:space="preserve">bjective is </w:t>
            </w:r>
            <w:r w:rsidR="00790012">
              <w:t xml:space="preserve">also relevant and </w:t>
            </w:r>
            <w:r w:rsidR="00CC71F3">
              <w:t xml:space="preserve">acceptable to the Otago </w:t>
            </w:r>
            <w:r w:rsidR="001969DE">
              <w:t>community</w:t>
            </w:r>
            <w:r w:rsidR="00CC71F3">
              <w:t>.</w:t>
            </w:r>
          </w:p>
          <w:p w14:paraId="4069C7EA" w14:textId="0CB039F3" w:rsidR="00FC6769" w:rsidRDefault="00FC6769" w:rsidP="00930CFC">
            <w:pPr>
              <w:pStyle w:val="Table1"/>
            </w:pPr>
          </w:p>
        </w:tc>
      </w:tr>
      <w:tr w:rsidR="00F607A0" w14:paraId="5EC6782E" w14:textId="77777777" w:rsidTr="00F607A0">
        <w:tc>
          <w:tcPr>
            <w:tcW w:w="3489" w:type="dxa"/>
            <w:hideMark/>
          </w:tcPr>
          <w:p w14:paraId="3E7CFE28" w14:textId="1B63127A" w:rsidR="00F607A0" w:rsidRPr="00930CFC" w:rsidRDefault="00F607A0" w:rsidP="00A247C5">
            <w:pPr>
              <w:pStyle w:val="Table1"/>
              <w:rPr>
                <w:b/>
                <w:bCs/>
              </w:rPr>
            </w:pPr>
            <w:r w:rsidRPr="00930CFC">
              <w:rPr>
                <w:b/>
                <w:bCs/>
              </w:rPr>
              <w:t xml:space="preserve">CE–O2 – Maintaining </w:t>
            </w:r>
            <w:r w:rsidR="00305BC3">
              <w:rPr>
                <w:b/>
                <w:bCs/>
              </w:rPr>
              <w:t xml:space="preserve">or enhancing </w:t>
            </w:r>
            <w:r w:rsidRPr="00930CFC">
              <w:rPr>
                <w:b/>
                <w:bCs/>
              </w:rPr>
              <w:t>highly valued areas of the coastal environment</w:t>
            </w:r>
          </w:p>
          <w:p w14:paraId="5C2F1BD2" w14:textId="77777777" w:rsidR="00F607A0" w:rsidRDefault="00F607A0" w:rsidP="00A247C5">
            <w:pPr>
              <w:pStyle w:val="Table1"/>
            </w:pPr>
            <w:r>
              <w:t>Public access, recreation opportunities, and highly valued natural features and landscapes in the coastal environment are maintained and enhanced.</w:t>
            </w:r>
          </w:p>
        </w:tc>
        <w:tc>
          <w:tcPr>
            <w:tcW w:w="5527" w:type="dxa"/>
          </w:tcPr>
          <w:p w14:paraId="164B3895" w14:textId="619351F2" w:rsidR="00F607A0" w:rsidRPr="00F83C2C" w:rsidRDefault="00E073AE" w:rsidP="00930CFC">
            <w:pPr>
              <w:pStyle w:val="Table1"/>
            </w:pPr>
            <w:r w:rsidRPr="00E073AE">
              <w:t xml:space="preserve">This objective recognises that access </w:t>
            </w:r>
            <w:r w:rsidR="00A72DAD">
              <w:t xml:space="preserve">to the coastal environment, recreational opportunities and </w:t>
            </w:r>
            <w:r w:rsidR="00185E41">
              <w:t xml:space="preserve">the associated natural features and landscapes are a </w:t>
            </w:r>
            <w:r w:rsidRPr="00E073AE">
              <w:t>significant resource management issue for the region</w:t>
            </w:r>
            <w:r w:rsidR="00555569">
              <w:t xml:space="preserve">, </w:t>
            </w:r>
            <w:r w:rsidR="00D97A3F">
              <w:t xml:space="preserve">as set out </w:t>
            </w:r>
            <w:r w:rsidR="00555569">
              <w:t xml:space="preserve">in </w:t>
            </w:r>
            <w:r w:rsidR="00555569" w:rsidRPr="00903185">
              <w:t>RMIA–CE–I3</w:t>
            </w:r>
            <w:r w:rsidR="0008770F" w:rsidRPr="00903185">
              <w:t>, SRMR–I8 and SRMR–</w:t>
            </w:r>
            <w:r w:rsidR="00903185" w:rsidRPr="00903185">
              <w:t>I10</w:t>
            </w:r>
            <w:r w:rsidR="006546F5">
              <w:t xml:space="preserve">. </w:t>
            </w:r>
            <w:r w:rsidR="009F1046">
              <w:t>CE</w:t>
            </w:r>
            <w:r w:rsidR="00930CFC">
              <w:t>–</w:t>
            </w:r>
            <w:r w:rsidR="00E65644">
              <w:t>O2 is</w:t>
            </w:r>
            <w:r w:rsidR="00D97A3F">
              <w:t xml:space="preserve"> </w:t>
            </w:r>
            <w:r w:rsidR="00F95C75">
              <w:t>consistent with the requirements set out in s</w:t>
            </w:r>
            <w:r w:rsidR="00215672">
              <w:t>6</w:t>
            </w:r>
            <w:r w:rsidR="004D71FC">
              <w:t xml:space="preserve"> (b), </w:t>
            </w:r>
            <w:r w:rsidR="00215672">
              <w:t>(d) and s</w:t>
            </w:r>
            <w:r w:rsidR="004D71FC">
              <w:t>7(c) of the RMA</w:t>
            </w:r>
            <w:r w:rsidR="00E65644">
              <w:t xml:space="preserve"> and </w:t>
            </w:r>
            <w:r w:rsidRPr="00E073AE">
              <w:t xml:space="preserve">gives effect to </w:t>
            </w:r>
            <w:r w:rsidR="00A47540">
              <w:t>Objective 4 of the NZCPS</w:t>
            </w:r>
            <w:r w:rsidRPr="00903185">
              <w:t>.</w:t>
            </w:r>
          </w:p>
        </w:tc>
      </w:tr>
      <w:tr w:rsidR="00F607A0" w14:paraId="17B68A25" w14:textId="77777777" w:rsidTr="00F607A0">
        <w:tc>
          <w:tcPr>
            <w:tcW w:w="3489" w:type="dxa"/>
            <w:hideMark/>
          </w:tcPr>
          <w:p w14:paraId="7EFD648F" w14:textId="42C899BA" w:rsidR="00F607A0" w:rsidRPr="00930CFC" w:rsidRDefault="00F607A0" w:rsidP="00A247C5">
            <w:pPr>
              <w:pStyle w:val="Table1"/>
              <w:rPr>
                <w:b/>
                <w:bCs/>
              </w:rPr>
            </w:pPr>
            <w:r w:rsidRPr="00930CFC">
              <w:rPr>
                <w:b/>
                <w:bCs/>
              </w:rPr>
              <w:t>CE–O3 –</w:t>
            </w:r>
            <w:r w:rsidR="00305BC3">
              <w:rPr>
                <w:b/>
                <w:bCs/>
              </w:rPr>
              <w:t xml:space="preserve"> </w:t>
            </w:r>
            <w:r w:rsidRPr="00930CFC">
              <w:rPr>
                <w:b/>
                <w:bCs/>
              </w:rPr>
              <w:t xml:space="preserve">Natural character, </w:t>
            </w:r>
            <w:proofErr w:type="gramStart"/>
            <w:r w:rsidRPr="00930CFC">
              <w:rPr>
                <w:b/>
                <w:bCs/>
              </w:rPr>
              <w:t>features</w:t>
            </w:r>
            <w:proofErr w:type="gramEnd"/>
            <w:r w:rsidRPr="00930CFC">
              <w:rPr>
                <w:b/>
                <w:bCs/>
              </w:rPr>
              <w:t xml:space="preserve"> and landscapes</w:t>
            </w:r>
          </w:p>
          <w:p w14:paraId="5A07B8B6" w14:textId="77777777" w:rsidR="00F607A0" w:rsidRDefault="00F607A0" w:rsidP="00A247C5">
            <w:pPr>
              <w:pStyle w:val="Table1"/>
            </w:pPr>
            <w:r>
              <w:t xml:space="preserve">Areas of natural character, natural features, </w:t>
            </w:r>
            <w:proofErr w:type="gramStart"/>
            <w:r>
              <w:t>landscapes</w:t>
            </w:r>
            <w:proofErr w:type="gramEnd"/>
            <w:r>
              <w:t xml:space="preserve"> and seascapes within the coastal environment are protected from inappropriate activities, and restoration is encouraged where the values of these areas have been compromised</w:t>
            </w:r>
          </w:p>
        </w:tc>
        <w:tc>
          <w:tcPr>
            <w:tcW w:w="5527" w:type="dxa"/>
          </w:tcPr>
          <w:p w14:paraId="7545F435" w14:textId="538AC4EA" w:rsidR="00F607A0" w:rsidRDefault="00D60813" w:rsidP="00930CFC">
            <w:pPr>
              <w:pStyle w:val="Table1"/>
            </w:pPr>
            <w:r>
              <w:t xml:space="preserve">This objective </w:t>
            </w:r>
            <w:r w:rsidR="00061207">
              <w:t>is ORC’s response to the requirements of s6(</w:t>
            </w:r>
            <w:r w:rsidR="006047AB">
              <w:t>a) and (b)</w:t>
            </w:r>
            <w:r w:rsidR="00FA7357">
              <w:t xml:space="preserve"> </w:t>
            </w:r>
            <w:r w:rsidR="003A4387">
              <w:t xml:space="preserve">of the RMA </w:t>
            </w:r>
            <w:r w:rsidR="00FA7357">
              <w:t>to protect areas</w:t>
            </w:r>
            <w:r w:rsidR="00061207">
              <w:t xml:space="preserve"> of natural character natural features, </w:t>
            </w:r>
            <w:proofErr w:type="gramStart"/>
            <w:r w:rsidR="00061207">
              <w:t>landscapes</w:t>
            </w:r>
            <w:proofErr w:type="gramEnd"/>
            <w:r w:rsidR="00061207">
              <w:t xml:space="preserve"> and seascapes within the coastal environment</w:t>
            </w:r>
            <w:r w:rsidR="00FA7357">
              <w:t>. Th</w:t>
            </w:r>
            <w:r w:rsidR="00F07563">
              <w:t xml:space="preserve">e NZCPS provides further direction on these matters in Objective </w:t>
            </w:r>
            <w:proofErr w:type="gramStart"/>
            <w:r w:rsidR="00AC2849">
              <w:t xml:space="preserve">2, </w:t>
            </w:r>
            <w:r w:rsidR="00E46335">
              <w:t>and</w:t>
            </w:r>
            <w:proofErr w:type="gramEnd"/>
            <w:r w:rsidR="00E46335">
              <w:t xml:space="preserve"> includes additional requirements for encouraging restoration of the coastal environment</w:t>
            </w:r>
            <w:r w:rsidR="004F4B56">
              <w:t xml:space="preserve">. </w:t>
            </w:r>
            <w:r w:rsidR="00456B85">
              <w:t>CE</w:t>
            </w:r>
            <w:r w:rsidR="00930CFC">
              <w:t>–</w:t>
            </w:r>
            <w:r w:rsidR="00456B85">
              <w:t xml:space="preserve">O3 </w:t>
            </w:r>
            <w:r w:rsidR="00B039DD">
              <w:t>gives effect to t</w:t>
            </w:r>
            <w:r w:rsidR="005F2FA6">
              <w:t xml:space="preserve">his objective by also </w:t>
            </w:r>
            <w:r w:rsidR="00935BB8">
              <w:t>encouraging</w:t>
            </w:r>
            <w:r w:rsidR="005F2FA6">
              <w:t xml:space="preserve"> restoration where values </w:t>
            </w:r>
            <w:r w:rsidR="00935BB8">
              <w:t xml:space="preserve">have been compromised. </w:t>
            </w:r>
            <w:r w:rsidR="005F74C1">
              <w:t xml:space="preserve">The relevance and acceptability of </w:t>
            </w:r>
            <w:r w:rsidR="0078555E">
              <w:t>CE</w:t>
            </w:r>
            <w:r w:rsidR="00930CFC">
              <w:t>–</w:t>
            </w:r>
            <w:r w:rsidR="0078555E">
              <w:t xml:space="preserve">O3 </w:t>
            </w:r>
            <w:r w:rsidR="00B64978">
              <w:t>to the Otago community and to iwi is demonstrated through the</w:t>
            </w:r>
            <w:r w:rsidR="00365AF6">
              <w:t xml:space="preserve"> key issues </w:t>
            </w:r>
            <w:r w:rsidR="003555C7" w:rsidRPr="0053338F">
              <w:t>RMIA–CE–I5</w:t>
            </w:r>
            <w:r w:rsidR="003555C7">
              <w:t xml:space="preserve"> and SRMR-I8.</w:t>
            </w:r>
          </w:p>
        </w:tc>
      </w:tr>
      <w:tr w:rsidR="00F607A0" w14:paraId="6AC75D80" w14:textId="77777777" w:rsidTr="00F607A0">
        <w:tc>
          <w:tcPr>
            <w:tcW w:w="3489" w:type="dxa"/>
            <w:hideMark/>
          </w:tcPr>
          <w:p w14:paraId="50DE6EB4" w14:textId="3457CEEF" w:rsidR="00F607A0" w:rsidRPr="00930CFC" w:rsidRDefault="00F607A0" w:rsidP="00A247C5">
            <w:pPr>
              <w:pStyle w:val="Table1"/>
              <w:rPr>
                <w:b/>
                <w:bCs/>
              </w:rPr>
            </w:pPr>
            <w:r w:rsidRPr="00930CFC">
              <w:rPr>
                <w:b/>
                <w:bCs/>
              </w:rPr>
              <w:t>CE</w:t>
            </w:r>
            <w:r w:rsidR="00930CFC" w:rsidRPr="00930CFC">
              <w:rPr>
                <w:b/>
                <w:bCs/>
              </w:rPr>
              <w:t>–</w:t>
            </w:r>
            <w:r w:rsidRPr="00930CFC">
              <w:rPr>
                <w:b/>
                <w:bCs/>
              </w:rPr>
              <w:t xml:space="preserve">O4 – </w:t>
            </w:r>
            <w:r w:rsidRPr="00930CFC">
              <w:rPr>
                <w:b/>
                <w:bCs/>
                <w:lang w:val="en-AU"/>
              </w:rPr>
              <w:t>K</w:t>
            </w:r>
            <w:proofErr w:type="spellStart"/>
            <w:r w:rsidRPr="00930CFC">
              <w:rPr>
                <w:b/>
                <w:bCs/>
                <w:lang w:val="mi-NZ"/>
              </w:rPr>
              <w:t>āi</w:t>
            </w:r>
            <w:proofErr w:type="spellEnd"/>
            <w:r w:rsidRPr="00930CFC">
              <w:rPr>
                <w:b/>
                <w:bCs/>
                <w:lang w:val="mi-NZ"/>
              </w:rPr>
              <w:t xml:space="preserve"> Tahu</w:t>
            </w:r>
            <w:r w:rsidR="00930CFC" w:rsidRPr="00930CFC">
              <w:rPr>
                <w:b/>
                <w:bCs/>
                <w:lang w:val="mi-NZ"/>
              </w:rPr>
              <w:t xml:space="preserve"> </w:t>
            </w:r>
            <w:r w:rsidRPr="00930CFC">
              <w:rPr>
                <w:b/>
                <w:bCs/>
              </w:rPr>
              <w:t>associations with Otago’s coastal environment</w:t>
            </w:r>
          </w:p>
          <w:p w14:paraId="0049D140" w14:textId="77777777" w:rsidR="00F607A0" w:rsidRDefault="00F607A0">
            <w:pPr>
              <w:pStyle w:val="JustifiedSpacing"/>
              <w:rPr>
                <w:sz w:val="20"/>
                <w:szCs w:val="20"/>
              </w:rPr>
            </w:pPr>
            <w:r>
              <w:rPr>
                <w:sz w:val="20"/>
                <w:szCs w:val="20"/>
              </w:rPr>
              <w:lastRenderedPageBreak/>
              <w:t xml:space="preserve">The enduring cultural association of Kāi </w:t>
            </w:r>
            <w:proofErr w:type="spellStart"/>
            <w:r>
              <w:rPr>
                <w:sz w:val="20"/>
                <w:szCs w:val="20"/>
              </w:rPr>
              <w:t>Tahu</w:t>
            </w:r>
            <w:proofErr w:type="spellEnd"/>
            <w:r>
              <w:rPr>
                <w:sz w:val="20"/>
                <w:szCs w:val="20"/>
              </w:rPr>
              <w:t xml:space="preserve"> with Otago’s coastal environment is recognised and provided for, and </w:t>
            </w:r>
            <w:r>
              <w:rPr>
                <w:i/>
                <w:sz w:val="20"/>
                <w:szCs w:val="20"/>
              </w:rPr>
              <w:t>mana whenua</w:t>
            </w:r>
            <w:r>
              <w:rPr>
                <w:sz w:val="20"/>
                <w:szCs w:val="20"/>
              </w:rPr>
              <w:t xml:space="preserve"> </w:t>
            </w:r>
            <w:proofErr w:type="gramStart"/>
            <w:r>
              <w:rPr>
                <w:sz w:val="20"/>
                <w:szCs w:val="20"/>
              </w:rPr>
              <w:t>are able to</w:t>
            </w:r>
            <w:proofErr w:type="gramEnd"/>
            <w:r>
              <w:rPr>
                <w:sz w:val="20"/>
                <w:szCs w:val="20"/>
              </w:rPr>
              <w:t xml:space="preserve"> exercise their kaitiaki role within the coastal environment. </w:t>
            </w:r>
          </w:p>
        </w:tc>
        <w:tc>
          <w:tcPr>
            <w:tcW w:w="5527" w:type="dxa"/>
          </w:tcPr>
          <w:p w14:paraId="2AED4045" w14:textId="5626F790" w:rsidR="00F607A0" w:rsidRDefault="00846F0C" w:rsidP="00A247C5">
            <w:pPr>
              <w:pStyle w:val="Table1"/>
            </w:pPr>
            <w:r>
              <w:lastRenderedPageBreak/>
              <w:t xml:space="preserve">The coastal environment is particularly significant for Kāi </w:t>
            </w:r>
            <w:proofErr w:type="spellStart"/>
            <w:r>
              <w:t>Tahu</w:t>
            </w:r>
            <w:proofErr w:type="spellEnd"/>
            <w:r>
              <w:t xml:space="preserve"> in the southern South Island. CE-O4 </w:t>
            </w:r>
            <w:r w:rsidR="007D6691">
              <w:t>seeks to reco</w:t>
            </w:r>
            <w:r w:rsidR="00224F30">
              <w:t xml:space="preserve">gnise and provide </w:t>
            </w:r>
            <w:r w:rsidR="00224F30">
              <w:lastRenderedPageBreak/>
              <w:t xml:space="preserve">for </w:t>
            </w:r>
            <w:r w:rsidR="00E41010">
              <w:t xml:space="preserve">the relationship that </w:t>
            </w:r>
            <w:r w:rsidR="000963DA">
              <w:t xml:space="preserve">Kāi </w:t>
            </w:r>
            <w:proofErr w:type="spellStart"/>
            <w:r w:rsidR="000963DA">
              <w:t>Tahu</w:t>
            </w:r>
            <w:proofErr w:type="spellEnd"/>
            <w:r w:rsidR="000963DA">
              <w:t xml:space="preserve"> has with the Otago coastal </w:t>
            </w:r>
            <w:r w:rsidR="00DA4A40">
              <w:t>environment</w:t>
            </w:r>
            <w:r w:rsidR="00C948B1">
              <w:t xml:space="preserve"> (</w:t>
            </w:r>
            <w:r w:rsidR="00D07B1F">
              <w:t xml:space="preserve">consistent with </w:t>
            </w:r>
            <w:r w:rsidR="004B1533">
              <w:t>s6(e) of the RMA</w:t>
            </w:r>
            <w:r w:rsidR="00C948B1">
              <w:t xml:space="preserve">, </w:t>
            </w:r>
            <w:r w:rsidR="007F6671">
              <w:t>as a matter of national importance)</w:t>
            </w:r>
            <w:r w:rsidR="0067152F">
              <w:t>, and p</w:t>
            </w:r>
            <w:r w:rsidR="007F6671">
              <w:t>rovid</w:t>
            </w:r>
            <w:r w:rsidR="0067152F">
              <w:t>e</w:t>
            </w:r>
            <w:r w:rsidR="007F6671">
              <w:t xml:space="preserve"> for </w:t>
            </w:r>
            <w:r w:rsidR="00886C8C">
              <w:t>mana whenua</w:t>
            </w:r>
            <w:r w:rsidR="00C45497">
              <w:t xml:space="preserve"> to exercise their kaitiaki role within the coastal environment</w:t>
            </w:r>
            <w:r w:rsidR="00C948B1">
              <w:t xml:space="preserve"> (</w:t>
            </w:r>
            <w:r w:rsidR="004F3428">
              <w:t>having regard to s7(a) in achieving the purpose of the RMA).</w:t>
            </w:r>
            <w:r w:rsidR="00C45497">
              <w:t xml:space="preserve"> </w:t>
            </w:r>
            <w:r w:rsidR="00A62656">
              <w:t>CE</w:t>
            </w:r>
            <w:r w:rsidR="00930CFC">
              <w:t>–</w:t>
            </w:r>
            <w:r w:rsidR="00A62656">
              <w:t>O4 also gives effect to Objective 4 of the NZCPS by requiring that the</w:t>
            </w:r>
            <w:r w:rsidR="00A62656" w:rsidRPr="00FC6B70">
              <w:t xml:space="preserve"> role of </w:t>
            </w:r>
            <w:proofErr w:type="spellStart"/>
            <w:r w:rsidR="00A62656" w:rsidRPr="00FC6B70">
              <w:t>ta</w:t>
            </w:r>
            <w:r w:rsidR="00794A50">
              <w:t>kata</w:t>
            </w:r>
            <w:proofErr w:type="spellEnd"/>
            <w:r w:rsidR="00A62656" w:rsidRPr="00FC6B70">
              <w:t xml:space="preserve"> whenua as kaitiaki </w:t>
            </w:r>
            <w:r w:rsidR="00A62656">
              <w:t>is</w:t>
            </w:r>
            <w:r w:rsidR="00A62656" w:rsidRPr="00231631">
              <w:t xml:space="preserve"> recognise</w:t>
            </w:r>
            <w:r w:rsidR="00A62656">
              <w:t xml:space="preserve">d. </w:t>
            </w:r>
            <w:r w:rsidR="000C374F">
              <w:t>As</w:t>
            </w:r>
            <w:r w:rsidR="00A62656">
              <w:t xml:space="preserve"> CE</w:t>
            </w:r>
            <w:r w:rsidR="00930CFC">
              <w:t>–</w:t>
            </w:r>
            <w:r w:rsidR="00A62656">
              <w:t xml:space="preserve">O4 </w:t>
            </w:r>
            <w:r w:rsidR="000C374F">
              <w:t xml:space="preserve">aligns with </w:t>
            </w:r>
            <w:r w:rsidR="00A62656">
              <w:t xml:space="preserve">the direction set out in the RMA and higher order documents, the objective is </w:t>
            </w:r>
            <w:r w:rsidR="00B7720B">
              <w:t xml:space="preserve">considered </w:t>
            </w:r>
            <w:r w:rsidR="00A62656">
              <w:t>relevant</w:t>
            </w:r>
            <w:r w:rsidR="00B7720B">
              <w:t xml:space="preserve"> and appropriate</w:t>
            </w:r>
            <w:r w:rsidR="0088254F">
              <w:t xml:space="preserve">. </w:t>
            </w:r>
            <w:r w:rsidR="00A246B1">
              <w:t xml:space="preserve">In addition, it also directly responds to the </w:t>
            </w:r>
            <w:r w:rsidR="0093540A">
              <w:t>significant resource management issues raised by iwi</w:t>
            </w:r>
            <w:r w:rsidR="000B69D8">
              <w:t xml:space="preserve"> for the coastal environment, including </w:t>
            </w:r>
            <w:r w:rsidR="000B69D8" w:rsidRPr="0053338F">
              <w:rPr>
                <w:rFonts w:ascii="TT1B0t00" w:hAnsi="TT1B0t00" w:cs="TT1B0t00"/>
              </w:rPr>
              <w:t>RMIA–CE–I</w:t>
            </w:r>
            <w:r w:rsidR="000B69D8">
              <w:rPr>
                <w:rFonts w:ascii="TT1B0t00" w:hAnsi="TT1B0t00" w:cs="TT1B0t00"/>
              </w:rPr>
              <w:t xml:space="preserve">1 through to </w:t>
            </w:r>
            <w:r w:rsidR="000B69D8" w:rsidRPr="0053338F">
              <w:rPr>
                <w:rFonts w:ascii="TT1B0t00" w:hAnsi="TT1B0t00" w:cs="TT1B0t00"/>
              </w:rPr>
              <w:t>RMIA–CE–I5</w:t>
            </w:r>
            <w:r w:rsidR="00B7720B">
              <w:rPr>
                <w:rFonts w:ascii="TT1B0t00" w:hAnsi="TT1B0t00" w:cs="TT1B0t00"/>
              </w:rPr>
              <w:t xml:space="preserve"> indicating that the objective is an acceptable </w:t>
            </w:r>
            <w:r w:rsidR="009E4F6C">
              <w:rPr>
                <w:rFonts w:ascii="TT1B0t00" w:hAnsi="TT1B0t00" w:cs="TT1B0t00"/>
              </w:rPr>
              <w:t xml:space="preserve">management </w:t>
            </w:r>
            <w:r w:rsidR="00B7720B">
              <w:rPr>
                <w:rFonts w:ascii="TT1B0t00" w:hAnsi="TT1B0t00" w:cs="TT1B0t00"/>
              </w:rPr>
              <w:t xml:space="preserve">approach for </w:t>
            </w:r>
            <w:r w:rsidR="009E4F6C">
              <w:rPr>
                <w:rFonts w:ascii="TT1B0t00" w:hAnsi="TT1B0t00" w:cs="TT1B0t00"/>
              </w:rPr>
              <w:t>enabling the continued associations of</w:t>
            </w:r>
            <w:r w:rsidR="005E08F5">
              <w:rPr>
                <w:rFonts w:ascii="TT1B0t00" w:hAnsi="TT1B0t00" w:cs="TT1B0t00"/>
              </w:rPr>
              <w:t xml:space="preserve"> </w:t>
            </w:r>
            <w:r w:rsidR="005E08F5" w:rsidRPr="009E4F6C">
              <w:rPr>
                <w:bCs/>
                <w:lang w:val="en-AU"/>
              </w:rPr>
              <w:t>K</w:t>
            </w:r>
            <w:proofErr w:type="spellStart"/>
            <w:r w:rsidR="005E08F5" w:rsidRPr="009E4F6C">
              <w:rPr>
                <w:bCs/>
                <w:lang w:val="mi-NZ"/>
              </w:rPr>
              <w:t>āi</w:t>
            </w:r>
            <w:proofErr w:type="spellEnd"/>
            <w:r w:rsidR="005E08F5" w:rsidRPr="009E4F6C">
              <w:rPr>
                <w:bCs/>
                <w:lang w:val="mi-NZ"/>
              </w:rPr>
              <w:t xml:space="preserve"> Tahu </w:t>
            </w:r>
            <w:proofErr w:type="spellStart"/>
            <w:r w:rsidR="005E08F5" w:rsidRPr="009E4F6C">
              <w:rPr>
                <w:bCs/>
                <w:lang w:val="mi-NZ"/>
              </w:rPr>
              <w:t>with</w:t>
            </w:r>
            <w:proofErr w:type="spellEnd"/>
            <w:r w:rsidR="009E4F6C" w:rsidRPr="009E4F6C">
              <w:rPr>
                <w:bCs/>
                <w:lang w:val="mi-NZ"/>
              </w:rPr>
              <w:t xml:space="preserve"> </w:t>
            </w:r>
            <w:proofErr w:type="spellStart"/>
            <w:r w:rsidR="009E4F6C" w:rsidRPr="009E4F6C">
              <w:rPr>
                <w:bCs/>
                <w:lang w:val="mi-NZ"/>
              </w:rPr>
              <w:t>the</w:t>
            </w:r>
            <w:proofErr w:type="spellEnd"/>
            <w:r w:rsidR="009E4F6C" w:rsidRPr="009E4F6C">
              <w:rPr>
                <w:bCs/>
                <w:lang w:val="mi-NZ"/>
              </w:rPr>
              <w:t xml:space="preserve"> </w:t>
            </w:r>
            <w:proofErr w:type="spellStart"/>
            <w:r w:rsidR="009E4F6C" w:rsidRPr="009E4F6C">
              <w:rPr>
                <w:bCs/>
                <w:lang w:val="mi-NZ"/>
              </w:rPr>
              <w:t>c</w:t>
            </w:r>
            <w:r w:rsidR="003036CD">
              <w:rPr>
                <w:bCs/>
                <w:lang w:val="mi-NZ"/>
              </w:rPr>
              <w:t>oa</w:t>
            </w:r>
            <w:r w:rsidR="009E4F6C" w:rsidRPr="009E4F6C">
              <w:rPr>
                <w:bCs/>
                <w:lang w:val="mi-NZ"/>
              </w:rPr>
              <w:t>stal</w:t>
            </w:r>
            <w:proofErr w:type="spellEnd"/>
            <w:r w:rsidR="009E4F6C" w:rsidRPr="009E4F6C">
              <w:rPr>
                <w:bCs/>
                <w:lang w:val="mi-NZ"/>
              </w:rPr>
              <w:t xml:space="preserve"> </w:t>
            </w:r>
            <w:proofErr w:type="spellStart"/>
            <w:r w:rsidR="009E4F6C" w:rsidRPr="009E4F6C">
              <w:rPr>
                <w:bCs/>
                <w:lang w:val="mi-NZ"/>
              </w:rPr>
              <w:t>environment</w:t>
            </w:r>
            <w:proofErr w:type="spellEnd"/>
            <w:r w:rsidR="00977F00" w:rsidRPr="009E4F6C">
              <w:rPr>
                <w:rFonts w:ascii="TT1B0t00" w:hAnsi="TT1B0t00" w:cs="TT1B0t00"/>
                <w:bCs/>
              </w:rPr>
              <w:t>.</w:t>
            </w:r>
            <w:r w:rsidR="00977F00">
              <w:rPr>
                <w:rFonts w:ascii="TT1B0t00" w:hAnsi="TT1B0t00" w:cs="TT1B0t00"/>
              </w:rPr>
              <w:t xml:space="preserve"> </w:t>
            </w:r>
          </w:p>
        </w:tc>
      </w:tr>
      <w:tr w:rsidR="00F607A0" w14:paraId="71DF4D48" w14:textId="77777777" w:rsidTr="00F607A0">
        <w:tc>
          <w:tcPr>
            <w:tcW w:w="3489" w:type="dxa"/>
            <w:hideMark/>
          </w:tcPr>
          <w:p w14:paraId="7D5AD5D5" w14:textId="4EB5BDDE" w:rsidR="00F607A0" w:rsidRPr="00930CFC" w:rsidRDefault="00F607A0" w:rsidP="00A247C5">
            <w:pPr>
              <w:pStyle w:val="Table1"/>
              <w:rPr>
                <w:b/>
                <w:bCs/>
              </w:rPr>
            </w:pPr>
            <w:r w:rsidRPr="00930CFC">
              <w:rPr>
                <w:b/>
                <w:bCs/>
              </w:rPr>
              <w:lastRenderedPageBreak/>
              <w:t>CE</w:t>
            </w:r>
            <w:r w:rsidR="00930CFC" w:rsidRPr="00930CFC">
              <w:rPr>
                <w:b/>
                <w:bCs/>
              </w:rPr>
              <w:t>–</w:t>
            </w:r>
            <w:r w:rsidRPr="00930CFC">
              <w:rPr>
                <w:b/>
                <w:bCs/>
              </w:rPr>
              <w:t xml:space="preserve">O5 – Activities in the coastal environment   </w:t>
            </w:r>
          </w:p>
          <w:p w14:paraId="19B5738F" w14:textId="09C51730" w:rsidR="00814D3C" w:rsidRPr="00814D3C" w:rsidRDefault="00814D3C" w:rsidP="00A247C5">
            <w:pPr>
              <w:pStyle w:val="Table1"/>
            </w:pPr>
            <w:r w:rsidRPr="00814D3C">
              <w:t>Activities in the coastal environment:</w:t>
            </w:r>
          </w:p>
          <w:p w14:paraId="20CA4098" w14:textId="77777777" w:rsidR="00F607A0" w:rsidRDefault="00F607A0">
            <w:pPr>
              <w:pStyle w:val="JustifiedSpacing"/>
              <w:ind w:left="567" w:hanging="567"/>
              <w:rPr>
                <w:sz w:val="20"/>
                <w:szCs w:val="20"/>
              </w:rPr>
            </w:pPr>
            <w:r>
              <w:rPr>
                <w:sz w:val="20"/>
                <w:szCs w:val="20"/>
              </w:rPr>
              <w:t>(1)</w:t>
            </w:r>
            <w:r>
              <w:rPr>
                <w:sz w:val="20"/>
                <w:szCs w:val="20"/>
              </w:rPr>
              <w:tab/>
              <w:t>make efficient use of space occupied in the coastal marine area,</w:t>
            </w:r>
          </w:p>
          <w:p w14:paraId="0A1CD692" w14:textId="77777777" w:rsidR="00F607A0" w:rsidRDefault="00F607A0">
            <w:pPr>
              <w:pStyle w:val="JustifiedSpacing"/>
              <w:ind w:left="567" w:hanging="567"/>
              <w:rPr>
                <w:sz w:val="20"/>
                <w:szCs w:val="20"/>
              </w:rPr>
            </w:pPr>
            <w:r>
              <w:rPr>
                <w:sz w:val="20"/>
                <w:szCs w:val="20"/>
              </w:rPr>
              <w:t xml:space="preserve">(2) </w:t>
            </w:r>
            <w:r>
              <w:rPr>
                <w:sz w:val="20"/>
                <w:szCs w:val="20"/>
              </w:rPr>
              <w:tab/>
              <w:t xml:space="preserve">are of a scale, </w:t>
            </w:r>
            <w:proofErr w:type="gramStart"/>
            <w:r>
              <w:rPr>
                <w:sz w:val="20"/>
                <w:szCs w:val="20"/>
              </w:rPr>
              <w:t>density</w:t>
            </w:r>
            <w:proofErr w:type="gramEnd"/>
            <w:r>
              <w:rPr>
                <w:sz w:val="20"/>
                <w:szCs w:val="20"/>
              </w:rPr>
              <w:t xml:space="preserve"> and design compatible with their location, </w:t>
            </w:r>
          </w:p>
          <w:p w14:paraId="0F60603B" w14:textId="77777777" w:rsidR="00F607A0" w:rsidRDefault="00F607A0">
            <w:pPr>
              <w:pStyle w:val="JustifiedSpacing"/>
              <w:ind w:left="567" w:hanging="567"/>
              <w:rPr>
                <w:sz w:val="20"/>
                <w:szCs w:val="20"/>
              </w:rPr>
            </w:pPr>
            <w:r>
              <w:rPr>
                <w:sz w:val="20"/>
                <w:szCs w:val="20"/>
              </w:rPr>
              <w:t xml:space="preserve">(3) </w:t>
            </w:r>
            <w:r>
              <w:rPr>
                <w:sz w:val="20"/>
                <w:szCs w:val="20"/>
              </w:rPr>
              <w:tab/>
              <w:t>are only provided for within appropriate locations and limits, and</w:t>
            </w:r>
          </w:p>
          <w:p w14:paraId="7F586BF4" w14:textId="77777777" w:rsidR="00F607A0" w:rsidRDefault="00F607A0">
            <w:pPr>
              <w:pStyle w:val="JustifiedSpacing"/>
              <w:ind w:left="567" w:hanging="567"/>
              <w:rPr>
                <w:sz w:val="20"/>
                <w:szCs w:val="20"/>
              </w:rPr>
            </w:pPr>
            <w:r>
              <w:rPr>
                <w:sz w:val="20"/>
                <w:szCs w:val="20"/>
              </w:rPr>
              <w:t>(4)</w:t>
            </w:r>
            <w:r>
              <w:rPr>
                <w:sz w:val="20"/>
                <w:szCs w:val="20"/>
              </w:rPr>
              <w:tab/>
              <w:t xml:space="preserve">maintain or enhance public access to and along the </w:t>
            </w:r>
            <w:r>
              <w:rPr>
                <w:i/>
                <w:iCs/>
                <w:sz w:val="20"/>
                <w:szCs w:val="20"/>
              </w:rPr>
              <w:t>coastal marine area,</w:t>
            </w:r>
            <w:r>
              <w:rPr>
                <w:sz w:val="20"/>
                <w:szCs w:val="20"/>
              </w:rPr>
              <w:t xml:space="preserve"> including for customary uses.</w:t>
            </w:r>
          </w:p>
        </w:tc>
        <w:tc>
          <w:tcPr>
            <w:tcW w:w="5527" w:type="dxa"/>
          </w:tcPr>
          <w:p w14:paraId="7E327C81" w14:textId="165E4368" w:rsidR="00F607A0" w:rsidRDefault="00B34E37" w:rsidP="00930CFC">
            <w:pPr>
              <w:pStyle w:val="Table1"/>
            </w:pPr>
            <w:r w:rsidRPr="00CD1D1F">
              <w:t>Objective CE-O5 sets up a management framework for activities</w:t>
            </w:r>
            <w:r w:rsidR="006E7259" w:rsidRPr="00CD1D1F">
              <w:t xml:space="preserve"> </w:t>
            </w:r>
            <w:r w:rsidR="002600DC" w:rsidRPr="00CD1D1F">
              <w:t xml:space="preserve">that may occur in the coastal environment, </w:t>
            </w:r>
            <w:r w:rsidR="00E57C5D" w:rsidRPr="00CD1D1F">
              <w:t>in a manner that provides for the</w:t>
            </w:r>
            <w:r w:rsidR="00644F47" w:rsidRPr="00CD1D1F">
              <w:t xml:space="preserve"> matters</w:t>
            </w:r>
            <w:r w:rsidR="00E57C5D" w:rsidRPr="00CD1D1F">
              <w:t xml:space="preserve"> set out in sections</w:t>
            </w:r>
            <w:r w:rsidR="00644F47" w:rsidRPr="00CD1D1F">
              <w:t xml:space="preserve"> 6(</w:t>
            </w:r>
            <w:r w:rsidR="00CA047B" w:rsidRPr="00CD1D1F">
              <w:t>d) and 7(b) and (f)</w:t>
            </w:r>
            <w:r w:rsidR="00E57C5D" w:rsidRPr="00CD1D1F">
              <w:t xml:space="preserve"> of the RMA.</w:t>
            </w:r>
            <w:r w:rsidRPr="00CD1D1F">
              <w:t xml:space="preserve"> </w:t>
            </w:r>
            <w:r w:rsidR="00E57C5D" w:rsidRPr="00CD1D1F">
              <w:t xml:space="preserve">This objective is also consistent with </w:t>
            </w:r>
            <w:r w:rsidRPr="00CD1D1F">
              <w:t xml:space="preserve">Objective 6 </w:t>
            </w:r>
            <w:r w:rsidR="00E57C5D" w:rsidRPr="00CD1D1F">
              <w:t xml:space="preserve">of the NZCPS, </w:t>
            </w:r>
            <w:r w:rsidR="003E7D2F">
              <w:t>which</w:t>
            </w:r>
            <w:r w:rsidR="00E57C5D" w:rsidRPr="00CD1D1F">
              <w:t xml:space="preserve"> seeks to </w:t>
            </w:r>
            <w:r w:rsidRPr="00CD1D1F">
              <w:t xml:space="preserve">enable people and communities to provide for their social, </w:t>
            </w:r>
            <w:proofErr w:type="gramStart"/>
            <w:r w:rsidRPr="00CD1D1F">
              <w:t>economic</w:t>
            </w:r>
            <w:proofErr w:type="gramEnd"/>
            <w:r w:rsidRPr="00CD1D1F">
              <w:t xml:space="preserve"> and cultural wellbeing and their health and safety through subdivision, use and development</w:t>
            </w:r>
            <w:r w:rsidR="00E57C5D" w:rsidRPr="00CD1D1F">
              <w:t xml:space="preserve"> of the coastal environment</w:t>
            </w:r>
            <w:r w:rsidRPr="00CD1D1F">
              <w:t>.</w:t>
            </w:r>
            <w:r w:rsidR="003E7D2F">
              <w:t xml:space="preserve"> The alignment between CE-O5 and Part 2 of the RMA, </w:t>
            </w:r>
            <w:r w:rsidR="00CD1D1F">
              <w:t xml:space="preserve">the </w:t>
            </w:r>
            <w:r w:rsidR="003E7D2F">
              <w:t>NZCPS</w:t>
            </w:r>
            <w:r w:rsidR="00CD1D1F">
              <w:t xml:space="preserve"> and significant resource management issue </w:t>
            </w:r>
            <w:r w:rsidR="00CD1D1F" w:rsidRPr="00CD1D1F">
              <w:t>SRMR</w:t>
            </w:r>
            <w:r w:rsidR="00930CFC">
              <w:t>–</w:t>
            </w:r>
            <w:r w:rsidR="00CD1D1F" w:rsidRPr="00CD1D1F">
              <w:t>I8</w:t>
            </w:r>
            <w:r w:rsidR="00CD1D1F">
              <w:t xml:space="preserve"> is indicative of its relevance and significance to Otago.</w:t>
            </w:r>
          </w:p>
        </w:tc>
      </w:tr>
    </w:tbl>
    <w:p w14:paraId="22F6D478" w14:textId="19699492" w:rsidR="001974F2" w:rsidRPr="00060005" w:rsidRDefault="001974F2" w:rsidP="00A247C5">
      <w:pPr>
        <w:pStyle w:val="Normal2"/>
      </w:pPr>
      <w:r w:rsidRPr="00060005">
        <w:t>The</w:t>
      </w:r>
      <w:r w:rsidR="00A20A8B" w:rsidRPr="00060005">
        <w:t xml:space="preserve"> relevant </w:t>
      </w:r>
      <w:r w:rsidR="007E28F7">
        <w:t>PO</w:t>
      </w:r>
      <w:r w:rsidR="00A20A8B" w:rsidRPr="00060005">
        <w:t>RPS</w:t>
      </w:r>
      <w:r w:rsidR="007E28F7">
        <w:t xml:space="preserve"> 2021</w:t>
      </w:r>
      <w:r w:rsidR="00A20A8B" w:rsidRPr="00060005">
        <w:t xml:space="preserve"> provisions that</w:t>
      </w:r>
      <w:r w:rsidR="00F947E5">
        <w:t xml:space="preserve"> implement</w:t>
      </w:r>
      <w:r w:rsidR="00A20A8B" w:rsidRPr="00060005">
        <w:t xml:space="preserve"> these objectives </w:t>
      </w:r>
      <w:r w:rsidRPr="00060005">
        <w:t>are listed below:</w:t>
      </w:r>
    </w:p>
    <w:p w14:paraId="5CF93DB0" w14:textId="4E16D9D8" w:rsidR="001974F2" w:rsidRPr="00345C7F" w:rsidRDefault="001974F2" w:rsidP="00A247C5">
      <w:pPr>
        <w:pStyle w:val="Normal3"/>
      </w:pPr>
      <w:r>
        <w:t>CE</w:t>
      </w:r>
      <w:r w:rsidR="00930CFC">
        <w:t>–</w:t>
      </w:r>
      <w:r>
        <w:t xml:space="preserve">P1 – Links with other chapters </w:t>
      </w:r>
    </w:p>
    <w:p w14:paraId="60C069D1" w14:textId="455D487C" w:rsidR="001974F2" w:rsidRPr="00345C7F" w:rsidRDefault="001974F2" w:rsidP="00A247C5">
      <w:pPr>
        <w:pStyle w:val="Normal3"/>
      </w:pPr>
      <w:r>
        <w:t>CE</w:t>
      </w:r>
      <w:r w:rsidR="00930CFC">
        <w:t>–</w:t>
      </w:r>
      <w:r>
        <w:t>P2 – Identifying areas of the coastal environment</w:t>
      </w:r>
    </w:p>
    <w:p w14:paraId="50A871CF" w14:textId="2BBAFAFE" w:rsidR="001974F2" w:rsidRPr="00345C7F" w:rsidRDefault="001974F2" w:rsidP="00A247C5">
      <w:pPr>
        <w:pStyle w:val="Normal3"/>
      </w:pPr>
      <w:r>
        <w:t>CE</w:t>
      </w:r>
      <w:r w:rsidR="00930CFC">
        <w:t>–</w:t>
      </w:r>
      <w:r>
        <w:t>P3 – Coastal water quality</w:t>
      </w:r>
    </w:p>
    <w:p w14:paraId="6922E7D7" w14:textId="56A71A43" w:rsidR="001974F2" w:rsidRPr="00345C7F" w:rsidRDefault="001974F2" w:rsidP="00A247C5">
      <w:pPr>
        <w:pStyle w:val="Normal3"/>
      </w:pPr>
      <w:r>
        <w:t>CE</w:t>
      </w:r>
      <w:r w:rsidR="00930CFC">
        <w:t>–</w:t>
      </w:r>
      <w:r>
        <w:t xml:space="preserve">P4 – </w:t>
      </w:r>
      <w:r w:rsidR="00930CFC">
        <w:t>N</w:t>
      </w:r>
      <w:r>
        <w:t>atural character</w:t>
      </w:r>
    </w:p>
    <w:p w14:paraId="7B25148B" w14:textId="775DEDD0" w:rsidR="001974F2" w:rsidRPr="00345C7F" w:rsidRDefault="001974F2" w:rsidP="00A247C5">
      <w:pPr>
        <w:pStyle w:val="Normal3"/>
      </w:pPr>
      <w:r>
        <w:t>CE</w:t>
      </w:r>
      <w:r w:rsidR="00930CFC">
        <w:t>–</w:t>
      </w:r>
      <w:r>
        <w:t xml:space="preserve">P5 – </w:t>
      </w:r>
      <w:r w:rsidR="00930CFC">
        <w:t>C</w:t>
      </w:r>
      <w:r>
        <w:t xml:space="preserve">oastal indigenous biodiversity  </w:t>
      </w:r>
    </w:p>
    <w:p w14:paraId="589218D9" w14:textId="7DCE9222" w:rsidR="001974F2" w:rsidRPr="00345C7F" w:rsidRDefault="001974F2" w:rsidP="00A247C5">
      <w:pPr>
        <w:pStyle w:val="Normal3"/>
      </w:pPr>
      <w:r>
        <w:t>CE</w:t>
      </w:r>
      <w:r w:rsidR="00930CFC">
        <w:t>–</w:t>
      </w:r>
      <w:r>
        <w:t xml:space="preserve">P6 – </w:t>
      </w:r>
      <w:r w:rsidR="00930CFC">
        <w:t>N</w:t>
      </w:r>
      <w:r>
        <w:t xml:space="preserve">atural features, </w:t>
      </w:r>
      <w:proofErr w:type="gramStart"/>
      <w:r>
        <w:t>landscapes</w:t>
      </w:r>
      <w:proofErr w:type="gramEnd"/>
      <w:r>
        <w:t xml:space="preserve"> and sea</w:t>
      </w:r>
      <w:r w:rsidR="00EB353E">
        <w:t>sc</w:t>
      </w:r>
      <w:r>
        <w:t xml:space="preserve">apes </w:t>
      </w:r>
    </w:p>
    <w:p w14:paraId="77D01C83" w14:textId="6EAA230E" w:rsidR="001974F2" w:rsidRPr="00345C7F" w:rsidRDefault="001974F2" w:rsidP="00A247C5">
      <w:pPr>
        <w:pStyle w:val="Normal3"/>
      </w:pPr>
      <w:r>
        <w:t>CE</w:t>
      </w:r>
      <w:r w:rsidR="00930CFC">
        <w:t>–</w:t>
      </w:r>
      <w:r>
        <w:t>P7 – Surf breaks</w:t>
      </w:r>
    </w:p>
    <w:p w14:paraId="05E2CC13" w14:textId="472FB5CD" w:rsidR="001974F2" w:rsidRPr="00345C7F" w:rsidRDefault="001974F2" w:rsidP="00A247C5">
      <w:pPr>
        <w:pStyle w:val="Normal3"/>
      </w:pPr>
      <w:r>
        <w:t>CE</w:t>
      </w:r>
      <w:r w:rsidR="00930CFC">
        <w:t>–</w:t>
      </w:r>
      <w:r>
        <w:t>P8 – Public access</w:t>
      </w:r>
    </w:p>
    <w:p w14:paraId="68BB9964" w14:textId="1CAE7335" w:rsidR="001974F2" w:rsidRPr="00345C7F" w:rsidRDefault="001974F2" w:rsidP="00A247C5">
      <w:pPr>
        <w:pStyle w:val="Normal3"/>
      </w:pPr>
      <w:r>
        <w:t>CE</w:t>
      </w:r>
      <w:r w:rsidR="00930CFC">
        <w:t>–</w:t>
      </w:r>
      <w:r>
        <w:t>P9 – Activities on land within the coastal marine area</w:t>
      </w:r>
    </w:p>
    <w:p w14:paraId="7FF87CC6" w14:textId="20A3024E" w:rsidR="001974F2" w:rsidRPr="00345C7F" w:rsidRDefault="001974F2" w:rsidP="00A247C5">
      <w:pPr>
        <w:pStyle w:val="Normal3"/>
      </w:pPr>
      <w:r>
        <w:t>CE</w:t>
      </w:r>
      <w:r w:rsidR="00930CFC">
        <w:t>–</w:t>
      </w:r>
      <w:r>
        <w:t>P10 – Activities within the coastal marine area</w:t>
      </w:r>
    </w:p>
    <w:p w14:paraId="7AD7A3E6" w14:textId="08E87DF6" w:rsidR="001974F2" w:rsidRPr="00345C7F" w:rsidRDefault="001974F2" w:rsidP="00A247C5">
      <w:pPr>
        <w:pStyle w:val="Normal3"/>
      </w:pPr>
      <w:r>
        <w:t>CE</w:t>
      </w:r>
      <w:r w:rsidR="00930CFC">
        <w:t>–</w:t>
      </w:r>
      <w:r>
        <w:t>P11 – Aquaculture</w:t>
      </w:r>
    </w:p>
    <w:p w14:paraId="3DB7A504" w14:textId="3E085DA4" w:rsidR="001974F2" w:rsidRDefault="001974F2" w:rsidP="00A247C5">
      <w:pPr>
        <w:pStyle w:val="Normal3"/>
      </w:pPr>
      <w:r>
        <w:t>CE</w:t>
      </w:r>
      <w:r w:rsidR="00930CFC">
        <w:t>–</w:t>
      </w:r>
      <w:r>
        <w:t xml:space="preserve">P12 – Reclamation </w:t>
      </w:r>
    </w:p>
    <w:p w14:paraId="49426B09" w14:textId="7D8AFB71" w:rsidR="001974F2" w:rsidRDefault="001974F2" w:rsidP="00A247C5">
      <w:pPr>
        <w:pStyle w:val="Normal3"/>
      </w:pPr>
      <w:r>
        <w:t>CE</w:t>
      </w:r>
      <w:r w:rsidR="00930CFC">
        <w:t>–</w:t>
      </w:r>
      <w:r>
        <w:t>P13 – Kaitiakitaka</w:t>
      </w:r>
    </w:p>
    <w:p w14:paraId="56686791" w14:textId="55EA774C" w:rsidR="009D74F7" w:rsidRPr="00345C7F" w:rsidRDefault="009D74F7" w:rsidP="00A247C5">
      <w:pPr>
        <w:pStyle w:val="Normal3"/>
      </w:pPr>
      <w:r>
        <w:t>CE</w:t>
      </w:r>
      <w:r w:rsidR="00930CFC">
        <w:t>–</w:t>
      </w:r>
      <w:r>
        <w:t xml:space="preserve">M1 – </w:t>
      </w:r>
      <w:r w:rsidR="00C66FB5">
        <w:t>Identifying the coastal environment</w:t>
      </w:r>
    </w:p>
    <w:p w14:paraId="14111748" w14:textId="654E358A" w:rsidR="001974F2" w:rsidRPr="00345C7F" w:rsidRDefault="001974F2" w:rsidP="00A247C5">
      <w:pPr>
        <w:pStyle w:val="Normal3"/>
      </w:pPr>
      <w:r>
        <w:t>CE</w:t>
      </w:r>
      <w:r w:rsidR="00930CFC">
        <w:t>–</w:t>
      </w:r>
      <w:r>
        <w:t>M2 – Identifying other areas</w:t>
      </w:r>
    </w:p>
    <w:p w14:paraId="6EB6E4EB" w14:textId="4767F6C9" w:rsidR="001974F2" w:rsidRPr="00345C7F" w:rsidRDefault="001974F2" w:rsidP="00A247C5">
      <w:pPr>
        <w:pStyle w:val="Normal3"/>
      </w:pPr>
      <w:r>
        <w:t>CE</w:t>
      </w:r>
      <w:r w:rsidR="00930CFC">
        <w:t>–</w:t>
      </w:r>
      <w:r>
        <w:t>M3 – Regional plans</w:t>
      </w:r>
    </w:p>
    <w:p w14:paraId="7978FB50" w14:textId="37CF10F6" w:rsidR="001974F2" w:rsidRPr="00345C7F" w:rsidRDefault="001974F2" w:rsidP="00A247C5">
      <w:pPr>
        <w:pStyle w:val="Normal3"/>
      </w:pPr>
      <w:r>
        <w:t>CE</w:t>
      </w:r>
      <w:r w:rsidR="00930CFC">
        <w:t>–</w:t>
      </w:r>
      <w:r>
        <w:t>M4 – District plans</w:t>
      </w:r>
    </w:p>
    <w:p w14:paraId="314E144A" w14:textId="7ECB8140" w:rsidR="001974F2" w:rsidRDefault="001974F2" w:rsidP="00A247C5">
      <w:pPr>
        <w:pStyle w:val="Normal3"/>
      </w:pPr>
      <w:r>
        <w:t>CE</w:t>
      </w:r>
      <w:r w:rsidR="00930CFC">
        <w:t>–</w:t>
      </w:r>
      <w:r>
        <w:t>M5 – Other incentives and mechanisms</w:t>
      </w:r>
    </w:p>
    <w:p w14:paraId="6F611DC5" w14:textId="3886F0C0" w:rsidR="002E57B9" w:rsidRDefault="00FB5E0C" w:rsidP="00A247C5">
      <w:pPr>
        <w:pStyle w:val="Normal2"/>
      </w:pPr>
      <w:r w:rsidRPr="00AC7D19">
        <w:t xml:space="preserve">The evaluation of these provisions in </w:t>
      </w:r>
      <w:r w:rsidR="006D4AB7" w:rsidRPr="00AC7D19">
        <w:t xml:space="preserve">Section </w:t>
      </w:r>
      <w:r w:rsidR="00930CFC">
        <w:fldChar w:fldCharType="begin"/>
      </w:r>
      <w:r w:rsidR="00930CFC">
        <w:instrText xml:space="preserve"> REF _Ref72669776 \r \h </w:instrText>
      </w:r>
      <w:r w:rsidR="00930CFC">
        <w:fldChar w:fldCharType="separate"/>
      </w:r>
      <w:r w:rsidR="002A7A16">
        <w:t>5.6</w:t>
      </w:r>
      <w:r w:rsidR="00930CFC">
        <w:fldChar w:fldCharType="end"/>
      </w:r>
      <w:r w:rsidR="00930CFC">
        <w:t xml:space="preserve"> </w:t>
      </w:r>
      <w:r w:rsidR="008C5EA9" w:rsidRPr="00AC7D19">
        <w:t xml:space="preserve">of this report </w:t>
      </w:r>
      <w:r w:rsidR="004B3779" w:rsidRPr="00AC7D19">
        <w:t>con</w:t>
      </w:r>
      <w:r w:rsidR="00794A50">
        <w:t>cludes that they are</w:t>
      </w:r>
      <w:r w:rsidR="0054319D">
        <w:t xml:space="preserve"> the </w:t>
      </w:r>
      <w:r w:rsidR="00794A50">
        <w:t>most efficient</w:t>
      </w:r>
      <w:r w:rsidR="0054319D">
        <w:t xml:space="preserve"> and </w:t>
      </w:r>
      <w:r w:rsidR="00794A50">
        <w:t xml:space="preserve">effective way to achieve the objectives, </w:t>
      </w:r>
      <w:r w:rsidR="006F7618">
        <w:t xml:space="preserve">and </w:t>
      </w:r>
      <w:r w:rsidR="00750CFD">
        <w:t xml:space="preserve">they </w:t>
      </w:r>
      <w:r w:rsidR="006F7618">
        <w:t>align</w:t>
      </w:r>
      <w:r w:rsidR="00276053">
        <w:t xml:space="preserve"> with</w:t>
      </w:r>
      <w:r w:rsidR="00276053" w:rsidRPr="00AC7D19">
        <w:t xml:space="preserve"> the Planning </w:t>
      </w:r>
      <w:r w:rsidR="00276053" w:rsidRPr="00AC7D19">
        <w:lastRenderedPageBreak/>
        <w:t>Standards by bringing</w:t>
      </w:r>
      <w:r w:rsidR="00A61F29" w:rsidRPr="00AC7D19">
        <w:t xml:space="preserve"> </w:t>
      </w:r>
      <w:proofErr w:type="gramStart"/>
      <w:r w:rsidR="00276053" w:rsidRPr="00AC7D19">
        <w:t>all of</w:t>
      </w:r>
      <w:proofErr w:type="gramEnd"/>
      <w:r w:rsidR="00276053" w:rsidRPr="00AC7D19">
        <w:t xml:space="preserve"> the provisions </w:t>
      </w:r>
      <w:r w:rsidR="00A61F29" w:rsidRPr="00AC7D19">
        <w:t xml:space="preserve">specifically </w:t>
      </w:r>
      <w:r w:rsidR="00276053" w:rsidRPr="00AC7D19">
        <w:t>related to the coastal environment</w:t>
      </w:r>
      <w:r w:rsidR="00A61F29" w:rsidRPr="00AC7D19">
        <w:t xml:space="preserve"> into a single chapter. There is also increased alignment with the direction set out in the NZCPS</w:t>
      </w:r>
      <w:r w:rsidR="002E57B9">
        <w:t xml:space="preserve"> and </w:t>
      </w:r>
      <w:r w:rsidR="00750CFD">
        <w:t xml:space="preserve">they </w:t>
      </w:r>
      <w:r w:rsidR="002E57B9">
        <w:t>respond directly to significant resource management issues for iwi and for the Otago community. These objectives</w:t>
      </w:r>
      <w:r w:rsidR="003841D7">
        <w:t xml:space="preserve"> are necessary to give effect to the RMA and the NZCPS, however they are also considered </w:t>
      </w:r>
      <w:r w:rsidR="002E57B9">
        <w:t xml:space="preserve">relevant and acceptable in terms of </w:t>
      </w:r>
      <w:r w:rsidR="003841D7">
        <w:t xml:space="preserve">a response to </w:t>
      </w:r>
      <w:r w:rsidR="002E57B9">
        <w:t>issues of significance to iwi and the community.</w:t>
      </w:r>
    </w:p>
    <w:p w14:paraId="14F47D32" w14:textId="388ACDC9" w:rsidR="007E28F7" w:rsidRDefault="002E57B9" w:rsidP="00A247C5">
      <w:pPr>
        <w:pStyle w:val="Normal2"/>
      </w:pPr>
      <w:r>
        <w:t xml:space="preserve"> T</w:t>
      </w:r>
      <w:r w:rsidR="007E28F7">
        <w:t>he efficiency and effectiveness evaluation in Section 5.6 demonstrates that the provi</w:t>
      </w:r>
      <w:r w:rsidR="00EA4440">
        <w:t>sions are efficient (</w:t>
      </w:r>
      <w:proofErr w:type="gramStart"/>
      <w:r w:rsidR="00EA4440">
        <w:t>i.e.</w:t>
      </w:r>
      <w:proofErr w:type="gramEnd"/>
      <w:r w:rsidR="00EA4440">
        <w:t xml:space="preserve"> the environmental, social, cultural and economic benefits outweigh the costs of implementing the provisions). </w:t>
      </w:r>
      <w:r w:rsidR="007F2167">
        <w:t xml:space="preserve">Section 5.6 of this report also concludes that the provisions are effective in achieving the objectives, demonstrating that the objectives are achievable.  </w:t>
      </w:r>
      <w:r w:rsidR="003841D7">
        <w:t>The objectives are therefore considered to be</w:t>
      </w:r>
      <w:r w:rsidR="00342B7E">
        <w:t xml:space="preserve"> the most appropriate way to meet the obligation</w:t>
      </w:r>
      <w:r w:rsidR="005011E3">
        <w:t>s</w:t>
      </w:r>
      <w:r w:rsidR="00342B7E">
        <w:t xml:space="preserve"> expressed in s</w:t>
      </w:r>
      <w:r w:rsidR="00930CFC">
        <w:t xml:space="preserve">ections </w:t>
      </w:r>
      <w:r w:rsidR="005011E3">
        <w:t>6, 7 and 8</w:t>
      </w:r>
      <w:r w:rsidR="00342B7E">
        <w:t xml:space="preserve"> of the </w:t>
      </w:r>
      <w:r w:rsidR="005011E3">
        <w:t xml:space="preserve">RMA </w:t>
      </w:r>
      <w:r w:rsidR="00342B7E">
        <w:t xml:space="preserve">and therefore positively and directly contribute to achieving the purpose of the </w:t>
      </w:r>
      <w:r w:rsidR="00B12B87">
        <w:t>RMA</w:t>
      </w:r>
      <w:r w:rsidR="00195A6B" w:rsidRPr="00AC7D19">
        <w:t xml:space="preserve">. </w:t>
      </w:r>
    </w:p>
    <w:p w14:paraId="0A3143B5" w14:textId="75107F67" w:rsidR="009F3F14" w:rsidRDefault="009F3F14" w:rsidP="00533C28">
      <w:pPr>
        <w:pStyle w:val="Heading3"/>
        <w:shd w:val="clear" w:color="auto" w:fill="DEEAF6" w:themeFill="accent5" w:themeFillTint="33"/>
      </w:pPr>
      <w:r>
        <w:t>LF – Land and freshwater</w:t>
      </w:r>
    </w:p>
    <w:p w14:paraId="0BE75FC4" w14:textId="4E1F2C72" w:rsidR="0038554E" w:rsidRDefault="00B70A9E" w:rsidP="00533C28">
      <w:pPr>
        <w:pStyle w:val="Normal2"/>
        <w:shd w:val="clear" w:color="auto" w:fill="DEEAF6" w:themeFill="accent5" w:themeFillTint="33"/>
      </w:pPr>
      <w:r>
        <w:t xml:space="preserve">The LF chapter has four sections: LF–WAI – Te Mana o </w:t>
      </w:r>
      <w:r w:rsidR="005C161A">
        <w:t>t</w:t>
      </w:r>
      <w:r>
        <w:t xml:space="preserve">e Wai, LF–VM – Visions and management, LF–FW – Freshwater and LF–LS – Land and soils. The LF–VM, LF–FW and LF–LS sections must give effect to the objectives and policies in LF–WAI in accordance with the NPSFM. </w:t>
      </w:r>
      <w:r w:rsidR="004C6056">
        <w:t xml:space="preserve">There are 13 objectives in total which are assessed in Table </w:t>
      </w:r>
      <w:r w:rsidR="00514EC0">
        <w:t>8</w:t>
      </w:r>
      <w:r w:rsidR="004C6056">
        <w:t xml:space="preserve"> below.</w:t>
      </w:r>
    </w:p>
    <w:p w14:paraId="2D7D0B78" w14:textId="1DE4EA39" w:rsidR="002C2245" w:rsidRPr="00A97861" w:rsidRDefault="002C2245" w:rsidP="00533C28">
      <w:pPr>
        <w:pStyle w:val="Heading4"/>
        <w:shd w:val="clear" w:color="auto" w:fill="DEEAF6" w:themeFill="accent5" w:themeFillTint="33"/>
      </w:pPr>
      <w:r w:rsidRPr="00A97861">
        <w:t>LF–WAI – Te Mana o Te Wai</w:t>
      </w:r>
    </w:p>
    <w:p w14:paraId="71FA553C" w14:textId="113EA9AD" w:rsidR="002C2245" w:rsidRDefault="002C2245" w:rsidP="00533C28">
      <w:pPr>
        <w:pStyle w:val="Normal2"/>
        <w:shd w:val="clear" w:color="auto" w:fill="DEEAF6" w:themeFill="accent5" w:themeFillTint="33"/>
      </w:pPr>
      <w:r>
        <w:t xml:space="preserve">This section of the LF chapter has only one objective which is assessed in </w:t>
      </w:r>
      <w:r w:rsidR="00AD209D">
        <w:fldChar w:fldCharType="begin"/>
      </w:r>
      <w:r w:rsidR="00AD209D">
        <w:instrText xml:space="preserve"> REF _Ref72495401 \h </w:instrText>
      </w:r>
      <w:r w:rsidR="00CF0142">
        <w:instrText xml:space="preserve"> \* MERGEFORMAT </w:instrText>
      </w:r>
      <w:r w:rsidR="00AD209D">
        <w:fldChar w:fldCharType="separate"/>
      </w:r>
      <w:r w:rsidR="002A7A16">
        <w:t xml:space="preserve">Table </w:t>
      </w:r>
      <w:r w:rsidR="002A7A16">
        <w:rPr>
          <w:noProof/>
        </w:rPr>
        <w:t>8</w:t>
      </w:r>
      <w:r w:rsidR="00AD209D">
        <w:fldChar w:fldCharType="end"/>
      </w:r>
      <w:r w:rsidR="00AD209D">
        <w:t xml:space="preserve"> </w:t>
      </w:r>
      <w:r>
        <w:t>below.</w:t>
      </w:r>
    </w:p>
    <w:p w14:paraId="312BB46C" w14:textId="2C37E533" w:rsidR="00C34276" w:rsidRDefault="00AD209D" w:rsidP="00533C28">
      <w:pPr>
        <w:pStyle w:val="Caption"/>
        <w:keepNext/>
        <w:shd w:val="clear" w:color="auto" w:fill="DEEAF6" w:themeFill="accent5" w:themeFillTint="33"/>
      </w:pPr>
      <w:bookmarkStart w:id="38" w:name="_Ref72495401"/>
      <w:r>
        <w:t xml:space="preserve">Table </w:t>
      </w:r>
      <w:r>
        <w:fldChar w:fldCharType="begin"/>
      </w:r>
      <w:r>
        <w:instrText xml:space="preserve"> SEQ Table \* ARABIC </w:instrText>
      </w:r>
      <w:r>
        <w:fldChar w:fldCharType="separate"/>
      </w:r>
      <w:r w:rsidR="002A7A16">
        <w:rPr>
          <w:noProof/>
        </w:rPr>
        <w:t>8</w:t>
      </w:r>
      <w:r>
        <w:rPr>
          <w:noProof/>
        </w:rPr>
        <w:fldChar w:fldCharType="end"/>
      </w:r>
      <w:bookmarkEnd w:id="38"/>
      <w:r>
        <w:t xml:space="preserve">: </w:t>
      </w:r>
      <w:r w:rsidRPr="007E2B5A">
        <w:t>Evaluation of LF-WAI objective</w:t>
      </w:r>
    </w:p>
    <w:tbl>
      <w:tblPr>
        <w:tblStyle w:val="TableGrid"/>
        <w:tblW w:w="0" w:type="auto"/>
        <w:shd w:val="clear" w:color="auto" w:fill="DEEAF6" w:themeFill="accent5" w:themeFillTint="33"/>
        <w:tblLook w:val="04A0" w:firstRow="1" w:lastRow="0" w:firstColumn="1" w:lastColumn="0" w:noHBand="0" w:noVBand="1"/>
      </w:tblPr>
      <w:tblGrid>
        <w:gridCol w:w="3489"/>
        <w:gridCol w:w="5527"/>
      </w:tblGrid>
      <w:tr w:rsidR="00667343" w:rsidRPr="00462638" w14:paraId="4F8FBB27" w14:textId="77777777" w:rsidTr="00533C28">
        <w:tc>
          <w:tcPr>
            <w:tcW w:w="3489" w:type="dxa"/>
            <w:shd w:val="clear" w:color="auto" w:fill="DEEAF6" w:themeFill="accent5" w:themeFillTint="33"/>
          </w:tcPr>
          <w:p w14:paraId="6CD888FC" w14:textId="21C035DD" w:rsidR="00667343" w:rsidRPr="00930CFC" w:rsidRDefault="00AA77C3" w:rsidP="00533C28">
            <w:pPr>
              <w:pStyle w:val="Table1"/>
              <w:rPr>
                <w:b/>
                <w:bCs/>
              </w:rPr>
            </w:pPr>
            <w:r w:rsidRPr="00930CFC">
              <w:rPr>
                <w:b/>
                <w:bCs/>
              </w:rPr>
              <w:t>Objective</w:t>
            </w:r>
          </w:p>
        </w:tc>
        <w:tc>
          <w:tcPr>
            <w:tcW w:w="5527" w:type="dxa"/>
            <w:shd w:val="clear" w:color="auto" w:fill="DEEAF6" w:themeFill="accent5" w:themeFillTint="33"/>
          </w:tcPr>
          <w:p w14:paraId="4A0C290D" w14:textId="399A8D29" w:rsidR="00667343" w:rsidRPr="00930CFC" w:rsidRDefault="00AA77C3" w:rsidP="00533C28">
            <w:pPr>
              <w:pStyle w:val="Table1"/>
              <w:rPr>
                <w:b/>
                <w:bCs/>
              </w:rPr>
            </w:pPr>
            <w:r w:rsidRPr="00930CFC">
              <w:rPr>
                <w:b/>
                <w:bCs/>
              </w:rPr>
              <w:t>Assessment</w:t>
            </w:r>
          </w:p>
        </w:tc>
      </w:tr>
      <w:tr w:rsidR="00667343" w:rsidRPr="00462638" w14:paraId="7ECA8B57" w14:textId="77777777" w:rsidTr="00533C28">
        <w:tc>
          <w:tcPr>
            <w:tcW w:w="3489" w:type="dxa"/>
            <w:shd w:val="clear" w:color="auto" w:fill="DEEAF6" w:themeFill="accent5" w:themeFillTint="33"/>
          </w:tcPr>
          <w:p w14:paraId="42E55CB7" w14:textId="1FAE5486" w:rsidR="00667343" w:rsidRPr="00930CFC" w:rsidRDefault="00AA77C3" w:rsidP="00533C28">
            <w:pPr>
              <w:pStyle w:val="Table1"/>
              <w:rPr>
                <w:b/>
                <w:bCs/>
              </w:rPr>
            </w:pPr>
            <w:r w:rsidRPr="00930CFC">
              <w:rPr>
                <w:b/>
                <w:bCs/>
              </w:rPr>
              <w:t>LF–WAI</w:t>
            </w:r>
            <w:r w:rsidR="008E4656" w:rsidRPr="00930CFC">
              <w:rPr>
                <w:b/>
                <w:bCs/>
              </w:rPr>
              <w:t>–O1</w:t>
            </w:r>
            <w:r w:rsidRPr="00930CFC">
              <w:rPr>
                <w:b/>
                <w:bCs/>
              </w:rPr>
              <w:t xml:space="preserve"> – Te Mana o </w:t>
            </w:r>
            <w:r w:rsidR="005C161A" w:rsidRPr="00930CFC">
              <w:rPr>
                <w:b/>
                <w:bCs/>
              </w:rPr>
              <w:t>t</w:t>
            </w:r>
            <w:r w:rsidRPr="00930CFC">
              <w:rPr>
                <w:b/>
                <w:bCs/>
              </w:rPr>
              <w:t>e Wai</w:t>
            </w:r>
          </w:p>
          <w:p w14:paraId="077702AE" w14:textId="77777777" w:rsidR="00324E60" w:rsidRPr="005C161A" w:rsidRDefault="00324E60" w:rsidP="00533C28">
            <w:pPr>
              <w:pStyle w:val="Table1"/>
            </w:pPr>
            <w:r w:rsidRPr="005C161A">
              <w:t>The mauri of Otago’s water bodies and their health and well-being is protected, restored where it is degraded, and the management of land and water recognises and reflects that:</w:t>
            </w:r>
          </w:p>
          <w:p w14:paraId="7BAE900B" w14:textId="77777777" w:rsidR="00324E60" w:rsidRPr="00FA7F89" w:rsidRDefault="00324E60" w:rsidP="00533C28">
            <w:pPr>
              <w:pStyle w:val="Table1"/>
              <w:ind w:left="456" w:hanging="425"/>
            </w:pPr>
            <w:r w:rsidRPr="009B54A5">
              <w:t>(1)</w:t>
            </w:r>
            <w:r w:rsidRPr="009B54A5">
              <w:tab/>
            </w:r>
            <w:r w:rsidRPr="005C161A">
              <w:t>water</w:t>
            </w:r>
            <w:r w:rsidRPr="00FA7F89">
              <w:t xml:space="preserve"> is the foundation and source of all life - </w:t>
            </w:r>
            <w:proofErr w:type="spellStart"/>
            <w:r>
              <w:t>na</w:t>
            </w:r>
            <w:proofErr w:type="spellEnd"/>
            <w:r>
              <w:t xml:space="preserve"> te wai ko te hauora</w:t>
            </w:r>
            <w:r w:rsidRPr="00FA7F89">
              <w:t xml:space="preserve"> o </w:t>
            </w:r>
            <w:proofErr w:type="spellStart"/>
            <w:r w:rsidRPr="00FA7F89">
              <w:t>ngā</w:t>
            </w:r>
            <w:proofErr w:type="spellEnd"/>
            <w:r w:rsidRPr="00FA7F89">
              <w:t xml:space="preserve"> </w:t>
            </w:r>
            <w:proofErr w:type="spellStart"/>
            <w:r w:rsidRPr="00FA7F89">
              <w:t>mea</w:t>
            </w:r>
            <w:proofErr w:type="spellEnd"/>
            <w:r w:rsidRPr="00FA7F89">
              <w:t xml:space="preserve"> </w:t>
            </w:r>
            <w:proofErr w:type="spellStart"/>
            <w:r w:rsidRPr="00FA7F89">
              <w:t>katoa</w:t>
            </w:r>
            <w:proofErr w:type="spellEnd"/>
            <w:r w:rsidRPr="00FA7F89">
              <w:t>,</w:t>
            </w:r>
          </w:p>
          <w:p w14:paraId="72D8F718" w14:textId="77777777" w:rsidR="00324E60" w:rsidRDefault="00324E60" w:rsidP="00533C28">
            <w:pPr>
              <w:pStyle w:val="Table1"/>
              <w:ind w:left="456" w:hanging="425"/>
            </w:pPr>
            <w:r>
              <w:t>(2)</w:t>
            </w:r>
            <w:r>
              <w:tab/>
              <w:t xml:space="preserve">there is an integral kinship relationship between water and Kāi </w:t>
            </w:r>
            <w:proofErr w:type="spellStart"/>
            <w:r>
              <w:t>Tahu</w:t>
            </w:r>
            <w:proofErr w:type="spellEnd"/>
            <w:r>
              <w:t xml:space="preserve"> </w:t>
            </w:r>
            <w:proofErr w:type="spellStart"/>
            <w:r>
              <w:t>whānui</w:t>
            </w:r>
            <w:proofErr w:type="spellEnd"/>
            <w:r>
              <w:t>, and this relationship endures through time, connecting past, present and future,</w:t>
            </w:r>
          </w:p>
          <w:p w14:paraId="088C52BA" w14:textId="77777777" w:rsidR="00324E60" w:rsidRPr="00FA7F89" w:rsidRDefault="00324E60" w:rsidP="00533C28">
            <w:pPr>
              <w:pStyle w:val="Table1"/>
              <w:ind w:left="456" w:hanging="425"/>
            </w:pPr>
            <w:r>
              <w:t>(3)</w:t>
            </w:r>
            <w:r>
              <w:tab/>
            </w:r>
            <w:r w:rsidRPr="00FA7F89">
              <w:t xml:space="preserve">each </w:t>
            </w:r>
            <w:r w:rsidRPr="005C161A">
              <w:t>water body</w:t>
            </w:r>
            <w:r w:rsidRPr="00FA7F89">
              <w:t xml:space="preserve"> has a unique whakapapa and characteristics,</w:t>
            </w:r>
          </w:p>
          <w:p w14:paraId="0A4E588E" w14:textId="77777777" w:rsidR="00324E60" w:rsidRPr="00FA7F89" w:rsidRDefault="00324E60" w:rsidP="00533C28">
            <w:pPr>
              <w:pStyle w:val="Table1"/>
              <w:ind w:left="456" w:hanging="425"/>
            </w:pPr>
            <w:r>
              <w:t>(4)</w:t>
            </w:r>
            <w:r>
              <w:tab/>
            </w:r>
            <w:r w:rsidRPr="00FA7F89">
              <w:t xml:space="preserve">water and </w:t>
            </w:r>
            <w:r w:rsidRPr="005C161A">
              <w:t>land</w:t>
            </w:r>
            <w:r w:rsidRPr="00FA7F89">
              <w:t xml:space="preserve"> have a connectedness that supports and perpetuates life,</w:t>
            </w:r>
            <w:r>
              <w:t xml:space="preserve"> and</w:t>
            </w:r>
          </w:p>
          <w:p w14:paraId="516338F1" w14:textId="4311819F" w:rsidR="00AA77C3" w:rsidRPr="0094119F" w:rsidRDefault="00324E60" w:rsidP="00533C28">
            <w:pPr>
              <w:pStyle w:val="Table1"/>
              <w:ind w:left="456" w:hanging="425"/>
            </w:pPr>
            <w:r>
              <w:t>(5)</w:t>
            </w:r>
            <w:r>
              <w:tab/>
            </w:r>
            <w:r w:rsidRPr="00FA7F89">
              <w:t xml:space="preserve">Kāi </w:t>
            </w:r>
            <w:proofErr w:type="spellStart"/>
            <w:r w:rsidRPr="00FA7F89">
              <w:t>Tahu</w:t>
            </w:r>
            <w:proofErr w:type="spellEnd"/>
            <w:r w:rsidRPr="00FA7F89">
              <w:t xml:space="preserve"> </w:t>
            </w:r>
            <w:r>
              <w:t>have</w:t>
            </w:r>
            <w:r w:rsidRPr="00FA7F89">
              <w:t xml:space="preserve"> </w:t>
            </w:r>
            <w:proofErr w:type="spellStart"/>
            <w:r w:rsidRPr="005C161A">
              <w:t>kaitiakitaka</w:t>
            </w:r>
            <w:proofErr w:type="spellEnd"/>
            <w:r w:rsidRPr="00FA7F89">
              <w:t xml:space="preserve"> duty of care and attention over wai and all the life it supports. </w:t>
            </w:r>
          </w:p>
        </w:tc>
        <w:tc>
          <w:tcPr>
            <w:tcW w:w="5527" w:type="dxa"/>
            <w:shd w:val="clear" w:color="auto" w:fill="DEEAF6" w:themeFill="accent5" w:themeFillTint="33"/>
          </w:tcPr>
          <w:p w14:paraId="4341B40F" w14:textId="2C66912A" w:rsidR="00BA39F7" w:rsidRDefault="00177231" w:rsidP="00533C28">
            <w:pPr>
              <w:pStyle w:val="Table1"/>
            </w:pPr>
            <w:r>
              <w:t xml:space="preserve">LF–WAI–O1 </w:t>
            </w:r>
            <w:r w:rsidR="00BA39F7">
              <w:t xml:space="preserve">underpins ORC’s </w:t>
            </w:r>
            <w:r w:rsidR="00E63425">
              <w:t>policy response for giving effect to the NPSF</w:t>
            </w:r>
            <w:r w:rsidR="003D1F02">
              <w:t xml:space="preserve">M and plays a critical role in expressing how freshwater management in Otago will give effect to the concept of Te Mana o </w:t>
            </w:r>
            <w:r w:rsidR="005C161A">
              <w:t>t</w:t>
            </w:r>
            <w:r w:rsidR="003D1F02">
              <w:t>e Wai as set out in the NPSFM. It</w:t>
            </w:r>
            <w:r w:rsidR="00053263">
              <w:t xml:space="preserve"> sets out the foundation for all freshwater management in the region</w:t>
            </w:r>
            <w:r w:rsidR="00602090">
              <w:t xml:space="preserve"> and will be the first ‘step’ for ORC in implementing the NPSFM through its planning framework.</w:t>
            </w:r>
            <w:r w:rsidR="00EA3FC5">
              <w:t xml:space="preserve"> The NPSFM sets out how freshwater resources are to be managed </w:t>
            </w:r>
            <w:proofErr w:type="gramStart"/>
            <w:r w:rsidR="00EA3FC5">
              <w:t>in order to</w:t>
            </w:r>
            <w:proofErr w:type="gramEnd"/>
            <w:r w:rsidR="00750CFD">
              <w:t xml:space="preserve"> </w:t>
            </w:r>
            <w:r w:rsidR="00EA3FC5">
              <w:t>achieve the purpose of the RMA 1991.</w:t>
            </w:r>
          </w:p>
          <w:p w14:paraId="2F80E47E" w14:textId="75791CF4" w:rsidR="00667343" w:rsidRPr="00462638" w:rsidRDefault="00752F3F" w:rsidP="00533C28">
            <w:pPr>
              <w:pStyle w:val="Table1"/>
            </w:pPr>
            <w:r>
              <w:t xml:space="preserve">For mana whenua, the condition of water is seen as a reflection of the condition of the people. Iwi have </w:t>
            </w:r>
            <w:r w:rsidR="00602090">
              <w:t>identified a range of issues with freshwater management currently and this</w:t>
            </w:r>
            <w:r w:rsidR="00053263">
              <w:t xml:space="preserve"> objective</w:t>
            </w:r>
            <w:r w:rsidR="00E63425">
              <w:t xml:space="preserve"> responds to</w:t>
            </w:r>
            <w:r w:rsidR="00053263">
              <w:t xml:space="preserve"> </w:t>
            </w:r>
            <w:r w:rsidR="00602090">
              <w:t>those</w:t>
            </w:r>
            <w:r w:rsidR="00E63425">
              <w:t>, particularly RMIA–WAI–I4 and WAI–</w:t>
            </w:r>
            <w:r w:rsidR="00FD1315">
              <w:t>I5</w:t>
            </w:r>
            <w:r w:rsidR="00602090">
              <w:t xml:space="preserve">. Management of freshwater was also identified as an issue for the region through community consultation and this objective </w:t>
            </w:r>
            <w:r w:rsidR="00053263">
              <w:t xml:space="preserve">responds </w:t>
            </w:r>
            <w:r w:rsidR="00750CFD">
              <w:t xml:space="preserve">to </w:t>
            </w:r>
            <w:r w:rsidR="00602090">
              <w:t>that,</w:t>
            </w:r>
            <w:r w:rsidR="00053263">
              <w:t xml:space="preserve"> particularly </w:t>
            </w:r>
            <w:r w:rsidR="00602090">
              <w:t xml:space="preserve">in relation to </w:t>
            </w:r>
            <w:r w:rsidR="00E63425">
              <w:t xml:space="preserve">SRMR–I5, SRMR–I6, SRMR–I7 and SRMR–I9. This objective underpins Otago’s planning framework for freshwater management and is vital for expressing Kāi </w:t>
            </w:r>
            <w:proofErr w:type="spellStart"/>
            <w:r w:rsidR="00E63425">
              <w:t>Tahu</w:t>
            </w:r>
            <w:proofErr w:type="spellEnd"/>
            <w:r w:rsidR="00E63425">
              <w:t xml:space="preserve"> values.</w:t>
            </w:r>
          </w:p>
        </w:tc>
      </w:tr>
    </w:tbl>
    <w:p w14:paraId="0197660E" w14:textId="2C001A4E" w:rsidR="004F1503" w:rsidRPr="00257DA4" w:rsidRDefault="004D59E7" w:rsidP="00533C28">
      <w:pPr>
        <w:pStyle w:val="Normal2"/>
        <w:shd w:val="clear" w:color="auto" w:fill="DEEAF6" w:themeFill="accent5" w:themeFillTint="33"/>
      </w:pPr>
      <w:r w:rsidRPr="00257DA4">
        <w:lastRenderedPageBreak/>
        <w:t xml:space="preserve">This objective is implemented primarily by the first three policies in the LF–WAI </w:t>
      </w:r>
      <w:r w:rsidR="003B183C" w:rsidRPr="00257DA4">
        <w:t>section</w:t>
      </w:r>
      <w:r w:rsidRPr="00257DA4">
        <w:t xml:space="preserve">: LF–WAI–P1, LF–WAI–P2 and LF–WAI–P3. Policy LF–WAI–P4 sets out that all other provisions in the LF–WAI chapter are required to give effect </w:t>
      </w:r>
      <w:r w:rsidR="003B183C" w:rsidRPr="00257DA4">
        <w:t>to the objectives and policies in the LF–WAI section. There are two methods implementing the policies specifically: LF–WAI–M1 which outlines how mana whenua must be involved in freshwater management and LF–WAI–M2 which states that all other methods in the LF chapter also contribute to implementing the policies in the LF–WAI section.</w:t>
      </w:r>
      <w:r w:rsidR="00257DA4">
        <w:t xml:space="preserve"> These policies and methods are evaluated in </w:t>
      </w:r>
      <w:r w:rsidR="00D34C14">
        <w:t>S</w:t>
      </w:r>
      <w:r w:rsidR="00257DA4">
        <w:t xml:space="preserve">ection </w:t>
      </w:r>
      <w:r w:rsidR="0062492F">
        <w:rPr>
          <w:highlight w:val="yellow"/>
        </w:rPr>
        <w:fldChar w:fldCharType="begin"/>
      </w:r>
      <w:r w:rsidR="0062492F">
        <w:instrText xml:space="preserve"> REF _Ref72323177 \r \h </w:instrText>
      </w:r>
      <w:r w:rsidR="00CF0142">
        <w:rPr>
          <w:highlight w:val="yellow"/>
        </w:rPr>
        <w:instrText xml:space="preserve"> \* MERGEFORMAT </w:instrText>
      </w:r>
      <w:r w:rsidR="0062492F">
        <w:rPr>
          <w:highlight w:val="yellow"/>
        </w:rPr>
      </w:r>
      <w:r w:rsidR="0062492F">
        <w:rPr>
          <w:highlight w:val="yellow"/>
        </w:rPr>
        <w:fldChar w:fldCharType="separate"/>
      </w:r>
      <w:r w:rsidR="002A7A16">
        <w:t>5.7</w:t>
      </w:r>
      <w:r w:rsidR="0062492F">
        <w:rPr>
          <w:highlight w:val="yellow"/>
        </w:rPr>
        <w:fldChar w:fldCharType="end"/>
      </w:r>
      <w:r w:rsidR="00257DA4">
        <w:t xml:space="preserve"> of this report.</w:t>
      </w:r>
    </w:p>
    <w:p w14:paraId="75D0CEFB" w14:textId="77777777" w:rsidR="00071E47" w:rsidRDefault="00257DA4" w:rsidP="00533C28">
      <w:pPr>
        <w:pStyle w:val="Normal2"/>
        <w:shd w:val="clear" w:color="auto" w:fill="DEEAF6" w:themeFill="accent5" w:themeFillTint="33"/>
      </w:pPr>
      <w:r>
        <w:t>This objective sits above the rest of the chapter, primarily because of the requirements of Objective 1 and Policy 1 in the NPSFM</w:t>
      </w:r>
      <w:r w:rsidR="00570765">
        <w:t xml:space="preserve"> to give effect to Te Mana o </w:t>
      </w:r>
      <w:r w:rsidR="0062492F">
        <w:t>t</w:t>
      </w:r>
      <w:r w:rsidR="00570765">
        <w:t>e Wai</w:t>
      </w:r>
      <w:r>
        <w:t xml:space="preserve">. </w:t>
      </w:r>
      <w:r w:rsidR="0078667C">
        <w:t xml:space="preserve">Implementing Te Mana o te Wai as directed by the PORPS 2021 will be a paradigm shift for water management in Otago and will result in significant economic and social costs due to the changes in land and water uses that will be required. However, there will also be significant environmental and cultural benefits </w:t>
      </w:r>
      <w:r w:rsidR="00071E47">
        <w:t xml:space="preserve">which is consistent with the NPSFM. </w:t>
      </w:r>
    </w:p>
    <w:p w14:paraId="23028E50" w14:textId="49E1C85F" w:rsidR="003B183C" w:rsidRPr="00257DA4" w:rsidRDefault="00570765" w:rsidP="00533C28">
      <w:pPr>
        <w:pStyle w:val="Normal2"/>
        <w:shd w:val="clear" w:color="auto" w:fill="DEEAF6" w:themeFill="accent5" w:themeFillTint="33"/>
      </w:pPr>
      <w:r>
        <w:t xml:space="preserve">This objective </w:t>
      </w:r>
      <w:proofErr w:type="gramStart"/>
      <w:r>
        <w:t>is considered to be</w:t>
      </w:r>
      <w:proofErr w:type="gramEnd"/>
      <w:r>
        <w:t xml:space="preserve"> the most appropriate way to achieve the purpose of the Act as it relates to freshwater as it implements the NPSFM which sets out the sustainable management framework for freshwater resources, underpinned by Te Mana o </w:t>
      </w:r>
      <w:r w:rsidR="0062492F">
        <w:t>t</w:t>
      </w:r>
      <w:r>
        <w:t>e Wai.</w:t>
      </w:r>
    </w:p>
    <w:p w14:paraId="33DD3987" w14:textId="5B96081F" w:rsidR="002C2245" w:rsidRDefault="002C2245" w:rsidP="00533C28">
      <w:pPr>
        <w:pStyle w:val="Heading4"/>
        <w:shd w:val="clear" w:color="auto" w:fill="DEEAF6" w:themeFill="accent5" w:themeFillTint="33"/>
      </w:pPr>
      <w:bookmarkStart w:id="39" w:name="_Ref72157743"/>
      <w:r>
        <w:t>LF–VM – Visions and management</w:t>
      </w:r>
      <w:bookmarkEnd w:id="39"/>
    </w:p>
    <w:p w14:paraId="3A859199" w14:textId="1AFDEE9E" w:rsidR="00C34276" w:rsidRDefault="00C34276" w:rsidP="00533C28">
      <w:pPr>
        <w:pStyle w:val="Normal2"/>
        <w:shd w:val="clear" w:color="auto" w:fill="DEEAF6" w:themeFill="accent5" w:themeFillTint="33"/>
      </w:pPr>
      <w:r w:rsidRPr="00C34276">
        <w:t xml:space="preserve">This section of the LF chapter has </w:t>
      </w:r>
      <w:r>
        <w:t>five</w:t>
      </w:r>
      <w:r w:rsidRPr="00C34276">
        <w:t xml:space="preserve"> objectives which are assessed in </w:t>
      </w:r>
      <w:r w:rsidR="00AD209D">
        <w:fldChar w:fldCharType="begin"/>
      </w:r>
      <w:r w:rsidR="00AD209D">
        <w:instrText xml:space="preserve"> REF _Ref72495430 \h </w:instrText>
      </w:r>
      <w:r w:rsidR="00CF0142">
        <w:instrText xml:space="preserve"> \* MERGEFORMAT </w:instrText>
      </w:r>
      <w:r w:rsidR="00AD209D">
        <w:fldChar w:fldCharType="separate"/>
      </w:r>
      <w:r w:rsidR="002A7A16">
        <w:t xml:space="preserve">Table </w:t>
      </w:r>
      <w:r w:rsidR="002A7A16">
        <w:rPr>
          <w:noProof/>
        </w:rPr>
        <w:t>9</w:t>
      </w:r>
      <w:r w:rsidR="00AD209D">
        <w:fldChar w:fldCharType="end"/>
      </w:r>
      <w:r w:rsidR="00AD209D">
        <w:t xml:space="preserve"> </w:t>
      </w:r>
      <w:r w:rsidRPr="00C34276">
        <w:t>below.</w:t>
      </w:r>
    </w:p>
    <w:p w14:paraId="51616A33" w14:textId="2FEAF50A" w:rsidR="00AD209D" w:rsidRPr="00AD209D" w:rsidRDefault="00AD209D" w:rsidP="00875820">
      <w:pPr>
        <w:pStyle w:val="Caption"/>
        <w:shd w:val="clear" w:color="auto" w:fill="DEEAF6" w:themeFill="accent5" w:themeFillTint="33"/>
      </w:pPr>
      <w:bookmarkStart w:id="40" w:name="_Ref72495430"/>
      <w:r>
        <w:t xml:space="preserve">Table </w:t>
      </w:r>
      <w:r>
        <w:fldChar w:fldCharType="begin"/>
      </w:r>
      <w:r>
        <w:instrText xml:space="preserve"> SEQ Table \* ARABIC </w:instrText>
      </w:r>
      <w:r>
        <w:fldChar w:fldCharType="separate"/>
      </w:r>
      <w:r w:rsidR="002A7A16">
        <w:rPr>
          <w:noProof/>
        </w:rPr>
        <w:t>9</w:t>
      </w:r>
      <w:r>
        <w:rPr>
          <w:noProof/>
        </w:rPr>
        <w:fldChar w:fldCharType="end"/>
      </w:r>
      <w:bookmarkEnd w:id="40"/>
      <w:r>
        <w:t xml:space="preserve">: </w:t>
      </w:r>
      <w:r w:rsidRPr="003364D5">
        <w:t>Evaluation of LF-</w:t>
      </w:r>
      <w:r>
        <w:t>VM</w:t>
      </w:r>
      <w:r w:rsidRPr="003364D5">
        <w:t xml:space="preserve"> objective</w:t>
      </w:r>
      <w:r>
        <w:t>s</w:t>
      </w:r>
    </w:p>
    <w:tbl>
      <w:tblPr>
        <w:tblStyle w:val="TableGrid"/>
        <w:tblW w:w="0" w:type="auto"/>
        <w:shd w:val="clear" w:color="auto" w:fill="DEEAF6" w:themeFill="accent5" w:themeFillTint="33"/>
        <w:tblLook w:val="04A0" w:firstRow="1" w:lastRow="0" w:firstColumn="1" w:lastColumn="0" w:noHBand="0" w:noVBand="1"/>
      </w:tblPr>
      <w:tblGrid>
        <w:gridCol w:w="3489"/>
        <w:gridCol w:w="5527"/>
      </w:tblGrid>
      <w:tr w:rsidR="002C2245" w:rsidRPr="00462638" w14:paraId="51B2D85E" w14:textId="77777777" w:rsidTr="00875820">
        <w:tc>
          <w:tcPr>
            <w:tcW w:w="3489" w:type="dxa"/>
            <w:shd w:val="clear" w:color="auto" w:fill="DEEAF6" w:themeFill="accent5" w:themeFillTint="33"/>
          </w:tcPr>
          <w:p w14:paraId="7CD8D2FD" w14:textId="60F9DFCD" w:rsidR="002C2245" w:rsidRPr="00875820" w:rsidRDefault="002C2245" w:rsidP="00875820">
            <w:pPr>
              <w:pStyle w:val="Table1"/>
              <w:rPr>
                <w:b/>
                <w:bCs/>
              </w:rPr>
            </w:pPr>
            <w:r w:rsidRPr="00875820">
              <w:rPr>
                <w:b/>
                <w:bCs/>
              </w:rPr>
              <w:t>Objective</w:t>
            </w:r>
          </w:p>
        </w:tc>
        <w:tc>
          <w:tcPr>
            <w:tcW w:w="5527" w:type="dxa"/>
            <w:shd w:val="clear" w:color="auto" w:fill="DEEAF6" w:themeFill="accent5" w:themeFillTint="33"/>
          </w:tcPr>
          <w:p w14:paraId="25232E45" w14:textId="0E469604" w:rsidR="002C2245" w:rsidRPr="00875820" w:rsidRDefault="002C2245" w:rsidP="00875820">
            <w:pPr>
              <w:pStyle w:val="Table1"/>
              <w:rPr>
                <w:b/>
                <w:bCs/>
              </w:rPr>
            </w:pPr>
            <w:r w:rsidRPr="00875820">
              <w:rPr>
                <w:b/>
                <w:bCs/>
              </w:rPr>
              <w:t>Assessment</w:t>
            </w:r>
          </w:p>
        </w:tc>
      </w:tr>
      <w:tr w:rsidR="00667343" w:rsidRPr="00462638" w14:paraId="1220DD70" w14:textId="77777777" w:rsidTr="00875820">
        <w:tc>
          <w:tcPr>
            <w:tcW w:w="3489" w:type="dxa"/>
            <w:shd w:val="clear" w:color="auto" w:fill="DEEAF6" w:themeFill="accent5" w:themeFillTint="33"/>
          </w:tcPr>
          <w:p w14:paraId="49FA2EB3" w14:textId="77777777" w:rsidR="00845E95" w:rsidRPr="00930CFC" w:rsidRDefault="00845E95" w:rsidP="00875820">
            <w:pPr>
              <w:pStyle w:val="Table1"/>
              <w:ind w:left="22"/>
              <w:rPr>
                <w:b/>
                <w:bCs/>
              </w:rPr>
            </w:pPr>
            <w:r w:rsidRPr="00930CFC">
              <w:rPr>
                <w:b/>
                <w:bCs/>
              </w:rPr>
              <w:t>LF–VM–O2 – Clutha Mata-au FMU vision</w:t>
            </w:r>
          </w:p>
          <w:p w14:paraId="715403FF" w14:textId="77777777" w:rsidR="00347784" w:rsidRDefault="00347784" w:rsidP="00875820">
            <w:pPr>
              <w:pStyle w:val="Table1"/>
              <w:ind w:left="306"/>
            </w:pPr>
            <w:r>
              <w:t>In the Clutha Mata-au FMU:</w:t>
            </w:r>
          </w:p>
          <w:p w14:paraId="3F2A4F6A" w14:textId="77777777" w:rsidR="00347784" w:rsidRDefault="00347784" w:rsidP="00875820">
            <w:pPr>
              <w:pStyle w:val="Table1"/>
              <w:ind w:left="456" w:hanging="425"/>
            </w:pPr>
            <w:r>
              <w:t>(1)</w:t>
            </w:r>
            <w:r>
              <w:tab/>
              <w:t xml:space="preserve">management of the FMU recognises that: </w:t>
            </w:r>
          </w:p>
          <w:p w14:paraId="5535600F" w14:textId="77777777" w:rsidR="00347784" w:rsidRDefault="00347784" w:rsidP="00875820">
            <w:pPr>
              <w:pStyle w:val="Table1"/>
              <w:ind w:left="1023" w:hanging="567"/>
            </w:pPr>
            <w:r>
              <w:t>(a)</w:t>
            </w:r>
            <w:r>
              <w:tab/>
              <w:t xml:space="preserve">the Clutha River / Mata-au is managed as a single connected system ki uta ki tai, and </w:t>
            </w:r>
          </w:p>
          <w:p w14:paraId="7BB31562" w14:textId="77777777" w:rsidR="00347784" w:rsidRDefault="00347784" w:rsidP="00875820">
            <w:pPr>
              <w:pStyle w:val="Table1"/>
              <w:ind w:left="1023" w:hanging="567"/>
            </w:pPr>
            <w:r>
              <w:t>(b)</w:t>
            </w:r>
            <w:r>
              <w:tab/>
              <w:t xml:space="preserve">the source of the wai is pure, coming directly from </w:t>
            </w:r>
            <w:proofErr w:type="spellStart"/>
            <w:r>
              <w:t>Tawhirimatea</w:t>
            </w:r>
            <w:proofErr w:type="spellEnd"/>
            <w:r>
              <w:t xml:space="preserve"> to the top of the mauka and into the awa,</w:t>
            </w:r>
          </w:p>
          <w:p w14:paraId="20484D0F" w14:textId="77777777" w:rsidR="00347784" w:rsidRDefault="00347784" w:rsidP="00875820">
            <w:pPr>
              <w:pStyle w:val="Table1"/>
              <w:ind w:left="456" w:hanging="425"/>
            </w:pPr>
            <w:r>
              <w:t>(2)</w:t>
            </w:r>
            <w:r>
              <w:tab/>
              <w:t>freshwater is managed in accordance with the LF–WAI objectives and policies,</w:t>
            </w:r>
          </w:p>
          <w:p w14:paraId="10C1070D" w14:textId="77777777" w:rsidR="00347784" w:rsidRDefault="00347784" w:rsidP="00875820">
            <w:pPr>
              <w:pStyle w:val="Table1"/>
              <w:ind w:left="456" w:hanging="425"/>
            </w:pPr>
            <w:r>
              <w:t>(3)</w:t>
            </w:r>
            <w:r>
              <w:tab/>
              <w:t xml:space="preserve">the ongoing relationship of Kāi </w:t>
            </w:r>
            <w:proofErr w:type="spellStart"/>
            <w:r>
              <w:t>Tahu</w:t>
            </w:r>
            <w:proofErr w:type="spellEnd"/>
            <w:r>
              <w:t xml:space="preserve"> with </w:t>
            </w:r>
            <w:proofErr w:type="spellStart"/>
            <w:r>
              <w:t>wāhi</w:t>
            </w:r>
            <w:proofErr w:type="spellEnd"/>
            <w:r>
              <w:t xml:space="preserve"> tūpuna is sustained,</w:t>
            </w:r>
          </w:p>
          <w:p w14:paraId="583845F4" w14:textId="77777777" w:rsidR="00347784" w:rsidRDefault="00347784" w:rsidP="00875820">
            <w:pPr>
              <w:pStyle w:val="Table1"/>
              <w:ind w:left="456" w:hanging="425"/>
            </w:pPr>
            <w:r>
              <w:t>(4)</w:t>
            </w:r>
            <w:r>
              <w:tab/>
              <w:t xml:space="preserve">water bodies support thriving </w:t>
            </w:r>
            <w:proofErr w:type="spellStart"/>
            <w:r>
              <w:t>mahika</w:t>
            </w:r>
            <w:proofErr w:type="spellEnd"/>
            <w:r>
              <w:t xml:space="preserve"> kai and Kāi </w:t>
            </w:r>
            <w:proofErr w:type="spellStart"/>
            <w:r>
              <w:t>Tahu</w:t>
            </w:r>
            <w:proofErr w:type="spellEnd"/>
            <w:r>
              <w:t xml:space="preserve"> </w:t>
            </w:r>
            <w:proofErr w:type="spellStart"/>
            <w:r>
              <w:t>whānui</w:t>
            </w:r>
            <w:proofErr w:type="spellEnd"/>
            <w:r>
              <w:t xml:space="preserve"> have access to </w:t>
            </w:r>
            <w:proofErr w:type="spellStart"/>
            <w:r>
              <w:t>mahika</w:t>
            </w:r>
            <w:proofErr w:type="spellEnd"/>
            <w:r>
              <w:t xml:space="preserve"> kai,</w:t>
            </w:r>
          </w:p>
          <w:p w14:paraId="01E07F61" w14:textId="77777777" w:rsidR="00347784" w:rsidRDefault="00347784" w:rsidP="00875820">
            <w:pPr>
              <w:pStyle w:val="Table1"/>
              <w:ind w:left="456" w:hanging="425"/>
            </w:pPr>
            <w:r>
              <w:lastRenderedPageBreak/>
              <w:t>(5)</w:t>
            </w:r>
            <w:r>
              <w:tab/>
              <w:t>indigenous species migrate easily and as naturally as possible along and within the river system,</w:t>
            </w:r>
          </w:p>
          <w:p w14:paraId="1C8368A2" w14:textId="77777777" w:rsidR="00347784" w:rsidRDefault="00347784" w:rsidP="00875820">
            <w:pPr>
              <w:pStyle w:val="Table1"/>
              <w:ind w:left="456" w:hanging="425"/>
            </w:pPr>
            <w:r>
              <w:t>(6)</w:t>
            </w:r>
            <w:r>
              <w:tab/>
              <w:t>the national significance of the Clutha hydro-electricity generation scheme is recognised,</w:t>
            </w:r>
          </w:p>
          <w:p w14:paraId="7851D1C3" w14:textId="77777777" w:rsidR="00347784" w:rsidRDefault="00347784" w:rsidP="00875820">
            <w:pPr>
              <w:pStyle w:val="Table1"/>
              <w:ind w:left="456" w:hanging="425"/>
            </w:pPr>
            <w:r>
              <w:t>(7)</w:t>
            </w:r>
            <w:r>
              <w:tab/>
              <w:t>in addition to (1) to (6) above:</w:t>
            </w:r>
          </w:p>
          <w:p w14:paraId="75E91E8C" w14:textId="77777777" w:rsidR="00347784" w:rsidRDefault="00347784" w:rsidP="00875820">
            <w:pPr>
              <w:pStyle w:val="Table1"/>
              <w:ind w:left="1023" w:hanging="567"/>
            </w:pPr>
            <w:r>
              <w:t>(a)</w:t>
            </w:r>
            <w:r>
              <w:tab/>
              <w:t xml:space="preserve">in the Upper Lakes </w:t>
            </w:r>
            <w:proofErr w:type="spellStart"/>
            <w:r>
              <w:t>rohe</w:t>
            </w:r>
            <w:proofErr w:type="spellEnd"/>
            <w:r>
              <w:t xml:space="preserve">, the </w:t>
            </w:r>
            <w:proofErr w:type="gramStart"/>
            <w:r>
              <w:t>high quality</w:t>
            </w:r>
            <w:proofErr w:type="gramEnd"/>
            <w:r>
              <w:t xml:space="preserve"> waters of the lakes and their tributaries are protected, recognising the significance of the purity of these waters to Kāi </w:t>
            </w:r>
            <w:proofErr w:type="spellStart"/>
            <w:r>
              <w:t>Tahu</w:t>
            </w:r>
            <w:proofErr w:type="spellEnd"/>
            <w:r>
              <w:t xml:space="preserve"> and to the wider community,</w:t>
            </w:r>
          </w:p>
          <w:p w14:paraId="0B45D2AE" w14:textId="77777777" w:rsidR="00347784" w:rsidRDefault="00347784" w:rsidP="00875820">
            <w:pPr>
              <w:pStyle w:val="Table1"/>
              <w:ind w:left="1023" w:hanging="567"/>
            </w:pPr>
            <w:r>
              <w:t>(b)</w:t>
            </w:r>
            <w:r>
              <w:tab/>
              <w:t xml:space="preserve">in the Dunstan, </w:t>
            </w:r>
            <w:proofErr w:type="spellStart"/>
            <w:r>
              <w:t>Manuherekia</w:t>
            </w:r>
            <w:proofErr w:type="spellEnd"/>
            <w:r>
              <w:t xml:space="preserve"> and Roxburgh </w:t>
            </w:r>
            <w:proofErr w:type="spellStart"/>
            <w:r>
              <w:t>rohe</w:t>
            </w:r>
            <w:proofErr w:type="spellEnd"/>
            <w:r>
              <w:t>:</w:t>
            </w:r>
          </w:p>
          <w:p w14:paraId="10B00D65" w14:textId="77777777" w:rsidR="00347784" w:rsidRDefault="00347784" w:rsidP="00875820">
            <w:pPr>
              <w:pStyle w:val="Table1"/>
              <w:ind w:left="1449" w:hanging="426"/>
            </w:pPr>
            <w:r>
              <w:t>(</w:t>
            </w:r>
            <w:proofErr w:type="spellStart"/>
            <w:r>
              <w:t>i</w:t>
            </w:r>
            <w:proofErr w:type="spellEnd"/>
            <w:r>
              <w:t>)</w:t>
            </w:r>
            <w:r>
              <w:tab/>
              <w:t xml:space="preserve">flows in water bodies sustain and, wherever possible, restore the natural form and function of main stems and tributaries to support Kāi </w:t>
            </w:r>
            <w:proofErr w:type="spellStart"/>
            <w:r>
              <w:t>Tahu</w:t>
            </w:r>
            <w:proofErr w:type="spellEnd"/>
            <w:r>
              <w:t xml:space="preserve"> values and practices, and</w:t>
            </w:r>
          </w:p>
          <w:p w14:paraId="4CFE874D" w14:textId="77777777" w:rsidR="00347784" w:rsidRDefault="00347784" w:rsidP="00875820">
            <w:pPr>
              <w:pStyle w:val="Table1"/>
              <w:ind w:left="1449" w:hanging="426"/>
            </w:pPr>
            <w:r>
              <w:t>(ii)</w:t>
            </w:r>
            <w:r>
              <w:tab/>
              <w:t>innovative and sustainable land and water management practices support food production in the area and reduce discharges of nutrients and other contaminants to water bodies so that they are safe for human contact, and</w:t>
            </w:r>
          </w:p>
          <w:p w14:paraId="5B9963DF" w14:textId="77777777" w:rsidR="00347784" w:rsidRDefault="00347784" w:rsidP="00875820">
            <w:pPr>
              <w:pStyle w:val="Table1"/>
              <w:ind w:left="1449" w:hanging="426"/>
            </w:pPr>
            <w:r>
              <w:t>(iii)</w:t>
            </w:r>
            <w:r>
              <w:tab/>
              <w:t>sustainable abstraction occurs from main stems or groundwater in preference to tributaries,</w:t>
            </w:r>
          </w:p>
          <w:p w14:paraId="2699461E" w14:textId="77777777" w:rsidR="00347784" w:rsidRDefault="00347784" w:rsidP="00875820">
            <w:pPr>
              <w:pStyle w:val="Table1"/>
              <w:ind w:left="1023" w:hanging="567"/>
            </w:pPr>
            <w:r>
              <w:t>(c)</w:t>
            </w:r>
            <w:r>
              <w:tab/>
              <w:t xml:space="preserve">in the Lower Clutha </w:t>
            </w:r>
            <w:proofErr w:type="spellStart"/>
            <w:r>
              <w:t>rohe</w:t>
            </w:r>
            <w:proofErr w:type="spellEnd"/>
            <w:r>
              <w:t>:</w:t>
            </w:r>
          </w:p>
          <w:p w14:paraId="6123BA26" w14:textId="77777777" w:rsidR="00347784" w:rsidRDefault="00347784" w:rsidP="00875820">
            <w:pPr>
              <w:pStyle w:val="Table1"/>
              <w:ind w:left="1449" w:hanging="426"/>
            </w:pPr>
            <w:r>
              <w:t>(</w:t>
            </w:r>
            <w:proofErr w:type="spellStart"/>
            <w:r>
              <w:t>i</w:t>
            </w:r>
            <w:proofErr w:type="spellEnd"/>
            <w:r>
              <w:t>)</w:t>
            </w:r>
            <w:r>
              <w:tab/>
              <w:t xml:space="preserve">there is no further modification of the shape and behaviour of the water bodies and opportunities to restore the natural form and function of water bodies are </w:t>
            </w:r>
            <w:r>
              <w:lastRenderedPageBreak/>
              <w:t xml:space="preserve">promoted wherever possible, </w:t>
            </w:r>
          </w:p>
          <w:p w14:paraId="32A9280F" w14:textId="77777777" w:rsidR="00347784" w:rsidRDefault="00347784" w:rsidP="00875820">
            <w:pPr>
              <w:pStyle w:val="Table1"/>
              <w:ind w:left="1449" w:hanging="426"/>
            </w:pPr>
            <w:r>
              <w:t>(ii)</w:t>
            </w:r>
            <w:r>
              <w:tab/>
              <w:t xml:space="preserve">preserving and restoring the ecosystem connections between freshwater, </w:t>
            </w:r>
            <w:proofErr w:type="gramStart"/>
            <w:r>
              <w:t>wetlands</w:t>
            </w:r>
            <w:proofErr w:type="gramEnd"/>
            <w:r>
              <w:t xml:space="preserve"> and the coastal environment, </w:t>
            </w:r>
          </w:p>
          <w:p w14:paraId="1E72A2A4" w14:textId="77777777" w:rsidR="00347784" w:rsidRDefault="00347784" w:rsidP="00875820">
            <w:pPr>
              <w:pStyle w:val="Table1"/>
              <w:ind w:left="1449" w:hanging="426"/>
            </w:pPr>
            <w:r>
              <w:t>(iii)</w:t>
            </w:r>
            <w:r>
              <w:tab/>
              <w:t>land management practices reduce discharges of nutrients and other contaminants to water bodies so that they are safe for human contact, and</w:t>
            </w:r>
          </w:p>
          <w:p w14:paraId="2ED6233A" w14:textId="77777777" w:rsidR="00347784" w:rsidRDefault="00347784" w:rsidP="00875820">
            <w:pPr>
              <w:pStyle w:val="Table1"/>
              <w:ind w:left="1449" w:hanging="426"/>
            </w:pPr>
            <w:r>
              <w:t>(iv)</w:t>
            </w:r>
            <w:r>
              <w:tab/>
              <w:t>there are no direct discharges of wastewater to water bodies, and</w:t>
            </w:r>
          </w:p>
          <w:p w14:paraId="68124401" w14:textId="77777777" w:rsidR="00347784" w:rsidRDefault="00347784" w:rsidP="00875820">
            <w:pPr>
              <w:pStyle w:val="Table1"/>
              <w:ind w:left="456" w:hanging="425"/>
            </w:pPr>
            <w:r>
              <w:t>(8)</w:t>
            </w:r>
            <w:r>
              <w:tab/>
              <w:t>the outcomes sought in (7) are to be achieved within the following timeframes:</w:t>
            </w:r>
          </w:p>
          <w:p w14:paraId="1FC7D5B3" w14:textId="77777777" w:rsidR="00347784" w:rsidRDefault="00347784" w:rsidP="00875820">
            <w:pPr>
              <w:pStyle w:val="Table1"/>
              <w:ind w:left="1023" w:hanging="567"/>
            </w:pPr>
            <w:r>
              <w:t>(a)</w:t>
            </w:r>
            <w:r>
              <w:tab/>
              <w:t xml:space="preserve">by 2030 in the Upper Lakes </w:t>
            </w:r>
            <w:proofErr w:type="spellStart"/>
            <w:r>
              <w:t>rohe</w:t>
            </w:r>
            <w:proofErr w:type="spellEnd"/>
            <w:r>
              <w:t>,</w:t>
            </w:r>
          </w:p>
          <w:p w14:paraId="505DE6C1" w14:textId="77777777" w:rsidR="00347784" w:rsidRDefault="00347784" w:rsidP="00875820">
            <w:pPr>
              <w:pStyle w:val="Table1"/>
              <w:ind w:left="1023" w:hanging="567"/>
            </w:pPr>
            <w:r>
              <w:t>(b)</w:t>
            </w:r>
            <w:r>
              <w:tab/>
              <w:t xml:space="preserve">by 2045 in the Dunstan, </w:t>
            </w:r>
            <w:proofErr w:type="gramStart"/>
            <w:r>
              <w:t>Roxburgh</w:t>
            </w:r>
            <w:proofErr w:type="gramEnd"/>
            <w:r>
              <w:t xml:space="preserve"> and Lower Clutha </w:t>
            </w:r>
            <w:proofErr w:type="spellStart"/>
            <w:r>
              <w:t>rohe</w:t>
            </w:r>
            <w:proofErr w:type="spellEnd"/>
            <w:r>
              <w:t>, and</w:t>
            </w:r>
          </w:p>
          <w:p w14:paraId="139623D8" w14:textId="3D6A52D4" w:rsidR="00347784" w:rsidRPr="0094119F" w:rsidRDefault="00347784" w:rsidP="00875820">
            <w:pPr>
              <w:pStyle w:val="Table1"/>
              <w:ind w:left="1023" w:hanging="567"/>
            </w:pPr>
            <w:r>
              <w:t>(c)</w:t>
            </w:r>
            <w:r>
              <w:tab/>
              <w:t xml:space="preserve">by 2050 in the </w:t>
            </w:r>
            <w:proofErr w:type="spellStart"/>
            <w:r>
              <w:t>Manuherekia</w:t>
            </w:r>
            <w:proofErr w:type="spellEnd"/>
            <w:r>
              <w:t xml:space="preserve"> </w:t>
            </w:r>
            <w:proofErr w:type="spellStart"/>
            <w:r>
              <w:t>rohe</w:t>
            </w:r>
            <w:proofErr w:type="spellEnd"/>
            <w:r>
              <w:t>.</w:t>
            </w:r>
          </w:p>
        </w:tc>
        <w:tc>
          <w:tcPr>
            <w:tcW w:w="5527" w:type="dxa"/>
            <w:shd w:val="clear" w:color="auto" w:fill="DEEAF6" w:themeFill="accent5" w:themeFillTint="33"/>
          </w:tcPr>
          <w:p w14:paraId="517B4D9D" w14:textId="77777777" w:rsidR="00766C98" w:rsidRDefault="00F7297A" w:rsidP="00875820">
            <w:pPr>
              <w:pStyle w:val="Table1"/>
            </w:pPr>
            <w:r>
              <w:lastRenderedPageBreak/>
              <w:t xml:space="preserve">Clause 3.3 of the NPSFM requires regional councils to develop long-term visions for freshwater in their regions and include them as objectives in their RPS. Freshwater visions may be set at FMU, part of an FMU or catchment level. ORC has identified the Clutha Mata-au as an FMU but has also identified five sub-unts within the FMU, called </w:t>
            </w:r>
            <w:proofErr w:type="spellStart"/>
            <w:r>
              <w:t>rohe</w:t>
            </w:r>
            <w:proofErr w:type="spellEnd"/>
            <w:r>
              <w:t xml:space="preserve">. LF-VM-O2 is one vision that sets out goals for the FMU </w:t>
            </w:r>
            <w:proofErr w:type="gramStart"/>
            <w:r>
              <w:t>as a whole in</w:t>
            </w:r>
            <w:proofErr w:type="gramEnd"/>
            <w:r>
              <w:t xml:space="preserve"> the first six sub-clauses as well as additional goals for each of the </w:t>
            </w:r>
            <w:proofErr w:type="spellStart"/>
            <w:r>
              <w:t>rohe</w:t>
            </w:r>
            <w:proofErr w:type="spellEnd"/>
            <w:r>
              <w:t xml:space="preserve">, reflecting that the </w:t>
            </w:r>
            <w:proofErr w:type="spellStart"/>
            <w:r>
              <w:t>rohe</w:t>
            </w:r>
            <w:proofErr w:type="spellEnd"/>
            <w:r>
              <w:t xml:space="preserve"> are distinct areas </w:t>
            </w:r>
            <w:r w:rsidR="00503062">
              <w:t xml:space="preserve">with different challenges </w:t>
            </w:r>
            <w:r>
              <w:t xml:space="preserve">but all contribute towards the overall health and well-being of the </w:t>
            </w:r>
            <w:r w:rsidR="00503062">
              <w:t>Clutha</w:t>
            </w:r>
            <w:r>
              <w:t xml:space="preserve"> Mata-au River. </w:t>
            </w:r>
            <w:r w:rsidR="00766C98">
              <w:t xml:space="preserve">The Clutha Mata-au FMU is an area of shared interest between Kāi </w:t>
            </w:r>
            <w:proofErr w:type="spellStart"/>
            <w:r w:rsidR="00766C98">
              <w:t>Tahu</w:t>
            </w:r>
            <w:proofErr w:type="spellEnd"/>
            <w:r w:rsidR="00766C98">
              <w:t xml:space="preserve"> ki Otago and Ngāi </w:t>
            </w:r>
            <w:proofErr w:type="spellStart"/>
            <w:r w:rsidR="00766C98">
              <w:t>Tahu</w:t>
            </w:r>
            <w:proofErr w:type="spellEnd"/>
            <w:r w:rsidR="00766C98">
              <w:t xml:space="preserve"> ki Murihiku. </w:t>
            </w:r>
          </w:p>
          <w:p w14:paraId="3E3A90DB" w14:textId="2ABA8B36" w:rsidR="005F09CD" w:rsidRDefault="00766C98" w:rsidP="00875820">
            <w:pPr>
              <w:pStyle w:val="Table1"/>
            </w:pPr>
            <w:r>
              <w:t xml:space="preserve">Specific consultation with Kāi </w:t>
            </w:r>
            <w:proofErr w:type="spellStart"/>
            <w:r>
              <w:t>Tahu</w:t>
            </w:r>
            <w:proofErr w:type="spellEnd"/>
            <w:r>
              <w:t xml:space="preserve"> and the public was undertaken in late 2020. </w:t>
            </w:r>
            <w:r w:rsidR="00766A09">
              <w:t xml:space="preserve">Kāi </w:t>
            </w:r>
            <w:proofErr w:type="spellStart"/>
            <w:r w:rsidR="00766A09">
              <w:t>Tahu</w:t>
            </w:r>
            <w:proofErr w:type="spellEnd"/>
            <w:r w:rsidR="00766A09">
              <w:t xml:space="preserve"> ki Otago </w:t>
            </w:r>
            <w:r w:rsidR="005F09CD">
              <w:t>outlined their expectations for all water bodies in Otago, which can be summarised as:</w:t>
            </w:r>
          </w:p>
          <w:p w14:paraId="497D33F1" w14:textId="3B667321" w:rsidR="005F09CD" w:rsidRDefault="005F09CD" w:rsidP="00875820">
            <w:pPr>
              <w:pStyle w:val="Table1"/>
              <w:numPr>
                <w:ilvl w:val="0"/>
                <w:numId w:val="73"/>
              </w:numPr>
            </w:pPr>
            <w:r>
              <w:t>The wai is health-giving.</w:t>
            </w:r>
          </w:p>
          <w:p w14:paraId="142A0EA3" w14:textId="4CE67132" w:rsidR="005F09CD" w:rsidRDefault="005F09CD" w:rsidP="00875820">
            <w:pPr>
              <w:pStyle w:val="Table1"/>
              <w:numPr>
                <w:ilvl w:val="0"/>
                <w:numId w:val="73"/>
              </w:numPr>
            </w:pPr>
            <w:r>
              <w:t>The waterways are restored to the way they were when tupuna knew them.</w:t>
            </w:r>
          </w:p>
          <w:p w14:paraId="3F917929" w14:textId="46190F4A" w:rsidR="005F09CD" w:rsidRDefault="005F09CD" w:rsidP="00875820">
            <w:pPr>
              <w:pStyle w:val="Table1"/>
              <w:numPr>
                <w:ilvl w:val="0"/>
                <w:numId w:val="73"/>
              </w:numPr>
            </w:pPr>
            <w:proofErr w:type="spellStart"/>
            <w:r>
              <w:t>Mahika</w:t>
            </w:r>
            <w:proofErr w:type="spellEnd"/>
            <w:r>
              <w:t xml:space="preserve"> kai is flourishing, native fish can migrate easily and as naturally as possible, and </w:t>
            </w:r>
            <w:proofErr w:type="spellStart"/>
            <w:r>
              <w:t>taoka</w:t>
            </w:r>
            <w:proofErr w:type="spellEnd"/>
            <w:r>
              <w:t xml:space="preserve"> species and their habitats are protected.</w:t>
            </w:r>
          </w:p>
          <w:p w14:paraId="4A6C6C1D" w14:textId="4174B242" w:rsidR="005F09CD" w:rsidRDefault="005F09CD" w:rsidP="00875820">
            <w:pPr>
              <w:pStyle w:val="Table1"/>
              <w:numPr>
                <w:ilvl w:val="0"/>
                <w:numId w:val="73"/>
              </w:numPr>
            </w:pPr>
            <w:r>
              <w:t xml:space="preserve">Over-allocation is </w:t>
            </w:r>
            <w:proofErr w:type="gramStart"/>
            <w:r>
              <w:t>reversed</w:t>
            </w:r>
            <w:proofErr w:type="gramEnd"/>
            <w:r>
              <w:t xml:space="preserve"> and water is available for mana whenua aspirations.</w:t>
            </w:r>
          </w:p>
          <w:p w14:paraId="34E75D54" w14:textId="684C1AFE" w:rsidR="005F09CD" w:rsidRDefault="005F09CD" w:rsidP="00875820">
            <w:pPr>
              <w:pStyle w:val="Table1"/>
              <w:numPr>
                <w:ilvl w:val="0"/>
                <w:numId w:val="73"/>
              </w:numPr>
            </w:pPr>
            <w:r>
              <w:t>The interconnection of fresh and coastal waters is recognised.</w:t>
            </w:r>
          </w:p>
          <w:p w14:paraId="46D96CD2" w14:textId="28EDE429" w:rsidR="005F09CD" w:rsidRDefault="005F09CD" w:rsidP="00875820">
            <w:pPr>
              <w:pStyle w:val="Table1"/>
              <w:numPr>
                <w:ilvl w:val="0"/>
                <w:numId w:val="73"/>
              </w:numPr>
            </w:pPr>
            <w:r>
              <w:lastRenderedPageBreak/>
              <w:t>The quality and quantity of groundwater is protected.</w:t>
            </w:r>
          </w:p>
          <w:p w14:paraId="6E3026DB" w14:textId="15D1F035" w:rsidR="005F09CD" w:rsidRDefault="005F09CD" w:rsidP="00875820">
            <w:pPr>
              <w:pStyle w:val="Table1"/>
              <w:numPr>
                <w:ilvl w:val="0"/>
                <w:numId w:val="73"/>
              </w:numPr>
            </w:pPr>
            <w:r>
              <w:t>Mana whenua are integrally involved in freshwater management.</w:t>
            </w:r>
          </w:p>
          <w:p w14:paraId="31F8EC1C" w14:textId="4FE1070E" w:rsidR="005F09CD" w:rsidRDefault="005F09CD" w:rsidP="00875820">
            <w:pPr>
              <w:pStyle w:val="Table1"/>
              <w:numPr>
                <w:ilvl w:val="0"/>
                <w:numId w:val="73"/>
              </w:numPr>
            </w:pPr>
            <w:r>
              <w:t>Land users work together to restore catchments.</w:t>
            </w:r>
          </w:p>
          <w:p w14:paraId="1C936C14" w14:textId="4205F7B8" w:rsidR="00503062" w:rsidRDefault="005F09CD" w:rsidP="00875820">
            <w:pPr>
              <w:pStyle w:val="Table1"/>
            </w:pPr>
            <w:r>
              <w:t xml:space="preserve">Kāi </w:t>
            </w:r>
            <w:proofErr w:type="spellStart"/>
            <w:r>
              <w:t>Tahu</w:t>
            </w:r>
            <w:proofErr w:type="spellEnd"/>
            <w:r>
              <w:t xml:space="preserve"> ki Otago also </w:t>
            </w:r>
            <w:r w:rsidR="00766A09">
              <w:t xml:space="preserve">highlighted four </w:t>
            </w:r>
            <w:proofErr w:type="gramStart"/>
            <w:r w:rsidR="00766A09">
              <w:t>particular priorities</w:t>
            </w:r>
            <w:proofErr w:type="gramEnd"/>
            <w:r w:rsidR="00766A09">
              <w:t xml:space="preserve"> for the Clutha Mata-au:</w:t>
            </w:r>
          </w:p>
          <w:p w14:paraId="52CF3AD2" w14:textId="77777777" w:rsidR="00766A09" w:rsidRDefault="00766A09" w:rsidP="00875820">
            <w:pPr>
              <w:pStyle w:val="Table1"/>
              <w:numPr>
                <w:ilvl w:val="0"/>
                <w:numId w:val="73"/>
              </w:numPr>
            </w:pPr>
            <w:r>
              <w:t>Mata-au is one catchment and needs to be managed as such.</w:t>
            </w:r>
          </w:p>
          <w:p w14:paraId="75251365" w14:textId="77777777" w:rsidR="00766A09" w:rsidRDefault="00766A09" w:rsidP="00875820">
            <w:pPr>
              <w:pStyle w:val="Table1"/>
              <w:numPr>
                <w:ilvl w:val="0"/>
                <w:numId w:val="73"/>
              </w:numPr>
            </w:pPr>
            <w:r>
              <w:t xml:space="preserve">Management recognises and reflects that the wai comes directly from </w:t>
            </w:r>
            <w:proofErr w:type="spellStart"/>
            <w:r>
              <w:t>Tawhirimatea</w:t>
            </w:r>
            <w:proofErr w:type="spellEnd"/>
            <w:r>
              <w:t xml:space="preserve"> (the sky) to the top of the mauka and into the awa so is pure at source – the quality along the full length of the waterway should reflect this.</w:t>
            </w:r>
          </w:p>
          <w:p w14:paraId="69AF2B19" w14:textId="77777777" w:rsidR="00766A09" w:rsidRDefault="00766A09" w:rsidP="00875820">
            <w:pPr>
              <w:pStyle w:val="Table1"/>
              <w:numPr>
                <w:ilvl w:val="0"/>
                <w:numId w:val="73"/>
              </w:numPr>
            </w:pPr>
            <w:r>
              <w:t>There is no further degradation of lakes.</w:t>
            </w:r>
          </w:p>
          <w:p w14:paraId="57DB04D8" w14:textId="77777777" w:rsidR="00766A09" w:rsidRDefault="00766A09" w:rsidP="00875820">
            <w:pPr>
              <w:pStyle w:val="Table1"/>
              <w:numPr>
                <w:ilvl w:val="0"/>
                <w:numId w:val="73"/>
              </w:numPr>
            </w:pPr>
            <w:r>
              <w:t>There are no sedimentation effects on the ocean.</w:t>
            </w:r>
          </w:p>
          <w:p w14:paraId="59A6A1A6" w14:textId="77777777" w:rsidR="00766A09" w:rsidRDefault="00766A09" w:rsidP="00875820">
            <w:pPr>
              <w:pStyle w:val="Table1"/>
            </w:pPr>
            <w:r>
              <w:t xml:space="preserve">Ngāi </w:t>
            </w:r>
            <w:proofErr w:type="spellStart"/>
            <w:r>
              <w:t>Tahu</w:t>
            </w:r>
            <w:proofErr w:type="spellEnd"/>
            <w:r>
              <w:t xml:space="preserve"> ki Murihiku also sought a range of outcomes for the river, including:</w:t>
            </w:r>
          </w:p>
          <w:p w14:paraId="2B9CE8DE" w14:textId="77777777" w:rsidR="00766A09" w:rsidRDefault="00766A09" w:rsidP="00875820">
            <w:pPr>
              <w:pStyle w:val="Table1"/>
              <w:numPr>
                <w:ilvl w:val="0"/>
                <w:numId w:val="73"/>
              </w:numPr>
            </w:pPr>
            <w:r>
              <w:t xml:space="preserve">Restoring its mauri, </w:t>
            </w:r>
            <w:proofErr w:type="gramStart"/>
            <w:r>
              <w:t>health</w:t>
            </w:r>
            <w:proofErr w:type="gramEnd"/>
            <w:r>
              <w:t xml:space="preserve"> and well-being </w:t>
            </w:r>
          </w:p>
          <w:p w14:paraId="58B6D77F" w14:textId="2A493303" w:rsidR="00766A09" w:rsidRDefault="00766A09" w:rsidP="00875820">
            <w:pPr>
              <w:pStyle w:val="Table1"/>
              <w:numPr>
                <w:ilvl w:val="0"/>
                <w:numId w:val="73"/>
              </w:numPr>
            </w:pPr>
            <w:r>
              <w:t xml:space="preserve">Adopting a Treaty partnership approach to governing and managing lands in the catchment, upholding Kāi </w:t>
            </w:r>
            <w:proofErr w:type="spellStart"/>
            <w:r>
              <w:t>Tahu</w:t>
            </w:r>
            <w:proofErr w:type="spellEnd"/>
            <w:r>
              <w:t xml:space="preserve"> values and utilising </w:t>
            </w:r>
            <w:proofErr w:type="spellStart"/>
            <w:r>
              <w:t>mat</w:t>
            </w:r>
            <w:r w:rsidR="00D80C57">
              <w:t>a</w:t>
            </w:r>
            <w:r>
              <w:t>uraka</w:t>
            </w:r>
            <w:proofErr w:type="spellEnd"/>
            <w:r>
              <w:t>.</w:t>
            </w:r>
          </w:p>
          <w:p w14:paraId="2E19A164" w14:textId="77777777" w:rsidR="004C752A" w:rsidRDefault="00766A09" w:rsidP="00875820">
            <w:pPr>
              <w:pStyle w:val="Table1"/>
              <w:numPr>
                <w:ilvl w:val="0"/>
                <w:numId w:val="73"/>
              </w:numPr>
            </w:pPr>
            <w:r>
              <w:t xml:space="preserve">Valuing natural form and function, prioritising water for waterbodies and </w:t>
            </w:r>
            <w:r w:rsidR="004C752A">
              <w:t xml:space="preserve">increasing areas and populations of indigenous flora and fauna to improve access to healthy and abundant </w:t>
            </w:r>
            <w:proofErr w:type="spellStart"/>
            <w:r w:rsidR="004C752A">
              <w:t>mahika</w:t>
            </w:r>
            <w:proofErr w:type="spellEnd"/>
            <w:r w:rsidR="004C752A">
              <w:t xml:space="preserve"> kai</w:t>
            </w:r>
          </w:p>
          <w:p w14:paraId="65E5AA52" w14:textId="52DEE4C9" w:rsidR="004C752A" w:rsidRDefault="004C752A" w:rsidP="00875820">
            <w:pPr>
              <w:pStyle w:val="Table1"/>
              <w:numPr>
                <w:ilvl w:val="0"/>
                <w:numId w:val="73"/>
              </w:numPr>
            </w:pPr>
            <w:r>
              <w:t xml:space="preserve">Providing for a range of Kāi </w:t>
            </w:r>
            <w:proofErr w:type="spellStart"/>
            <w:r>
              <w:t>Tahu</w:t>
            </w:r>
            <w:proofErr w:type="spellEnd"/>
            <w:r>
              <w:t xml:space="preserve"> associations and uses, high quality drinking water supplies, hydroelectricity generation, climate resilient economic activities and valued social and recreational activities.</w:t>
            </w:r>
          </w:p>
          <w:p w14:paraId="34823052" w14:textId="77777777" w:rsidR="00766A09" w:rsidRDefault="004C752A" w:rsidP="00875820">
            <w:pPr>
              <w:pStyle w:val="Table1"/>
            </w:pPr>
            <w:r>
              <w:t xml:space="preserve">Consultation with the public occurred mostly at the </w:t>
            </w:r>
            <w:proofErr w:type="spellStart"/>
            <w:r>
              <w:t>rohe</w:t>
            </w:r>
            <w:proofErr w:type="spellEnd"/>
            <w:r>
              <w:t xml:space="preserve"> level. Key themes raised were:</w:t>
            </w:r>
          </w:p>
          <w:p w14:paraId="22F1EAD6" w14:textId="77777777" w:rsidR="004C752A" w:rsidRDefault="004C752A" w:rsidP="00875820">
            <w:pPr>
              <w:pStyle w:val="Table1"/>
              <w:numPr>
                <w:ilvl w:val="0"/>
                <w:numId w:val="73"/>
              </w:numPr>
            </w:pPr>
            <w:r>
              <w:t>Retaining the current high quality of the Upper Lakes.</w:t>
            </w:r>
          </w:p>
          <w:p w14:paraId="4B45E440" w14:textId="4E1395B8" w:rsidR="00583A82" w:rsidRDefault="004C752A" w:rsidP="00875820">
            <w:pPr>
              <w:pStyle w:val="Table1"/>
              <w:numPr>
                <w:ilvl w:val="0"/>
                <w:numId w:val="73"/>
              </w:numPr>
            </w:pPr>
            <w:r>
              <w:t xml:space="preserve">Resolving </w:t>
            </w:r>
            <w:r w:rsidR="00583A82">
              <w:t>any</w:t>
            </w:r>
            <w:r>
              <w:t xml:space="preserve"> water quality and quantity issues in the Dunstan, </w:t>
            </w:r>
            <w:proofErr w:type="spellStart"/>
            <w:r>
              <w:t>Manuherekia</w:t>
            </w:r>
            <w:proofErr w:type="spellEnd"/>
            <w:r w:rsidR="00583A82">
              <w:t xml:space="preserve">, </w:t>
            </w:r>
            <w:r>
              <w:t xml:space="preserve">Roxburgh </w:t>
            </w:r>
            <w:r w:rsidR="00583A82">
              <w:t xml:space="preserve">and Lower Clutha </w:t>
            </w:r>
            <w:proofErr w:type="spellStart"/>
            <w:r>
              <w:t>rohe</w:t>
            </w:r>
            <w:proofErr w:type="spellEnd"/>
            <w:r>
              <w:t xml:space="preserve"> </w:t>
            </w:r>
            <w:r w:rsidR="00583A82">
              <w:t xml:space="preserve">so that the water bodies are healthy and provide habitats for freshwater flora and </w:t>
            </w:r>
            <w:proofErr w:type="gramStart"/>
            <w:r w:rsidR="00583A82">
              <w:t>fauna, and</w:t>
            </w:r>
            <w:proofErr w:type="gramEnd"/>
            <w:r w:rsidR="00583A82">
              <w:t xml:space="preserve"> provide opportunities for drinking water and recreation.</w:t>
            </w:r>
          </w:p>
          <w:p w14:paraId="5E28529A" w14:textId="64D547AD" w:rsidR="00583A82" w:rsidRDefault="00583A82" w:rsidP="00875820">
            <w:pPr>
              <w:pStyle w:val="Table1"/>
              <w:numPr>
                <w:ilvl w:val="0"/>
                <w:numId w:val="73"/>
              </w:numPr>
            </w:pPr>
            <w:r>
              <w:t xml:space="preserve">In the Lower Clutha </w:t>
            </w:r>
            <w:proofErr w:type="spellStart"/>
            <w:r>
              <w:t>rohe</w:t>
            </w:r>
            <w:proofErr w:type="spellEnd"/>
            <w:r>
              <w:t>, concern about the effects of discharges from urban environments.</w:t>
            </w:r>
          </w:p>
          <w:p w14:paraId="27E55BB0" w14:textId="6EBED37A" w:rsidR="004C752A" w:rsidRDefault="00583A82" w:rsidP="00875820">
            <w:pPr>
              <w:pStyle w:val="Table1"/>
              <w:numPr>
                <w:ilvl w:val="0"/>
                <w:numId w:val="73"/>
              </w:numPr>
            </w:pPr>
            <w:r>
              <w:t xml:space="preserve">In the Dunstan, </w:t>
            </w:r>
            <w:proofErr w:type="spellStart"/>
            <w:r>
              <w:t>Manuherekia</w:t>
            </w:r>
            <w:proofErr w:type="spellEnd"/>
            <w:r>
              <w:t xml:space="preserve">, Roxburgh, and Lower Clutha </w:t>
            </w:r>
            <w:proofErr w:type="spellStart"/>
            <w:r>
              <w:t>rohe</w:t>
            </w:r>
            <w:proofErr w:type="spellEnd"/>
            <w:r>
              <w:t xml:space="preserve">, </w:t>
            </w:r>
            <w:r w:rsidR="004C752A">
              <w:t>recognising the importance of those catchments to communities for their food production opportunities</w:t>
            </w:r>
            <w:r>
              <w:t xml:space="preserve"> and the need for irrigation water to support those activities</w:t>
            </w:r>
            <w:r w:rsidR="004C752A">
              <w:t>.</w:t>
            </w:r>
          </w:p>
          <w:p w14:paraId="3B35FAED" w14:textId="757AF05A" w:rsidR="004C752A" w:rsidRDefault="00583A82" w:rsidP="00875820">
            <w:pPr>
              <w:pStyle w:val="Table1"/>
              <w:ind w:left="10"/>
            </w:pPr>
            <w:r>
              <w:t xml:space="preserve">LF-VM-O2 was co-drafted by </w:t>
            </w:r>
            <w:proofErr w:type="spellStart"/>
            <w:r>
              <w:t>Aukaha</w:t>
            </w:r>
            <w:proofErr w:type="spellEnd"/>
            <w:r>
              <w:t xml:space="preserve"> and ORC staff as part of feedback from Kāi </w:t>
            </w:r>
            <w:proofErr w:type="spellStart"/>
            <w:r>
              <w:t>Tahu</w:t>
            </w:r>
            <w:proofErr w:type="spellEnd"/>
            <w:r>
              <w:t xml:space="preserve"> ki Otago through clause 4A consultation</w:t>
            </w:r>
            <w:r w:rsidR="00C81080">
              <w:t xml:space="preserve"> and input was also received from Te Ao Marama staff</w:t>
            </w:r>
            <w:r>
              <w:t xml:space="preserve">. The objective attempts to draw together </w:t>
            </w:r>
            <w:r w:rsidR="00C34276">
              <w:t>the</w:t>
            </w:r>
            <w:r>
              <w:t xml:space="preserve"> very wide-ranging aspirations of both Kāi </w:t>
            </w:r>
            <w:proofErr w:type="spellStart"/>
            <w:r>
              <w:t>Tahu</w:t>
            </w:r>
            <w:proofErr w:type="spellEnd"/>
            <w:r>
              <w:t xml:space="preserve"> and Otago’s communities in a way that gives effect to Te Mana o te Wai, the NPSFM and the NPSREG.</w:t>
            </w:r>
          </w:p>
          <w:p w14:paraId="0E3FA153" w14:textId="1C43A780" w:rsidR="00E16BA6" w:rsidRDefault="00E16BA6" w:rsidP="00875820">
            <w:pPr>
              <w:pStyle w:val="Table1"/>
            </w:pPr>
            <w:r>
              <w:t xml:space="preserve">The vision includes different timeframes for achieving the goals for different </w:t>
            </w:r>
            <w:proofErr w:type="spellStart"/>
            <w:r>
              <w:t>rohe</w:t>
            </w:r>
            <w:proofErr w:type="spellEnd"/>
            <w:r>
              <w:t xml:space="preserve"> in accordance with the requirements of the </w:t>
            </w:r>
            <w:r>
              <w:lastRenderedPageBreak/>
              <w:t xml:space="preserve">NPSFM. ORC’s science work programme for identifying limits for FMUs has categorised Otago’s FMUs and </w:t>
            </w:r>
            <w:proofErr w:type="spellStart"/>
            <w:r>
              <w:t>rohe</w:t>
            </w:r>
            <w:proofErr w:type="spellEnd"/>
            <w:r>
              <w:t xml:space="preserve"> into four categories based on degree of modification from natural state (i.e. use and hydrological complexity) and values, recognising that the FMUs differ in terms of their information requirements and will require different prioritisation of science resources </w:t>
            </w:r>
            <w:sdt>
              <w:sdtPr>
                <w:id w:val="1173610939"/>
                <w:placeholder>
                  <w:docPart w:val="5877CDC9C3BB49B48C309E4D6E9906C3"/>
                </w:placeholder>
                <w:citation/>
              </w:sdtPr>
              <w:sdtContent>
                <w:r>
                  <w:fldChar w:fldCharType="begin"/>
                </w:r>
                <w:r>
                  <w:instrText xml:space="preserve"> CITATION Eve20 \l 5129 </w:instrText>
                </w:r>
                <w:r>
                  <w:fldChar w:fldCharType="separate"/>
                </w:r>
                <w:r>
                  <w:rPr>
                    <w:noProof/>
                  </w:rPr>
                  <w:t>(Everett-Hincks, 2020)</w:t>
                </w:r>
                <w:r>
                  <w:fldChar w:fldCharType="end"/>
                </w:r>
              </w:sdtContent>
            </w:sdt>
            <w:r>
              <w:t>. The four categories are explained as follows:</w:t>
            </w:r>
          </w:p>
          <w:p w14:paraId="3A1CB89B" w14:textId="77777777" w:rsidR="00E16BA6" w:rsidRDefault="00E16BA6" w:rsidP="00875820">
            <w:pPr>
              <w:pStyle w:val="Normal2"/>
              <w:numPr>
                <w:ilvl w:val="0"/>
                <w:numId w:val="0"/>
              </w:numPr>
            </w:pPr>
            <w:r>
              <w:rPr>
                <w:noProof/>
              </w:rPr>
              <w:drawing>
                <wp:inline distT="0" distB="0" distL="0" distR="0" wp14:anchorId="665167B4" wp14:editId="385ECBD2">
                  <wp:extent cx="3021871" cy="21431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25">
                            <a:extLst>
                              <a:ext uri="{28A0092B-C50C-407E-A947-70E740481C1C}">
                                <a14:useLocalDpi xmlns:a14="http://schemas.microsoft.com/office/drawing/2010/main" val="0"/>
                              </a:ext>
                            </a:extLst>
                          </a:blip>
                          <a:srcRect l="2068" t="377" r="1536"/>
                          <a:stretch/>
                        </pic:blipFill>
                        <pic:spPr bwMode="auto">
                          <a:xfrm>
                            <a:off x="0" y="0"/>
                            <a:ext cx="3033921" cy="2151671"/>
                          </a:xfrm>
                          <a:prstGeom prst="rect">
                            <a:avLst/>
                          </a:prstGeom>
                          <a:ln>
                            <a:noFill/>
                          </a:ln>
                          <a:extLst>
                            <a:ext uri="{53640926-AAD7-44D8-BBD7-CCE9431645EC}">
                              <a14:shadowObscured xmlns:a14="http://schemas.microsoft.com/office/drawing/2010/main"/>
                            </a:ext>
                          </a:extLst>
                        </pic:spPr>
                      </pic:pic>
                    </a:graphicData>
                  </a:graphic>
                </wp:inline>
              </w:drawing>
            </w:r>
          </w:p>
          <w:p w14:paraId="7AE2E8C6" w14:textId="25A05F28" w:rsidR="00E16BA6" w:rsidRDefault="00E16BA6" w:rsidP="00875820">
            <w:pPr>
              <w:pStyle w:val="Caption"/>
              <w:ind w:left="851"/>
            </w:pPr>
            <w:r>
              <w:t xml:space="preserve">Figure </w:t>
            </w:r>
            <w:r>
              <w:fldChar w:fldCharType="begin"/>
            </w:r>
            <w:r>
              <w:instrText>SEQ Figure \* ARABIC</w:instrText>
            </w:r>
            <w:r>
              <w:fldChar w:fldCharType="separate"/>
            </w:r>
            <w:r w:rsidR="002A7A16">
              <w:rPr>
                <w:noProof/>
              </w:rPr>
              <w:t>2</w:t>
            </w:r>
            <w:r>
              <w:fldChar w:fldCharType="end"/>
            </w:r>
            <w:r>
              <w:t xml:space="preserve">: FMU and </w:t>
            </w:r>
            <w:proofErr w:type="spellStart"/>
            <w:r>
              <w:t>rohe</w:t>
            </w:r>
            <w:proofErr w:type="spellEnd"/>
            <w:r>
              <w:t xml:space="preserve"> categories for science work programme</w:t>
            </w:r>
          </w:p>
          <w:p w14:paraId="590153D6" w14:textId="7ACDE3F9" w:rsidR="00E16BA6" w:rsidRDefault="00E16BA6" w:rsidP="00875820">
            <w:pPr>
              <w:pStyle w:val="Table1"/>
            </w:pPr>
            <w:r>
              <w:t xml:space="preserve">Feedback from clause 3 consultation supported having shorter or longer timeframes for different </w:t>
            </w:r>
            <w:proofErr w:type="spellStart"/>
            <w:r>
              <w:t>rohe</w:t>
            </w:r>
            <w:proofErr w:type="spellEnd"/>
            <w:r>
              <w:t xml:space="preserve"> depending on the challenges those areas are facing and the ‘gap’ between current state and achieving the stated vision. Given the science work programme for the FMUs and </w:t>
            </w:r>
            <w:proofErr w:type="spellStart"/>
            <w:r>
              <w:t>rohe</w:t>
            </w:r>
            <w:proofErr w:type="spellEnd"/>
            <w:r>
              <w:t xml:space="preserve"> is based on the categories above, it was considered that those categories could be used as a proxy for the likely difficulty in achieving the visions. For example, catchments with pressures on competing values are likely to face greater challenges in achieving their visions than catchments with low modification, few issues with water quality or quantity and little to no pressure for use.</w:t>
            </w:r>
          </w:p>
          <w:p w14:paraId="7BE32B52" w14:textId="332746AE" w:rsidR="00583A82" w:rsidRDefault="00583A82" w:rsidP="00875820">
            <w:pPr>
              <w:pStyle w:val="Table1"/>
              <w:ind w:left="10"/>
            </w:pPr>
            <w:bookmarkStart w:id="41" w:name="_Hlk72157613"/>
            <w:r>
              <w:t xml:space="preserve">It is acknowledged that these timeframes do not align with </w:t>
            </w:r>
            <w:r w:rsidR="00776798">
              <w:t>iwi aspirations which are:</w:t>
            </w:r>
          </w:p>
          <w:p w14:paraId="0A7E6553" w14:textId="77777777" w:rsidR="00776798" w:rsidRDefault="00776798" w:rsidP="00875820">
            <w:pPr>
              <w:pStyle w:val="Table1"/>
              <w:numPr>
                <w:ilvl w:val="0"/>
                <w:numId w:val="73"/>
              </w:numPr>
              <w:ind w:left="370"/>
            </w:pPr>
            <w:r>
              <w:t xml:space="preserve">For Kāi </w:t>
            </w:r>
            <w:proofErr w:type="spellStart"/>
            <w:r>
              <w:t>Tahu</w:t>
            </w:r>
            <w:proofErr w:type="spellEnd"/>
            <w:r>
              <w:t xml:space="preserve"> ki Otago, no further loss from now, practice change within 10 years, and outcomes fully achieved within 20 years.</w:t>
            </w:r>
          </w:p>
          <w:p w14:paraId="652A4592" w14:textId="77777777" w:rsidR="00776798" w:rsidRDefault="00776798" w:rsidP="00875820">
            <w:pPr>
              <w:pStyle w:val="Table1"/>
              <w:numPr>
                <w:ilvl w:val="0"/>
                <w:numId w:val="73"/>
              </w:numPr>
              <w:ind w:left="370"/>
            </w:pPr>
            <w:r>
              <w:t xml:space="preserve">For Ngāi </w:t>
            </w:r>
            <w:proofErr w:type="spellStart"/>
            <w:r>
              <w:t>Tahu</w:t>
            </w:r>
            <w:proofErr w:type="spellEnd"/>
            <w:r>
              <w:t xml:space="preserve"> ki Murihiku, an expectation that within 10 years there will be complete cessation in direct discharges of wastewater within the takiwā.</w:t>
            </w:r>
          </w:p>
          <w:bookmarkEnd w:id="41"/>
          <w:p w14:paraId="02304DAF" w14:textId="5AB3E777" w:rsidR="00776798" w:rsidRPr="00462638" w:rsidRDefault="00776798" w:rsidP="00875820">
            <w:pPr>
              <w:pStyle w:val="Table1"/>
            </w:pPr>
            <w:r>
              <w:t xml:space="preserve">Clause 3.3(2)(c) requires setting timeframes to achieve the goals in freshwater visions that are both ambitious and reasonable. Given the significant changes in resource management practice that will need to occur to fully achieve LF-VM-O2, it is considered that the timeframes preferred by iwi are potentially too ambitious and may not be reasonable. As ORC is only in the early stages of implementing the NPSFM, including the NOF process of identifying values and setting environmental outcomes, attribute states and limits, there is uncertainty around the specific improvements that may be required within the FMU and each </w:t>
            </w:r>
            <w:proofErr w:type="spellStart"/>
            <w:r>
              <w:t>rohe</w:t>
            </w:r>
            <w:proofErr w:type="spellEnd"/>
            <w:r>
              <w:t xml:space="preserve"> and the implications for activities in these areas. There may </w:t>
            </w:r>
            <w:r>
              <w:lastRenderedPageBreak/>
              <w:t xml:space="preserve">be opportunities to set more specific timeframes for </w:t>
            </w:r>
            <w:proofErr w:type="gramStart"/>
            <w:r>
              <w:t>particular actions</w:t>
            </w:r>
            <w:proofErr w:type="gramEnd"/>
            <w:r>
              <w:t xml:space="preserve"> as ORC prepares its new LWRP.</w:t>
            </w:r>
          </w:p>
        </w:tc>
      </w:tr>
      <w:tr w:rsidR="00320522" w:rsidRPr="00462638" w14:paraId="555708D6" w14:textId="77777777" w:rsidTr="00875820">
        <w:tc>
          <w:tcPr>
            <w:tcW w:w="3489" w:type="dxa"/>
            <w:shd w:val="clear" w:color="auto" w:fill="DEEAF6" w:themeFill="accent5" w:themeFillTint="33"/>
          </w:tcPr>
          <w:p w14:paraId="238668A9" w14:textId="77777777" w:rsidR="00320522" w:rsidRPr="00930CFC" w:rsidRDefault="00320522" w:rsidP="00875820">
            <w:pPr>
              <w:pStyle w:val="Table1"/>
              <w:rPr>
                <w:b/>
                <w:bCs/>
              </w:rPr>
            </w:pPr>
            <w:r w:rsidRPr="00930CFC">
              <w:rPr>
                <w:b/>
                <w:bCs/>
              </w:rPr>
              <w:lastRenderedPageBreak/>
              <w:t xml:space="preserve">LF–VM–O3 – </w:t>
            </w:r>
            <w:r w:rsidR="00166F6D" w:rsidRPr="00930CFC">
              <w:rPr>
                <w:b/>
                <w:bCs/>
              </w:rPr>
              <w:t>North Otago</w:t>
            </w:r>
            <w:r w:rsidRPr="00930CFC">
              <w:rPr>
                <w:b/>
                <w:bCs/>
              </w:rPr>
              <w:t xml:space="preserve"> FMU vision</w:t>
            </w:r>
          </w:p>
          <w:p w14:paraId="0D41BC97" w14:textId="77777777" w:rsidR="00347784" w:rsidRDefault="00347784" w:rsidP="00875820">
            <w:pPr>
              <w:pStyle w:val="Table1"/>
            </w:pPr>
            <w:r>
              <w:t xml:space="preserve">By 2050 in the North Otago </w:t>
            </w:r>
            <w:r w:rsidRPr="00347784">
              <w:t>FMU</w:t>
            </w:r>
            <w:r>
              <w:t>:</w:t>
            </w:r>
          </w:p>
          <w:p w14:paraId="2DECADAB" w14:textId="77777777" w:rsidR="00347784" w:rsidRDefault="00347784" w:rsidP="00875820">
            <w:pPr>
              <w:pStyle w:val="Table1"/>
              <w:ind w:left="456" w:hanging="425"/>
            </w:pPr>
            <w:r>
              <w:t>(1)</w:t>
            </w:r>
            <w:r>
              <w:tab/>
            </w:r>
            <w:r w:rsidRPr="00347784">
              <w:t>freshwater</w:t>
            </w:r>
            <w:r>
              <w:t xml:space="preserve"> is managed in accordance with the LF–WAI objectives and policies, while recognising that the Waitaki River is influenced in part by catchment areas within the Canterbury region, </w:t>
            </w:r>
          </w:p>
          <w:p w14:paraId="6BCF5787" w14:textId="77777777" w:rsidR="00347784" w:rsidRDefault="00347784" w:rsidP="00875820">
            <w:pPr>
              <w:pStyle w:val="Table1"/>
              <w:ind w:left="456" w:hanging="425"/>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 and Kāi </w:t>
            </w:r>
            <w:proofErr w:type="spellStart"/>
            <w:r>
              <w:t>Tahu</w:t>
            </w:r>
            <w:proofErr w:type="spellEnd"/>
            <w:r>
              <w:t xml:space="preserve"> maintain their connection with and use of the </w:t>
            </w:r>
            <w:r w:rsidRPr="00347784">
              <w:t>water bodies</w:t>
            </w:r>
            <w:r>
              <w:t>,</w:t>
            </w:r>
          </w:p>
          <w:p w14:paraId="0C5DD127" w14:textId="77777777" w:rsidR="00347784" w:rsidRDefault="00347784" w:rsidP="00875820">
            <w:pPr>
              <w:pStyle w:val="Table1"/>
              <w:ind w:left="456" w:hanging="425"/>
            </w:pPr>
            <w:r>
              <w:t>(3)</w:t>
            </w:r>
            <w:r>
              <w:tab/>
              <w:t xml:space="preserve">healthy riparian margins, </w:t>
            </w:r>
            <w:r w:rsidRPr="00347784">
              <w:t>wetlands</w:t>
            </w:r>
            <w:r>
              <w:t xml:space="preserve">, </w:t>
            </w:r>
            <w:proofErr w:type="gramStart"/>
            <w:r>
              <w:t>estuaries</w:t>
            </w:r>
            <w:proofErr w:type="gramEnd"/>
            <w:r>
              <w:t xml:space="preserve"> and lagoons support thriving </w:t>
            </w:r>
            <w:proofErr w:type="spellStart"/>
            <w:r>
              <w:t>mahika</w:t>
            </w:r>
            <w:proofErr w:type="spellEnd"/>
            <w:r>
              <w:t xml:space="preserve"> kai, indigenous habitats and downstream coastal ecosystems,</w:t>
            </w:r>
          </w:p>
          <w:p w14:paraId="062D896E" w14:textId="77777777" w:rsidR="00347784" w:rsidRDefault="00347784" w:rsidP="00875820">
            <w:pPr>
              <w:pStyle w:val="Table1"/>
              <w:ind w:left="456" w:hanging="425"/>
            </w:pPr>
            <w:r>
              <w:t>(4)</w:t>
            </w:r>
            <w:r>
              <w:tab/>
              <w:t>indigenous species can migrate easily and as naturally as possible to and from the coastal environment,</w:t>
            </w:r>
          </w:p>
          <w:p w14:paraId="1BFE06A6" w14:textId="77777777" w:rsidR="00347784" w:rsidRDefault="00347784" w:rsidP="00875820">
            <w:pPr>
              <w:pStyle w:val="Table1"/>
              <w:ind w:left="456" w:hanging="425"/>
            </w:pPr>
            <w:r>
              <w:t>(5)</w:t>
            </w:r>
            <w:r>
              <w:tab/>
            </w:r>
            <w:r w:rsidRPr="00347784">
              <w:t>land</w:t>
            </w:r>
            <w:r>
              <w:t xml:space="preserve"> management practices reduce </w:t>
            </w:r>
            <w:r w:rsidRPr="00347784">
              <w:t>discharges</w:t>
            </w:r>
            <w:r>
              <w:t xml:space="preserve"> of nutrients and other </w:t>
            </w:r>
            <w:r w:rsidRPr="00347784">
              <w:t>contaminants</w:t>
            </w:r>
            <w:r>
              <w:t xml:space="preserve"> to </w:t>
            </w:r>
            <w:r w:rsidRPr="00347784">
              <w:t>water bodies</w:t>
            </w:r>
            <w:r>
              <w:t xml:space="preserve"> so that they are safe for </w:t>
            </w:r>
            <w:r w:rsidRPr="00386168">
              <w:t>human</w:t>
            </w:r>
            <w:r>
              <w:t xml:space="preserve"> contact, and</w:t>
            </w:r>
          </w:p>
          <w:p w14:paraId="3A047EF7" w14:textId="11FFC633" w:rsidR="00347784" w:rsidRPr="0094119F" w:rsidRDefault="00347784" w:rsidP="00875820">
            <w:pPr>
              <w:pStyle w:val="Table1"/>
              <w:ind w:left="456" w:hanging="425"/>
            </w:pPr>
            <w:r>
              <w:t>(6)</w:t>
            </w:r>
            <w:r>
              <w:tab/>
              <w:t xml:space="preserve">innovative and sustainable </w:t>
            </w:r>
            <w:r w:rsidRPr="00347784">
              <w:t>land</w:t>
            </w:r>
            <w:r>
              <w:t xml:space="preserve"> and </w:t>
            </w:r>
            <w:r w:rsidRPr="00347784">
              <w:t>water</w:t>
            </w:r>
            <w:r>
              <w:t xml:space="preserve"> management practices support food production in the area and improve resilience to the </w:t>
            </w:r>
            <w:r w:rsidRPr="00347784">
              <w:t>effects</w:t>
            </w:r>
            <w:r>
              <w:t xml:space="preserve"> of </w:t>
            </w:r>
            <w:r w:rsidRPr="00347784">
              <w:t>climate change</w:t>
            </w:r>
            <w:r>
              <w:t>.</w:t>
            </w:r>
          </w:p>
        </w:tc>
        <w:tc>
          <w:tcPr>
            <w:tcW w:w="5527" w:type="dxa"/>
            <w:shd w:val="clear" w:color="auto" w:fill="DEEAF6" w:themeFill="accent5" w:themeFillTint="33"/>
          </w:tcPr>
          <w:p w14:paraId="0D08847D" w14:textId="587CF315" w:rsidR="005F09CD" w:rsidRDefault="005F09CD" w:rsidP="00875820">
            <w:pPr>
              <w:pStyle w:val="Table1"/>
            </w:pPr>
            <w:r>
              <w:t xml:space="preserve">Clause 3.3 of the NPSFM requires regional councils to develop long-term visions for freshwater in their regions and include them as objectives in their RPS. Freshwater visions may be set at FMU, part of an FMU or catchment level. This vision is set at the FMU level, incorporating the whole of the North Otago FMU which has not been divided further into sub-units or </w:t>
            </w:r>
            <w:proofErr w:type="spellStart"/>
            <w:r>
              <w:t>rohe</w:t>
            </w:r>
            <w:proofErr w:type="spellEnd"/>
            <w:r>
              <w:t xml:space="preserve">. Specific consultation with Kāi </w:t>
            </w:r>
            <w:proofErr w:type="spellStart"/>
            <w:r>
              <w:t>Tahu</w:t>
            </w:r>
            <w:proofErr w:type="spellEnd"/>
            <w:r>
              <w:t xml:space="preserve"> and the public was undertaken in late 2020. Kāi </w:t>
            </w:r>
            <w:proofErr w:type="spellStart"/>
            <w:r>
              <w:t>Tahu</w:t>
            </w:r>
            <w:proofErr w:type="spellEnd"/>
            <w:r>
              <w:t xml:space="preserve"> ki Otago outlined their expectations for all water bodies in Otago (discussed in the assessment of LF-VM-O2 above)</w:t>
            </w:r>
            <w:r w:rsidR="008F4E61">
              <w:t>.</w:t>
            </w:r>
          </w:p>
          <w:p w14:paraId="2212F89D" w14:textId="1A6131D8" w:rsidR="005F09CD" w:rsidRDefault="005F09CD" w:rsidP="00875820">
            <w:pPr>
              <w:pStyle w:val="Table1"/>
            </w:pPr>
            <w:r>
              <w:t xml:space="preserve">Kāi </w:t>
            </w:r>
            <w:proofErr w:type="spellStart"/>
            <w:r>
              <w:t>Tahu</w:t>
            </w:r>
            <w:proofErr w:type="spellEnd"/>
            <w:r>
              <w:t xml:space="preserve"> ki Otago also highlighted three </w:t>
            </w:r>
            <w:proofErr w:type="gramStart"/>
            <w:r>
              <w:t>particular priorities</w:t>
            </w:r>
            <w:proofErr w:type="gramEnd"/>
            <w:r>
              <w:t xml:space="preserve"> for the North Otago FMU:</w:t>
            </w:r>
          </w:p>
          <w:p w14:paraId="72B167E2" w14:textId="77777777" w:rsidR="005F09CD" w:rsidRDefault="005F09CD" w:rsidP="00875820">
            <w:pPr>
              <w:pStyle w:val="Table1"/>
              <w:numPr>
                <w:ilvl w:val="0"/>
                <w:numId w:val="73"/>
              </w:numPr>
            </w:pPr>
            <w:r>
              <w:t xml:space="preserve">Pollution of the </w:t>
            </w:r>
            <w:proofErr w:type="spellStart"/>
            <w:r>
              <w:t>Waihemo</w:t>
            </w:r>
            <w:proofErr w:type="spellEnd"/>
            <w:r>
              <w:t xml:space="preserve"> (Shag), </w:t>
            </w:r>
            <w:proofErr w:type="spellStart"/>
            <w:r>
              <w:t>Waianakarua</w:t>
            </w:r>
            <w:proofErr w:type="spellEnd"/>
            <w:r>
              <w:t xml:space="preserve"> and </w:t>
            </w:r>
            <w:proofErr w:type="spellStart"/>
            <w:r>
              <w:t>Kakanui</w:t>
            </w:r>
            <w:proofErr w:type="spellEnd"/>
            <w:r>
              <w:t xml:space="preserve"> Rivers and Trotters Gorge Creek, and their tributaries, is reduced.</w:t>
            </w:r>
          </w:p>
          <w:p w14:paraId="0B6E07A2" w14:textId="3D744A62" w:rsidR="005F09CD" w:rsidRDefault="005F09CD" w:rsidP="00875820">
            <w:pPr>
              <w:pStyle w:val="Table1"/>
              <w:numPr>
                <w:ilvl w:val="0"/>
                <w:numId w:val="73"/>
              </w:numPr>
            </w:pPr>
            <w:r>
              <w:t>Wetlands are restored throughout the North Otago catchments.</w:t>
            </w:r>
          </w:p>
          <w:p w14:paraId="7C2FDAC5" w14:textId="42832D79" w:rsidR="005F09CD" w:rsidRDefault="005F09CD" w:rsidP="00875820">
            <w:pPr>
              <w:pStyle w:val="Table1"/>
              <w:numPr>
                <w:ilvl w:val="0"/>
                <w:numId w:val="73"/>
              </w:numPr>
            </w:pPr>
            <w:r>
              <w:t>Riparian margins are healthy and protected from the effects of stock grazing and pests.</w:t>
            </w:r>
          </w:p>
          <w:p w14:paraId="7DA77029" w14:textId="40DE0093" w:rsidR="00C81080" w:rsidRDefault="00C81080" w:rsidP="00875820">
            <w:pPr>
              <w:pStyle w:val="Table1"/>
            </w:pPr>
            <w:r>
              <w:t>Key themes from consultation with the public were:</w:t>
            </w:r>
          </w:p>
          <w:p w14:paraId="1B86DE51" w14:textId="3073BEC2" w:rsidR="00C81080" w:rsidRDefault="00C81080" w:rsidP="00875820">
            <w:pPr>
              <w:pStyle w:val="Table1"/>
              <w:numPr>
                <w:ilvl w:val="0"/>
                <w:numId w:val="73"/>
              </w:numPr>
            </w:pPr>
            <w:r>
              <w:t xml:space="preserve">Water quality issues, particularly the </w:t>
            </w:r>
            <w:proofErr w:type="spellStart"/>
            <w:r>
              <w:t>Kakanui</w:t>
            </w:r>
            <w:proofErr w:type="spellEnd"/>
            <w:r>
              <w:t xml:space="preserve"> and its estuary.</w:t>
            </w:r>
          </w:p>
          <w:p w14:paraId="6369DA56" w14:textId="186C00CF" w:rsidR="00C81080" w:rsidRDefault="00C81080" w:rsidP="00875820">
            <w:pPr>
              <w:pStyle w:val="Table1"/>
              <w:numPr>
                <w:ilvl w:val="0"/>
                <w:numId w:val="73"/>
              </w:numPr>
            </w:pPr>
            <w:r>
              <w:t xml:space="preserve">Aspirations to use the water bodies for swimming, fishing and </w:t>
            </w:r>
            <w:proofErr w:type="spellStart"/>
            <w:r>
              <w:t>mahika</w:t>
            </w:r>
            <w:proofErr w:type="spellEnd"/>
            <w:r>
              <w:t xml:space="preserve"> kai and allowing future generations to do the same.</w:t>
            </w:r>
          </w:p>
          <w:p w14:paraId="0267BA41" w14:textId="6BCEC00E" w:rsidR="00C81080" w:rsidRDefault="00C81080" w:rsidP="00875820">
            <w:pPr>
              <w:pStyle w:val="Table1"/>
              <w:numPr>
                <w:ilvl w:val="0"/>
                <w:numId w:val="73"/>
              </w:numPr>
            </w:pPr>
            <w:r>
              <w:t>The desire for flourishing biodiversity, including by improving riparian margins.</w:t>
            </w:r>
          </w:p>
          <w:p w14:paraId="0DBF00D4" w14:textId="7ACC1E8C" w:rsidR="00C81080" w:rsidRDefault="00C81080" w:rsidP="00875820">
            <w:pPr>
              <w:pStyle w:val="Table1"/>
              <w:numPr>
                <w:ilvl w:val="0"/>
                <w:numId w:val="73"/>
              </w:numPr>
            </w:pPr>
            <w:r>
              <w:t>The importance of agriculture to the North Otago economy and the need for certainty of access to water.</w:t>
            </w:r>
          </w:p>
          <w:p w14:paraId="56B2DC1C" w14:textId="2B281996" w:rsidR="002B493A" w:rsidRDefault="002B493A" w:rsidP="00875820">
            <w:pPr>
              <w:pStyle w:val="Table1"/>
              <w:ind w:left="10"/>
            </w:pPr>
            <w:r>
              <w:t>Community feedback focused strongly on the importance of agricultural land uses and traversed many potential options for improving the security of water supplies for irrigation, including off-stream storage. This level of detail is not reflected in the vision as it is more appropriately provided through the LWRP which will explore the options for achieving the visions. It was also considered that a focus on these uses of water (which are priority 3 under Objective 1 of the NPSFM) may not give effect to Te Mana o te Wai.</w:t>
            </w:r>
          </w:p>
          <w:p w14:paraId="3C6A4A3D" w14:textId="65BB690B" w:rsidR="002B493A" w:rsidRDefault="00E16BA6" w:rsidP="00875820">
            <w:pPr>
              <w:pStyle w:val="Table1"/>
              <w:ind w:left="10"/>
            </w:pPr>
            <w:r>
              <w:t xml:space="preserve">As explained in the evaluation of Objective LF-VM-O2, the timeframe adopted reflects the categorisation of FMUs and </w:t>
            </w:r>
            <w:proofErr w:type="spellStart"/>
            <w:r>
              <w:t>rohe</w:t>
            </w:r>
            <w:proofErr w:type="spellEnd"/>
            <w:r>
              <w:t xml:space="preserve"> adopted in the prioritisation of ORC’s science work programme. </w:t>
            </w:r>
            <w:r w:rsidR="002B493A">
              <w:t xml:space="preserve">It is acknowledged that the timeframe for achieving these goals does not align with Kāi </w:t>
            </w:r>
            <w:proofErr w:type="spellStart"/>
            <w:r w:rsidR="002B493A">
              <w:t>Tahu</w:t>
            </w:r>
            <w:proofErr w:type="spellEnd"/>
            <w:r w:rsidR="002B493A">
              <w:t xml:space="preserve"> ki Otago aspirations which are for no further loss from now, practice change within 10 years, and outcomes fully achieved within 20 years. As discussed in relation to the evaluation of LF-VM-O2, there are likely to be significant changes required to achieve this vision and a longer timeframe </w:t>
            </w:r>
            <w:proofErr w:type="gramStart"/>
            <w:r w:rsidR="002B493A">
              <w:t>is considered to be</w:t>
            </w:r>
            <w:proofErr w:type="gramEnd"/>
            <w:r w:rsidR="002B493A">
              <w:t xml:space="preserve"> most appropriate. However, as discussed previously, there will be opportunities through the LWRP to consider setting interim or target timeframes.</w:t>
            </w:r>
          </w:p>
          <w:p w14:paraId="1D54B2AB" w14:textId="5ED2C3EA" w:rsidR="005F09CD" w:rsidRPr="00462638" w:rsidRDefault="00C81080" w:rsidP="00875820">
            <w:pPr>
              <w:pStyle w:val="Table1"/>
              <w:ind w:left="10"/>
            </w:pPr>
            <w:r>
              <w:t xml:space="preserve">LF-VM-O3 was co-drafted by </w:t>
            </w:r>
            <w:proofErr w:type="spellStart"/>
            <w:r>
              <w:t>Aukaha</w:t>
            </w:r>
            <w:proofErr w:type="spellEnd"/>
            <w:r>
              <w:t xml:space="preserve"> and ORC staff as part of feedback from Kāi </w:t>
            </w:r>
            <w:proofErr w:type="spellStart"/>
            <w:r>
              <w:t>Tahu</w:t>
            </w:r>
            <w:proofErr w:type="spellEnd"/>
            <w:r>
              <w:t xml:space="preserve"> ki Otago through clause 4A consultation. </w:t>
            </w:r>
            <w:r>
              <w:lastRenderedPageBreak/>
              <w:t xml:space="preserve">The drafting of this objective has </w:t>
            </w:r>
            <w:r w:rsidR="002B493A">
              <w:t xml:space="preserve">reflected the views of Kāi </w:t>
            </w:r>
            <w:proofErr w:type="spellStart"/>
            <w:r w:rsidR="002B493A">
              <w:t>Tahu</w:t>
            </w:r>
            <w:proofErr w:type="spellEnd"/>
            <w:r w:rsidR="002B493A">
              <w:t xml:space="preserve"> and the community in a way that gives effect to Te Mana o te Wai and the NPSFM. </w:t>
            </w:r>
          </w:p>
        </w:tc>
      </w:tr>
      <w:tr w:rsidR="00166F6D" w:rsidRPr="00462638" w14:paraId="7A03B35A" w14:textId="77777777" w:rsidTr="00875820">
        <w:tc>
          <w:tcPr>
            <w:tcW w:w="3489" w:type="dxa"/>
            <w:shd w:val="clear" w:color="auto" w:fill="DEEAF6" w:themeFill="accent5" w:themeFillTint="33"/>
          </w:tcPr>
          <w:p w14:paraId="145EA1BF" w14:textId="77777777" w:rsidR="00166F6D" w:rsidRPr="00930CFC" w:rsidRDefault="00166F6D" w:rsidP="00875820">
            <w:pPr>
              <w:pStyle w:val="Table1"/>
              <w:rPr>
                <w:b/>
                <w:bCs/>
              </w:rPr>
            </w:pPr>
            <w:r w:rsidRPr="00930CFC">
              <w:rPr>
                <w:b/>
                <w:bCs/>
              </w:rPr>
              <w:lastRenderedPageBreak/>
              <w:t>LF–VM–O4 – Taieri FMU vision</w:t>
            </w:r>
          </w:p>
          <w:p w14:paraId="2C87B649" w14:textId="77777777" w:rsidR="00347784" w:rsidRDefault="00347784" w:rsidP="00875820">
            <w:pPr>
              <w:pStyle w:val="Table1"/>
            </w:pPr>
            <w:r>
              <w:t xml:space="preserve">By 2050 in the Taieri </w:t>
            </w:r>
            <w:r w:rsidRPr="00347784">
              <w:t>FMU</w:t>
            </w:r>
            <w:r>
              <w:t>:</w:t>
            </w:r>
          </w:p>
          <w:p w14:paraId="6D68D33A" w14:textId="77777777" w:rsidR="00347784" w:rsidRDefault="00347784" w:rsidP="00875820">
            <w:pPr>
              <w:pStyle w:val="Table1"/>
              <w:ind w:left="456" w:hanging="425"/>
            </w:pPr>
            <w:r>
              <w:t>(1)</w:t>
            </w:r>
            <w:r>
              <w:tab/>
            </w:r>
            <w:r w:rsidRPr="00347784">
              <w:t>freshwater</w:t>
            </w:r>
            <w:r>
              <w:t xml:space="preserve"> is managed in accordance with the LF–WAI objectives and policies, </w:t>
            </w:r>
          </w:p>
          <w:p w14:paraId="697C4790" w14:textId="77777777" w:rsidR="00347784" w:rsidRDefault="00347784" w:rsidP="00875820">
            <w:pPr>
              <w:pStyle w:val="Table1"/>
              <w:ind w:left="456" w:hanging="425"/>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 </w:t>
            </w:r>
          </w:p>
          <w:p w14:paraId="5FD243F1" w14:textId="77777777" w:rsidR="00347784" w:rsidRDefault="00347784" w:rsidP="00875820">
            <w:pPr>
              <w:pStyle w:val="Table1"/>
              <w:ind w:left="456" w:hanging="425"/>
            </w:pPr>
            <w:r>
              <w:t>(3)</w:t>
            </w:r>
            <w:r>
              <w:tab/>
              <w:t xml:space="preserve">healthy </w:t>
            </w:r>
            <w:r w:rsidRPr="00347784">
              <w:t>wetlands</w:t>
            </w:r>
            <w:r>
              <w:t xml:space="preserve"> are restored in the upper and lower catchment </w:t>
            </w:r>
            <w:r w:rsidRPr="00347784">
              <w:t>wetland</w:t>
            </w:r>
            <w:r>
              <w:t xml:space="preserve"> complexes, including the </w:t>
            </w:r>
            <w:proofErr w:type="spellStart"/>
            <w:r>
              <w:t>Waipori</w:t>
            </w:r>
            <w:proofErr w:type="spellEnd"/>
            <w:r>
              <w:t>/</w:t>
            </w:r>
            <w:proofErr w:type="spellStart"/>
            <w:r>
              <w:t>Waihola</w:t>
            </w:r>
            <w:proofErr w:type="spellEnd"/>
            <w:r>
              <w:t xml:space="preserve"> wetlands, </w:t>
            </w:r>
            <w:proofErr w:type="spellStart"/>
            <w:r>
              <w:t>Tunaheketaka</w:t>
            </w:r>
            <w:proofErr w:type="spellEnd"/>
            <w:r>
              <w:t xml:space="preserve"> / Lake Taieri, scroll plain, and tussock areas,</w:t>
            </w:r>
          </w:p>
          <w:p w14:paraId="20854C38" w14:textId="77777777" w:rsidR="00347784" w:rsidRDefault="00347784" w:rsidP="00875820">
            <w:pPr>
              <w:pStyle w:val="Table1"/>
              <w:ind w:left="456" w:hanging="425"/>
            </w:pPr>
            <w:r>
              <w:t>(4)</w:t>
            </w:r>
            <w:r>
              <w:tab/>
              <w:t xml:space="preserve">the gravel </w:t>
            </w:r>
            <w:r w:rsidRPr="00347784">
              <w:t>bed</w:t>
            </w:r>
            <w:r>
              <w:t xml:space="preserve"> of the lower Taieri is restored and sedimentation of the </w:t>
            </w:r>
            <w:proofErr w:type="spellStart"/>
            <w:r>
              <w:t>Waipori</w:t>
            </w:r>
            <w:proofErr w:type="spellEnd"/>
            <w:r>
              <w:t>/</w:t>
            </w:r>
            <w:proofErr w:type="spellStart"/>
            <w:r>
              <w:t>Waihola</w:t>
            </w:r>
            <w:proofErr w:type="spellEnd"/>
            <w:r>
              <w:t xml:space="preserve"> complex is reduced,</w:t>
            </w:r>
          </w:p>
          <w:p w14:paraId="34C9C7C0" w14:textId="77777777" w:rsidR="00347784" w:rsidRDefault="00347784" w:rsidP="00875820">
            <w:pPr>
              <w:pStyle w:val="Table1"/>
              <w:ind w:left="456" w:hanging="425"/>
            </w:pPr>
            <w:r>
              <w:t>(5)</w:t>
            </w:r>
            <w:r>
              <w:tab/>
              <w:t>creative ecological approaches contribute to reduced occurrence of didymo,</w:t>
            </w:r>
          </w:p>
          <w:p w14:paraId="3C00EE90" w14:textId="77777777" w:rsidR="00347784" w:rsidRDefault="00347784" w:rsidP="00875820">
            <w:pPr>
              <w:pStyle w:val="Table1"/>
              <w:ind w:left="456" w:hanging="425"/>
            </w:pPr>
            <w:r>
              <w:t>(6)</w:t>
            </w:r>
            <w:r>
              <w:tab/>
              <w:t xml:space="preserve">the </w:t>
            </w:r>
            <w:r w:rsidRPr="00347784">
              <w:t>water bodies</w:t>
            </w:r>
            <w:r>
              <w:t xml:space="preserve"> </w:t>
            </w:r>
            <w:r w:rsidRPr="00D804CC">
              <w:t>support</w:t>
            </w:r>
            <w:r>
              <w:t xml:space="preserve"> healthy populations of </w:t>
            </w:r>
            <w:r w:rsidRPr="00347784">
              <w:t>galaxiid</w:t>
            </w:r>
            <w:r>
              <w:t xml:space="preserve"> species, </w:t>
            </w:r>
          </w:p>
          <w:p w14:paraId="0ACCCDAD" w14:textId="77777777" w:rsidR="00347784" w:rsidRPr="000C67BB" w:rsidRDefault="00347784" w:rsidP="00875820">
            <w:pPr>
              <w:pStyle w:val="Table1"/>
              <w:ind w:left="456" w:hanging="425"/>
            </w:pPr>
            <w:r>
              <w:t>(7)</w:t>
            </w:r>
            <w:r>
              <w:tab/>
              <w:t xml:space="preserve">there are no direct </w:t>
            </w:r>
            <w:r w:rsidRPr="00347784">
              <w:t>discharges</w:t>
            </w:r>
            <w:r>
              <w:t xml:space="preserve"> of </w:t>
            </w:r>
            <w:r w:rsidRPr="00347784">
              <w:t>wastewater</w:t>
            </w:r>
            <w:r>
              <w:t xml:space="preserve"> to </w:t>
            </w:r>
            <w:r w:rsidRPr="00347784">
              <w:t>water bodies</w:t>
            </w:r>
            <w:r>
              <w:t>, and</w:t>
            </w:r>
          </w:p>
          <w:p w14:paraId="5FC4AA9A" w14:textId="515617E6" w:rsidR="00347784" w:rsidRPr="00462638" w:rsidRDefault="00347784" w:rsidP="00875820">
            <w:pPr>
              <w:pStyle w:val="Table1"/>
              <w:ind w:left="456" w:hanging="425"/>
            </w:pPr>
            <w:r>
              <w:t>(8)</w:t>
            </w:r>
            <w:r>
              <w:tab/>
              <w:t xml:space="preserve">innovative and sustainable </w:t>
            </w:r>
            <w:r w:rsidRPr="00347784">
              <w:t>land</w:t>
            </w:r>
            <w:r>
              <w:t xml:space="preserve"> and </w:t>
            </w:r>
            <w:r w:rsidRPr="00347784">
              <w:t>water</w:t>
            </w:r>
            <w:r>
              <w:t xml:space="preserve"> management practices support food production in the area and improve resilience to the </w:t>
            </w:r>
            <w:r w:rsidRPr="00347784">
              <w:t>effects</w:t>
            </w:r>
            <w:r>
              <w:t xml:space="preserve"> of </w:t>
            </w:r>
            <w:r w:rsidRPr="00347784">
              <w:t>climate change</w:t>
            </w:r>
            <w:r>
              <w:t>.</w:t>
            </w:r>
          </w:p>
        </w:tc>
        <w:tc>
          <w:tcPr>
            <w:tcW w:w="5527" w:type="dxa"/>
            <w:shd w:val="clear" w:color="auto" w:fill="DEEAF6" w:themeFill="accent5" w:themeFillTint="33"/>
          </w:tcPr>
          <w:p w14:paraId="4C86548E" w14:textId="77777777" w:rsidR="008F4E61" w:rsidRDefault="008F4E61" w:rsidP="00875820">
            <w:pPr>
              <w:pStyle w:val="Table1"/>
            </w:pPr>
            <w:r>
              <w:t xml:space="preserve">Clause 3.3 of the NPSFM requires regional councils to develop long-term visions for freshwater in their regions and include them as objectives in their RPS. Freshwater visions may be set at FMU, part of an FMU or catchment level. This vision is set at the FMU level, incorporating the whole of the Taieri FMU which has not been divided further into sub-units or </w:t>
            </w:r>
            <w:proofErr w:type="spellStart"/>
            <w:r>
              <w:t>rohe</w:t>
            </w:r>
            <w:proofErr w:type="spellEnd"/>
            <w:r>
              <w:t xml:space="preserve">. Specific consultation with Kāi </w:t>
            </w:r>
            <w:proofErr w:type="spellStart"/>
            <w:r>
              <w:t>Tahu</w:t>
            </w:r>
            <w:proofErr w:type="spellEnd"/>
            <w:r>
              <w:t xml:space="preserve"> and the public was undertaken in late 2020. Kāi </w:t>
            </w:r>
            <w:proofErr w:type="spellStart"/>
            <w:r>
              <w:t>Tahu</w:t>
            </w:r>
            <w:proofErr w:type="spellEnd"/>
            <w:r>
              <w:t xml:space="preserve"> ki Otago outlined their expectations for all water bodies in Otago (discussed in the assessment of LF-VM-O2 above).</w:t>
            </w:r>
          </w:p>
          <w:p w14:paraId="666C305C" w14:textId="6C662F9D" w:rsidR="008F4E61" w:rsidRDefault="008F4E61" w:rsidP="00875820">
            <w:pPr>
              <w:pStyle w:val="Table1"/>
            </w:pPr>
            <w:r>
              <w:t xml:space="preserve">Kāi </w:t>
            </w:r>
            <w:proofErr w:type="spellStart"/>
            <w:r>
              <w:t>Tahu</w:t>
            </w:r>
            <w:proofErr w:type="spellEnd"/>
            <w:r>
              <w:t xml:space="preserve"> ki Otago also highlighted three </w:t>
            </w:r>
            <w:proofErr w:type="gramStart"/>
            <w:r>
              <w:t>particular priorities</w:t>
            </w:r>
            <w:proofErr w:type="gramEnd"/>
            <w:r>
              <w:t xml:space="preserve"> for the Taieri FMU:</w:t>
            </w:r>
          </w:p>
          <w:p w14:paraId="06CFCF8B" w14:textId="645E179E" w:rsidR="008F4E61" w:rsidRDefault="008F4E61" w:rsidP="00875820">
            <w:pPr>
              <w:pStyle w:val="Table1"/>
              <w:numPr>
                <w:ilvl w:val="0"/>
                <w:numId w:val="73"/>
              </w:numPr>
            </w:pPr>
            <w:r>
              <w:t>Healthy wetlands are restored in the upper catchment wetland complex and tussock areas.</w:t>
            </w:r>
          </w:p>
          <w:p w14:paraId="08BCF2E0" w14:textId="0B05FE26" w:rsidR="008F4E61" w:rsidRDefault="008F4E61" w:rsidP="00875820">
            <w:pPr>
              <w:pStyle w:val="Table1"/>
              <w:numPr>
                <w:ilvl w:val="0"/>
                <w:numId w:val="73"/>
              </w:numPr>
            </w:pPr>
            <w:proofErr w:type="spellStart"/>
            <w:r>
              <w:t>Waipori</w:t>
            </w:r>
            <w:proofErr w:type="spellEnd"/>
            <w:r>
              <w:t>/</w:t>
            </w:r>
            <w:proofErr w:type="spellStart"/>
            <w:r>
              <w:t>Waihola</w:t>
            </w:r>
            <w:proofErr w:type="spellEnd"/>
            <w:r>
              <w:t xml:space="preserve"> wetlands are restored.</w:t>
            </w:r>
          </w:p>
          <w:p w14:paraId="7FF3B83D" w14:textId="0A825634" w:rsidR="008F4E61" w:rsidRDefault="008F4E61" w:rsidP="00875820">
            <w:pPr>
              <w:pStyle w:val="Table1"/>
              <w:numPr>
                <w:ilvl w:val="0"/>
                <w:numId w:val="73"/>
              </w:numPr>
            </w:pPr>
            <w:r>
              <w:t xml:space="preserve">There is no sewage discharge to Lake </w:t>
            </w:r>
            <w:proofErr w:type="spellStart"/>
            <w:r>
              <w:t>Waihola</w:t>
            </w:r>
            <w:proofErr w:type="spellEnd"/>
            <w:r>
              <w:t>.</w:t>
            </w:r>
          </w:p>
          <w:p w14:paraId="4531C2F6" w14:textId="33C63F20" w:rsidR="008F4E61" w:rsidRDefault="008F4E61" w:rsidP="00875820">
            <w:pPr>
              <w:pStyle w:val="Table1"/>
              <w:numPr>
                <w:ilvl w:val="0"/>
                <w:numId w:val="73"/>
              </w:numPr>
            </w:pPr>
            <w:r>
              <w:t xml:space="preserve">In the long term, the gravel bed of the </w:t>
            </w:r>
            <w:r w:rsidR="00D80C57">
              <w:t>L</w:t>
            </w:r>
            <w:r>
              <w:t xml:space="preserve">ower Taieri is restored and sedimentation of the </w:t>
            </w:r>
            <w:proofErr w:type="spellStart"/>
            <w:r>
              <w:t>Waipori</w:t>
            </w:r>
            <w:proofErr w:type="spellEnd"/>
            <w:r>
              <w:t>/</w:t>
            </w:r>
            <w:proofErr w:type="spellStart"/>
            <w:r>
              <w:t>Waihola</w:t>
            </w:r>
            <w:proofErr w:type="spellEnd"/>
            <w:r>
              <w:t xml:space="preserve"> complex is reversed.</w:t>
            </w:r>
          </w:p>
          <w:p w14:paraId="3F9EB164" w14:textId="34C77CBD" w:rsidR="008F4E61" w:rsidRDefault="008F4E61" w:rsidP="00875820">
            <w:pPr>
              <w:pStyle w:val="Table1"/>
            </w:pPr>
            <w:r>
              <w:t>Key themes from consultation with the public were:</w:t>
            </w:r>
          </w:p>
          <w:p w14:paraId="3E0F309E" w14:textId="7C027794" w:rsidR="008F4E61" w:rsidRDefault="00854DEE" w:rsidP="00875820">
            <w:pPr>
              <w:pStyle w:val="Table1"/>
              <w:numPr>
                <w:ilvl w:val="0"/>
                <w:numId w:val="73"/>
              </w:numPr>
            </w:pPr>
            <w:r>
              <w:t>Protecting highly valued and distinctive features such as the scroll plain and wetlands.</w:t>
            </w:r>
          </w:p>
          <w:p w14:paraId="40CA7A6C" w14:textId="5ABE18F3" w:rsidR="00854DEE" w:rsidRDefault="00854DEE" w:rsidP="00875820">
            <w:pPr>
              <w:pStyle w:val="Table1"/>
              <w:numPr>
                <w:ilvl w:val="0"/>
                <w:numId w:val="73"/>
              </w:numPr>
            </w:pPr>
            <w:r>
              <w:t>Retaining threatened species of galaxiid that reside in the FMU.</w:t>
            </w:r>
          </w:p>
          <w:p w14:paraId="49CFF78C" w14:textId="148491D4" w:rsidR="00854DEE" w:rsidRDefault="00854DEE" w:rsidP="00875820">
            <w:pPr>
              <w:pStyle w:val="Table1"/>
              <w:numPr>
                <w:ilvl w:val="0"/>
                <w:numId w:val="73"/>
              </w:numPr>
            </w:pPr>
            <w:r>
              <w:t>The threat posed by didymo to the health of the Taieri’s water resources.</w:t>
            </w:r>
          </w:p>
          <w:p w14:paraId="5647B63E" w14:textId="0BA4D999" w:rsidR="00854DEE" w:rsidRDefault="00854DEE" w:rsidP="00875820">
            <w:pPr>
              <w:pStyle w:val="Table1"/>
              <w:numPr>
                <w:ilvl w:val="0"/>
                <w:numId w:val="73"/>
              </w:numPr>
            </w:pPr>
            <w:r>
              <w:t>The importance of agriculture to the economy of the area and the need to adopt sustainable and innovative land and water management practices to support ongoing agricultural activity.</w:t>
            </w:r>
          </w:p>
          <w:p w14:paraId="748A02BA" w14:textId="6FD6B975" w:rsidR="008F4E61" w:rsidRDefault="00854DEE" w:rsidP="00875820">
            <w:pPr>
              <w:pStyle w:val="Table1"/>
            </w:pPr>
            <w:proofErr w:type="gramStart"/>
            <w:r>
              <w:t>Similarly</w:t>
            </w:r>
            <w:proofErr w:type="gramEnd"/>
            <w:r>
              <w:t xml:space="preserve"> to the North Otago FMU, communities spent time discussing potential management options for the future to support ongoing use of water. These are not reflected in the vision as the pathways to achieving the visions will be developed through the LWRP. </w:t>
            </w:r>
          </w:p>
          <w:p w14:paraId="3440F3B1" w14:textId="2C203E75" w:rsidR="00854DEE" w:rsidRDefault="00E16BA6" w:rsidP="00875820">
            <w:pPr>
              <w:pStyle w:val="Table1"/>
              <w:ind w:left="10"/>
            </w:pPr>
            <w:r>
              <w:t xml:space="preserve">As explained in the evaluation of Objective LF-VM-O2, the timeframe adopted reflects the categorisation of FMUs and </w:t>
            </w:r>
            <w:proofErr w:type="spellStart"/>
            <w:r>
              <w:t>rohe</w:t>
            </w:r>
            <w:proofErr w:type="spellEnd"/>
            <w:r>
              <w:t xml:space="preserve"> adopted in the prioritisation of ORC’s science work programme. </w:t>
            </w:r>
            <w:r w:rsidR="00854DEE">
              <w:t xml:space="preserve">It is acknowledged that the timeframe for achieving these goals does not align with Kāi </w:t>
            </w:r>
            <w:proofErr w:type="spellStart"/>
            <w:r w:rsidR="00854DEE">
              <w:t>Tahu</w:t>
            </w:r>
            <w:proofErr w:type="spellEnd"/>
            <w:r w:rsidR="00854DEE">
              <w:t xml:space="preserve"> ki Otago aspirations which are for no further loss from now, practice change within 10 years, and outcomes fully achieved within 20 years. As discussed in relation to the evaluation of LF-VM-O2, there are likely to be significant changes required to achieve this vision and a longer timeframe </w:t>
            </w:r>
            <w:proofErr w:type="gramStart"/>
            <w:r w:rsidR="00854DEE">
              <w:t>is considered to be</w:t>
            </w:r>
            <w:proofErr w:type="gramEnd"/>
            <w:r w:rsidR="00854DEE">
              <w:t xml:space="preserve"> most appropriate. This is particularly the case for restoring wetlands, which is acknowledged to be an ambition goal. However, as discussed previously, there will be opportunities through the LWRP to consider setting interim or target timeframes.</w:t>
            </w:r>
          </w:p>
          <w:p w14:paraId="640A4B9D" w14:textId="67711B67" w:rsidR="00166F6D" w:rsidRPr="00462638" w:rsidRDefault="00854DEE" w:rsidP="00875820">
            <w:pPr>
              <w:pStyle w:val="Table1"/>
            </w:pPr>
            <w:r>
              <w:t xml:space="preserve">LF-VM-O4 was co-drafted by </w:t>
            </w:r>
            <w:proofErr w:type="spellStart"/>
            <w:r>
              <w:t>Aukaha</w:t>
            </w:r>
            <w:proofErr w:type="spellEnd"/>
            <w:r>
              <w:t xml:space="preserve"> and ORC staff as part of feedback from Kāi </w:t>
            </w:r>
            <w:proofErr w:type="spellStart"/>
            <w:r>
              <w:t>Tahu</w:t>
            </w:r>
            <w:proofErr w:type="spellEnd"/>
            <w:r>
              <w:t xml:space="preserve"> ki Otago through clause 4A consultation. </w:t>
            </w:r>
            <w:r>
              <w:lastRenderedPageBreak/>
              <w:t xml:space="preserve">The drafting of this objective has reflected the views of Kāi </w:t>
            </w:r>
            <w:proofErr w:type="spellStart"/>
            <w:r>
              <w:t>Tahu</w:t>
            </w:r>
            <w:proofErr w:type="spellEnd"/>
            <w:r>
              <w:t xml:space="preserve"> and the community in a way that gives effect to Te Mana o te Wai and the NPSFM.</w:t>
            </w:r>
          </w:p>
        </w:tc>
      </w:tr>
      <w:tr w:rsidR="00854DEE" w:rsidRPr="00462638" w14:paraId="031D553A" w14:textId="77777777" w:rsidTr="00875820">
        <w:tc>
          <w:tcPr>
            <w:tcW w:w="3489" w:type="dxa"/>
            <w:shd w:val="clear" w:color="auto" w:fill="DEEAF6" w:themeFill="accent5" w:themeFillTint="33"/>
          </w:tcPr>
          <w:p w14:paraId="15FC6F55" w14:textId="77777777" w:rsidR="00854DEE" w:rsidRPr="00930CFC" w:rsidRDefault="00854DEE" w:rsidP="00875820">
            <w:pPr>
              <w:pStyle w:val="Table1"/>
              <w:ind w:left="22"/>
              <w:rPr>
                <w:b/>
                <w:bCs/>
              </w:rPr>
            </w:pPr>
            <w:r w:rsidRPr="00930CFC">
              <w:rPr>
                <w:b/>
                <w:bCs/>
              </w:rPr>
              <w:lastRenderedPageBreak/>
              <w:t>LF–VM–O5 – Dunedin &amp; Coast FMU vision</w:t>
            </w:r>
          </w:p>
          <w:p w14:paraId="1D2D7095" w14:textId="77777777" w:rsidR="00854DEE" w:rsidRDefault="00854DEE" w:rsidP="00875820">
            <w:pPr>
              <w:pStyle w:val="Table1"/>
              <w:ind w:left="22"/>
            </w:pPr>
            <w:r>
              <w:t xml:space="preserve">By 2040 in the Dunedin &amp; Coast </w:t>
            </w:r>
            <w:r w:rsidRPr="00347784">
              <w:t>FMU</w:t>
            </w:r>
            <w:r>
              <w:t>:</w:t>
            </w:r>
          </w:p>
          <w:p w14:paraId="7344BA26" w14:textId="77777777" w:rsidR="00854DEE" w:rsidRDefault="00854DEE" w:rsidP="00875820">
            <w:pPr>
              <w:pStyle w:val="Table1"/>
              <w:ind w:left="456" w:hanging="425"/>
            </w:pPr>
            <w:r>
              <w:t>(1)</w:t>
            </w:r>
            <w:r>
              <w:tab/>
            </w:r>
            <w:r w:rsidRPr="00347784">
              <w:t>freshwater</w:t>
            </w:r>
            <w:r>
              <w:t xml:space="preserve"> is managed in accordance with the LF-WAI objectives and policies, </w:t>
            </w:r>
          </w:p>
          <w:p w14:paraId="2EA64296" w14:textId="77777777" w:rsidR="00854DEE" w:rsidRDefault="00854DEE" w:rsidP="00875820">
            <w:pPr>
              <w:pStyle w:val="Table1"/>
              <w:ind w:left="456" w:hanging="425"/>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w:t>
            </w:r>
          </w:p>
          <w:p w14:paraId="3B5534DB" w14:textId="77777777" w:rsidR="00854DEE" w:rsidRDefault="00854DEE" w:rsidP="00875820">
            <w:pPr>
              <w:pStyle w:val="Table1"/>
              <w:ind w:left="456" w:hanging="425"/>
            </w:pPr>
            <w:r>
              <w:t>(3)</w:t>
            </w:r>
            <w:r>
              <w:tab/>
              <w:t xml:space="preserve">healthy estuaries, lagoons and </w:t>
            </w:r>
            <w:r w:rsidRPr="00347784">
              <w:t>coastal waters</w:t>
            </w:r>
            <w:r>
              <w:t xml:space="preserve"> support thriving </w:t>
            </w:r>
            <w:proofErr w:type="spellStart"/>
            <w:r>
              <w:t>mahika</w:t>
            </w:r>
            <w:proofErr w:type="spellEnd"/>
            <w:r>
              <w:t xml:space="preserve"> kai and downstream coastal ecosystems, and indigenous species can migrate easily and as naturally as possible to and from these areas,</w:t>
            </w:r>
          </w:p>
          <w:p w14:paraId="4ED99085" w14:textId="77777777" w:rsidR="00854DEE" w:rsidRDefault="00854DEE" w:rsidP="00875820">
            <w:pPr>
              <w:pStyle w:val="Table1"/>
              <w:ind w:left="456" w:hanging="425"/>
            </w:pPr>
            <w:r>
              <w:t>(4)</w:t>
            </w:r>
            <w:r>
              <w:tab/>
              <w:t xml:space="preserve">there is no further modification of the shape and behaviour of the </w:t>
            </w:r>
            <w:r w:rsidRPr="00347784">
              <w:t>water bodies</w:t>
            </w:r>
            <w:r>
              <w:t xml:space="preserve"> and opportunities to restore the natural form and function of </w:t>
            </w:r>
            <w:r w:rsidRPr="00347784">
              <w:t>water bodies</w:t>
            </w:r>
            <w:r>
              <w:t xml:space="preserve"> are promoted wherever possible, and</w:t>
            </w:r>
          </w:p>
          <w:p w14:paraId="7758FF78" w14:textId="0B8A2BCA" w:rsidR="00854DEE" w:rsidRPr="00462638" w:rsidRDefault="00854DEE" w:rsidP="00875820">
            <w:pPr>
              <w:pStyle w:val="Table1"/>
              <w:ind w:left="456" w:hanging="425"/>
            </w:pPr>
            <w:r>
              <w:t>(5)</w:t>
            </w:r>
            <w:r>
              <w:tab/>
            </w:r>
            <w:r w:rsidRPr="00347784">
              <w:t>discharges</w:t>
            </w:r>
            <w:r>
              <w:t xml:space="preserve"> of </w:t>
            </w:r>
            <w:r w:rsidRPr="00347784">
              <w:t>contaminants</w:t>
            </w:r>
            <w:r>
              <w:t xml:space="preserve"> from urban environments are reduced so that </w:t>
            </w:r>
            <w:r w:rsidRPr="00347784">
              <w:t>water bodies</w:t>
            </w:r>
            <w:r>
              <w:t xml:space="preserve"> are safe for human contact.</w:t>
            </w:r>
          </w:p>
        </w:tc>
        <w:tc>
          <w:tcPr>
            <w:tcW w:w="5527" w:type="dxa"/>
            <w:shd w:val="clear" w:color="auto" w:fill="DEEAF6" w:themeFill="accent5" w:themeFillTint="33"/>
          </w:tcPr>
          <w:p w14:paraId="0E95F8EB" w14:textId="1B46489D" w:rsidR="00854DEE" w:rsidRDefault="00854DEE" w:rsidP="00875820">
            <w:pPr>
              <w:pStyle w:val="Table1"/>
            </w:pPr>
            <w:r>
              <w:t xml:space="preserve">Clause 3.3 of the NPSFM requires regional councils to develop long-term visions for freshwater in their regions and include them as objectives in their RPS. Freshwater visions may be set at FMU, part of an FMU or catchment level. This vision is set at the FMU level, incorporating the whole of the </w:t>
            </w:r>
            <w:r w:rsidR="00C63C18">
              <w:t>Dunedin &amp; Coast</w:t>
            </w:r>
            <w:r>
              <w:t xml:space="preserve"> FMU which has not been divided further into sub-units or </w:t>
            </w:r>
            <w:proofErr w:type="spellStart"/>
            <w:r>
              <w:t>rohe</w:t>
            </w:r>
            <w:proofErr w:type="spellEnd"/>
            <w:r>
              <w:t xml:space="preserve">. Specific consultation with Kāi </w:t>
            </w:r>
            <w:proofErr w:type="spellStart"/>
            <w:r>
              <w:t>Tahu</w:t>
            </w:r>
            <w:proofErr w:type="spellEnd"/>
            <w:r>
              <w:t xml:space="preserve"> and the public was undertaken in late 2020. Kāi </w:t>
            </w:r>
            <w:proofErr w:type="spellStart"/>
            <w:r>
              <w:t>Tahu</w:t>
            </w:r>
            <w:proofErr w:type="spellEnd"/>
            <w:r>
              <w:t xml:space="preserve"> ki Otago outlined their expectations for all water bodies in Otago (discussed in the assessment of LF-VM-O2 above).</w:t>
            </w:r>
          </w:p>
          <w:p w14:paraId="2A7B01F3" w14:textId="55B53C7A" w:rsidR="00854DEE" w:rsidRDefault="00854DEE" w:rsidP="00875820">
            <w:pPr>
              <w:pStyle w:val="Table1"/>
            </w:pPr>
            <w:r>
              <w:t xml:space="preserve">Kāi </w:t>
            </w:r>
            <w:proofErr w:type="spellStart"/>
            <w:r>
              <w:t>Tahu</w:t>
            </w:r>
            <w:proofErr w:type="spellEnd"/>
            <w:r>
              <w:t xml:space="preserve"> ki Otago also highlighted three </w:t>
            </w:r>
            <w:proofErr w:type="gramStart"/>
            <w:r>
              <w:t>particular priorities</w:t>
            </w:r>
            <w:proofErr w:type="gramEnd"/>
            <w:r>
              <w:t xml:space="preserve"> for the </w:t>
            </w:r>
            <w:r w:rsidR="00C63C18">
              <w:t>Dunedin &amp; Coast</w:t>
            </w:r>
            <w:r>
              <w:t xml:space="preserve"> FMU:</w:t>
            </w:r>
          </w:p>
          <w:p w14:paraId="1CFCD86F" w14:textId="01FF0487" w:rsidR="00854DEE" w:rsidRDefault="00C63C18" w:rsidP="00875820">
            <w:pPr>
              <w:pStyle w:val="Table1"/>
              <w:numPr>
                <w:ilvl w:val="0"/>
                <w:numId w:val="73"/>
              </w:numPr>
            </w:pPr>
            <w:r>
              <w:t xml:space="preserve">The FMU boundaries should include the </w:t>
            </w:r>
            <w:proofErr w:type="spellStart"/>
            <w:r>
              <w:t>Waikouaiti</w:t>
            </w:r>
            <w:proofErr w:type="spellEnd"/>
            <w:r>
              <w:t xml:space="preserve"> River (which currently falls within the North Otago FMU).</w:t>
            </w:r>
          </w:p>
          <w:p w14:paraId="2F5D6046" w14:textId="671EC36A" w:rsidR="00C63C18" w:rsidRDefault="00C63C18" w:rsidP="00875820">
            <w:pPr>
              <w:pStyle w:val="Table1"/>
              <w:numPr>
                <w:ilvl w:val="0"/>
                <w:numId w:val="73"/>
              </w:numPr>
            </w:pPr>
            <w:r>
              <w:t>Pollution of the harbour is reduced.</w:t>
            </w:r>
          </w:p>
          <w:p w14:paraId="223BB96A" w14:textId="729833AC" w:rsidR="00C63C18" w:rsidRDefault="00C63C18" w:rsidP="00875820">
            <w:pPr>
              <w:pStyle w:val="Table1"/>
              <w:numPr>
                <w:ilvl w:val="0"/>
                <w:numId w:val="73"/>
              </w:numPr>
            </w:pPr>
            <w:r>
              <w:t xml:space="preserve">Hidden waterways are recognised – in the long term, waterways are naturalised as much as possible, and potentially some piped areas are </w:t>
            </w:r>
            <w:proofErr w:type="gramStart"/>
            <w:r>
              <w:t>opened up</w:t>
            </w:r>
            <w:proofErr w:type="gramEnd"/>
            <w:r>
              <w:t>.</w:t>
            </w:r>
          </w:p>
          <w:p w14:paraId="540333C3" w14:textId="528D7FD9" w:rsidR="00710FCA" w:rsidRDefault="00710FCA" w:rsidP="00875820">
            <w:pPr>
              <w:pStyle w:val="Table1"/>
              <w:ind w:left="10"/>
            </w:pPr>
            <w:r>
              <w:t xml:space="preserve">The boundaries of the FMUs were developed in consultation with Kāi </w:t>
            </w:r>
            <w:proofErr w:type="spellStart"/>
            <w:r>
              <w:t>Tahu</w:t>
            </w:r>
            <w:proofErr w:type="spellEnd"/>
            <w:r>
              <w:t xml:space="preserve"> and have been decided by Council. While Kāi </w:t>
            </w:r>
            <w:proofErr w:type="spellStart"/>
            <w:r>
              <w:t>Tahu</w:t>
            </w:r>
            <w:proofErr w:type="spellEnd"/>
            <w:r>
              <w:t xml:space="preserve"> preference for the </w:t>
            </w:r>
            <w:proofErr w:type="spellStart"/>
            <w:r>
              <w:t>Waikouaiti</w:t>
            </w:r>
            <w:proofErr w:type="spellEnd"/>
            <w:r>
              <w:t xml:space="preserve"> River to be included within the Dunedin &amp; Coast FMU is understood, this change has not been made </w:t>
            </w:r>
            <w:proofErr w:type="gramStart"/>
            <w:r>
              <w:t>in order to</w:t>
            </w:r>
            <w:proofErr w:type="gramEnd"/>
            <w:r>
              <w:t xml:space="preserve"> recognise ORC’s decision on the boundaries. </w:t>
            </w:r>
          </w:p>
          <w:p w14:paraId="2B07D106" w14:textId="77777777" w:rsidR="00854DEE" w:rsidRDefault="00854DEE" w:rsidP="00875820">
            <w:pPr>
              <w:pStyle w:val="Table1"/>
            </w:pPr>
            <w:r>
              <w:t>Key themes from consultation with the public were:</w:t>
            </w:r>
          </w:p>
          <w:p w14:paraId="5AA4FB00" w14:textId="0CC98B4C" w:rsidR="00854DEE" w:rsidRDefault="00444580" w:rsidP="00875820">
            <w:pPr>
              <w:pStyle w:val="Table1"/>
              <w:numPr>
                <w:ilvl w:val="0"/>
                <w:numId w:val="73"/>
              </w:numPr>
            </w:pPr>
            <w:r>
              <w:t>A desire for healthy and functional ecosystems with good water quality, including in connected coastal areas.</w:t>
            </w:r>
          </w:p>
          <w:p w14:paraId="2AF1A932" w14:textId="64FC681B" w:rsidR="00444580" w:rsidRDefault="00444580" w:rsidP="00875820">
            <w:pPr>
              <w:pStyle w:val="Table1"/>
              <w:numPr>
                <w:ilvl w:val="0"/>
                <w:numId w:val="73"/>
              </w:numPr>
            </w:pPr>
            <w:r>
              <w:t>Recognition of the impact of urban discharges on the quality of water in the FMU and a need to improve those discharges, including by longer-term infrastructure planning.</w:t>
            </w:r>
          </w:p>
          <w:p w14:paraId="0C3C4000" w14:textId="3714AF04" w:rsidR="00444580" w:rsidRDefault="00444580" w:rsidP="00875820">
            <w:pPr>
              <w:pStyle w:val="Table1"/>
              <w:numPr>
                <w:ilvl w:val="0"/>
                <w:numId w:val="73"/>
              </w:numPr>
            </w:pPr>
            <w:r>
              <w:t>The protection of highly productive land so that opportunities for agriculture continue.</w:t>
            </w:r>
          </w:p>
          <w:p w14:paraId="063E24A4" w14:textId="747D6ABC" w:rsidR="00854DEE" w:rsidRDefault="00444580" w:rsidP="00875820">
            <w:pPr>
              <w:pStyle w:val="Table1"/>
            </w:pPr>
            <w:r>
              <w:t xml:space="preserve">There were a range of diverse views during consultation which are difficult to summarise and reconcile. For example, some participants felt that water bodies should be restored back to “the way they were”, whereas others believed that was impractical and that the goal should be for healthy water bodies and ecosystems, even if that is not a return to an earlier time. </w:t>
            </w:r>
          </w:p>
          <w:p w14:paraId="3687643D" w14:textId="06E2BDCA" w:rsidR="00854DEE" w:rsidRPr="00462638" w:rsidRDefault="00854DEE" w:rsidP="00875820">
            <w:pPr>
              <w:pStyle w:val="Table1"/>
            </w:pPr>
            <w:r>
              <w:t>LF-VM-O</w:t>
            </w:r>
            <w:r w:rsidR="00444580">
              <w:t>5</w:t>
            </w:r>
            <w:r>
              <w:t xml:space="preserve"> was co-drafted by </w:t>
            </w:r>
            <w:proofErr w:type="spellStart"/>
            <w:r>
              <w:t>Aukaha</w:t>
            </w:r>
            <w:proofErr w:type="spellEnd"/>
            <w:r>
              <w:t xml:space="preserve"> and ORC staff as part of feedback from Kāi </w:t>
            </w:r>
            <w:proofErr w:type="spellStart"/>
            <w:r>
              <w:t>Tahu</w:t>
            </w:r>
            <w:proofErr w:type="spellEnd"/>
            <w:r>
              <w:t xml:space="preserve"> ki Otago through clause 4A consultation. The drafting of this objective has reflected the views of Kāi </w:t>
            </w:r>
            <w:proofErr w:type="spellStart"/>
            <w:r>
              <w:t>Tahu</w:t>
            </w:r>
            <w:proofErr w:type="spellEnd"/>
            <w:r>
              <w:t xml:space="preserve"> and the community in a way that gives effect to Te Mana o te Wai and the NPSFM.</w:t>
            </w:r>
          </w:p>
        </w:tc>
      </w:tr>
      <w:tr w:rsidR="00444580" w:rsidRPr="00462638" w14:paraId="6B57187D" w14:textId="77777777" w:rsidTr="00875820">
        <w:tc>
          <w:tcPr>
            <w:tcW w:w="3489" w:type="dxa"/>
            <w:shd w:val="clear" w:color="auto" w:fill="DEEAF6" w:themeFill="accent5" w:themeFillTint="33"/>
          </w:tcPr>
          <w:p w14:paraId="207128D3" w14:textId="77777777" w:rsidR="00444580" w:rsidRPr="00930CFC" w:rsidRDefault="00444580" w:rsidP="00875820">
            <w:pPr>
              <w:pStyle w:val="Table1"/>
              <w:rPr>
                <w:b/>
                <w:bCs/>
              </w:rPr>
            </w:pPr>
            <w:r w:rsidRPr="00930CFC">
              <w:rPr>
                <w:b/>
                <w:bCs/>
              </w:rPr>
              <w:t>LF–VM–O6 – Catlins FMU vision</w:t>
            </w:r>
          </w:p>
          <w:p w14:paraId="29FFB429" w14:textId="77777777" w:rsidR="00444580" w:rsidRPr="00347784" w:rsidRDefault="00444580" w:rsidP="00875820">
            <w:pPr>
              <w:pStyle w:val="JustifiedSpacing"/>
              <w:ind w:left="306" w:hanging="306"/>
              <w:rPr>
                <w:rFonts w:asciiTheme="minorHAnsi" w:hAnsiTheme="minorHAnsi" w:cstheme="minorHAnsi"/>
                <w:sz w:val="20"/>
                <w:szCs w:val="20"/>
              </w:rPr>
            </w:pPr>
            <w:r w:rsidRPr="00347784">
              <w:rPr>
                <w:rFonts w:asciiTheme="minorHAnsi" w:hAnsiTheme="minorHAnsi" w:cstheme="minorHAnsi"/>
                <w:sz w:val="20"/>
                <w:szCs w:val="20"/>
              </w:rPr>
              <w:t>By 2030 in the Catlins FMU:</w:t>
            </w:r>
          </w:p>
          <w:p w14:paraId="51AF5DB6" w14:textId="77777777" w:rsidR="00444580" w:rsidRPr="00347784" w:rsidRDefault="00444580" w:rsidP="00875820">
            <w:pPr>
              <w:pStyle w:val="Table1"/>
              <w:ind w:left="456" w:hanging="425"/>
            </w:pPr>
            <w:r w:rsidRPr="00347784">
              <w:t>(1)</w:t>
            </w:r>
            <w:r w:rsidRPr="00347784">
              <w:tab/>
              <w:t>freshwater is managed in accordance with the LF-WAI objectives and policies,</w:t>
            </w:r>
          </w:p>
          <w:p w14:paraId="4FAB00A2" w14:textId="77777777" w:rsidR="00444580" w:rsidRPr="00347784" w:rsidRDefault="00444580" w:rsidP="00875820">
            <w:pPr>
              <w:pStyle w:val="Table1"/>
              <w:ind w:left="456" w:hanging="425"/>
            </w:pPr>
            <w:r w:rsidRPr="00347784">
              <w:t>(2)</w:t>
            </w:r>
            <w:r w:rsidRPr="00347784">
              <w:tab/>
              <w:t xml:space="preserve">supports the ongoing relationship of Kāi </w:t>
            </w:r>
            <w:proofErr w:type="spellStart"/>
            <w:r w:rsidRPr="00347784">
              <w:t>Tahu</w:t>
            </w:r>
            <w:proofErr w:type="spellEnd"/>
            <w:r w:rsidRPr="00347784">
              <w:t xml:space="preserve"> with </w:t>
            </w:r>
            <w:proofErr w:type="spellStart"/>
            <w:r w:rsidRPr="00347784">
              <w:t>wāhi</w:t>
            </w:r>
            <w:proofErr w:type="spellEnd"/>
            <w:r w:rsidRPr="00347784">
              <w:t xml:space="preserve"> tūpuna,</w:t>
            </w:r>
          </w:p>
          <w:p w14:paraId="6E4427CE" w14:textId="77777777" w:rsidR="00444580" w:rsidRPr="00347784" w:rsidRDefault="00444580" w:rsidP="00875820">
            <w:pPr>
              <w:pStyle w:val="Table1"/>
              <w:ind w:left="456" w:hanging="425"/>
            </w:pPr>
            <w:r w:rsidRPr="00347784">
              <w:lastRenderedPageBreak/>
              <w:t>(3)</w:t>
            </w:r>
            <w:r w:rsidRPr="00347784">
              <w:tab/>
              <w:t xml:space="preserve">supports thriving </w:t>
            </w:r>
            <w:proofErr w:type="spellStart"/>
            <w:r w:rsidRPr="00347784">
              <w:t>mahika</w:t>
            </w:r>
            <w:proofErr w:type="spellEnd"/>
            <w:r w:rsidRPr="00347784">
              <w:t xml:space="preserve"> kai and access of Kāi </w:t>
            </w:r>
            <w:proofErr w:type="spellStart"/>
            <w:r w:rsidRPr="00347784">
              <w:t>Tahu</w:t>
            </w:r>
            <w:proofErr w:type="spellEnd"/>
            <w:r w:rsidRPr="00347784">
              <w:t xml:space="preserve"> </w:t>
            </w:r>
            <w:proofErr w:type="spellStart"/>
            <w:r w:rsidRPr="00347784">
              <w:t>whānui</w:t>
            </w:r>
            <w:proofErr w:type="spellEnd"/>
            <w:r w:rsidRPr="00347784">
              <w:t xml:space="preserve"> to </w:t>
            </w:r>
            <w:proofErr w:type="spellStart"/>
            <w:r w:rsidRPr="00347784">
              <w:t>mahika</w:t>
            </w:r>
            <w:proofErr w:type="spellEnd"/>
            <w:r w:rsidRPr="00347784">
              <w:t xml:space="preserve"> kai,</w:t>
            </w:r>
          </w:p>
          <w:p w14:paraId="47B80BB0" w14:textId="77777777" w:rsidR="00444580" w:rsidRPr="00347784" w:rsidRDefault="00444580" w:rsidP="00875820">
            <w:pPr>
              <w:pStyle w:val="Table1"/>
              <w:ind w:left="456" w:hanging="425"/>
            </w:pPr>
            <w:r w:rsidRPr="00347784">
              <w:t>(4)</w:t>
            </w:r>
            <w:r w:rsidRPr="00347784">
              <w:tab/>
              <w:t>preserving the high degree of naturalness and ecosystem connections between the forests, freshwater and coastal environment,</w:t>
            </w:r>
          </w:p>
          <w:p w14:paraId="7AA53088" w14:textId="77777777" w:rsidR="00444580" w:rsidRPr="00347784" w:rsidRDefault="00444580" w:rsidP="00875820">
            <w:pPr>
              <w:pStyle w:val="Table1"/>
              <w:ind w:left="456" w:hanging="425"/>
            </w:pPr>
            <w:r w:rsidRPr="00347784">
              <w:t>(5)</w:t>
            </w:r>
            <w:r w:rsidRPr="00347784">
              <w:tab/>
              <w:t xml:space="preserve">water bodies and their catchment areas support the health and well-being of coastal water, </w:t>
            </w:r>
            <w:proofErr w:type="gramStart"/>
            <w:r w:rsidRPr="00347784">
              <w:t>ecosystems</w:t>
            </w:r>
            <w:proofErr w:type="gramEnd"/>
            <w:r w:rsidRPr="00347784">
              <w:t xml:space="preserve"> and indigenous species, including downstream </w:t>
            </w:r>
            <w:proofErr w:type="spellStart"/>
            <w:r w:rsidRPr="00347784">
              <w:t>kaimoana</w:t>
            </w:r>
            <w:proofErr w:type="spellEnd"/>
            <w:r w:rsidRPr="00347784">
              <w:t>, and</w:t>
            </w:r>
          </w:p>
          <w:p w14:paraId="2137B82D" w14:textId="3DB047FA" w:rsidR="00444580" w:rsidRPr="005C161A" w:rsidRDefault="00444580" w:rsidP="00875820">
            <w:pPr>
              <w:pStyle w:val="Table1"/>
              <w:ind w:left="456" w:hanging="425"/>
            </w:pPr>
            <w:r w:rsidRPr="00347784">
              <w:t>(6)</w:t>
            </w:r>
            <w:r w:rsidRPr="00347784">
              <w:tab/>
              <w:t xml:space="preserve">healthy, </w:t>
            </w:r>
            <w:proofErr w:type="gramStart"/>
            <w:r w:rsidRPr="00347784">
              <w:t>clear</w:t>
            </w:r>
            <w:proofErr w:type="gramEnd"/>
            <w:r w:rsidRPr="00347784">
              <w:t xml:space="preserve"> and clean water supports opportunities for recreation and sustainable food production for future generations.</w:t>
            </w:r>
          </w:p>
        </w:tc>
        <w:tc>
          <w:tcPr>
            <w:tcW w:w="5527" w:type="dxa"/>
            <w:shd w:val="clear" w:color="auto" w:fill="DEEAF6" w:themeFill="accent5" w:themeFillTint="33"/>
          </w:tcPr>
          <w:p w14:paraId="075315A4" w14:textId="1E3AC377" w:rsidR="00766C98" w:rsidRDefault="00444580" w:rsidP="00875820">
            <w:pPr>
              <w:pStyle w:val="Table1"/>
            </w:pPr>
            <w:r>
              <w:lastRenderedPageBreak/>
              <w:t xml:space="preserve">Clause 3.3 of the NPSFM requires regional councils to develop long-term visions for freshwater in their regions and include them as objectives in their RPS. Freshwater visions may be set at FMU, part of an FMU or catchment level. </w:t>
            </w:r>
            <w:r w:rsidR="00710FCA">
              <w:t xml:space="preserve">This vision is set at the FMU level, incorporating the whole of the </w:t>
            </w:r>
            <w:r w:rsidR="008140A1">
              <w:t>Catlins</w:t>
            </w:r>
            <w:r w:rsidR="00710FCA">
              <w:t xml:space="preserve"> FMU which has not been divided further into sub-units or </w:t>
            </w:r>
            <w:proofErr w:type="spellStart"/>
            <w:r w:rsidR="00710FCA">
              <w:t>rohe</w:t>
            </w:r>
            <w:proofErr w:type="spellEnd"/>
            <w:r w:rsidR="00710FCA">
              <w:t xml:space="preserve">. </w:t>
            </w:r>
            <w:r w:rsidR="00766C98">
              <w:t xml:space="preserve">The Catlins FMU is an </w:t>
            </w:r>
            <w:r w:rsidR="00766C98">
              <w:lastRenderedPageBreak/>
              <w:t xml:space="preserve">area of shared interest between Kāi </w:t>
            </w:r>
            <w:proofErr w:type="spellStart"/>
            <w:r w:rsidR="00766C98">
              <w:t>Tahu</w:t>
            </w:r>
            <w:proofErr w:type="spellEnd"/>
            <w:r w:rsidR="00766C98">
              <w:t xml:space="preserve"> ki Otago and Ngāi </w:t>
            </w:r>
            <w:proofErr w:type="spellStart"/>
            <w:r w:rsidR="00766C98">
              <w:t>Tahu</w:t>
            </w:r>
            <w:proofErr w:type="spellEnd"/>
            <w:r w:rsidR="00766C98">
              <w:t xml:space="preserve"> ki Murihiku. </w:t>
            </w:r>
          </w:p>
          <w:p w14:paraId="109A4E5F" w14:textId="3B10E2C6" w:rsidR="00444580" w:rsidRDefault="00710FCA" w:rsidP="00875820">
            <w:pPr>
              <w:pStyle w:val="Table1"/>
            </w:pPr>
            <w:r>
              <w:t xml:space="preserve">Specific consultation with Kāi </w:t>
            </w:r>
            <w:proofErr w:type="spellStart"/>
            <w:r>
              <w:t>Tahu</w:t>
            </w:r>
            <w:proofErr w:type="spellEnd"/>
            <w:r>
              <w:t xml:space="preserve"> and the public was undertaken in late 2020. Kāi </w:t>
            </w:r>
            <w:proofErr w:type="spellStart"/>
            <w:r>
              <w:t>Tahu</w:t>
            </w:r>
            <w:proofErr w:type="spellEnd"/>
            <w:r>
              <w:t xml:space="preserve"> ki Otago outlined their expectations for all water bodies in Otago (discussed in the assessment of LF-VM-O2 above).</w:t>
            </w:r>
            <w:r w:rsidR="00766C98">
              <w:t xml:space="preserve"> No specific comments were made by Kāi </w:t>
            </w:r>
            <w:proofErr w:type="spellStart"/>
            <w:r w:rsidR="00766C98">
              <w:t>Tahu</w:t>
            </w:r>
            <w:proofErr w:type="spellEnd"/>
            <w:r w:rsidR="00766C98">
              <w:t xml:space="preserve"> ki Otago about the </w:t>
            </w:r>
            <w:r w:rsidR="00D80C57">
              <w:t>Catlins</w:t>
            </w:r>
            <w:r w:rsidR="00766C98">
              <w:t xml:space="preserve"> FMU, however </w:t>
            </w:r>
            <w:r w:rsidR="00444580">
              <w:t xml:space="preserve">Ngāi </w:t>
            </w:r>
            <w:proofErr w:type="spellStart"/>
            <w:r w:rsidR="00444580">
              <w:t>Tahu</w:t>
            </w:r>
            <w:proofErr w:type="spellEnd"/>
            <w:r w:rsidR="00444580">
              <w:t xml:space="preserve"> ki Murihiku </w:t>
            </w:r>
            <w:r w:rsidR="00766C98">
              <w:t xml:space="preserve">have </w:t>
            </w:r>
            <w:r w:rsidR="00444580">
              <w:t xml:space="preserve">sought a range of outcomes for the </w:t>
            </w:r>
            <w:r w:rsidR="00766C98">
              <w:t>FMU</w:t>
            </w:r>
            <w:r w:rsidR="00444580">
              <w:t>, including:</w:t>
            </w:r>
          </w:p>
          <w:p w14:paraId="19E25035" w14:textId="0E4E4196" w:rsidR="00444580" w:rsidRDefault="00444580" w:rsidP="00875820">
            <w:pPr>
              <w:pStyle w:val="Table1"/>
              <w:numPr>
                <w:ilvl w:val="0"/>
                <w:numId w:val="73"/>
              </w:numPr>
            </w:pPr>
            <w:r>
              <w:t>Adopting a Treaty partnership approach to governing and managing lands in the catchment</w:t>
            </w:r>
            <w:r w:rsidR="00766C98">
              <w:t>.</w:t>
            </w:r>
          </w:p>
          <w:p w14:paraId="6B36BDEE" w14:textId="2EEB293D" w:rsidR="00766C98" w:rsidRDefault="00766C98" w:rsidP="00875820">
            <w:pPr>
              <w:pStyle w:val="Table1"/>
              <w:numPr>
                <w:ilvl w:val="0"/>
                <w:numId w:val="73"/>
              </w:numPr>
            </w:pPr>
            <w:r>
              <w:t xml:space="preserve">Prioritising restoration of indigenous biodiversity, </w:t>
            </w:r>
            <w:proofErr w:type="spellStart"/>
            <w:r>
              <w:t>taoka</w:t>
            </w:r>
            <w:proofErr w:type="spellEnd"/>
            <w:r>
              <w:t xml:space="preserve"> and </w:t>
            </w:r>
            <w:proofErr w:type="spellStart"/>
            <w:r>
              <w:t>mahika</w:t>
            </w:r>
            <w:proofErr w:type="spellEnd"/>
            <w:r>
              <w:t xml:space="preserve"> kai species instream, on connected lands and in coastal environments to provide for an uninterrupted biodiversity network within a generation.</w:t>
            </w:r>
          </w:p>
          <w:p w14:paraId="0E99D18B" w14:textId="2698CC5E" w:rsidR="00766C98" w:rsidRDefault="00766C98" w:rsidP="00875820">
            <w:pPr>
              <w:pStyle w:val="Table1"/>
              <w:numPr>
                <w:ilvl w:val="0"/>
                <w:numId w:val="73"/>
              </w:numPr>
            </w:pPr>
            <w:r>
              <w:t>Water bodies are free of barriers to fish passage and endemic indigenous vegetation is present on all banks and margins to protect from sedimentation.</w:t>
            </w:r>
          </w:p>
          <w:p w14:paraId="4EE4F7E8" w14:textId="7E0F7AAA" w:rsidR="00766C98" w:rsidRDefault="00766C98" w:rsidP="00875820">
            <w:pPr>
              <w:pStyle w:val="Table1"/>
              <w:numPr>
                <w:ilvl w:val="0"/>
                <w:numId w:val="73"/>
              </w:numPr>
            </w:pPr>
            <w:r>
              <w:t>Water bodies are free of invasive and pest species and retain their natural form and function.</w:t>
            </w:r>
          </w:p>
          <w:p w14:paraId="054B2F71" w14:textId="471A3DB4" w:rsidR="00766C98" w:rsidRDefault="00766C98" w:rsidP="00875820">
            <w:pPr>
              <w:pStyle w:val="Table1"/>
              <w:numPr>
                <w:ilvl w:val="0"/>
                <w:numId w:val="73"/>
              </w:numPr>
            </w:pPr>
            <w:r>
              <w:t>Water is drinkable and direct discharges of wastewater and stormwater are phased out.</w:t>
            </w:r>
          </w:p>
          <w:p w14:paraId="19BB7BDE" w14:textId="10BB15FC" w:rsidR="00444580" w:rsidRDefault="00766C98" w:rsidP="00875820">
            <w:pPr>
              <w:pStyle w:val="Table1"/>
              <w:numPr>
                <w:ilvl w:val="0"/>
                <w:numId w:val="73"/>
              </w:numPr>
            </w:pPr>
            <w:r>
              <w:t xml:space="preserve">Economic activity is based on and nurtures a </w:t>
            </w:r>
            <w:proofErr w:type="gramStart"/>
            <w:r>
              <w:t>high quality</w:t>
            </w:r>
            <w:proofErr w:type="gramEnd"/>
            <w:r>
              <w:t xml:space="preserve"> natural environment.</w:t>
            </w:r>
          </w:p>
          <w:p w14:paraId="2C3307AA" w14:textId="77777777" w:rsidR="008140A1" w:rsidRDefault="008140A1" w:rsidP="00875820">
            <w:pPr>
              <w:pStyle w:val="Table1"/>
            </w:pPr>
            <w:r>
              <w:t>Key themes from consultation with the public were:</w:t>
            </w:r>
          </w:p>
          <w:p w14:paraId="2FED1E33" w14:textId="044C9917" w:rsidR="00444580" w:rsidRDefault="008140A1" w:rsidP="00875820">
            <w:pPr>
              <w:pStyle w:val="Table1"/>
              <w:numPr>
                <w:ilvl w:val="0"/>
                <w:numId w:val="73"/>
              </w:numPr>
            </w:pPr>
            <w:r>
              <w:t>Retaining the FMU’s unique natural character and landscapes, including the water quality and biodiversity values of the water bodies.</w:t>
            </w:r>
          </w:p>
          <w:p w14:paraId="0999B118" w14:textId="31FEFF4F" w:rsidR="008140A1" w:rsidRDefault="008140A1" w:rsidP="00875820">
            <w:pPr>
              <w:pStyle w:val="Table1"/>
              <w:numPr>
                <w:ilvl w:val="0"/>
                <w:numId w:val="73"/>
              </w:numPr>
            </w:pPr>
            <w:r>
              <w:t xml:space="preserve">Fishing, </w:t>
            </w:r>
            <w:proofErr w:type="spellStart"/>
            <w:r>
              <w:t>mahika</w:t>
            </w:r>
            <w:proofErr w:type="spellEnd"/>
            <w:r>
              <w:t xml:space="preserve"> kai and recreational activities such as </w:t>
            </w:r>
            <w:proofErr w:type="gramStart"/>
            <w:r>
              <w:t>kayaking</w:t>
            </w:r>
            <w:proofErr w:type="gramEnd"/>
            <w:r>
              <w:t xml:space="preserve"> and swimming are important to the community.</w:t>
            </w:r>
          </w:p>
          <w:p w14:paraId="1E9545AE" w14:textId="435C04C8" w:rsidR="008140A1" w:rsidRDefault="00C34276" w:rsidP="00875820">
            <w:pPr>
              <w:pStyle w:val="Table1"/>
              <w:numPr>
                <w:ilvl w:val="0"/>
                <w:numId w:val="73"/>
              </w:numPr>
            </w:pPr>
            <w:r>
              <w:t>Retaining the agricultural base for the local economy and recognising the potential to increase tourism opportunities.</w:t>
            </w:r>
          </w:p>
          <w:p w14:paraId="22D6AA45" w14:textId="29D35E69" w:rsidR="00C34276" w:rsidRDefault="00C34276" w:rsidP="00875820">
            <w:pPr>
              <w:pStyle w:val="Table1"/>
            </w:pPr>
            <w:proofErr w:type="gramStart"/>
            <w:r>
              <w:t>Similarly</w:t>
            </w:r>
            <w:proofErr w:type="gramEnd"/>
            <w:r>
              <w:t xml:space="preserve"> to the North Otago and Taieri FMUs, communities spent time discussing the various actions that may support achieving the aspirations for the water in the long-term, including better investment in infrastructure, increased pest control and exploring opportunities for increased citizen involvement in science programmes and monitoring. These are not reflected in the vision as the pathways to achieving the visions will be developed through the LWRP. </w:t>
            </w:r>
          </w:p>
          <w:p w14:paraId="57B8E5DC" w14:textId="1B21A989" w:rsidR="00444580" w:rsidRPr="00462638" w:rsidRDefault="00444580" w:rsidP="00875820">
            <w:pPr>
              <w:pStyle w:val="Table1"/>
              <w:ind w:left="10"/>
            </w:pPr>
            <w:r>
              <w:t>LF-VM-O</w:t>
            </w:r>
            <w:r w:rsidR="00C34276">
              <w:t>6</w:t>
            </w:r>
            <w:r>
              <w:t xml:space="preserve"> was co-drafted by </w:t>
            </w:r>
            <w:proofErr w:type="spellStart"/>
            <w:r>
              <w:t>Aukaha</w:t>
            </w:r>
            <w:proofErr w:type="spellEnd"/>
            <w:r>
              <w:t xml:space="preserve"> and ORC staff as part of feedback from Kāi </w:t>
            </w:r>
            <w:proofErr w:type="spellStart"/>
            <w:r>
              <w:t>Tahu</w:t>
            </w:r>
            <w:proofErr w:type="spellEnd"/>
            <w:r>
              <w:t xml:space="preserve"> ki Otago through clause 4A consultation and input was also received from Te Ao Marama staff. The objective attempts to draw together </w:t>
            </w:r>
            <w:r w:rsidR="00C34276">
              <w:t>the</w:t>
            </w:r>
            <w:r>
              <w:t xml:space="preserve"> aspirations of both Kāi </w:t>
            </w:r>
            <w:proofErr w:type="spellStart"/>
            <w:r>
              <w:t>Tahu</w:t>
            </w:r>
            <w:proofErr w:type="spellEnd"/>
            <w:r>
              <w:t xml:space="preserve"> and Otago’s communities in a way that gives effect to Te Mana o te Wai</w:t>
            </w:r>
            <w:r w:rsidR="00C34276">
              <w:t xml:space="preserve"> and</w:t>
            </w:r>
            <w:r>
              <w:t xml:space="preserve"> the NPSFM.</w:t>
            </w:r>
          </w:p>
        </w:tc>
      </w:tr>
      <w:tr w:rsidR="00444580" w:rsidRPr="00462638" w14:paraId="6BE55999" w14:textId="77777777" w:rsidTr="00875820">
        <w:tc>
          <w:tcPr>
            <w:tcW w:w="3489" w:type="dxa"/>
            <w:shd w:val="clear" w:color="auto" w:fill="auto"/>
          </w:tcPr>
          <w:p w14:paraId="6FACDB68" w14:textId="77777777" w:rsidR="00444580" w:rsidRPr="00930CFC" w:rsidRDefault="00444580" w:rsidP="00A247C5">
            <w:pPr>
              <w:pStyle w:val="Table1"/>
              <w:rPr>
                <w:b/>
                <w:bCs/>
              </w:rPr>
            </w:pPr>
            <w:r w:rsidRPr="00930CFC">
              <w:rPr>
                <w:b/>
                <w:bCs/>
              </w:rPr>
              <w:lastRenderedPageBreak/>
              <w:t>LF–VM–O7 – Integrated management</w:t>
            </w:r>
          </w:p>
          <w:p w14:paraId="1A616A15" w14:textId="0F292F1F" w:rsidR="00444580" w:rsidRDefault="00444580" w:rsidP="00A247C5">
            <w:pPr>
              <w:pStyle w:val="Table1"/>
            </w:pPr>
            <w:r w:rsidRPr="00613162">
              <w:t xml:space="preserve">Land and water management applies the ethic of ki uta ki tai and land and water are managed as integrated natural resources, recognising the connections and interactions between freshwater, </w:t>
            </w:r>
            <w:proofErr w:type="gramStart"/>
            <w:r w:rsidRPr="00613162">
              <w:lastRenderedPageBreak/>
              <w:t>land</w:t>
            </w:r>
            <w:proofErr w:type="gramEnd"/>
            <w:r w:rsidRPr="00613162">
              <w:t xml:space="preserve"> and the coastal environment, and between surface water, groundwater and coastal water.</w:t>
            </w:r>
          </w:p>
        </w:tc>
        <w:tc>
          <w:tcPr>
            <w:tcW w:w="5527" w:type="dxa"/>
            <w:shd w:val="clear" w:color="auto" w:fill="auto"/>
          </w:tcPr>
          <w:p w14:paraId="02A16E6A" w14:textId="77777777" w:rsidR="00444580" w:rsidRDefault="00444580" w:rsidP="00A247C5">
            <w:pPr>
              <w:pStyle w:val="Table1"/>
            </w:pPr>
            <w:r>
              <w:lastRenderedPageBreak/>
              <w:t xml:space="preserve">The purpose of an RPS is to achieve the purpose of the Act, including by setting out policies and methods to achieve integrated management of the natural and physical resources of the region. This objective contributes to that requirement by setting out that the management of land and water resources </w:t>
            </w:r>
            <w:r>
              <w:lastRenderedPageBreak/>
              <w:t xml:space="preserve">must be integrated and apply the ethic of ki uta ki tai </w:t>
            </w:r>
            <w:proofErr w:type="gramStart"/>
            <w:r>
              <w:t>in order to</w:t>
            </w:r>
            <w:proofErr w:type="gramEnd"/>
            <w:r>
              <w:t xml:space="preserve"> recognise the connections and interactions between them. </w:t>
            </w:r>
          </w:p>
          <w:p w14:paraId="4A23C8C1" w14:textId="77777777" w:rsidR="00444580" w:rsidRDefault="00444580" w:rsidP="00A247C5">
            <w:pPr>
              <w:pStyle w:val="Table1"/>
            </w:pPr>
            <w:r>
              <w:t>This objective responds to the integrated management element of Te Mana o Te Wai. Clause 1.3(1) of the NPSFM notes that “Te Mana o Te Wai is about restoring and preserving the balance between the water, the wider environment and the community.” Integrated management is a key method for achieving this. Although LF</w:t>
            </w:r>
            <w:r w:rsidRPr="00AA77C3">
              <w:t>–</w:t>
            </w:r>
            <w:r>
              <w:t>VM</w:t>
            </w:r>
            <w:r w:rsidRPr="00AA77C3">
              <w:t>–</w:t>
            </w:r>
            <w:r>
              <w:t>O7 is broader in scope, it also reflects the requirement in Policy 3 of the NPSFM to manage freshwater in an integrated way that considers the effects of the use and development of land on a whole-of-catchment basis, including the effects on receiving environments (such as the coastal environment).</w:t>
            </w:r>
          </w:p>
          <w:p w14:paraId="7BDD17C2" w14:textId="4863593A" w:rsidR="00444580" w:rsidRPr="00462638" w:rsidRDefault="00444580" w:rsidP="00A247C5">
            <w:pPr>
              <w:pStyle w:val="Table1"/>
            </w:pPr>
            <w:r>
              <w:t>Lack of integration, and particularly insufficient management of the effects of land use, have been identified as significant issues for iwi (see RMIA</w:t>
            </w:r>
            <w:r w:rsidRPr="00AA77C3">
              <w:t>–</w:t>
            </w:r>
            <w:r>
              <w:t>WAI</w:t>
            </w:r>
            <w:r w:rsidRPr="00AA77C3">
              <w:t>–</w:t>
            </w:r>
            <w:r>
              <w:t>I3 and RMIA</w:t>
            </w:r>
            <w:r w:rsidRPr="00AA77C3">
              <w:t>–</w:t>
            </w:r>
            <w:r>
              <w:t>WAI</w:t>
            </w:r>
            <w:r w:rsidRPr="00AA77C3">
              <w:t>–</w:t>
            </w:r>
            <w:r>
              <w:t xml:space="preserve">I5) and this objective responds to those. While integrated management was not specifically raised by the community in consultation, the effects of an ‘unintegrated’ approach have been raised in </w:t>
            </w:r>
            <w:proofErr w:type="gramStart"/>
            <w:r>
              <w:t>a number of</w:t>
            </w:r>
            <w:proofErr w:type="gramEnd"/>
            <w:r>
              <w:t xml:space="preserve"> the issues, for example SRMR</w:t>
            </w:r>
            <w:r w:rsidRPr="00AA77C3">
              <w:t>–</w:t>
            </w:r>
            <w:r>
              <w:t>I4, SRMR</w:t>
            </w:r>
            <w:r w:rsidRPr="00AA77C3">
              <w:t>–</w:t>
            </w:r>
            <w:r>
              <w:t>I5, SRMR</w:t>
            </w:r>
            <w:r w:rsidRPr="00AA77C3">
              <w:t>–</w:t>
            </w:r>
            <w:r>
              <w:t>I6, SRMR</w:t>
            </w:r>
            <w:r w:rsidRPr="00AA77C3">
              <w:t>–</w:t>
            </w:r>
            <w:r>
              <w:t>I9, SRMR</w:t>
            </w:r>
            <w:r w:rsidRPr="00AA77C3">
              <w:t>–</w:t>
            </w:r>
            <w:r>
              <w:t>I10 and SRMR</w:t>
            </w:r>
            <w:r w:rsidRPr="00AA77C3">
              <w:t>–</w:t>
            </w:r>
            <w:r>
              <w:t>I11.</w:t>
            </w:r>
          </w:p>
        </w:tc>
      </w:tr>
    </w:tbl>
    <w:p w14:paraId="211274F9" w14:textId="5C1E3F9C" w:rsidR="002C2245" w:rsidRDefault="002C2245"/>
    <w:p w14:paraId="50CCC63F" w14:textId="5D7B00F9" w:rsidR="006A4E04" w:rsidRDefault="0062492F" w:rsidP="00875820">
      <w:pPr>
        <w:pStyle w:val="Normal2"/>
        <w:shd w:val="clear" w:color="auto" w:fill="DEEAF6" w:themeFill="accent5" w:themeFillTint="33"/>
      </w:pPr>
      <w:r>
        <w:t xml:space="preserve">Freshwater visions set out the long-term aspirations for the catchment, including the water bodies and freshwater ecosystems. They are strategic objectives that look beyond the lifetime of current planning documents and guide the development of plan provisions. </w:t>
      </w:r>
      <w:r w:rsidR="00CC1C69">
        <w:t>Objectives LF</w:t>
      </w:r>
      <w:r w:rsidR="00CC1C69" w:rsidRPr="00CC1C69">
        <w:t xml:space="preserve">–FW–O2 to LF–VM–O6 </w:t>
      </w:r>
      <w:r w:rsidR="00CC1C69">
        <w:t>set freshwater visions at the FMU level</w:t>
      </w:r>
      <w:r w:rsidR="006A4E04">
        <w:t xml:space="preserve"> and Objective LF</w:t>
      </w:r>
      <w:r w:rsidR="006A4E04" w:rsidRPr="00CC1C69">
        <w:t>–</w:t>
      </w:r>
      <w:r w:rsidR="006A4E04">
        <w:t>VM</w:t>
      </w:r>
      <w:r w:rsidR="006A4E04" w:rsidRPr="00CC1C69">
        <w:t>–</w:t>
      </w:r>
      <w:r w:rsidR="006A4E04">
        <w:t>O7 outlines the integrated approach required to achieve the visions and Te Mana o te Wai</w:t>
      </w:r>
      <w:r w:rsidR="00CC1C69">
        <w:t xml:space="preserve">. </w:t>
      </w:r>
      <w:r w:rsidRPr="00CC1C69">
        <w:t>Policy</w:t>
      </w:r>
      <w:r>
        <w:t xml:space="preserve"> LF</w:t>
      </w:r>
      <w:r w:rsidRPr="0062492F">
        <w:t>–</w:t>
      </w:r>
      <w:r>
        <w:t>VM</w:t>
      </w:r>
      <w:r w:rsidRPr="00D80C57">
        <w:t>–</w:t>
      </w:r>
      <w:r>
        <w:t xml:space="preserve">P5 </w:t>
      </w:r>
      <w:r w:rsidR="00CC1C69">
        <w:t>set</w:t>
      </w:r>
      <w:r w:rsidR="00D80C57">
        <w:t>s</w:t>
      </w:r>
      <w:r w:rsidR="00CC1C69">
        <w:t xml:space="preserve"> out the FMU and </w:t>
      </w:r>
      <w:proofErr w:type="spellStart"/>
      <w:r w:rsidR="00CC1C69">
        <w:t>rohe</w:t>
      </w:r>
      <w:proofErr w:type="spellEnd"/>
      <w:r w:rsidR="00CC1C69">
        <w:t xml:space="preserve"> to be used for freshwater management in Otago and define their boundaries. Policy LF</w:t>
      </w:r>
      <w:r w:rsidR="00CC1C69" w:rsidRPr="00CC1C69">
        <w:t>–VM–P6 then</w:t>
      </w:r>
      <w:r>
        <w:t xml:space="preserve"> </w:t>
      </w:r>
      <w:r w:rsidR="00CC1C69">
        <w:t xml:space="preserve">defines the relationship between FMU and </w:t>
      </w:r>
      <w:proofErr w:type="spellStart"/>
      <w:r w:rsidR="00CC1C69">
        <w:t>rohe</w:t>
      </w:r>
      <w:proofErr w:type="spellEnd"/>
      <w:r w:rsidR="00CC1C69">
        <w:t xml:space="preserve"> to clarify how their provisions will relate to one another in practice. </w:t>
      </w:r>
      <w:r w:rsidR="006A4E04">
        <w:t>There is one method for achieving the policies, LF</w:t>
      </w:r>
      <w:r w:rsidR="006A4E04" w:rsidRPr="00CC1C69">
        <w:t>–</w:t>
      </w:r>
      <w:r w:rsidR="006A4E04">
        <w:t>VM</w:t>
      </w:r>
      <w:r w:rsidR="006A4E04" w:rsidRPr="00CC1C69">
        <w:t>–</w:t>
      </w:r>
      <w:r w:rsidR="006A4E04">
        <w:t xml:space="preserve">M3. As well as these provisions, the objectives in this section will be implemented by </w:t>
      </w:r>
      <w:proofErr w:type="gramStart"/>
      <w:r w:rsidR="006A4E04">
        <w:t>all of</w:t>
      </w:r>
      <w:proofErr w:type="gramEnd"/>
      <w:r w:rsidR="006A4E04">
        <w:t xml:space="preserve"> the provisions of the LF chapter and particularly through the development of the LWRP.</w:t>
      </w:r>
    </w:p>
    <w:p w14:paraId="7E308BF9" w14:textId="6186B1EA" w:rsidR="0078667C" w:rsidRDefault="0078667C" w:rsidP="00875820">
      <w:pPr>
        <w:pStyle w:val="Normal2"/>
        <w:shd w:val="clear" w:color="auto" w:fill="DEEAF6" w:themeFill="accent5" w:themeFillTint="33"/>
      </w:pPr>
      <w:r>
        <w:t xml:space="preserve">The NPSFM sets out sustainable management </w:t>
      </w:r>
      <w:r w:rsidR="00D80C57">
        <w:t>of</w:t>
      </w:r>
      <w:r>
        <w:t xml:space="preserve"> New Zealand’s freshwater resources. The objectives in this section give effect to the NPSFM, including Te Mana o te Wai, and have been developed based on consultation with the community and close and ongoing collaboration with Kāi </w:t>
      </w:r>
      <w:proofErr w:type="spellStart"/>
      <w:r>
        <w:t>Tahu</w:t>
      </w:r>
      <w:proofErr w:type="spellEnd"/>
      <w:r>
        <w:t xml:space="preserve">. </w:t>
      </w:r>
      <w:proofErr w:type="gramStart"/>
      <w:r>
        <w:t>All of</w:t>
      </w:r>
      <w:proofErr w:type="gramEnd"/>
      <w:r>
        <w:t xml:space="preserve"> the provisions of the LF chapter will contribute to achieving these objectives and are evaluated in section </w:t>
      </w:r>
      <w:r>
        <w:fldChar w:fldCharType="begin"/>
      </w:r>
      <w:r>
        <w:instrText xml:space="preserve"> REF _Ref72325325 \r \h </w:instrText>
      </w:r>
      <w:r w:rsidR="00CF0142">
        <w:instrText xml:space="preserve"> \* MERGEFORMAT </w:instrText>
      </w:r>
      <w:r>
        <w:fldChar w:fldCharType="separate"/>
      </w:r>
      <w:r w:rsidR="002A7A16">
        <w:t>5.7</w:t>
      </w:r>
      <w:r>
        <w:fldChar w:fldCharType="end"/>
      </w:r>
      <w:r>
        <w:t xml:space="preserve"> of this report.  There will be significant economic and social costs of achieving these objectives due to the changes in land and water use that will be required. However, there will also be significant environmental and cultural benefits </w:t>
      </w:r>
      <w:proofErr w:type="gramStart"/>
      <w:r>
        <w:t>as a result of</w:t>
      </w:r>
      <w:proofErr w:type="gramEnd"/>
      <w:r>
        <w:t xml:space="preserve"> improving the health and well-being of freshwater bodies and ecosystems across the region as required by the NPSFM. Although ambitious, they are considered feasible and there will be opportunities through the development of the LWRP (and implementation of the NOF) for communities to be involved in considering the range of methods available to achieve these outcomes. </w:t>
      </w:r>
    </w:p>
    <w:p w14:paraId="092BBCAD" w14:textId="3BC9EB65" w:rsidR="00CC1C69" w:rsidRDefault="00C72FDF" w:rsidP="00875820">
      <w:pPr>
        <w:pStyle w:val="Normal2"/>
        <w:shd w:val="clear" w:color="auto" w:fill="DEEAF6" w:themeFill="accent5" w:themeFillTint="33"/>
      </w:pPr>
      <w:r>
        <w:t xml:space="preserve">National Policy Statements, such as the NPSFM, </w:t>
      </w:r>
      <w:r w:rsidR="00A337CD">
        <w:t xml:space="preserve">are intended to expand on and clarify the interpretation of the purpose of the RMA.  </w:t>
      </w:r>
      <w:r w:rsidR="0078667C">
        <w:t xml:space="preserve">Given ORC must implement the NPSFM, and these objectives have been prepared to do that, they </w:t>
      </w:r>
      <w:proofErr w:type="gramStart"/>
      <w:r w:rsidR="0078667C">
        <w:t>are considered to be</w:t>
      </w:r>
      <w:proofErr w:type="gramEnd"/>
      <w:r w:rsidR="0078667C">
        <w:t xml:space="preserve"> the most appropriate way to achieve the purpose of the RMA.</w:t>
      </w:r>
    </w:p>
    <w:p w14:paraId="0F7B24A2" w14:textId="6305AA92" w:rsidR="002C2245" w:rsidRDefault="002C2245" w:rsidP="00875820">
      <w:pPr>
        <w:pStyle w:val="Heading4"/>
        <w:shd w:val="clear" w:color="auto" w:fill="DEEAF6" w:themeFill="accent5" w:themeFillTint="33"/>
      </w:pPr>
      <w:bookmarkStart w:id="42" w:name="_Ref72235289"/>
      <w:r>
        <w:lastRenderedPageBreak/>
        <w:t>LF–FW – Freshwater</w:t>
      </w:r>
      <w:bookmarkEnd w:id="42"/>
    </w:p>
    <w:p w14:paraId="2C9B72E8" w14:textId="07644231" w:rsidR="002C2245" w:rsidRDefault="002C2245" w:rsidP="00875820">
      <w:pPr>
        <w:pStyle w:val="Normal2"/>
        <w:shd w:val="clear" w:color="auto" w:fill="DEEAF6" w:themeFill="accent5" w:themeFillTint="33"/>
      </w:pPr>
      <w:r>
        <w:t xml:space="preserve">This section of the LF chapter has four objectives which are assessed in </w:t>
      </w:r>
      <w:r w:rsidR="00AD209D">
        <w:fldChar w:fldCharType="begin"/>
      </w:r>
      <w:r w:rsidR="00AD209D">
        <w:instrText xml:space="preserve"> REF _Ref72495463 \h </w:instrText>
      </w:r>
      <w:r w:rsidR="00CF0142">
        <w:instrText xml:space="preserve"> \* MERGEFORMAT </w:instrText>
      </w:r>
      <w:r w:rsidR="00AD209D">
        <w:fldChar w:fldCharType="separate"/>
      </w:r>
      <w:r w:rsidR="002A7A16">
        <w:t xml:space="preserve">Table </w:t>
      </w:r>
      <w:r w:rsidR="002A7A16">
        <w:rPr>
          <w:noProof/>
        </w:rPr>
        <w:t>10</w:t>
      </w:r>
      <w:r w:rsidR="00AD209D">
        <w:fldChar w:fldCharType="end"/>
      </w:r>
      <w:r w:rsidR="00AD209D">
        <w:t xml:space="preserve"> </w:t>
      </w:r>
      <w:r>
        <w:t>below.</w:t>
      </w:r>
    </w:p>
    <w:p w14:paraId="1ED39375" w14:textId="4F3BBC22" w:rsidR="00C34276" w:rsidRDefault="00AD209D" w:rsidP="00875820">
      <w:pPr>
        <w:pStyle w:val="Caption"/>
        <w:shd w:val="clear" w:color="auto" w:fill="DEEAF6" w:themeFill="accent5" w:themeFillTint="33"/>
      </w:pPr>
      <w:bookmarkStart w:id="43" w:name="_Ref72495463"/>
      <w:r>
        <w:t xml:space="preserve">Table </w:t>
      </w:r>
      <w:r>
        <w:fldChar w:fldCharType="begin"/>
      </w:r>
      <w:r>
        <w:instrText xml:space="preserve"> SEQ Table \* ARABIC </w:instrText>
      </w:r>
      <w:r>
        <w:fldChar w:fldCharType="separate"/>
      </w:r>
      <w:r w:rsidR="002A7A16">
        <w:rPr>
          <w:noProof/>
        </w:rPr>
        <w:t>10</w:t>
      </w:r>
      <w:r>
        <w:rPr>
          <w:noProof/>
        </w:rPr>
        <w:fldChar w:fldCharType="end"/>
      </w:r>
      <w:bookmarkEnd w:id="43"/>
      <w:r>
        <w:t xml:space="preserve">: </w:t>
      </w:r>
      <w:r w:rsidRPr="00354A6C">
        <w:t>Evaluation of LF-</w:t>
      </w:r>
      <w:r>
        <w:t>FW</w:t>
      </w:r>
      <w:r w:rsidRPr="00354A6C">
        <w:t xml:space="preserve"> objective</w:t>
      </w:r>
      <w:r>
        <w:t>s</w:t>
      </w:r>
    </w:p>
    <w:tbl>
      <w:tblPr>
        <w:tblStyle w:val="TableGrid"/>
        <w:tblW w:w="0" w:type="auto"/>
        <w:tblLook w:val="04A0" w:firstRow="1" w:lastRow="0" w:firstColumn="1" w:lastColumn="0" w:noHBand="0" w:noVBand="1"/>
      </w:tblPr>
      <w:tblGrid>
        <w:gridCol w:w="3489"/>
        <w:gridCol w:w="5527"/>
      </w:tblGrid>
      <w:tr w:rsidR="002C2245" w:rsidRPr="00462638" w14:paraId="5C985422" w14:textId="77777777" w:rsidTr="002C2245">
        <w:tc>
          <w:tcPr>
            <w:tcW w:w="3489" w:type="dxa"/>
            <w:shd w:val="clear" w:color="auto" w:fill="B4C6E7" w:themeFill="accent1" w:themeFillTint="66"/>
          </w:tcPr>
          <w:p w14:paraId="3C975193" w14:textId="57D66EB6" w:rsidR="002C2245" w:rsidRPr="00930CFC" w:rsidRDefault="002C2245" w:rsidP="00A247C5">
            <w:pPr>
              <w:pStyle w:val="Table1"/>
              <w:rPr>
                <w:b/>
                <w:bCs/>
              </w:rPr>
            </w:pPr>
            <w:r w:rsidRPr="00930CFC">
              <w:rPr>
                <w:b/>
                <w:bCs/>
              </w:rPr>
              <w:t>Objective</w:t>
            </w:r>
          </w:p>
        </w:tc>
        <w:tc>
          <w:tcPr>
            <w:tcW w:w="5527" w:type="dxa"/>
            <w:shd w:val="clear" w:color="auto" w:fill="B4C6E7" w:themeFill="accent1" w:themeFillTint="66"/>
          </w:tcPr>
          <w:p w14:paraId="14214D1F" w14:textId="1C5B383A" w:rsidR="002C2245" w:rsidRPr="00930CFC" w:rsidRDefault="002C2245" w:rsidP="00A247C5">
            <w:pPr>
              <w:pStyle w:val="Table1"/>
              <w:rPr>
                <w:b/>
                <w:bCs/>
              </w:rPr>
            </w:pPr>
            <w:r w:rsidRPr="00930CFC">
              <w:rPr>
                <w:b/>
                <w:bCs/>
              </w:rPr>
              <w:t>Assessment</w:t>
            </w:r>
          </w:p>
        </w:tc>
      </w:tr>
      <w:tr w:rsidR="00166F6D" w:rsidRPr="00462638" w14:paraId="1C3BDBE6" w14:textId="77777777" w:rsidTr="00875820">
        <w:tc>
          <w:tcPr>
            <w:tcW w:w="3489" w:type="dxa"/>
            <w:shd w:val="clear" w:color="auto" w:fill="DEEAF6" w:themeFill="accent5" w:themeFillTint="33"/>
          </w:tcPr>
          <w:p w14:paraId="4656EC8D" w14:textId="77777777" w:rsidR="00C34276" w:rsidRPr="00930CFC" w:rsidRDefault="00C34276" w:rsidP="00A247C5">
            <w:pPr>
              <w:pStyle w:val="Table1"/>
              <w:rPr>
                <w:b/>
                <w:bCs/>
              </w:rPr>
            </w:pPr>
            <w:r w:rsidRPr="00930CFC">
              <w:rPr>
                <w:b/>
                <w:bCs/>
              </w:rPr>
              <w:t>LF–FW–O8 – Freshwater</w:t>
            </w:r>
          </w:p>
          <w:p w14:paraId="0FBDB7E4" w14:textId="77777777" w:rsidR="00C34276" w:rsidRPr="00C34276" w:rsidRDefault="00C34276" w:rsidP="00A247C5">
            <w:pPr>
              <w:pStyle w:val="Table1"/>
            </w:pPr>
            <w:r w:rsidRPr="00C34276">
              <w:t>In Otago’s water bodies and their catchments:</w:t>
            </w:r>
          </w:p>
          <w:p w14:paraId="7C44510F" w14:textId="77777777" w:rsidR="00C34276" w:rsidRPr="00C34276" w:rsidRDefault="00C34276" w:rsidP="00930CFC">
            <w:pPr>
              <w:pStyle w:val="Table1"/>
              <w:ind w:left="456" w:hanging="425"/>
            </w:pPr>
            <w:r w:rsidRPr="00C34276">
              <w:t>(1)</w:t>
            </w:r>
            <w:r w:rsidRPr="00C34276">
              <w:tab/>
              <w:t xml:space="preserve">the health of the wai supports the health of the people and thriving </w:t>
            </w:r>
            <w:proofErr w:type="spellStart"/>
            <w:r w:rsidRPr="00C34276">
              <w:t>mahika</w:t>
            </w:r>
            <w:proofErr w:type="spellEnd"/>
            <w:r w:rsidRPr="00C34276">
              <w:t xml:space="preserve"> kai,</w:t>
            </w:r>
          </w:p>
          <w:p w14:paraId="63E6A53B" w14:textId="77777777" w:rsidR="00C34276" w:rsidRPr="00C34276" w:rsidRDefault="00C34276" w:rsidP="00930CFC">
            <w:pPr>
              <w:pStyle w:val="Table1"/>
              <w:ind w:left="456" w:hanging="425"/>
            </w:pPr>
            <w:r w:rsidRPr="00C34276">
              <w:t>(2)</w:t>
            </w:r>
            <w:r w:rsidRPr="00C34276">
              <w:tab/>
              <w:t>water flow is continuous throughout the whole system,</w:t>
            </w:r>
          </w:p>
          <w:p w14:paraId="225DC125" w14:textId="77777777" w:rsidR="00C34276" w:rsidRPr="00C34276" w:rsidRDefault="00C34276" w:rsidP="00930CFC">
            <w:pPr>
              <w:pStyle w:val="Table1"/>
              <w:ind w:left="456" w:hanging="425"/>
            </w:pPr>
            <w:r w:rsidRPr="00C34276">
              <w:t>(3)</w:t>
            </w:r>
            <w:r w:rsidRPr="00C34276">
              <w:tab/>
              <w:t xml:space="preserve">the interconnection of freshwater (including groundwater) and coastal waters is recognised, </w:t>
            </w:r>
          </w:p>
          <w:p w14:paraId="01C773D3" w14:textId="77777777" w:rsidR="00C34276" w:rsidRPr="00C34276" w:rsidRDefault="00C34276" w:rsidP="00930CFC">
            <w:pPr>
              <w:pStyle w:val="Table1"/>
              <w:ind w:left="456" w:hanging="425"/>
            </w:pPr>
            <w:r w:rsidRPr="00C34276">
              <w:t>(4)</w:t>
            </w:r>
            <w:r w:rsidRPr="00C34276">
              <w:tab/>
              <w:t xml:space="preserve">native fish can migrate easily and as naturally as possible and </w:t>
            </w:r>
            <w:proofErr w:type="spellStart"/>
            <w:r w:rsidRPr="00C34276">
              <w:t>taoka</w:t>
            </w:r>
            <w:proofErr w:type="spellEnd"/>
            <w:r w:rsidRPr="00C34276">
              <w:t xml:space="preserve"> species and their habitats are protected, and</w:t>
            </w:r>
          </w:p>
          <w:p w14:paraId="18A0F5D5" w14:textId="5BB30EC9" w:rsidR="00AB31EC" w:rsidRDefault="00C34276" w:rsidP="00930CFC">
            <w:pPr>
              <w:pStyle w:val="Table1"/>
              <w:ind w:left="456" w:hanging="425"/>
            </w:pPr>
            <w:r w:rsidRPr="00C34276">
              <w:t>(5)</w:t>
            </w:r>
            <w:r w:rsidRPr="00C34276">
              <w:tab/>
              <w:t>the significant and outstanding values of Otago’s outstanding water bodies are identified and protected.</w:t>
            </w:r>
          </w:p>
        </w:tc>
        <w:tc>
          <w:tcPr>
            <w:tcW w:w="5527" w:type="dxa"/>
            <w:shd w:val="clear" w:color="auto" w:fill="DEEAF6" w:themeFill="accent5" w:themeFillTint="33"/>
          </w:tcPr>
          <w:p w14:paraId="2FAB765D" w14:textId="77777777" w:rsidR="004B4E6F" w:rsidRDefault="004B4E6F" w:rsidP="00A247C5">
            <w:pPr>
              <w:pStyle w:val="Table1"/>
            </w:pPr>
            <w:r>
              <w:t xml:space="preserve">Following on from the long-term and aspirational freshwater visions in the LF-VM section, </w:t>
            </w:r>
            <w:r w:rsidRPr="00C34276">
              <w:t>LF–FW–O8</w:t>
            </w:r>
            <w:r>
              <w:t xml:space="preserve"> contains a consolidated outcome sought for all freshwater, reflecting the policy direction outlined in the LF-WAI section for Te Mana o te Wai. Sub-clause (5) reflects the direction in Policy 8 of the NPSFM. It is noted that this approach to identifying some water bodies as ‘more significant’ than others is not consistent with Kāi </w:t>
            </w:r>
            <w:proofErr w:type="spellStart"/>
            <w:r>
              <w:t>Tahu</w:t>
            </w:r>
            <w:proofErr w:type="spellEnd"/>
            <w:r>
              <w:t xml:space="preserve"> views on wai, however the RPS is required to give effect to the NPSFM, including Policy 8.</w:t>
            </w:r>
          </w:p>
          <w:p w14:paraId="144E55BC" w14:textId="6B8D6F00" w:rsidR="00C34276" w:rsidRPr="00462638" w:rsidRDefault="00416FF2" w:rsidP="00A247C5">
            <w:pPr>
              <w:pStyle w:val="Table1"/>
            </w:pPr>
            <w:r>
              <w:t>Water</w:t>
            </w:r>
            <w:r w:rsidR="008107DE">
              <w:t>,</w:t>
            </w:r>
            <w:r>
              <w:t xml:space="preserve"> and its management</w:t>
            </w:r>
            <w:r w:rsidR="008107DE">
              <w:t>,</w:t>
            </w:r>
            <w:r>
              <w:t xml:space="preserve"> has been identified as a significant issue for iwi, including that water has been degraded, management does not adequately address cultural values and interests, and there have been adverse effects on the diversity and abundance of </w:t>
            </w:r>
            <w:proofErr w:type="spellStart"/>
            <w:r>
              <w:t>mahika</w:t>
            </w:r>
            <w:proofErr w:type="spellEnd"/>
            <w:r>
              <w:t xml:space="preserve"> kai. See RMIA–WAI–I1 to RMIA–WAI–I5 for a more detailed explanation. This objective also responds to </w:t>
            </w:r>
            <w:proofErr w:type="gramStart"/>
            <w:r>
              <w:t>a number of</w:t>
            </w:r>
            <w:proofErr w:type="gramEnd"/>
            <w:r>
              <w:t xml:space="preserve"> issues identified by the community during consultation in early 2020, particularly SRMR–I5 and SRMR–I6. </w:t>
            </w:r>
          </w:p>
        </w:tc>
      </w:tr>
      <w:tr w:rsidR="00166F6D" w:rsidRPr="00462638" w14:paraId="0CF41F3A" w14:textId="77777777" w:rsidTr="00875820">
        <w:tc>
          <w:tcPr>
            <w:tcW w:w="3489" w:type="dxa"/>
            <w:shd w:val="clear" w:color="auto" w:fill="DEEAF6" w:themeFill="accent5" w:themeFillTint="33"/>
          </w:tcPr>
          <w:p w14:paraId="190C0B2F" w14:textId="77777777" w:rsidR="00C34276" w:rsidRPr="00930CFC" w:rsidRDefault="00C34276" w:rsidP="00A247C5">
            <w:pPr>
              <w:pStyle w:val="Table1"/>
              <w:rPr>
                <w:b/>
                <w:bCs/>
              </w:rPr>
            </w:pPr>
            <w:r w:rsidRPr="00930CFC">
              <w:rPr>
                <w:b/>
                <w:bCs/>
              </w:rPr>
              <w:t>LF–FW–O9 – Natural wetlands</w:t>
            </w:r>
          </w:p>
          <w:p w14:paraId="7E15D766" w14:textId="77777777" w:rsidR="00C34276" w:rsidRDefault="00C34276" w:rsidP="00A247C5">
            <w:pPr>
              <w:pStyle w:val="Table1"/>
            </w:pPr>
            <w:r>
              <w:t>Otago’s natural wetlands are protected or restored so that:</w:t>
            </w:r>
          </w:p>
          <w:p w14:paraId="26F54F47" w14:textId="77777777" w:rsidR="00C34276" w:rsidRPr="00C34276" w:rsidRDefault="00C34276" w:rsidP="00930CFC">
            <w:pPr>
              <w:pStyle w:val="Table1"/>
              <w:ind w:left="456" w:hanging="425"/>
            </w:pPr>
            <w:r w:rsidRPr="00C34276">
              <w:t>(1)</w:t>
            </w:r>
            <w:r w:rsidRPr="00C34276">
              <w:tab/>
            </w:r>
            <w:proofErr w:type="spellStart"/>
            <w:r w:rsidRPr="00C34276">
              <w:t>mahika</w:t>
            </w:r>
            <w:proofErr w:type="spellEnd"/>
            <w:r w:rsidRPr="00C34276">
              <w:t xml:space="preserve"> kai and other mana whenua values are sustained and enhanced now and for future generations,</w:t>
            </w:r>
          </w:p>
          <w:p w14:paraId="2BEF2DF0" w14:textId="77777777" w:rsidR="00C34276" w:rsidRPr="00C34276" w:rsidRDefault="00C34276" w:rsidP="00930CFC">
            <w:pPr>
              <w:pStyle w:val="Table1"/>
              <w:ind w:left="456" w:hanging="425"/>
            </w:pPr>
            <w:r w:rsidRPr="00C34276">
              <w:t>(2)</w:t>
            </w:r>
            <w:r w:rsidRPr="00C34276">
              <w:tab/>
              <w:t xml:space="preserve">there is no decrease in the range and diversity of indigenous ecosystem types and habitats in natural wetlands, </w:t>
            </w:r>
          </w:p>
          <w:p w14:paraId="11C20D2F" w14:textId="77777777" w:rsidR="00C34276" w:rsidRPr="00C34276" w:rsidRDefault="00C34276" w:rsidP="00930CFC">
            <w:pPr>
              <w:pStyle w:val="Table1"/>
              <w:ind w:left="456" w:hanging="425"/>
            </w:pPr>
            <w:r w:rsidRPr="00C34276">
              <w:t>(3)</w:t>
            </w:r>
            <w:r w:rsidRPr="00C34276">
              <w:tab/>
              <w:t xml:space="preserve">there is no reduction in their ecosystem health, hydrological functioning, amenity values, </w:t>
            </w:r>
            <w:proofErr w:type="gramStart"/>
            <w:r w:rsidRPr="00C34276">
              <w:t>extent</w:t>
            </w:r>
            <w:proofErr w:type="gramEnd"/>
            <w:r w:rsidRPr="00C34276">
              <w:t xml:space="preserve"> or water quality, and if degraded they are improved, and</w:t>
            </w:r>
          </w:p>
          <w:p w14:paraId="587E9DCF" w14:textId="5C807201" w:rsidR="003F0ABE" w:rsidRDefault="00C34276" w:rsidP="00930CFC">
            <w:pPr>
              <w:pStyle w:val="Table1"/>
              <w:ind w:left="456" w:hanging="425"/>
            </w:pPr>
            <w:r w:rsidRPr="00C34276">
              <w:t>(4)</w:t>
            </w:r>
            <w:r w:rsidRPr="00C34276">
              <w:tab/>
              <w:t>their flood attenuation capacity is maintained.</w:t>
            </w:r>
          </w:p>
        </w:tc>
        <w:tc>
          <w:tcPr>
            <w:tcW w:w="5527" w:type="dxa"/>
            <w:shd w:val="clear" w:color="auto" w:fill="DEEAF6" w:themeFill="accent5" w:themeFillTint="33"/>
          </w:tcPr>
          <w:p w14:paraId="3628F994" w14:textId="2DB52A8A" w:rsidR="00166F6D" w:rsidRDefault="00CB05BB" w:rsidP="00A247C5">
            <w:pPr>
              <w:pStyle w:val="Table1"/>
            </w:pPr>
            <w:r>
              <w:t xml:space="preserve">Policy 6 of the NPSFM requires that there is no further loss of the extent of natural inland wetlands, their values are protected, and their restoration is promoted. This objective applies to the broader category of natural wetlands rather than the narrower sub-category of natural inland wetlands, meaning the direction will apply to those natural wetlands that are partly within the coastal marine area. This was a preference expressed by </w:t>
            </w:r>
            <w:r w:rsidR="00D80C57">
              <w:t xml:space="preserve">the </w:t>
            </w:r>
            <w:r>
              <w:t xml:space="preserve">Reference Group (Land and </w:t>
            </w:r>
            <w:r w:rsidR="008107DE">
              <w:t>F</w:t>
            </w:r>
            <w:r>
              <w:t>reshwater) who preferred a regionally consistent approach to the management of wetlands.</w:t>
            </w:r>
          </w:p>
          <w:p w14:paraId="563C7B21" w14:textId="0053D497" w:rsidR="004A4C80" w:rsidRDefault="004A4C80" w:rsidP="00A247C5">
            <w:pPr>
              <w:pStyle w:val="Table1"/>
            </w:pPr>
            <w:r>
              <w:t xml:space="preserve">The term ‘loss of value’ in relation to wetlands is defined in the NPSFM and applies to either any value identified through the NOF process or any of the following: ecosystem health, indigenous biodiversity, hydrological functioning, Māori freshwater values, amenity. LF–FW–O9 picks up on these values and outlines in more detail than Policy 6 the outcome sought for wetlands with respect to their values. Sub-clause (4) does not appear explicitly in the </w:t>
            </w:r>
            <w:proofErr w:type="gramStart"/>
            <w:r>
              <w:t>NPSFM,</w:t>
            </w:r>
            <w:proofErr w:type="gramEnd"/>
            <w:r>
              <w:t xml:space="preserve"> however this was considered important in Otago given the location of many wetlands and the benefits they provide in managing floods. LF–FW–O9 </w:t>
            </w:r>
            <w:proofErr w:type="gramStart"/>
            <w:r>
              <w:t>is considered to be</w:t>
            </w:r>
            <w:proofErr w:type="gramEnd"/>
            <w:r>
              <w:t xml:space="preserve"> consistent with the direction in the NESF for wetlands.</w:t>
            </w:r>
          </w:p>
          <w:p w14:paraId="73D9FE0D" w14:textId="1D233EA9" w:rsidR="00CB05BB" w:rsidRPr="00462638" w:rsidRDefault="004A4C80" w:rsidP="00A247C5">
            <w:pPr>
              <w:pStyle w:val="Table1"/>
            </w:pPr>
            <w:r>
              <w:t xml:space="preserve">Wetlands are a type of water body so </w:t>
            </w:r>
            <w:proofErr w:type="gramStart"/>
            <w:r>
              <w:t>all of</w:t>
            </w:r>
            <w:proofErr w:type="gramEnd"/>
            <w:r>
              <w:t xml:space="preserve"> the significant issues for iwi in relation to water are applicable to wetlands (see RMIA–WAI–I1 to RMIA–WAI–I5). Wetlands are also important for their biodiversity values, so issue RMIA–MKB–I1 is also applicable. Similarly, this objective also responds to issues raised by the community in relation to water and biodiversity (see SRMR–I5, SRMR–I6 and SRMR–I7). </w:t>
            </w:r>
          </w:p>
        </w:tc>
      </w:tr>
      <w:tr w:rsidR="00166F6D" w:rsidRPr="00462638" w14:paraId="0A36946F" w14:textId="77777777" w:rsidTr="00667343">
        <w:tc>
          <w:tcPr>
            <w:tcW w:w="3489" w:type="dxa"/>
          </w:tcPr>
          <w:p w14:paraId="04F92BB7" w14:textId="77777777" w:rsidR="00C34276" w:rsidRPr="00930CFC" w:rsidRDefault="00C34276" w:rsidP="00A247C5">
            <w:pPr>
              <w:pStyle w:val="Table1"/>
              <w:rPr>
                <w:b/>
                <w:bCs/>
              </w:rPr>
            </w:pPr>
            <w:r w:rsidRPr="00930CFC">
              <w:rPr>
                <w:b/>
                <w:bCs/>
              </w:rPr>
              <w:lastRenderedPageBreak/>
              <w:t>LF–FW–O10 – Natural character</w:t>
            </w:r>
          </w:p>
          <w:p w14:paraId="54498A7D" w14:textId="660ECE17" w:rsidR="00724860" w:rsidRPr="00473EE9" w:rsidRDefault="00C34276" w:rsidP="00A247C5">
            <w:pPr>
              <w:pStyle w:val="Table1"/>
            </w:pPr>
            <w:r>
              <w:t>The natural character of wetlands, lakes and rivers and their margins is preserved and protected from inappropriate subdivision, use and development.</w:t>
            </w:r>
          </w:p>
        </w:tc>
        <w:tc>
          <w:tcPr>
            <w:tcW w:w="5527" w:type="dxa"/>
          </w:tcPr>
          <w:p w14:paraId="5F0F2F9B" w14:textId="568273ED" w:rsidR="00AE579D" w:rsidRDefault="002C38A3" w:rsidP="00A247C5">
            <w:pPr>
              <w:pStyle w:val="Table1"/>
            </w:pPr>
            <w:r>
              <w:t xml:space="preserve">Preserving the natural character of wetlands, lakes, </w:t>
            </w:r>
            <w:proofErr w:type="gramStart"/>
            <w:r>
              <w:t>rivers</w:t>
            </w:r>
            <w:proofErr w:type="gramEnd"/>
            <w:r>
              <w:t xml:space="preserve"> and their margins, and protecting them from inappropriate subdivision, use, and development is a matter of national importance under section 6(a) of the RMA. The NPSFM does not explicitly manage natural character, but</w:t>
            </w:r>
            <w:r w:rsidR="00AE579D">
              <w:t xml:space="preserve"> there are </w:t>
            </w:r>
            <w:proofErr w:type="gramStart"/>
            <w:r w:rsidR="00AE579D">
              <w:t>a number of</w:t>
            </w:r>
            <w:proofErr w:type="gramEnd"/>
            <w:r w:rsidR="00AE579D">
              <w:t xml:space="preserve"> policies that will assist with preserving natural character:</w:t>
            </w:r>
          </w:p>
          <w:p w14:paraId="4050DE06" w14:textId="1C543CB9" w:rsidR="00166F6D" w:rsidRDefault="00AE579D" w:rsidP="00A247C5">
            <w:pPr>
              <w:pStyle w:val="Table1"/>
              <w:numPr>
                <w:ilvl w:val="0"/>
                <w:numId w:val="73"/>
              </w:numPr>
            </w:pPr>
            <w:r>
              <w:t xml:space="preserve">Policy 6: There is no further loss of extent of natural inland wetlands, their values are protected, and their restoration is promoted. </w:t>
            </w:r>
          </w:p>
          <w:p w14:paraId="5C3F2526" w14:textId="77777777" w:rsidR="00AE579D" w:rsidRDefault="00AE579D" w:rsidP="00A247C5">
            <w:pPr>
              <w:pStyle w:val="Table1"/>
              <w:numPr>
                <w:ilvl w:val="0"/>
                <w:numId w:val="73"/>
              </w:numPr>
            </w:pPr>
            <w:r>
              <w:t>Policy 7: The loss of river extent and values is avoided to the extent practicable.</w:t>
            </w:r>
          </w:p>
          <w:p w14:paraId="3F98D704" w14:textId="2B952818" w:rsidR="00AE579D" w:rsidRDefault="00AE579D" w:rsidP="00A247C5">
            <w:pPr>
              <w:pStyle w:val="Table1"/>
              <w:numPr>
                <w:ilvl w:val="0"/>
                <w:numId w:val="73"/>
              </w:numPr>
            </w:pPr>
            <w:r>
              <w:t>Policy 8: The significant values of outstanding water bodies are protected.</w:t>
            </w:r>
          </w:p>
          <w:p w14:paraId="0EC05C3B" w14:textId="77777777" w:rsidR="00AE579D" w:rsidRDefault="00AE579D" w:rsidP="00A247C5">
            <w:pPr>
              <w:pStyle w:val="Table1"/>
              <w:numPr>
                <w:ilvl w:val="0"/>
                <w:numId w:val="73"/>
              </w:numPr>
            </w:pPr>
            <w:r>
              <w:t xml:space="preserve">Policy 9: The </w:t>
            </w:r>
            <w:r w:rsidR="00A96323">
              <w:t>habitats of indigenous freshwater species are protected.</w:t>
            </w:r>
          </w:p>
          <w:p w14:paraId="2C7BCC84" w14:textId="27494304" w:rsidR="00A96323" w:rsidRDefault="00A96323" w:rsidP="00A247C5">
            <w:pPr>
              <w:pStyle w:val="Table1"/>
            </w:pPr>
            <w:r>
              <w:t xml:space="preserve">Under the NOF, natural form and character is a value which must be considered but is not compulsory. However, </w:t>
            </w:r>
            <w:r w:rsidR="003C0A37">
              <w:t xml:space="preserve">the quality and </w:t>
            </w:r>
            <w:r w:rsidR="005E25D8">
              <w:t xml:space="preserve">availability of </w:t>
            </w:r>
            <w:r>
              <w:t>habitat (</w:t>
            </w:r>
            <w:r w:rsidR="00A71B15">
              <w:t xml:space="preserve">which </w:t>
            </w:r>
            <w:r>
              <w:t>includ</w:t>
            </w:r>
            <w:r w:rsidR="00A71B15">
              <w:t>es</w:t>
            </w:r>
            <w:r>
              <w:t xml:space="preserve"> the physical form, structure and extent of the water body and its bed, </w:t>
            </w:r>
            <w:proofErr w:type="gramStart"/>
            <w:r>
              <w:t>banks</w:t>
            </w:r>
            <w:proofErr w:type="gramEnd"/>
            <w:r>
              <w:t xml:space="preserve"> and margins) is a component of ecosystem health which is a compulsory value.</w:t>
            </w:r>
          </w:p>
          <w:p w14:paraId="52E0840C" w14:textId="1325F0EB" w:rsidR="00A96323" w:rsidRDefault="00A96323" w:rsidP="00A247C5">
            <w:pPr>
              <w:pStyle w:val="Table1"/>
            </w:pPr>
            <w:r>
              <w:t xml:space="preserve">Loss of natural character is part of the issues raised by Kāi </w:t>
            </w:r>
            <w:proofErr w:type="spellStart"/>
            <w:r>
              <w:t>Tahu</w:t>
            </w:r>
            <w:proofErr w:type="spellEnd"/>
            <w:r>
              <w:t xml:space="preserve">, particularly RMIA–WAI–I1, RMIA–WAI–I3 and RMIA–MKB–I1. It is also a component of some of the wider issues identified by the community, including </w:t>
            </w:r>
            <w:r w:rsidR="00EE3AC9">
              <w:t>SRMR–I7, SRMR–I9 and SRMR–I11.</w:t>
            </w:r>
          </w:p>
        </w:tc>
      </w:tr>
    </w:tbl>
    <w:p w14:paraId="4B3EDEAE" w14:textId="67795EC5" w:rsidR="34C72508" w:rsidRDefault="34C72508"/>
    <w:p w14:paraId="5B784744" w14:textId="39C4618A" w:rsidR="00071E47" w:rsidRPr="004F70DF" w:rsidRDefault="00071E47" w:rsidP="00875820">
      <w:pPr>
        <w:pStyle w:val="Normal2"/>
        <w:shd w:val="clear" w:color="auto" w:fill="DEEAF6" w:themeFill="accent5" w:themeFillTint="33"/>
      </w:pPr>
      <w:r w:rsidRPr="004F70DF">
        <w:t xml:space="preserve">The policies and methods that implement these objectives are evaluated in section </w:t>
      </w:r>
      <w:r w:rsidRPr="004F70DF">
        <w:fldChar w:fldCharType="begin"/>
      </w:r>
      <w:r w:rsidRPr="004F70DF">
        <w:instrText xml:space="preserve"> REF _Ref72325873 \r \h  \* MERGEFORMAT </w:instrText>
      </w:r>
      <w:r w:rsidRPr="004F70DF">
        <w:fldChar w:fldCharType="separate"/>
      </w:r>
      <w:r w:rsidR="002A7A16">
        <w:t>5.7</w:t>
      </w:r>
      <w:r w:rsidRPr="004F70DF">
        <w:fldChar w:fldCharType="end"/>
      </w:r>
      <w:r w:rsidRPr="004F70DF">
        <w:t xml:space="preserve"> of this report and are:</w:t>
      </w:r>
    </w:p>
    <w:p w14:paraId="72483C29" w14:textId="2C8F5DFE" w:rsidR="00071E47" w:rsidRPr="004F70DF" w:rsidRDefault="00071E47" w:rsidP="00875820">
      <w:pPr>
        <w:pStyle w:val="Normal3"/>
        <w:shd w:val="clear" w:color="auto" w:fill="DEEAF6" w:themeFill="accent5" w:themeFillTint="33"/>
      </w:pPr>
      <w:r w:rsidRPr="004F70DF">
        <w:t xml:space="preserve">LF–FW–P7 – Freshwater </w:t>
      </w:r>
    </w:p>
    <w:p w14:paraId="1315AEFF" w14:textId="6762CF3A" w:rsidR="00071E47" w:rsidRPr="004F70DF" w:rsidRDefault="00071E47" w:rsidP="00875820">
      <w:pPr>
        <w:pStyle w:val="Normal3"/>
        <w:shd w:val="clear" w:color="auto" w:fill="DEEAF6" w:themeFill="accent5" w:themeFillTint="33"/>
      </w:pPr>
      <w:r w:rsidRPr="004F70DF">
        <w:t>LF–FW–P8 – Identifying natural wetlands</w:t>
      </w:r>
    </w:p>
    <w:p w14:paraId="54B4C088" w14:textId="3094496F" w:rsidR="00071E47" w:rsidRPr="004F70DF" w:rsidRDefault="00071E47" w:rsidP="00875820">
      <w:pPr>
        <w:pStyle w:val="Normal3"/>
        <w:shd w:val="clear" w:color="auto" w:fill="DEEAF6" w:themeFill="accent5" w:themeFillTint="33"/>
      </w:pPr>
      <w:r w:rsidRPr="004F70DF">
        <w:t>LF–FW–P9 – Protecting natural wetlands</w:t>
      </w:r>
    </w:p>
    <w:p w14:paraId="43D1E8BD" w14:textId="0B2E8B50" w:rsidR="00071E47" w:rsidRPr="004F70DF" w:rsidRDefault="00071E47" w:rsidP="00875820">
      <w:pPr>
        <w:pStyle w:val="Normal3"/>
        <w:shd w:val="clear" w:color="auto" w:fill="DEEAF6" w:themeFill="accent5" w:themeFillTint="33"/>
      </w:pPr>
      <w:r w:rsidRPr="004F70DF">
        <w:t>LF–FW–P10 – Restoring natural wetlands</w:t>
      </w:r>
    </w:p>
    <w:p w14:paraId="13A32700" w14:textId="159C7126" w:rsidR="00071E47" w:rsidRPr="004F70DF" w:rsidRDefault="00071E47" w:rsidP="00875820">
      <w:pPr>
        <w:pStyle w:val="Normal3"/>
        <w:shd w:val="clear" w:color="auto" w:fill="DEEAF6" w:themeFill="accent5" w:themeFillTint="33"/>
      </w:pPr>
      <w:r w:rsidRPr="004F70DF">
        <w:t>LF–FW–P11 – Identifying outstanding water bodies</w:t>
      </w:r>
    </w:p>
    <w:p w14:paraId="2DAD7940" w14:textId="4EF2CA86" w:rsidR="00071E47" w:rsidRPr="004F70DF" w:rsidRDefault="00071E47" w:rsidP="00875820">
      <w:pPr>
        <w:pStyle w:val="Normal3"/>
        <w:shd w:val="clear" w:color="auto" w:fill="DEEAF6" w:themeFill="accent5" w:themeFillTint="33"/>
      </w:pPr>
      <w:r w:rsidRPr="004F70DF">
        <w:t>LF–FW–P12 – Protecting outstanding water bodies</w:t>
      </w:r>
    </w:p>
    <w:p w14:paraId="53505B15" w14:textId="78246568" w:rsidR="00071E47" w:rsidRPr="004F70DF" w:rsidRDefault="00071E47" w:rsidP="00875820">
      <w:pPr>
        <w:pStyle w:val="Normal3"/>
        <w:shd w:val="clear" w:color="auto" w:fill="DEEAF6" w:themeFill="accent5" w:themeFillTint="33"/>
      </w:pPr>
      <w:r w:rsidRPr="004F70DF">
        <w:t>LF–FW–P13 – Preserving natural character</w:t>
      </w:r>
    </w:p>
    <w:p w14:paraId="27534E2E" w14:textId="2E8D8162" w:rsidR="00071E47" w:rsidRPr="004F70DF" w:rsidRDefault="00071E47" w:rsidP="00875820">
      <w:pPr>
        <w:pStyle w:val="Normal3"/>
        <w:shd w:val="clear" w:color="auto" w:fill="DEEAF6" w:themeFill="accent5" w:themeFillTint="33"/>
      </w:pPr>
      <w:r w:rsidRPr="004F70DF">
        <w:t>LF–FW–P14 – Restoring natural character</w:t>
      </w:r>
    </w:p>
    <w:p w14:paraId="05A94A92" w14:textId="342D6772" w:rsidR="00071E47" w:rsidRPr="004F70DF" w:rsidRDefault="00071E47" w:rsidP="00875820">
      <w:pPr>
        <w:pStyle w:val="Normal3"/>
        <w:shd w:val="clear" w:color="auto" w:fill="DEEAF6" w:themeFill="accent5" w:themeFillTint="33"/>
      </w:pPr>
      <w:r w:rsidRPr="004F70DF">
        <w:t>LF–FW–P15 – Stormwater and wastewater discharges</w:t>
      </w:r>
    </w:p>
    <w:p w14:paraId="4CE63CE1" w14:textId="3DA2998D" w:rsidR="00071E47" w:rsidRPr="004F70DF" w:rsidRDefault="00071E47" w:rsidP="00875820">
      <w:pPr>
        <w:pStyle w:val="Normal3"/>
        <w:shd w:val="clear" w:color="auto" w:fill="DEEAF6" w:themeFill="accent5" w:themeFillTint="33"/>
      </w:pPr>
      <w:r w:rsidRPr="004F70DF">
        <w:t>LF–FW–M5 – Outstanding water bodies</w:t>
      </w:r>
    </w:p>
    <w:p w14:paraId="339F0F16" w14:textId="5165C15D" w:rsidR="00071E47" w:rsidRPr="004F70DF" w:rsidRDefault="00071E47" w:rsidP="00875820">
      <w:pPr>
        <w:pStyle w:val="Normal3"/>
        <w:shd w:val="clear" w:color="auto" w:fill="DEEAF6" w:themeFill="accent5" w:themeFillTint="33"/>
      </w:pPr>
      <w:r w:rsidRPr="004F70DF">
        <w:t>LF–FW–M6 – Regional plans</w:t>
      </w:r>
    </w:p>
    <w:p w14:paraId="47B7EC05" w14:textId="21E97E15" w:rsidR="00071E47" w:rsidRPr="004F70DF" w:rsidRDefault="00071E47" w:rsidP="00875820">
      <w:pPr>
        <w:pStyle w:val="Normal3"/>
        <w:shd w:val="clear" w:color="auto" w:fill="DEEAF6" w:themeFill="accent5" w:themeFillTint="33"/>
      </w:pPr>
      <w:r w:rsidRPr="004F70DF">
        <w:t>LF–FW–M7 – District plans</w:t>
      </w:r>
    </w:p>
    <w:p w14:paraId="1596A687" w14:textId="5A72AF03" w:rsidR="00071E47" w:rsidRPr="004F70DF" w:rsidRDefault="00071E47" w:rsidP="00875820">
      <w:pPr>
        <w:pStyle w:val="Normal3"/>
        <w:shd w:val="clear" w:color="auto" w:fill="DEEAF6" w:themeFill="accent5" w:themeFillTint="33"/>
      </w:pPr>
      <w:r w:rsidRPr="004F70DF">
        <w:t>LF–FW–M8 – Action plans</w:t>
      </w:r>
    </w:p>
    <w:p w14:paraId="7CB0F4AE" w14:textId="2372BDCF" w:rsidR="00071E47" w:rsidRPr="004F70DF" w:rsidRDefault="00071E47" w:rsidP="00875820">
      <w:pPr>
        <w:pStyle w:val="Normal3"/>
        <w:shd w:val="clear" w:color="auto" w:fill="DEEAF6" w:themeFill="accent5" w:themeFillTint="33"/>
      </w:pPr>
      <w:r w:rsidRPr="004F70DF">
        <w:t>LF–FW–M9 – Monitoring</w:t>
      </w:r>
    </w:p>
    <w:p w14:paraId="45FCDA44" w14:textId="4E6E9B6C" w:rsidR="00071E47" w:rsidRDefault="00CC2712" w:rsidP="00875820">
      <w:pPr>
        <w:pStyle w:val="Normal3"/>
        <w:shd w:val="clear" w:color="auto" w:fill="DEEAF6" w:themeFill="accent5" w:themeFillTint="33"/>
      </w:pPr>
      <w:r>
        <w:t>All methods in the LF</w:t>
      </w:r>
      <w:r w:rsidRPr="004F70DF">
        <w:t>–</w:t>
      </w:r>
      <w:r>
        <w:t>WAI, LF</w:t>
      </w:r>
      <w:r w:rsidRPr="004F70DF">
        <w:t>–</w:t>
      </w:r>
      <w:r>
        <w:t>VM and LF</w:t>
      </w:r>
      <w:r w:rsidRPr="004F70DF">
        <w:t>–</w:t>
      </w:r>
      <w:r>
        <w:t>LS sections</w:t>
      </w:r>
    </w:p>
    <w:p w14:paraId="044D6963" w14:textId="0D62475C" w:rsidR="00CC2712" w:rsidRPr="004F70DF" w:rsidRDefault="00CC2712" w:rsidP="00875820">
      <w:pPr>
        <w:pStyle w:val="Normal3"/>
        <w:shd w:val="clear" w:color="auto" w:fill="DEEAF6" w:themeFill="accent5" w:themeFillTint="33"/>
      </w:pPr>
      <w:r>
        <w:t>APP1 – Criteria for identifying outstanding water bodies</w:t>
      </w:r>
    </w:p>
    <w:p w14:paraId="207C8B0A" w14:textId="75803AA3" w:rsidR="00CC2712" w:rsidRDefault="00071E47" w:rsidP="00875820">
      <w:pPr>
        <w:pStyle w:val="Normal2"/>
        <w:shd w:val="clear" w:color="auto" w:fill="DEEAF6" w:themeFill="accent5" w:themeFillTint="33"/>
      </w:pPr>
      <w:r w:rsidRPr="004F70DF">
        <w:t xml:space="preserve">The LF–FW objectives set out more specific outcomes sought </w:t>
      </w:r>
      <w:proofErr w:type="gramStart"/>
      <w:r w:rsidRPr="004F70DF">
        <w:t>in order to</w:t>
      </w:r>
      <w:proofErr w:type="gramEnd"/>
      <w:r w:rsidRPr="004F70DF">
        <w:t xml:space="preserve"> implement Te Mana o te Wai and achieve the long-term freshwater visions in the LF–VM section. The objectives respond to specific direction in the NPSFM and </w:t>
      </w:r>
      <w:r w:rsidR="004F70DF" w:rsidRPr="004F70DF">
        <w:t xml:space="preserve">relevant matters from section 6 of the RMA that are not fully canvassed in the NPSFM, primarily natural character. </w:t>
      </w:r>
      <w:r w:rsidR="004F70DF">
        <w:t xml:space="preserve">As with the LF–WAI and LF–VM sections, there will be significant economic and social costs from implementing </w:t>
      </w:r>
      <w:r w:rsidR="004F70DF">
        <w:lastRenderedPageBreak/>
        <w:t xml:space="preserve">the provisions in the LF–FW section. These </w:t>
      </w:r>
      <w:proofErr w:type="gramStart"/>
      <w:r w:rsidR="004F70DF">
        <w:t>are considered to be</w:t>
      </w:r>
      <w:proofErr w:type="gramEnd"/>
      <w:r w:rsidR="004F70DF">
        <w:t xml:space="preserve"> justified in light of the significant environmental and cultural benefits</w:t>
      </w:r>
      <w:r w:rsidR="00CC2712">
        <w:t xml:space="preserve"> that will also be achieved. Given ORC must implement the NPSFM, and these objectives have been prepared to do that, they </w:t>
      </w:r>
      <w:proofErr w:type="gramStart"/>
      <w:r w:rsidR="00CC2712">
        <w:t>are considered to be</w:t>
      </w:r>
      <w:proofErr w:type="gramEnd"/>
      <w:r w:rsidR="00CC2712">
        <w:t xml:space="preserve"> the most appropriate way to achieve the purpose of the RMA.</w:t>
      </w:r>
    </w:p>
    <w:p w14:paraId="6B3F634A" w14:textId="282F0F5F" w:rsidR="002C2245" w:rsidRDefault="002C2245" w:rsidP="00DE069C">
      <w:pPr>
        <w:pStyle w:val="Heading4"/>
      </w:pPr>
      <w:r>
        <w:t>LF–LS – Land and soil</w:t>
      </w:r>
    </w:p>
    <w:p w14:paraId="306D89CD" w14:textId="4E5875E7" w:rsidR="002C2245" w:rsidRDefault="002C2245" w:rsidP="00A247C5">
      <w:pPr>
        <w:pStyle w:val="Normal2"/>
      </w:pPr>
      <w:r>
        <w:t xml:space="preserve">This section of the LF chapter has two objectives which are assessed in </w:t>
      </w:r>
      <w:r w:rsidR="00AD209D">
        <w:fldChar w:fldCharType="begin"/>
      </w:r>
      <w:r w:rsidR="00AD209D">
        <w:instrText xml:space="preserve"> REF _Ref72495487 \h </w:instrText>
      </w:r>
      <w:r w:rsidR="00AD209D">
        <w:fldChar w:fldCharType="separate"/>
      </w:r>
      <w:r w:rsidR="002A7A16">
        <w:t xml:space="preserve">Table </w:t>
      </w:r>
      <w:r w:rsidR="002A7A16">
        <w:rPr>
          <w:noProof/>
        </w:rPr>
        <w:t>11</w:t>
      </w:r>
      <w:r w:rsidR="00AD209D">
        <w:fldChar w:fldCharType="end"/>
      </w:r>
      <w:r w:rsidR="00CC2712">
        <w:t xml:space="preserve"> </w:t>
      </w:r>
      <w:r>
        <w:t>below.</w:t>
      </w:r>
    </w:p>
    <w:p w14:paraId="32E164DB" w14:textId="3E770F73" w:rsidR="00CC2712" w:rsidRDefault="00AD209D" w:rsidP="00AD209D">
      <w:pPr>
        <w:pStyle w:val="Caption"/>
      </w:pPr>
      <w:bookmarkStart w:id="44" w:name="_Ref72495487"/>
      <w:r>
        <w:t xml:space="preserve">Table </w:t>
      </w:r>
      <w:r>
        <w:fldChar w:fldCharType="begin"/>
      </w:r>
      <w:r>
        <w:instrText xml:space="preserve"> SEQ Table \* ARABIC </w:instrText>
      </w:r>
      <w:r>
        <w:fldChar w:fldCharType="separate"/>
      </w:r>
      <w:r w:rsidR="002A7A16">
        <w:rPr>
          <w:noProof/>
        </w:rPr>
        <w:t>11</w:t>
      </w:r>
      <w:r>
        <w:rPr>
          <w:noProof/>
        </w:rPr>
        <w:fldChar w:fldCharType="end"/>
      </w:r>
      <w:bookmarkEnd w:id="44"/>
      <w:r>
        <w:t xml:space="preserve">: </w:t>
      </w:r>
      <w:r w:rsidRPr="002A4136">
        <w:t>Evaluation of LF-</w:t>
      </w:r>
      <w:r>
        <w:t xml:space="preserve">LS </w:t>
      </w:r>
      <w:r w:rsidRPr="002A4136">
        <w:t>objective</w:t>
      </w:r>
      <w:r>
        <w:t>s</w:t>
      </w:r>
    </w:p>
    <w:tbl>
      <w:tblPr>
        <w:tblStyle w:val="TableGrid"/>
        <w:tblW w:w="0" w:type="auto"/>
        <w:tblLook w:val="04A0" w:firstRow="1" w:lastRow="0" w:firstColumn="1" w:lastColumn="0" w:noHBand="0" w:noVBand="1"/>
      </w:tblPr>
      <w:tblGrid>
        <w:gridCol w:w="3489"/>
        <w:gridCol w:w="5527"/>
      </w:tblGrid>
      <w:tr w:rsidR="002C2245" w:rsidRPr="00462638" w14:paraId="59AD042A" w14:textId="77777777" w:rsidTr="002C2245">
        <w:tc>
          <w:tcPr>
            <w:tcW w:w="3489" w:type="dxa"/>
            <w:shd w:val="clear" w:color="auto" w:fill="B4C6E7" w:themeFill="accent1" w:themeFillTint="66"/>
          </w:tcPr>
          <w:p w14:paraId="6FE97E37" w14:textId="041F5299" w:rsidR="002C2245" w:rsidRPr="00930CFC" w:rsidRDefault="002C2245" w:rsidP="00A247C5">
            <w:pPr>
              <w:pStyle w:val="Table1"/>
              <w:rPr>
                <w:b/>
                <w:bCs/>
              </w:rPr>
            </w:pPr>
            <w:r w:rsidRPr="00930CFC">
              <w:rPr>
                <w:b/>
                <w:bCs/>
              </w:rPr>
              <w:t>Objective</w:t>
            </w:r>
          </w:p>
        </w:tc>
        <w:tc>
          <w:tcPr>
            <w:tcW w:w="5527" w:type="dxa"/>
            <w:shd w:val="clear" w:color="auto" w:fill="B4C6E7" w:themeFill="accent1" w:themeFillTint="66"/>
          </w:tcPr>
          <w:p w14:paraId="6B9BF904" w14:textId="5CDA4554" w:rsidR="002C2245" w:rsidRPr="00930CFC" w:rsidRDefault="002C2245" w:rsidP="00A247C5">
            <w:pPr>
              <w:pStyle w:val="Table1"/>
              <w:rPr>
                <w:b/>
                <w:bCs/>
              </w:rPr>
            </w:pPr>
            <w:r w:rsidRPr="00930CFC">
              <w:rPr>
                <w:b/>
                <w:bCs/>
              </w:rPr>
              <w:t>Assessment</w:t>
            </w:r>
          </w:p>
        </w:tc>
      </w:tr>
      <w:tr w:rsidR="001E2CA7" w:rsidRPr="00462638" w14:paraId="296FE131" w14:textId="77777777" w:rsidTr="00667343">
        <w:tc>
          <w:tcPr>
            <w:tcW w:w="3489" w:type="dxa"/>
          </w:tcPr>
          <w:p w14:paraId="55E7F3A8" w14:textId="73E3C0D5" w:rsidR="001E2CA7" w:rsidRPr="00930CFC" w:rsidRDefault="001E2CA7" w:rsidP="00A247C5">
            <w:pPr>
              <w:pStyle w:val="Table1"/>
              <w:rPr>
                <w:b/>
                <w:bCs/>
              </w:rPr>
            </w:pPr>
            <w:r w:rsidRPr="00930CFC">
              <w:rPr>
                <w:b/>
                <w:bCs/>
              </w:rPr>
              <w:t>LF–LS–O1</w:t>
            </w:r>
            <w:r w:rsidR="003E0D56" w:rsidRPr="00930CFC">
              <w:rPr>
                <w:b/>
                <w:bCs/>
              </w:rPr>
              <w:t>1</w:t>
            </w:r>
            <w:r w:rsidRPr="00930CFC">
              <w:rPr>
                <w:b/>
                <w:bCs/>
              </w:rPr>
              <w:t xml:space="preserve"> – Land and soil</w:t>
            </w:r>
          </w:p>
          <w:p w14:paraId="3198424D" w14:textId="2B1FF435" w:rsidR="00557E0D" w:rsidRDefault="00123C0C" w:rsidP="00A247C5">
            <w:pPr>
              <w:pStyle w:val="Table1"/>
            </w:pPr>
            <w:r w:rsidRPr="00123C0C">
              <w:t>The life-supporting capacity of Otago’s soil resources is safeguarded and the availability and productive capacity of highly productive land for primary production is maintained now and for future generations.</w:t>
            </w:r>
          </w:p>
        </w:tc>
        <w:tc>
          <w:tcPr>
            <w:tcW w:w="5527" w:type="dxa"/>
          </w:tcPr>
          <w:p w14:paraId="539E0F08" w14:textId="6C279363" w:rsidR="001E2CA7" w:rsidRDefault="001354B0" w:rsidP="00A247C5">
            <w:pPr>
              <w:pStyle w:val="Table1"/>
            </w:pPr>
            <w:r>
              <w:t xml:space="preserve">Section 5 of the RMA defines sustainable management as requiring, in part, safeguarding the life-supporting capacity of soil. Under section 30, regional councils are responsible for controlling the use of land for the purpose of soil conservation. Under section 31, territorial authorities are responsible for the control of any actual or potential effects of the use, </w:t>
            </w:r>
            <w:proofErr w:type="gramStart"/>
            <w:r>
              <w:t>development</w:t>
            </w:r>
            <w:proofErr w:type="gramEnd"/>
            <w:r>
              <w:t xml:space="preserve"> or protection of land. This objective articulates an outcome for land and soil resources that is consistent with those statutory requirements.</w:t>
            </w:r>
            <w:r w:rsidR="00535766">
              <w:t xml:space="preserve"> </w:t>
            </w:r>
          </w:p>
          <w:p w14:paraId="393460BC" w14:textId="6A185321" w:rsidR="001354B0" w:rsidRDefault="00535766" w:rsidP="00A247C5">
            <w:pPr>
              <w:pStyle w:val="Table1"/>
            </w:pPr>
            <w:r>
              <w:t xml:space="preserve">In consultation on the issues in Otago, communities expressed concern about the future of Otago’s land and soil resources. This was particularly in relation to the effects of pest species (see SRMR–I3) and urban growth (see SRMR–I4) which were identified as significant threats to Otago’s productive land and soil resources. </w:t>
            </w:r>
            <w:r w:rsidR="0094674E">
              <w:t xml:space="preserve">The importance of productive land to Otago’s communities was highlighted again through consultation on the freshwater visions in late 2020, with many communities seeking recognition of the food production occurring across the region. </w:t>
            </w:r>
            <w:r>
              <w:t xml:space="preserve">Consultation under clause 3 of Schedule 1 of the RMA 1991 echoed these sentiments and sought additional protection of </w:t>
            </w:r>
            <w:r w:rsidR="0094674E">
              <w:t>land and soil resources. This objective addresses the feedback from communities and outlines the goal sought for these resources, reflecting primarily the views of the public.</w:t>
            </w:r>
          </w:p>
        </w:tc>
      </w:tr>
      <w:tr w:rsidR="001E2CA7" w:rsidRPr="00462638" w14:paraId="43B6479D" w14:textId="77777777" w:rsidTr="00667343">
        <w:tc>
          <w:tcPr>
            <w:tcW w:w="3489" w:type="dxa"/>
          </w:tcPr>
          <w:p w14:paraId="741C7F32" w14:textId="2FF1676C" w:rsidR="001E2CA7" w:rsidRPr="00930CFC" w:rsidRDefault="001E2CA7" w:rsidP="00A247C5">
            <w:pPr>
              <w:pStyle w:val="Table1"/>
              <w:rPr>
                <w:b/>
                <w:bCs/>
              </w:rPr>
            </w:pPr>
            <w:r w:rsidRPr="00930CFC">
              <w:rPr>
                <w:b/>
                <w:bCs/>
              </w:rPr>
              <w:t>LF–LS–O1</w:t>
            </w:r>
            <w:r w:rsidR="003E0D56" w:rsidRPr="00930CFC">
              <w:rPr>
                <w:b/>
                <w:bCs/>
              </w:rPr>
              <w:t>2</w:t>
            </w:r>
            <w:r w:rsidRPr="00930CFC">
              <w:rPr>
                <w:b/>
                <w:bCs/>
              </w:rPr>
              <w:t xml:space="preserve"> – Use of land</w:t>
            </w:r>
          </w:p>
          <w:p w14:paraId="3488FD4F" w14:textId="4416D9A9" w:rsidR="00956544" w:rsidRDefault="00956544" w:rsidP="00A247C5">
            <w:pPr>
              <w:pStyle w:val="Table1"/>
            </w:pPr>
            <w:r w:rsidRPr="00956544">
              <w:t>The use of land in Otago maintains soil quality and contributes to achieving environmental outcomes for freshwater quality and quantity.</w:t>
            </w:r>
          </w:p>
        </w:tc>
        <w:tc>
          <w:tcPr>
            <w:tcW w:w="5527" w:type="dxa"/>
          </w:tcPr>
          <w:p w14:paraId="2219AFE9" w14:textId="2DA2AE04" w:rsidR="0094674E" w:rsidRDefault="0094674E" w:rsidP="00A247C5">
            <w:pPr>
              <w:pStyle w:val="Table1"/>
            </w:pPr>
            <w:r>
              <w:t xml:space="preserve">Section 5 of the RMA 1991 defines sustainable management as requiring, in part, safeguarding the life-supporting capacity of soil. Under section 30, regional councils are responsible for controlling the use of land for the purpose of soil conservation, the maintenance and enhancement of water quality and ecosystems in water bodies. Territorial authorities are responsible for the control of any actual or potential effects of the use, </w:t>
            </w:r>
            <w:proofErr w:type="gramStart"/>
            <w:r>
              <w:t>development</w:t>
            </w:r>
            <w:proofErr w:type="gramEnd"/>
            <w:r>
              <w:t xml:space="preserve"> or protection of land under section 31. </w:t>
            </w:r>
            <w:proofErr w:type="gramStart"/>
            <w:r w:rsidR="00752A5F">
              <w:t>In order to</w:t>
            </w:r>
            <w:proofErr w:type="gramEnd"/>
            <w:r w:rsidR="00752A5F">
              <w:t xml:space="preserve"> contribute to freshwater outcome, regional councils and territorial authorities both have roles to play in managing land. </w:t>
            </w:r>
          </w:p>
          <w:p w14:paraId="54FA9CEE" w14:textId="57A5E926" w:rsidR="00752A5F" w:rsidRDefault="00752A5F" w:rsidP="00A247C5">
            <w:pPr>
              <w:pStyle w:val="Table1"/>
            </w:pPr>
            <w:r>
              <w:t xml:space="preserve">Objective 1 of the NPSFM requires natural and physical resources to be managed in a way that prioritises, first, the health and wellbeing of waterbodies and freshwater ecosystems, second, the health needs of people, and third, the ability of people and communities to provide for their social, </w:t>
            </w:r>
            <w:proofErr w:type="gramStart"/>
            <w:r>
              <w:t>economic</w:t>
            </w:r>
            <w:proofErr w:type="gramEnd"/>
            <w:r>
              <w:t xml:space="preserve"> and cultural wellbeing, now and in the future. This </w:t>
            </w:r>
            <w:r w:rsidR="001965BF">
              <w:t xml:space="preserve">principle also </w:t>
            </w:r>
            <w:r>
              <w:t xml:space="preserve">applies to land management, which can have a significant impact on the health of water bodies and their ecosystems. Following on from this, Policy 3 </w:t>
            </w:r>
            <w:r w:rsidR="00351F44">
              <w:t xml:space="preserve">of the NPSFM </w:t>
            </w:r>
            <w:r>
              <w:t xml:space="preserve">requires freshwater to be managed in an integrated way that considers the effects of the use and development of land on a whole-of-catchment basis, including the </w:t>
            </w:r>
            <w:r>
              <w:lastRenderedPageBreak/>
              <w:t xml:space="preserve">effects on receiving environments. </w:t>
            </w:r>
            <w:r w:rsidR="00240490">
              <w:t>This objective responds to that direction by recognising that achieving freshwater objectives also requires managing land.</w:t>
            </w:r>
          </w:p>
          <w:p w14:paraId="066AA12F" w14:textId="74579A97" w:rsidR="001E2CA7" w:rsidRDefault="00240490" w:rsidP="00A247C5">
            <w:pPr>
              <w:pStyle w:val="Table1"/>
            </w:pPr>
            <w:r>
              <w:t xml:space="preserve">The effects of land use on water </w:t>
            </w:r>
            <w:proofErr w:type="gramStart"/>
            <w:r>
              <w:t>has</w:t>
            </w:r>
            <w:proofErr w:type="gramEnd"/>
            <w:r>
              <w:t xml:space="preserve"> been identified as a significant issue for Kāi </w:t>
            </w:r>
            <w:proofErr w:type="spellStart"/>
            <w:r>
              <w:t>Tahu</w:t>
            </w:r>
            <w:proofErr w:type="spellEnd"/>
            <w:r>
              <w:t xml:space="preserve">. This includes degradation of water resources from pollution (see RMIA–WAI–I1) and adverse effects on </w:t>
            </w:r>
            <w:proofErr w:type="spellStart"/>
            <w:r>
              <w:t>mahika</w:t>
            </w:r>
            <w:proofErr w:type="spellEnd"/>
            <w:r>
              <w:t xml:space="preserve"> kai resources (see RMIA–WAI–I3 and RMIA–MKB–I1). </w:t>
            </w:r>
            <w:r w:rsidR="002C2245">
              <w:t>Similar issues were raised during consultation with the community on Otago’s issues (see SRMR–I6).</w:t>
            </w:r>
          </w:p>
        </w:tc>
      </w:tr>
    </w:tbl>
    <w:p w14:paraId="62CC7D60" w14:textId="67795EC5" w:rsidR="34C72508" w:rsidRDefault="34C72508"/>
    <w:p w14:paraId="5CDB8A46" w14:textId="7063F0C6" w:rsidR="00CC2712" w:rsidRDefault="00CC2712" w:rsidP="00A247C5">
      <w:pPr>
        <w:pStyle w:val="Normal2"/>
      </w:pPr>
      <w:r>
        <w:t>The policies and methods that implement these objectives a</w:t>
      </w:r>
      <w:r w:rsidR="00827F43">
        <w:t>r</w:t>
      </w:r>
      <w:r>
        <w:t xml:space="preserve">e evaluated in section </w:t>
      </w:r>
      <w:r>
        <w:fldChar w:fldCharType="begin"/>
      </w:r>
      <w:r>
        <w:instrText xml:space="preserve"> REF _Ref72327279 \r \h </w:instrText>
      </w:r>
      <w:r>
        <w:fldChar w:fldCharType="separate"/>
      </w:r>
      <w:r w:rsidR="002A7A16">
        <w:t>5.7</w:t>
      </w:r>
      <w:r>
        <w:fldChar w:fldCharType="end"/>
      </w:r>
      <w:r>
        <w:t xml:space="preserve"> of this report and are:</w:t>
      </w:r>
    </w:p>
    <w:p w14:paraId="088E95CD" w14:textId="77777777" w:rsidR="00CC2712" w:rsidRPr="00CC2712" w:rsidRDefault="00CC2712" w:rsidP="00A247C5">
      <w:pPr>
        <w:pStyle w:val="Normal3"/>
      </w:pPr>
      <w:r w:rsidRPr="00CC2712">
        <w:t>LF–FW–P16 – Integrated management</w:t>
      </w:r>
    </w:p>
    <w:p w14:paraId="611596EA" w14:textId="77777777" w:rsidR="00CC2712" w:rsidRPr="00CC2712" w:rsidRDefault="00CC2712" w:rsidP="00A247C5">
      <w:pPr>
        <w:pStyle w:val="Normal3"/>
      </w:pPr>
      <w:r w:rsidRPr="00CC2712">
        <w:t>LF–FW–P17 – Soil values</w:t>
      </w:r>
    </w:p>
    <w:p w14:paraId="144B66C0" w14:textId="77777777" w:rsidR="00CC2712" w:rsidRPr="00CC2712" w:rsidRDefault="00CC2712" w:rsidP="00A247C5">
      <w:pPr>
        <w:pStyle w:val="Normal3"/>
      </w:pPr>
      <w:r w:rsidRPr="00CC2712">
        <w:t>LF–FW–P18 – Soil erosion</w:t>
      </w:r>
    </w:p>
    <w:p w14:paraId="2BB1A220" w14:textId="77777777" w:rsidR="00CC2712" w:rsidRPr="00CC2712" w:rsidRDefault="00CC2712" w:rsidP="00A247C5">
      <w:pPr>
        <w:pStyle w:val="Normal3"/>
      </w:pPr>
      <w:r w:rsidRPr="00CC2712">
        <w:t>LF–FW–P19 – Highly productive land</w:t>
      </w:r>
    </w:p>
    <w:p w14:paraId="58A57F50" w14:textId="77777777" w:rsidR="00CC2712" w:rsidRPr="00CC2712" w:rsidRDefault="00CC2712" w:rsidP="00A247C5">
      <w:pPr>
        <w:pStyle w:val="Normal3"/>
      </w:pPr>
      <w:r w:rsidRPr="00CC2712">
        <w:t>LF–FW–P20 – Land use change</w:t>
      </w:r>
    </w:p>
    <w:p w14:paraId="60120A29" w14:textId="77777777" w:rsidR="00CC2712" w:rsidRPr="00CC2712" w:rsidRDefault="00CC2712" w:rsidP="00A247C5">
      <w:pPr>
        <w:pStyle w:val="Normal3"/>
      </w:pPr>
      <w:r w:rsidRPr="00CC2712">
        <w:t>LF–FW–P21 – Land use and freshwater</w:t>
      </w:r>
    </w:p>
    <w:p w14:paraId="2F1CA887" w14:textId="77777777" w:rsidR="00CC2712" w:rsidRPr="00CC2712" w:rsidRDefault="00CC2712" w:rsidP="00A247C5">
      <w:pPr>
        <w:pStyle w:val="Normal3"/>
      </w:pPr>
      <w:r w:rsidRPr="00CC2712">
        <w:t>LF–FW–P22 – Public access</w:t>
      </w:r>
    </w:p>
    <w:p w14:paraId="797A1084" w14:textId="77777777" w:rsidR="00CC2712" w:rsidRPr="00CC2712" w:rsidRDefault="00CC2712" w:rsidP="00A247C5">
      <w:pPr>
        <w:pStyle w:val="Normal3"/>
      </w:pPr>
      <w:r w:rsidRPr="00CC2712">
        <w:t>LF–FW–M11 – Regional plans</w:t>
      </w:r>
    </w:p>
    <w:p w14:paraId="5AD8911C" w14:textId="77777777" w:rsidR="00CC2712" w:rsidRPr="00CC2712" w:rsidRDefault="00CC2712" w:rsidP="00A247C5">
      <w:pPr>
        <w:pStyle w:val="Normal3"/>
      </w:pPr>
      <w:r w:rsidRPr="00CC2712">
        <w:t>LF–FW–M12 – District plans</w:t>
      </w:r>
    </w:p>
    <w:p w14:paraId="4143D46F" w14:textId="77777777" w:rsidR="00CC2712" w:rsidRPr="00CC2712" w:rsidRDefault="00CC2712" w:rsidP="00A247C5">
      <w:pPr>
        <w:pStyle w:val="Normal3"/>
      </w:pPr>
      <w:r w:rsidRPr="00CC2712">
        <w:t>LF–FW–M13 – Management of beds and riparian margins</w:t>
      </w:r>
    </w:p>
    <w:p w14:paraId="0A2A188B" w14:textId="66A8C924" w:rsidR="00CC2712" w:rsidRDefault="00CC2712" w:rsidP="00A247C5">
      <w:pPr>
        <w:pStyle w:val="Normal3"/>
      </w:pPr>
      <w:r>
        <w:t>All methods in the LF</w:t>
      </w:r>
      <w:r w:rsidRPr="004F70DF">
        <w:t>–</w:t>
      </w:r>
      <w:r>
        <w:t>WAI, LF</w:t>
      </w:r>
      <w:r w:rsidRPr="004F70DF">
        <w:t>–</w:t>
      </w:r>
      <w:r>
        <w:t>VM and LF</w:t>
      </w:r>
      <w:r w:rsidRPr="004F70DF">
        <w:t>–</w:t>
      </w:r>
      <w:r>
        <w:t>FW sections</w:t>
      </w:r>
    </w:p>
    <w:p w14:paraId="732D3841" w14:textId="7FC3208A" w:rsidR="00461ECF" w:rsidRDefault="008623DE" w:rsidP="00A247C5">
      <w:pPr>
        <w:pStyle w:val="Normal2"/>
      </w:pPr>
      <w:r>
        <w:t xml:space="preserve">These objectives </w:t>
      </w:r>
      <w:proofErr w:type="gramStart"/>
      <w:r>
        <w:t>are considered to be</w:t>
      </w:r>
      <w:proofErr w:type="gramEnd"/>
      <w:r>
        <w:t xml:space="preserve"> the most appropriate way to achieve the purpose of the </w:t>
      </w:r>
      <w:r w:rsidR="00607417">
        <w:t>RMA</w:t>
      </w:r>
      <w:r>
        <w:t>, as it relate</w:t>
      </w:r>
      <w:r w:rsidR="00351F44">
        <w:t>s</w:t>
      </w:r>
      <w:r>
        <w:t xml:space="preserve"> to land and soil, as they aim to safeguard the physical resources themselves while recognising the impacts of using those resources on freshwater resources. Soil and productive land are important assets for Otago’s communities, supporting a range of economic uses including food production. It is appropriate to maintain the quality and availability of those resources </w:t>
      </w:r>
      <w:proofErr w:type="gramStart"/>
      <w:r>
        <w:t>in order for</w:t>
      </w:r>
      <w:proofErr w:type="gramEnd"/>
      <w:r>
        <w:t xml:space="preserve"> people and communities (now and in the future) to provide for their economic and social wellbeing. Given the strong connection between land uses and the health of freshwater, </w:t>
      </w:r>
      <w:r w:rsidR="002A0C68">
        <w:t xml:space="preserve">it is necessary to manage land with a view to the impacts on the wider environment, particularly as part of implementing the NPSFM. </w:t>
      </w:r>
    </w:p>
    <w:p w14:paraId="19DA681D" w14:textId="7BC4590C" w:rsidR="00CC2712" w:rsidRDefault="00CC2712" w:rsidP="00A247C5">
      <w:pPr>
        <w:pStyle w:val="Normal2"/>
      </w:pPr>
      <w:r>
        <w:t xml:space="preserve">As with the LF–WAI, LF–VM and LF–FW sections, there will be economic and social costs from implementing the provisions in the LF–LS section. These </w:t>
      </w:r>
      <w:proofErr w:type="gramStart"/>
      <w:r>
        <w:t>are considered to be</w:t>
      </w:r>
      <w:proofErr w:type="gramEnd"/>
      <w:r>
        <w:t xml:space="preserve"> justified in light of the environmental and cultural benefits </w:t>
      </w:r>
      <w:r w:rsidR="00EC5C03">
        <w:t>and long-term social and economic benefits</w:t>
      </w:r>
      <w:r>
        <w:t xml:space="preserve"> that will be achieved. These objectives assist with implementing the NPSFM and recognising the need to manage land and soil resources as a component of sustainable management as defined in section 5 of the RMA 1991. The objectives are therefore considered to be the most appropriate way to achieve the purpose of the RMA.</w:t>
      </w:r>
    </w:p>
    <w:p w14:paraId="53C509CC" w14:textId="2E1144F7" w:rsidR="009F3F14" w:rsidRDefault="009F3F14" w:rsidP="0082271A">
      <w:pPr>
        <w:pStyle w:val="Heading3"/>
      </w:pPr>
      <w:r>
        <w:t>ECO – Ecosystems and biodiversity</w:t>
      </w:r>
    </w:p>
    <w:p w14:paraId="678F8714" w14:textId="293EB71A" w:rsidR="009F3F14" w:rsidRDefault="00CC2712" w:rsidP="00A247C5">
      <w:pPr>
        <w:pStyle w:val="Normal2"/>
      </w:pPr>
      <w:r>
        <w:t xml:space="preserve">The ECO chapter has three objectives which are assessed in </w:t>
      </w:r>
      <w:r w:rsidR="00AD209D">
        <w:fldChar w:fldCharType="begin"/>
      </w:r>
      <w:r w:rsidR="00AD209D">
        <w:instrText xml:space="preserve"> REF _Ref72327514 \h </w:instrText>
      </w:r>
      <w:r w:rsidR="00AD209D">
        <w:fldChar w:fldCharType="separate"/>
      </w:r>
      <w:r w:rsidR="002A7A16">
        <w:t xml:space="preserve">Table </w:t>
      </w:r>
      <w:r w:rsidR="002A7A16">
        <w:rPr>
          <w:noProof/>
        </w:rPr>
        <w:t>12</w:t>
      </w:r>
      <w:r w:rsidR="00AD209D">
        <w:fldChar w:fldCharType="end"/>
      </w:r>
      <w:r w:rsidR="00AD209D">
        <w:t xml:space="preserve"> </w:t>
      </w:r>
      <w:r>
        <w:t>below.</w:t>
      </w:r>
    </w:p>
    <w:p w14:paraId="6378B319" w14:textId="666BCCE4" w:rsidR="00CC2712" w:rsidRDefault="00CC2712" w:rsidP="00CC2712">
      <w:pPr>
        <w:pStyle w:val="Caption"/>
      </w:pPr>
      <w:bookmarkStart w:id="45" w:name="_Ref72327514"/>
      <w:r>
        <w:t xml:space="preserve">Table </w:t>
      </w:r>
      <w:r>
        <w:fldChar w:fldCharType="begin"/>
      </w:r>
      <w:r>
        <w:instrText xml:space="preserve"> SEQ Table \* ARABIC </w:instrText>
      </w:r>
      <w:r>
        <w:fldChar w:fldCharType="separate"/>
      </w:r>
      <w:r w:rsidR="002A7A16">
        <w:rPr>
          <w:noProof/>
        </w:rPr>
        <w:t>12</w:t>
      </w:r>
      <w:r>
        <w:rPr>
          <w:noProof/>
        </w:rPr>
        <w:fldChar w:fldCharType="end"/>
      </w:r>
      <w:bookmarkEnd w:id="45"/>
      <w:r>
        <w:t>: Evaluation of ECO objectives</w:t>
      </w:r>
    </w:p>
    <w:tbl>
      <w:tblPr>
        <w:tblStyle w:val="TableGrid"/>
        <w:tblW w:w="0" w:type="auto"/>
        <w:tblLook w:val="04A0" w:firstRow="1" w:lastRow="0" w:firstColumn="1" w:lastColumn="0" w:noHBand="0" w:noVBand="1"/>
      </w:tblPr>
      <w:tblGrid>
        <w:gridCol w:w="3489"/>
        <w:gridCol w:w="5527"/>
      </w:tblGrid>
      <w:tr w:rsidR="006F7059" w:rsidRPr="00462638" w14:paraId="332E09B5" w14:textId="77777777" w:rsidTr="0093339F">
        <w:tc>
          <w:tcPr>
            <w:tcW w:w="3489" w:type="dxa"/>
            <w:shd w:val="clear" w:color="auto" w:fill="B4C6E7" w:themeFill="accent1" w:themeFillTint="66"/>
          </w:tcPr>
          <w:p w14:paraId="602C9791" w14:textId="77777777" w:rsidR="006F7059" w:rsidRPr="00930CFC" w:rsidRDefault="006F7059" w:rsidP="00A247C5">
            <w:pPr>
              <w:pStyle w:val="Table1"/>
              <w:rPr>
                <w:b/>
                <w:bCs/>
              </w:rPr>
            </w:pPr>
            <w:r w:rsidRPr="00930CFC">
              <w:rPr>
                <w:b/>
                <w:bCs/>
              </w:rPr>
              <w:t>Objective</w:t>
            </w:r>
          </w:p>
        </w:tc>
        <w:tc>
          <w:tcPr>
            <w:tcW w:w="5527" w:type="dxa"/>
            <w:shd w:val="clear" w:color="auto" w:fill="B4C6E7" w:themeFill="accent1" w:themeFillTint="66"/>
          </w:tcPr>
          <w:p w14:paraId="29BF83BF" w14:textId="434465F9" w:rsidR="006F7059" w:rsidRPr="00930CFC" w:rsidRDefault="006F7059" w:rsidP="00A247C5">
            <w:pPr>
              <w:pStyle w:val="Table1"/>
              <w:rPr>
                <w:b/>
                <w:bCs/>
              </w:rPr>
            </w:pPr>
            <w:r w:rsidRPr="00930CFC">
              <w:rPr>
                <w:b/>
                <w:bCs/>
              </w:rPr>
              <w:t>Assessment</w:t>
            </w:r>
          </w:p>
        </w:tc>
      </w:tr>
      <w:tr w:rsidR="006F7059" w:rsidRPr="00462638" w14:paraId="4B9F9B18" w14:textId="77777777" w:rsidTr="0093339F">
        <w:tc>
          <w:tcPr>
            <w:tcW w:w="3489" w:type="dxa"/>
          </w:tcPr>
          <w:p w14:paraId="3DEC6DFC" w14:textId="390613CC" w:rsidR="006F7059" w:rsidRPr="00930CFC" w:rsidRDefault="004D3276" w:rsidP="00A247C5">
            <w:pPr>
              <w:pStyle w:val="Table1"/>
              <w:rPr>
                <w:b/>
                <w:bCs/>
              </w:rPr>
            </w:pPr>
            <w:r w:rsidRPr="00930CFC">
              <w:rPr>
                <w:b/>
                <w:bCs/>
              </w:rPr>
              <w:lastRenderedPageBreak/>
              <w:t>ECO–O1 – Indigenous biodiversity</w:t>
            </w:r>
          </w:p>
          <w:p w14:paraId="08373DFF" w14:textId="67FE5AB4" w:rsidR="004D3276" w:rsidRDefault="004D3276" w:rsidP="00A247C5">
            <w:pPr>
              <w:pStyle w:val="Table1"/>
            </w:pPr>
            <w:r>
              <w:t>Otago’s indigenous biodiversity is healthy and thriving and any decline in its quality, quantity and diversity is halted.</w:t>
            </w:r>
          </w:p>
        </w:tc>
        <w:tc>
          <w:tcPr>
            <w:tcW w:w="5527" w:type="dxa"/>
          </w:tcPr>
          <w:p w14:paraId="5B010511" w14:textId="1008CD97" w:rsidR="00C044D9" w:rsidRDefault="00C044D9" w:rsidP="00A247C5">
            <w:pPr>
              <w:pStyle w:val="Table1"/>
            </w:pPr>
            <w:r>
              <w:t xml:space="preserve">The protection of areas of significant indigenous vegetation and significant habitats of indigenous fauna </w:t>
            </w:r>
            <w:r w:rsidR="00A55DE9">
              <w:t xml:space="preserve">is a matter of national importance </w:t>
            </w:r>
            <w:r>
              <w:t xml:space="preserve">under section 6(c) of the RMA. Under section 7(d), ORC is also required to have </w:t>
            </w:r>
            <w:proofErr w:type="gramStart"/>
            <w:r>
              <w:t>particular regard</w:t>
            </w:r>
            <w:proofErr w:type="gramEnd"/>
            <w:r>
              <w:t xml:space="preserve"> to the intrinsic values of ecosystems. Both regional councils and territorial authorities have functions relating to the maintenance of indigenous biodiversity under sections 30 and 31. This objective responds to those statutory directives.</w:t>
            </w:r>
          </w:p>
          <w:p w14:paraId="4782F75F" w14:textId="77777777" w:rsidR="006F7059" w:rsidRDefault="00C044D9" w:rsidP="00A247C5">
            <w:pPr>
              <w:pStyle w:val="Table1"/>
            </w:pPr>
            <w:r>
              <w:t xml:space="preserve">The NZCPS and NPSFM set out direction for indigenous biodiversity in the coastal environment and in freshwater respectively, but there is no equivalent instrument for terrestrial indigenous biodiversity outside the coastal environment. </w:t>
            </w:r>
            <w:r w:rsidR="005F3260">
              <w:t>The outcome set out in ECO–O1 is at a higher level than the NZCPS and NPSFM but is broadly consistent with the outcomes sought by those instruments.</w:t>
            </w:r>
          </w:p>
          <w:p w14:paraId="3F82965B" w14:textId="6173C0A7" w:rsidR="005F3260" w:rsidRDefault="002A0C68" w:rsidP="00A247C5">
            <w:pPr>
              <w:pStyle w:val="Table1"/>
            </w:pPr>
            <w:r>
              <w:t xml:space="preserve">Loss of biodiversity is a key </w:t>
            </w:r>
            <w:r w:rsidR="0004690F">
              <w:t xml:space="preserve">issue </w:t>
            </w:r>
            <w:r>
              <w:t xml:space="preserve">for Kāi </w:t>
            </w:r>
            <w:proofErr w:type="spellStart"/>
            <w:r>
              <w:t>Tahu</w:t>
            </w:r>
            <w:proofErr w:type="spellEnd"/>
            <w:r>
              <w:t xml:space="preserve">, particularly as it affects </w:t>
            </w:r>
            <w:proofErr w:type="spellStart"/>
            <w:r>
              <w:t>mahika</w:t>
            </w:r>
            <w:proofErr w:type="spellEnd"/>
            <w:r>
              <w:t xml:space="preserve"> kai. This is explained in RMIA–MKB–I1 to RMIA–MKB–I6, which outline a range of </w:t>
            </w:r>
            <w:r w:rsidR="00523A2C">
              <w:t xml:space="preserve">concerns regarding biodiversity in addition to loss, including regulatory and physical barriers, the impacts of climate change, a shortage of protected areas, inconsistent approaches to biodiversity protection and a lack of information about species health and viability. </w:t>
            </w:r>
          </w:p>
          <w:p w14:paraId="4A521FED" w14:textId="5871400D" w:rsidR="00523A2C" w:rsidRDefault="00523A2C" w:rsidP="00A247C5">
            <w:pPr>
              <w:pStyle w:val="Table1"/>
            </w:pPr>
            <w:r>
              <w:t>Biodiversity loss was also a concern raised during consultation with the community in early 2020</w:t>
            </w:r>
            <w:r w:rsidR="0004690F">
              <w:t xml:space="preserve"> (</w:t>
            </w:r>
            <w:r>
              <w:t xml:space="preserve">SRMR–I7). There are also concerns about the impacts of pest species on biodiversity (SRMR–I3) and the general impacts of activities on the environment, cumulative and otherwise (SRMR–I10 and SRMR–I11). </w:t>
            </w:r>
          </w:p>
        </w:tc>
      </w:tr>
      <w:tr w:rsidR="006F7059" w:rsidRPr="00462638" w14:paraId="6A967078" w14:textId="77777777" w:rsidTr="0093339F">
        <w:tc>
          <w:tcPr>
            <w:tcW w:w="3489" w:type="dxa"/>
          </w:tcPr>
          <w:p w14:paraId="7679A772" w14:textId="77777777" w:rsidR="006F7059" w:rsidRPr="00930CFC" w:rsidRDefault="004D3276" w:rsidP="00A247C5">
            <w:pPr>
              <w:pStyle w:val="Table1"/>
              <w:rPr>
                <w:b/>
                <w:bCs/>
              </w:rPr>
            </w:pPr>
            <w:r w:rsidRPr="00930CFC">
              <w:rPr>
                <w:b/>
                <w:bCs/>
              </w:rPr>
              <w:t>ECO–O2 – Restoring or enhancing</w:t>
            </w:r>
          </w:p>
          <w:p w14:paraId="450DB2F2" w14:textId="4E209AA4" w:rsidR="004D3276" w:rsidRDefault="004D3276" w:rsidP="00A247C5">
            <w:pPr>
              <w:pStyle w:val="Table1"/>
            </w:pPr>
            <w:r>
              <w:t>A net increase in the extent and occupancy of Otago’s indigenous biodiversity results from restoration or enhancement.</w:t>
            </w:r>
          </w:p>
        </w:tc>
        <w:tc>
          <w:tcPr>
            <w:tcW w:w="5527" w:type="dxa"/>
          </w:tcPr>
          <w:p w14:paraId="1BB14926" w14:textId="458276EF" w:rsidR="00172CD6" w:rsidRDefault="00523A2C" w:rsidP="00A247C5">
            <w:pPr>
              <w:pStyle w:val="Table1"/>
            </w:pPr>
            <w:r w:rsidRPr="00523A2C">
              <w:t xml:space="preserve">Section 5 of the RMA defines sustainable management as requiring, in part, safeguarding the life-supporting capacity of </w:t>
            </w:r>
            <w:r>
              <w:t xml:space="preserve">ecosystems. Given the widespread loss of biodiversity across Otago, </w:t>
            </w:r>
            <w:r w:rsidR="00172CD6">
              <w:t xml:space="preserve">there are potentially many areas where the life-supporting capacity has not been safeguarded and, in some cases, lost entirely due to removal or clearance of habitats. There is no requirement in the RMA to restore or enhance biodiversity – this objective goes beyond what is required by </w:t>
            </w:r>
            <w:r w:rsidR="00343668">
              <w:t>the legislation. However, it will contribute to a range of matters of national important and other matters of importance:</w:t>
            </w:r>
          </w:p>
          <w:p w14:paraId="2EFBDC30" w14:textId="77777777" w:rsidR="00343668" w:rsidRDefault="00343668" w:rsidP="00A247C5">
            <w:pPr>
              <w:pStyle w:val="Table1"/>
              <w:numPr>
                <w:ilvl w:val="0"/>
                <w:numId w:val="68"/>
              </w:numPr>
            </w:pPr>
            <w:r>
              <w:t>The protection of areas of significant indigenous vegetation and significant habitats of indigenous fauna (section 6(c)).</w:t>
            </w:r>
          </w:p>
          <w:p w14:paraId="65FFBD9B" w14:textId="3D7A6963" w:rsidR="00343668" w:rsidRDefault="00343668" w:rsidP="00A247C5">
            <w:pPr>
              <w:pStyle w:val="Table1"/>
              <w:numPr>
                <w:ilvl w:val="0"/>
                <w:numId w:val="68"/>
              </w:numPr>
            </w:pPr>
            <w:r>
              <w:t>The relationship of Māori and their cultu</w:t>
            </w:r>
            <w:r w:rsidR="00A55DE9">
              <w:t>re</w:t>
            </w:r>
            <w:r>
              <w:t xml:space="preserve"> and traditions with their ancestral lands, water, sites, </w:t>
            </w:r>
            <w:proofErr w:type="spellStart"/>
            <w:r>
              <w:t>wāhi</w:t>
            </w:r>
            <w:proofErr w:type="spellEnd"/>
            <w:r>
              <w:t xml:space="preserve"> </w:t>
            </w:r>
            <w:proofErr w:type="spellStart"/>
            <w:r>
              <w:t>tapu</w:t>
            </w:r>
            <w:proofErr w:type="spellEnd"/>
            <w:r>
              <w:t xml:space="preserve"> and other taonga (section 6(e)).</w:t>
            </w:r>
          </w:p>
          <w:p w14:paraId="17B185EA" w14:textId="1E17F95F" w:rsidR="00343668" w:rsidRDefault="00343668" w:rsidP="00A247C5">
            <w:pPr>
              <w:pStyle w:val="Table1"/>
              <w:numPr>
                <w:ilvl w:val="0"/>
                <w:numId w:val="68"/>
              </w:numPr>
            </w:pPr>
            <w:r>
              <w:t>The intrinsic values of ecosystems (section 7(d)).</w:t>
            </w:r>
          </w:p>
          <w:p w14:paraId="02E7A1D9" w14:textId="77777777" w:rsidR="00343668" w:rsidRDefault="00343668" w:rsidP="00A247C5">
            <w:pPr>
              <w:pStyle w:val="Table1"/>
              <w:numPr>
                <w:ilvl w:val="0"/>
                <w:numId w:val="68"/>
              </w:numPr>
            </w:pPr>
            <w:r>
              <w:t>The maintenance and enhancement of the quality of the environment (section 7(f)).</w:t>
            </w:r>
          </w:p>
          <w:p w14:paraId="3996D5D7" w14:textId="54B57A2B" w:rsidR="00A97A42" w:rsidRDefault="00A97A42" w:rsidP="00A247C5">
            <w:pPr>
              <w:pStyle w:val="Table1"/>
              <w:ind w:left="10"/>
            </w:pPr>
            <w:r>
              <w:t xml:space="preserve">The desire to see not just a halt in decline but a move into </w:t>
            </w:r>
            <w:r w:rsidR="00B037B9">
              <w:t>restoration</w:t>
            </w:r>
            <w:r>
              <w:t xml:space="preserve"> was a clear </w:t>
            </w:r>
            <w:r w:rsidR="00B037B9">
              <w:t>desire</w:t>
            </w:r>
            <w:r>
              <w:t xml:space="preserve"> from </w:t>
            </w:r>
            <w:r w:rsidR="00247204">
              <w:t>the co</w:t>
            </w:r>
            <w:r w:rsidR="00927AD5">
              <w:t>mmunity, as communicated via consultation</w:t>
            </w:r>
            <w:r w:rsidR="00B037B9">
              <w:t xml:space="preserve"> both on the issue statements in early 2020 and feedback from the Reference Group (Ecosystems and Indigenous Biodiversity).</w:t>
            </w:r>
            <w:r w:rsidR="001E2502">
              <w:t xml:space="preserve"> </w:t>
            </w:r>
            <w:r w:rsidR="00EA5225">
              <w:t>Loss of biodiversity</w:t>
            </w:r>
            <w:r w:rsidR="00D9380F">
              <w:t>,</w:t>
            </w:r>
            <w:r w:rsidR="00EA5225">
              <w:t xml:space="preserve"> and the way it has been managed,</w:t>
            </w:r>
            <w:r w:rsidR="001E2502">
              <w:t xml:space="preserve"> is identified as a significant resource management issue for the Otago region (SRMR-I7)</w:t>
            </w:r>
            <w:r w:rsidR="00835FFD">
              <w:t xml:space="preserve"> and a </w:t>
            </w:r>
            <w:r w:rsidR="00835FFD">
              <w:lastRenderedPageBreak/>
              <w:t>significant resource management issue for iwi (RMIA-MKB</w:t>
            </w:r>
            <w:r w:rsidR="000E52C3">
              <w:t>-I1, RMIA-MKB-I4, RMIA-MKB-I5 an</w:t>
            </w:r>
            <w:r w:rsidR="00EA5225">
              <w:t>d</w:t>
            </w:r>
            <w:r w:rsidR="000E52C3">
              <w:t xml:space="preserve"> RMIA-MKB</w:t>
            </w:r>
            <w:r w:rsidR="00EA5225">
              <w:t>-</w:t>
            </w:r>
            <w:r w:rsidR="000E52C3">
              <w:t>I6</w:t>
            </w:r>
            <w:r w:rsidR="001E2502">
              <w:t>.</w:t>
            </w:r>
            <w:r w:rsidR="00B037B9">
              <w:t xml:space="preserve"> Restoring biodiversity is</w:t>
            </w:r>
            <w:r w:rsidR="00EA5225">
              <w:t xml:space="preserve"> also</w:t>
            </w:r>
            <w:r w:rsidR="00B037B9">
              <w:t xml:space="preserve"> consistent with the Kāi </w:t>
            </w:r>
            <w:proofErr w:type="spellStart"/>
            <w:r w:rsidR="00B037B9">
              <w:t>Tahu</w:t>
            </w:r>
            <w:proofErr w:type="spellEnd"/>
            <w:r w:rsidR="00B037B9">
              <w:t xml:space="preserve"> ki Otago Natural Resources Management Plan 2005</w:t>
            </w:r>
            <w:r w:rsidR="00956864">
              <w:rPr>
                <w:rStyle w:val="FootnoteReference"/>
              </w:rPr>
              <w:footnoteReference w:id="17"/>
            </w:r>
            <w:r w:rsidR="00B037B9">
              <w:t xml:space="preserve"> and Te Tangi a </w:t>
            </w:r>
            <w:proofErr w:type="spellStart"/>
            <w:r w:rsidR="00B037B9">
              <w:t>Tauira</w:t>
            </w:r>
            <w:proofErr w:type="spellEnd"/>
            <w:r w:rsidR="00EA78C2">
              <w:t>.</w:t>
            </w:r>
            <w:r w:rsidR="00956864">
              <w:rPr>
                <w:rStyle w:val="FootnoteReference"/>
              </w:rPr>
              <w:footnoteReference w:id="18"/>
            </w:r>
            <w:r w:rsidR="00B037B9">
              <w:t xml:space="preserve"> </w:t>
            </w:r>
          </w:p>
        </w:tc>
      </w:tr>
      <w:tr w:rsidR="00523A2C" w:rsidRPr="00462638" w14:paraId="27639862" w14:textId="77777777" w:rsidTr="0093339F">
        <w:tc>
          <w:tcPr>
            <w:tcW w:w="3489" w:type="dxa"/>
          </w:tcPr>
          <w:p w14:paraId="4FDC0FEC" w14:textId="79CEA5BF" w:rsidR="00523A2C" w:rsidRPr="00930CFC" w:rsidRDefault="00523A2C" w:rsidP="00A247C5">
            <w:pPr>
              <w:pStyle w:val="Table1"/>
              <w:rPr>
                <w:b/>
                <w:bCs/>
              </w:rPr>
            </w:pPr>
            <w:r w:rsidRPr="00930CFC">
              <w:rPr>
                <w:b/>
                <w:bCs/>
              </w:rPr>
              <w:lastRenderedPageBreak/>
              <w:t xml:space="preserve">ECO–O3 – Kaitiakitaka </w:t>
            </w:r>
          </w:p>
          <w:p w14:paraId="0727B5DB" w14:textId="77777777" w:rsidR="00523A2C" w:rsidRPr="00523A2C" w:rsidRDefault="00523A2C" w:rsidP="00A247C5">
            <w:pPr>
              <w:pStyle w:val="Table1"/>
            </w:pPr>
            <w:r w:rsidRPr="00523A2C">
              <w:t>Mana whenua are recognised as kaitiaki of Otago’s indigenous biodiversity, and Otago’s communities are recognised as stewards, who are responsible for:</w:t>
            </w:r>
          </w:p>
          <w:p w14:paraId="0323978D" w14:textId="084A9E4C" w:rsidR="002778BD" w:rsidRPr="002778BD" w:rsidRDefault="002778BD" w:rsidP="00930CFC">
            <w:pPr>
              <w:pStyle w:val="Table1"/>
              <w:ind w:left="456" w:hanging="425"/>
            </w:pPr>
            <w:r w:rsidRPr="002778BD">
              <w:t xml:space="preserve">(1) </w:t>
            </w:r>
            <w:r w:rsidR="00930CFC">
              <w:tab/>
            </w:r>
            <w:r w:rsidRPr="002778BD">
              <w:t xml:space="preserve">te hauora o te </w:t>
            </w:r>
            <w:proofErr w:type="spellStart"/>
            <w:r w:rsidRPr="002778BD">
              <w:t>koiora</w:t>
            </w:r>
            <w:proofErr w:type="spellEnd"/>
            <w:r w:rsidRPr="002778BD">
              <w:t xml:space="preserve"> (the health of indigenous </w:t>
            </w:r>
            <w:r w:rsidRPr="002778BD">
              <w:rPr>
                <w:i/>
                <w:iCs/>
              </w:rPr>
              <w:t>biodiversity</w:t>
            </w:r>
            <w:r w:rsidRPr="002778BD">
              <w:t xml:space="preserve">), te hauora o te </w:t>
            </w:r>
            <w:proofErr w:type="spellStart"/>
            <w:r w:rsidRPr="002778BD">
              <w:t>taoka</w:t>
            </w:r>
            <w:proofErr w:type="spellEnd"/>
            <w:r w:rsidRPr="002778BD">
              <w:t xml:space="preserve"> (the health of species and ecosystems that are </w:t>
            </w:r>
            <w:proofErr w:type="spellStart"/>
            <w:r w:rsidRPr="002778BD">
              <w:t>taoka</w:t>
            </w:r>
            <w:proofErr w:type="spellEnd"/>
            <w:r w:rsidRPr="002778BD">
              <w:t>), and te hauora o te taiao (the health of the wider environment), while</w:t>
            </w:r>
          </w:p>
          <w:p w14:paraId="0779BB77" w14:textId="77777777" w:rsidR="002778BD" w:rsidRPr="002778BD" w:rsidRDefault="002778BD" w:rsidP="00930CFC">
            <w:pPr>
              <w:pStyle w:val="Table1"/>
              <w:ind w:left="456" w:hanging="425"/>
            </w:pPr>
            <w:r w:rsidRPr="002778BD">
              <w:t>(2)</w:t>
            </w:r>
            <w:r w:rsidRPr="002778BD">
              <w:tab/>
              <w:t>providing for te hauora o te tangata (the health of the people).</w:t>
            </w:r>
          </w:p>
          <w:p w14:paraId="72D16857" w14:textId="54BD744D" w:rsidR="00523A2C" w:rsidRPr="004D3276" w:rsidRDefault="00523A2C" w:rsidP="00A247C5">
            <w:pPr>
              <w:pStyle w:val="Table1"/>
              <w:ind w:left="447"/>
            </w:pPr>
          </w:p>
        </w:tc>
        <w:tc>
          <w:tcPr>
            <w:tcW w:w="5527" w:type="dxa"/>
          </w:tcPr>
          <w:p w14:paraId="28A8F32C" w14:textId="06C83AEF" w:rsidR="00523A2C" w:rsidRDefault="00EA78C2" w:rsidP="00A247C5">
            <w:pPr>
              <w:pStyle w:val="Table1"/>
            </w:pPr>
            <w:r>
              <w:t>Recognising and providing for the relationship of Māori and their cultur</w:t>
            </w:r>
            <w:r w:rsidR="00A55DE9">
              <w:t>e</w:t>
            </w:r>
            <w:r>
              <w:t xml:space="preserve"> and traditions with their ancestral lands, water, sites, </w:t>
            </w:r>
            <w:proofErr w:type="spellStart"/>
            <w:r>
              <w:t>wāhi</w:t>
            </w:r>
            <w:proofErr w:type="spellEnd"/>
            <w:r>
              <w:t xml:space="preserve"> </w:t>
            </w:r>
            <w:proofErr w:type="spellStart"/>
            <w:r>
              <w:t>tapu</w:t>
            </w:r>
            <w:proofErr w:type="spellEnd"/>
            <w:r>
              <w:t xml:space="preserve"> and other taonga is a matter of national importance under section 6(e) of the RMA. ORC must also have </w:t>
            </w:r>
            <w:proofErr w:type="gramStart"/>
            <w:r>
              <w:t>particular regard</w:t>
            </w:r>
            <w:proofErr w:type="gramEnd"/>
            <w:r>
              <w:t xml:space="preserve"> to </w:t>
            </w:r>
            <w:proofErr w:type="spellStart"/>
            <w:r>
              <w:t>kaitiakitaka</w:t>
            </w:r>
            <w:proofErr w:type="spellEnd"/>
            <w:r>
              <w:t xml:space="preserve"> and the ethic of stewardship under section 7(a) and (aa). This objective responds to those matters and outlines the interconnections between biodiversity, </w:t>
            </w:r>
            <w:proofErr w:type="gramStart"/>
            <w:r>
              <w:t>people</w:t>
            </w:r>
            <w:proofErr w:type="gramEnd"/>
            <w:r>
              <w:t xml:space="preserve"> and the wider environment.</w:t>
            </w:r>
          </w:p>
          <w:p w14:paraId="1A354092" w14:textId="77777777" w:rsidR="00EA78C2" w:rsidRDefault="008B0E90" w:rsidP="00A247C5">
            <w:pPr>
              <w:pStyle w:val="Table1"/>
            </w:pPr>
            <w:r>
              <w:t xml:space="preserve">In the coastal environment, this objective gives effect to parts of Objective 3 and Policy 2 of the NZCPS which outline (in more detail than this objective can) the kaitiaki role of </w:t>
            </w:r>
            <w:proofErr w:type="spellStart"/>
            <w:r>
              <w:t>takata</w:t>
            </w:r>
            <w:proofErr w:type="spellEnd"/>
            <w:r>
              <w:t xml:space="preserve"> whenua. For freshwater ecosystems, this objective is consistent with the principles of </w:t>
            </w:r>
            <w:proofErr w:type="spellStart"/>
            <w:r>
              <w:t>kaitikitaka</w:t>
            </w:r>
            <w:proofErr w:type="spellEnd"/>
            <w:r>
              <w:t xml:space="preserve"> and stewardship that underpin the concept of Te Mana o Te Wai.</w:t>
            </w:r>
            <w:r>
              <w:rPr>
                <w:rStyle w:val="FootnoteReference"/>
              </w:rPr>
              <w:footnoteReference w:id="19"/>
            </w:r>
          </w:p>
          <w:p w14:paraId="669CC5F8" w14:textId="1C85AC11" w:rsidR="00EE0DA9" w:rsidRDefault="008B0E90" w:rsidP="00A247C5">
            <w:pPr>
              <w:pStyle w:val="Table1"/>
            </w:pPr>
            <w:r>
              <w:t>Feedback from iwi on a draft of the RPS in early 2021 identified that, at that time, the ECO chapter did not adequately recognise the role of mana whenua as kaitiaki</w:t>
            </w:r>
            <w:r w:rsidR="00A55DE9">
              <w:t xml:space="preserve"> </w:t>
            </w:r>
            <w:r>
              <w:t xml:space="preserve">or mana whenua considerations generally. That was emphasised further at the hui on 21 April 2021, following which this objective (and other amendments to the chapter) was co-drafted by ORC and </w:t>
            </w:r>
            <w:proofErr w:type="spellStart"/>
            <w:r>
              <w:t>Aukaha</w:t>
            </w:r>
            <w:proofErr w:type="spellEnd"/>
            <w:r>
              <w:t xml:space="preserve"> staff.</w:t>
            </w:r>
            <w:r w:rsidR="00EE0DA9">
              <w:t xml:space="preserve"> </w:t>
            </w:r>
            <w:r>
              <w:t xml:space="preserve">The role of landowners and communities in managing biodiversity was </w:t>
            </w:r>
            <w:r w:rsidR="00EE0DA9">
              <w:t xml:space="preserve">highlighted during consultation on the issue statements in early 2020 and again during the Reference Group (Ecosystems and Indigenous Biodiversity) workshop. Both </w:t>
            </w:r>
            <w:proofErr w:type="spellStart"/>
            <w:r w:rsidR="00EE0DA9">
              <w:t>kaitikitaka</w:t>
            </w:r>
            <w:proofErr w:type="spellEnd"/>
            <w:r w:rsidR="00EE0DA9">
              <w:t xml:space="preserve"> and stewardship are principles that also underpin Te Mana o te Taiao: Aotearoa New Zealand Biodiversity Strategy 2020.</w:t>
            </w:r>
            <w:r w:rsidR="00237FEF">
              <w:rPr>
                <w:rStyle w:val="FootnoteReference"/>
              </w:rPr>
              <w:footnoteReference w:id="20"/>
            </w:r>
            <w:r w:rsidR="00EE0DA9">
              <w:t xml:space="preserve"> </w:t>
            </w:r>
          </w:p>
        </w:tc>
      </w:tr>
    </w:tbl>
    <w:p w14:paraId="74312B55" w14:textId="67795EC5" w:rsidR="34C72508" w:rsidRDefault="34C72508"/>
    <w:p w14:paraId="4A80869B" w14:textId="69F33296" w:rsidR="00237FEF" w:rsidRPr="00D61600" w:rsidRDefault="00EA3FC5" w:rsidP="00A247C5">
      <w:pPr>
        <w:pStyle w:val="Normal2"/>
      </w:pPr>
      <w:r w:rsidRPr="00D61600">
        <w:t>These objectives are implemented by the following provisions which are evaluat</w:t>
      </w:r>
      <w:r w:rsidR="00A55DE9">
        <w:t>ed</w:t>
      </w:r>
      <w:r w:rsidRPr="00D61600">
        <w:t xml:space="preserve"> in </w:t>
      </w:r>
      <w:r w:rsidRPr="00CC2712">
        <w:t xml:space="preserve">section </w:t>
      </w:r>
      <w:r w:rsidR="00CC2712" w:rsidRPr="00CC2712">
        <w:fldChar w:fldCharType="begin"/>
      </w:r>
      <w:r w:rsidR="00CC2712" w:rsidRPr="00CC2712">
        <w:instrText xml:space="preserve"> REF _Ref72327545 \r \h </w:instrText>
      </w:r>
      <w:r w:rsidR="00CC2712">
        <w:instrText xml:space="preserve"> \* MERGEFORMAT </w:instrText>
      </w:r>
      <w:r w:rsidR="00CC2712" w:rsidRPr="00CC2712">
        <w:fldChar w:fldCharType="separate"/>
      </w:r>
      <w:r w:rsidR="002A7A16">
        <w:t>5.8</w:t>
      </w:r>
      <w:r w:rsidR="00CC2712" w:rsidRPr="00CC2712">
        <w:fldChar w:fldCharType="end"/>
      </w:r>
      <w:r w:rsidRPr="00CC2712">
        <w:t xml:space="preserve"> of this</w:t>
      </w:r>
      <w:r w:rsidRPr="00D61600">
        <w:t xml:space="preserve"> report:</w:t>
      </w:r>
    </w:p>
    <w:p w14:paraId="4E91B23F" w14:textId="3D539519" w:rsidR="00EA3FC5" w:rsidRPr="00D61600" w:rsidRDefault="00EA3FC5" w:rsidP="00A247C5">
      <w:pPr>
        <w:pStyle w:val="Normal3"/>
      </w:pPr>
      <w:r w:rsidRPr="00D61600">
        <w:t>ECO</w:t>
      </w:r>
      <w:r w:rsidR="00D61600" w:rsidRPr="00D61600">
        <w:t xml:space="preserve">–P1 – Kaitiakitaka </w:t>
      </w:r>
    </w:p>
    <w:p w14:paraId="26B007D8" w14:textId="7EDEDD32" w:rsidR="00D61600" w:rsidRPr="00D61600" w:rsidRDefault="00D61600" w:rsidP="00A247C5">
      <w:pPr>
        <w:pStyle w:val="Normal3"/>
      </w:pPr>
      <w:r w:rsidRPr="00D61600">
        <w:t xml:space="preserve">ECO–P2 – Identifying significant natural areas and </w:t>
      </w:r>
      <w:proofErr w:type="spellStart"/>
      <w:r w:rsidRPr="00D61600">
        <w:t>taoka</w:t>
      </w:r>
      <w:proofErr w:type="spellEnd"/>
    </w:p>
    <w:p w14:paraId="46D8C857" w14:textId="55622680" w:rsidR="00D61600" w:rsidRPr="00D61600" w:rsidRDefault="00D61600" w:rsidP="00A247C5">
      <w:pPr>
        <w:pStyle w:val="Normal3"/>
      </w:pPr>
      <w:r w:rsidRPr="00D61600">
        <w:t xml:space="preserve">ECO–P3 – Protecting significant natural areas and </w:t>
      </w:r>
      <w:proofErr w:type="spellStart"/>
      <w:r w:rsidRPr="00D61600">
        <w:t>taoka</w:t>
      </w:r>
      <w:proofErr w:type="spellEnd"/>
    </w:p>
    <w:p w14:paraId="316BE0D5" w14:textId="407FFDA0" w:rsidR="00D61600" w:rsidRPr="00D61600" w:rsidRDefault="00D61600" w:rsidP="00A247C5">
      <w:pPr>
        <w:pStyle w:val="Normal3"/>
      </w:pPr>
      <w:r w:rsidRPr="00D61600">
        <w:t xml:space="preserve">ECO–P4 – </w:t>
      </w:r>
      <w:r w:rsidR="00BB1149">
        <w:t xml:space="preserve">Provision for new activities </w:t>
      </w:r>
    </w:p>
    <w:p w14:paraId="3E9CDB21" w14:textId="4C1465AA" w:rsidR="00D61600" w:rsidRPr="00D61600" w:rsidRDefault="00D61600" w:rsidP="00A247C5">
      <w:pPr>
        <w:pStyle w:val="Normal3"/>
      </w:pPr>
      <w:r w:rsidRPr="00D61600">
        <w:t>ECO–P5 – Existing activities in significant natural areas</w:t>
      </w:r>
    </w:p>
    <w:p w14:paraId="458D08A5" w14:textId="512B243B" w:rsidR="00D61600" w:rsidRPr="00D61600" w:rsidRDefault="00D61600" w:rsidP="00A247C5">
      <w:pPr>
        <w:pStyle w:val="Normal3"/>
      </w:pPr>
      <w:r w:rsidRPr="00D61600">
        <w:t>ECO–P6 – Maintaining indigenous biodiversity</w:t>
      </w:r>
    </w:p>
    <w:p w14:paraId="7F19D9CD" w14:textId="4F5F516A" w:rsidR="00D61600" w:rsidRPr="00D61600" w:rsidRDefault="00D61600" w:rsidP="00A247C5">
      <w:pPr>
        <w:pStyle w:val="Normal3"/>
      </w:pPr>
      <w:r w:rsidRPr="00D61600">
        <w:t>ECO–P7 – Coastal indigenous biodiversity</w:t>
      </w:r>
    </w:p>
    <w:p w14:paraId="16C332B7" w14:textId="60860AE4" w:rsidR="00D61600" w:rsidRPr="00D61600" w:rsidRDefault="00D61600" w:rsidP="00A247C5">
      <w:pPr>
        <w:pStyle w:val="Normal3"/>
      </w:pPr>
      <w:r w:rsidRPr="00D61600">
        <w:t>ECO–P8 – Enhancement</w:t>
      </w:r>
    </w:p>
    <w:p w14:paraId="2FA47AE7" w14:textId="09705053" w:rsidR="00D61600" w:rsidRPr="00D61600" w:rsidRDefault="00D61600" w:rsidP="00A247C5">
      <w:pPr>
        <w:pStyle w:val="Normal3"/>
      </w:pPr>
      <w:r w:rsidRPr="00D61600">
        <w:t>ECO–P9 – Wilding conifers</w:t>
      </w:r>
    </w:p>
    <w:p w14:paraId="34C64862" w14:textId="5DEB2111" w:rsidR="00D61600" w:rsidRPr="00D61600" w:rsidRDefault="00D61600" w:rsidP="00A247C5">
      <w:pPr>
        <w:pStyle w:val="Normal3"/>
      </w:pPr>
      <w:r w:rsidRPr="00D61600">
        <w:t>ECO–P10 – Integrated management</w:t>
      </w:r>
    </w:p>
    <w:p w14:paraId="20606B1C" w14:textId="7468DFE5" w:rsidR="00D61600" w:rsidRPr="00D61600" w:rsidRDefault="00D61600" w:rsidP="00A247C5">
      <w:pPr>
        <w:pStyle w:val="Normal3"/>
      </w:pPr>
      <w:r w:rsidRPr="00D61600">
        <w:t>ECO–M1 – Statement of responsibilities</w:t>
      </w:r>
    </w:p>
    <w:p w14:paraId="7662415C" w14:textId="734B48CF" w:rsidR="00D61600" w:rsidRPr="00D61600" w:rsidRDefault="00D61600" w:rsidP="00A247C5">
      <w:pPr>
        <w:pStyle w:val="Normal3"/>
      </w:pPr>
      <w:r w:rsidRPr="00D61600">
        <w:t>ECO–M2 – Identification of significant natural areas</w:t>
      </w:r>
    </w:p>
    <w:p w14:paraId="2A3533C6" w14:textId="1E8DC539" w:rsidR="00D61600" w:rsidRPr="00D61600" w:rsidRDefault="00D61600" w:rsidP="00A247C5">
      <w:pPr>
        <w:pStyle w:val="Normal3"/>
      </w:pPr>
      <w:r w:rsidRPr="00D61600">
        <w:lastRenderedPageBreak/>
        <w:t xml:space="preserve">ECO–M3 – Identification of </w:t>
      </w:r>
      <w:proofErr w:type="spellStart"/>
      <w:r w:rsidRPr="00D61600">
        <w:t>taoka</w:t>
      </w:r>
      <w:proofErr w:type="spellEnd"/>
    </w:p>
    <w:p w14:paraId="23A5026F" w14:textId="14B8AE77" w:rsidR="00D61600" w:rsidRPr="00D61600" w:rsidRDefault="00D61600" w:rsidP="00A247C5">
      <w:pPr>
        <w:pStyle w:val="Normal3"/>
      </w:pPr>
      <w:r w:rsidRPr="00D61600">
        <w:t>ECO–M4 – Regional plans</w:t>
      </w:r>
    </w:p>
    <w:p w14:paraId="0C09BDD0" w14:textId="1169B624" w:rsidR="00D61600" w:rsidRDefault="00D61600" w:rsidP="00A247C5">
      <w:pPr>
        <w:pStyle w:val="Normal3"/>
      </w:pPr>
      <w:r w:rsidRPr="00D61600">
        <w:t>ECO–M5 – District plans</w:t>
      </w:r>
    </w:p>
    <w:p w14:paraId="1F7D3B94" w14:textId="2B157068" w:rsidR="00AC60AD" w:rsidRPr="00D61600" w:rsidRDefault="00AC60AD" w:rsidP="00A247C5">
      <w:pPr>
        <w:pStyle w:val="Normal3"/>
      </w:pPr>
      <w:r w:rsidRPr="00D61600">
        <w:t xml:space="preserve">ECO–M6 – </w:t>
      </w:r>
      <w:r>
        <w:t>Engagement</w:t>
      </w:r>
    </w:p>
    <w:p w14:paraId="3A09829D" w14:textId="6335F6EB" w:rsidR="00D61600" w:rsidRPr="00D61600" w:rsidRDefault="00D61600" w:rsidP="00A247C5">
      <w:pPr>
        <w:pStyle w:val="Normal3"/>
      </w:pPr>
      <w:r w:rsidRPr="00D61600">
        <w:t>ECO–M</w:t>
      </w:r>
      <w:r w:rsidR="00AC60AD">
        <w:t>7</w:t>
      </w:r>
      <w:r w:rsidRPr="00D61600">
        <w:t xml:space="preserve"> – Monitoring</w:t>
      </w:r>
    </w:p>
    <w:p w14:paraId="29914E8F" w14:textId="642FBABC" w:rsidR="00D61600" w:rsidRDefault="00D61600" w:rsidP="00A247C5">
      <w:pPr>
        <w:pStyle w:val="Normal3"/>
      </w:pPr>
      <w:r w:rsidRPr="00D61600">
        <w:t>ECO–M</w:t>
      </w:r>
      <w:r w:rsidR="00AC60AD">
        <w:t>8</w:t>
      </w:r>
      <w:r w:rsidRPr="00D61600">
        <w:t xml:space="preserve"> – Other incentives and mechanisms</w:t>
      </w:r>
    </w:p>
    <w:p w14:paraId="32987B20" w14:textId="4FC22227" w:rsidR="00CC2712" w:rsidRDefault="00CC2712" w:rsidP="00A247C5">
      <w:pPr>
        <w:pStyle w:val="Normal3"/>
      </w:pPr>
      <w:r>
        <w:t>APP2 – Significance criteria for indigenous biodiversity</w:t>
      </w:r>
    </w:p>
    <w:p w14:paraId="4BD314B8" w14:textId="23DA4252" w:rsidR="00CC2712" w:rsidRDefault="00CC2712" w:rsidP="00A247C5">
      <w:pPr>
        <w:pStyle w:val="Normal3"/>
      </w:pPr>
      <w:r>
        <w:t>APP3 – Criteria for biodiversity offsetting</w:t>
      </w:r>
    </w:p>
    <w:p w14:paraId="072F1670" w14:textId="633F4FC3" w:rsidR="00CC2712" w:rsidRDefault="00CC2712" w:rsidP="00A247C5">
      <w:pPr>
        <w:pStyle w:val="Normal3"/>
      </w:pPr>
      <w:r>
        <w:t>APP4 – Criteria for biodiversity compensation</w:t>
      </w:r>
    </w:p>
    <w:p w14:paraId="0EE3D831" w14:textId="08D5CE60" w:rsidR="00CC2712" w:rsidRPr="00D61600" w:rsidRDefault="00CC2712" w:rsidP="00A247C5">
      <w:pPr>
        <w:pStyle w:val="Normal3"/>
      </w:pPr>
      <w:r>
        <w:t>APP5 – Species prone to wilding conifer spread</w:t>
      </w:r>
    </w:p>
    <w:p w14:paraId="3DE569B0" w14:textId="04FBA452" w:rsidR="00D61600" w:rsidRDefault="00D61600" w:rsidP="00A247C5">
      <w:pPr>
        <w:pStyle w:val="Normal2"/>
      </w:pPr>
      <w:r>
        <w:t>Collectively, these objectives articulate outcomes sought for Otago’s indigenous biodiversity that are consistent with the purpose of the RMA</w:t>
      </w:r>
      <w:r w:rsidR="009741C4">
        <w:t>. Objective ECO</w:t>
      </w:r>
      <w:r w:rsidR="009741C4" w:rsidRPr="009741C4">
        <w:t>–</w:t>
      </w:r>
      <w:r w:rsidR="009741C4">
        <w:t>O1 outlines a future state for Otago’s biodiversity that would safeguard the life-supporting capacity of ecosystems. Objective ECO</w:t>
      </w:r>
      <w:r w:rsidR="009741C4" w:rsidRPr="009741C4">
        <w:t>–</w:t>
      </w:r>
      <w:r w:rsidR="009741C4">
        <w:t>O2 goes further than the</w:t>
      </w:r>
      <w:r w:rsidR="005A5A40">
        <w:t xml:space="preserve"> requirements set out under the</w:t>
      </w:r>
      <w:r w:rsidR="009741C4">
        <w:t xml:space="preserve"> RMA by requiring restoration or enhancement </w:t>
      </w:r>
      <w:proofErr w:type="gramStart"/>
      <w:r w:rsidR="009741C4">
        <w:t>in order to</w:t>
      </w:r>
      <w:proofErr w:type="gramEnd"/>
      <w:r w:rsidR="009741C4">
        <w:t xml:space="preserve"> see a recovery in the quality and extent of biodiversity in Otago, not only a halt in decline. That will assist with restoring the life-supporting capacity of some ecosystems, particularly where they have been degraded or lost. Objective ECO</w:t>
      </w:r>
      <w:r w:rsidR="009741C4" w:rsidRPr="009741C4">
        <w:t>–</w:t>
      </w:r>
      <w:r w:rsidR="009741C4">
        <w:t xml:space="preserve">O3 recognises the relationship of Kāi </w:t>
      </w:r>
      <w:proofErr w:type="spellStart"/>
      <w:r w:rsidR="009741C4">
        <w:t>Tahu</w:t>
      </w:r>
      <w:proofErr w:type="spellEnd"/>
      <w:r w:rsidR="009741C4">
        <w:t xml:space="preserve"> with biodiversity and their role as kaitiaki. It also speaks to the role of people and communities in managing biodiversity. These objectives respond both to legislative directions from the RMA and to the feedback provided by Kāi </w:t>
      </w:r>
      <w:proofErr w:type="spellStart"/>
      <w:r w:rsidR="009741C4">
        <w:t>Tahu</w:t>
      </w:r>
      <w:proofErr w:type="spellEnd"/>
      <w:r w:rsidR="009741C4">
        <w:t xml:space="preserve"> and the public during various consultation periods during the development of the PORPS 2021.</w:t>
      </w:r>
    </w:p>
    <w:p w14:paraId="176AE44B" w14:textId="72B6B896" w:rsidR="001616E8" w:rsidRPr="0027767E" w:rsidRDefault="0027767E" w:rsidP="00A247C5">
      <w:pPr>
        <w:pStyle w:val="Normal2"/>
      </w:pPr>
      <w:r>
        <w:t>Driven by national policy direction as well as community feedback, t</w:t>
      </w:r>
      <w:r w:rsidRPr="0027767E">
        <w:t xml:space="preserve">he ECO provisions </w:t>
      </w:r>
      <w:r>
        <w:t xml:space="preserve">collectively increase the stringency of biodiversity management across Otago. </w:t>
      </w:r>
      <w:r w:rsidR="00B82DE5">
        <w:t>As shown in the evaluation of the provisions in section 5.8, t</w:t>
      </w:r>
      <w:r>
        <w:t xml:space="preserve">his will have significant economic and social costs, largely from restrictions on the use of resources both now and in the future. However, there will be significant environmental and cultural benefits if the objectives are achieved which </w:t>
      </w:r>
      <w:proofErr w:type="gramStart"/>
      <w:r>
        <w:t>is considered to be</w:t>
      </w:r>
      <w:proofErr w:type="gramEnd"/>
      <w:r>
        <w:t xml:space="preserve"> appropriate given the scale of loss of biodiversity in Otago. The objectives </w:t>
      </w:r>
      <w:proofErr w:type="gramStart"/>
      <w:r>
        <w:t>are considered to be</w:t>
      </w:r>
      <w:proofErr w:type="gramEnd"/>
      <w:r>
        <w:t xml:space="preserve"> the most appropriate way of achieving the purpose of the RMA as it relates to indigenous biodiversity.</w:t>
      </w:r>
    </w:p>
    <w:p w14:paraId="45165AE4" w14:textId="22D7E670" w:rsidR="009F3F14" w:rsidRDefault="00E05589" w:rsidP="0082271A">
      <w:pPr>
        <w:pStyle w:val="Heading3"/>
      </w:pPr>
      <w:r>
        <w:t xml:space="preserve">EIT – Energy, </w:t>
      </w:r>
      <w:proofErr w:type="gramStart"/>
      <w:r>
        <w:t>infrastructure</w:t>
      </w:r>
      <w:proofErr w:type="gramEnd"/>
      <w:r>
        <w:t xml:space="preserve"> and transport</w:t>
      </w:r>
    </w:p>
    <w:p w14:paraId="1D4B4B40" w14:textId="1AABEA0F" w:rsidR="00C16776" w:rsidRPr="00EC59C4" w:rsidRDefault="00334553" w:rsidP="00A247C5">
      <w:pPr>
        <w:pStyle w:val="Normal2"/>
      </w:pPr>
      <w:r>
        <w:t xml:space="preserve">The EIT chapter </w:t>
      </w:r>
      <w:r w:rsidR="00874C17">
        <w:t xml:space="preserve">addresses key resource management issues for Otago related to </w:t>
      </w:r>
      <w:r w:rsidR="00E620EB">
        <w:t xml:space="preserve">energy, </w:t>
      </w:r>
      <w:proofErr w:type="gramStart"/>
      <w:r w:rsidR="00E620EB">
        <w:t>infrastructure</w:t>
      </w:r>
      <w:proofErr w:type="gramEnd"/>
      <w:r w:rsidR="00E620EB">
        <w:t xml:space="preserve"> and transport. The chapter </w:t>
      </w:r>
      <w:r>
        <w:t>has three sections</w:t>
      </w:r>
      <w:r w:rsidR="00642EA1">
        <w:t>: EIT</w:t>
      </w:r>
      <w:r w:rsidR="00EB1ABD">
        <w:t>–</w:t>
      </w:r>
      <w:r w:rsidR="00642EA1">
        <w:t>EN</w:t>
      </w:r>
      <w:r w:rsidR="00EB1ABD">
        <w:t>–</w:t>
      </w:r>
      <w:r w:rsidR="00642EA1">
        <w:t>Energy</w:t>
      </w:r>
      <w:r w:rsidR="00EB1ABD">
        <w:t>, EIT–INF–Infrastructure and EIT</w:t>
      </w:r>
      <w:r w:rsidR="00EB1ABD" w:rsidRPr="00EB1ABD">
        <w:t>–</w:t>
      </w:r>
      <w:r w:rsidR="00EB1ABD">
        <w:t xml:space="preserve">TRAN–Transport. </w:t>
      </w:r>
      <w:r w:rsidR="00C16776">
        <w:t>Each section contains its</w:t>
      </w:r>
      <w:r w:rsidR="00C16776" w:rsidRPr="004A3141">
        <w:t xml:space="preserve"> </w:t>
      </w:r>
      <w:r w:rsidR="00C16776" w:rsidRPr="00EC59C4">
        <w:t xml:space="preserve">own objectives, </w:t>
      </w:r>
      <w:proofErr w:type="gramStart"/>
      <w:r w:rsidR="00C16776" w:rsidRPr="00EC59C4">
        <w:t>policies</w:t>
      </w:r>
      <w:proofErr w:type="gramEnd"/>
      <w:r w:rsidR="00C16776" w:rsidRPr="00EC59C4">
        <w:t xml:space="preserve"> and methods</w:t>
      </w:r>
      <w:r w:rsidR="00C16776">
        <w:t xml:space="preserve"> but it </w:t>
      </w:r>
      <w:r w:rsidR="00C16776" w:rsidRPr="00EC59C4">
        <w:t xml:space="preserve">is relevant to note that there is cross-over between a number of the provisions that fall within the definition, or are a subset of, “infrastructure”.  </w:t>
      </w:r>
      <w:r w:rsidR="00E620EB">
        <w:t>There are 9 objectives assessed below.</w:t>
      </w:r>
    </w:p>
    <w:p w14:paraId="019D0E67" w14:textId="18D0B57C" w:rsidR="002C2245" w:rsidRDefault="002C2245" w:rsidP="00DE069C">
      <w:pPr>
        <w:pStyle w:val="Heading4"/>
      </w:pPr>
      <w:r>
        <w:t xml:space="preserve">EIT–EN – Energy </w:t>
      </w:r>
    </w:p>
    <w:p w14:paraId="4EB7022C" w14:textId="13183ABC" w:rsidR="00930CFC" w:rsidRDefault="002C2245" w:rsidP="00A87926">
      <w:pPr>
        <w:pStyle w:val="Normal2"/>
      </w:pPr>
      <w:r>
        <w:t xml:space="preserve">This section of the EIT chapter </w:t>
      </w:r>
      <w:r w:rsidR="00E620EB">
        <w:t>contains</w:t>
      </w:r>
      <w:r>
        <w:t xml:space="preserve"> three objectives which are assessed in </w:t>
      </w:r>
      <w:r w:rsidR="00AD209D">
        <w:fldChar w:fldCharType="begin"/>
      </w:r>
      <w:r w:rsidR="00AD209D">
        <w:instrText xml:space="preserve"> REF _Ref72495528 \h </w:instrText>
      </w:r>
      <w:r w:rsidR="00AD209D">
        <w:fldChar w:fldCharType="separate"/>
      </w:r>
      <w:r w:rsidR="002A7A16">
        <w:t xml:space="preserve">Table </w:t>
      </w:r>
      <w:r w:rsidR="002A7A16">
        <w:rPr>
          <w:noProof/>
        </w:rPr>
        <w:t>13</w:t>
      </w:r>
      <w:r w:rsidR="00AD209D">
        <w:fldChar w:fldCharType="end"/>
      </w:r>
      <w:r w:rsidR="00AD209D">
        <w:t xml:space="preserve"> </w:t>
      </w:r>
      <w:r>
        <w:t>below.</w:t>
      </w:r>
    </w:p>
    <w:p w14:paraId="7DBD1486" w14:textId="262F8497" w:rsidR="006A3AE2" w:rsidRDefault="006A3AE2" w:rsidP="006A3AE2">
      <w:pPr>
        <w:pStyle w:val="Caption"/>
      </w:pPr>
      <w:bookmarkStart w:id="46" w:name="_Ref72495528"/>
      <w:r>
        <w:t xml:space="preserve">Table </w:t>
      </w:r>
      <w:r>
        <w:fldChar w:fldCharType="begin"/>
      </w:r>
      <w:r>
        <w:instrText xml:space="preserve"> SEQ Table \* ARABIC </w:instrText>
      </w:r>
      <w:r>
        <w:fldChar w:fldCharType="separate"/>
      </w:r>
      <w:r w:rsidR="002A7A16">
        <w:rPr>
          <w:noProof/>
        </w:rPr>
        <w:t>13</w:t>
      </w:r>
      <w:r>
        <w:rPr>
          <w:noProof/>
        </w:rPr>
        <w:fldChar w:fldCharType="end"/>
      </w:r>
      <w:bookmarkEnd w:id="46"/>
      <w:r>
        <w:t xml:space="preserve">: Evaluation of </w:t>
      </w:r>
      <w:r w:rsidR="00E5289C">
        <w:t>EIT–EN</w:t>
      </w:r>
      <w:r>
        <w:t xml:space="preserve"> objectives</w:t>
      </w:r>
    </w:p>
    <w:p w14:paraId="445EB031" w14:textId="77777777" w:rsidR="006A4432" w:rsidRPr="006A4432" w:rsidRDefault="006A4432" w:rsidP="006A4432"/>
    <w:tbl>
      <w:tblPr>
        <w:tblStyle w:val="TableGrid"/>
        <w:tblW w:w="0" w:type="auto"/>
        <w:tblLook w:val="04A0" w:firstRow="1" w:lastRow="0" w:firstColumn="1" w:lastColumn="0" w:noHBand="0" w:noVBand="1"/>
      </w:tblPr>
      <w:tblGrid>
        <w:gridCol w:w="3489"/>
        <w:gridCol w:w="5527"/>
      </w:tblGrid>
      <w:tr w:rsidR="006A4432" w:rsidRPr="00462638" w14:paraId="577476DD" w14:textId="77777777" w:rsidTr="002A7A16">
        <w:tc>
          <w:tcPr>
            <w:tcW w:w="3489" w:type="dxa"/>
            <w:shd w:val="clear" w:color="auto" w:fill="B4C6E7" w:themeFill="accent1" w:themeFillTint="66"/>
          </w:tcPr>
          <w:p w14:paraId="416D1F83" w14:textId="77777777" w:rsidR="006A4432" w:rsidRPr="00930CFC" w:rsidRDefault="006A4432" w:rsidP="002A7A16">
            <w:pPr>
              <w:pStyle w:val="Table1"/>
              <w:rPr>
                <w:b/>
                <w:bCs/>
              </w:rPr>
            </w:pPr>
            <w:r w:rsidRPr="00930CFC">
              <w:rPr>
                <w:b/>
                <w:bCs/>
              </w:rPr>
              <w:t>Objective</w:t>
            </w:r>
          </w:p>
        </w:tc>
        <w:tc>
          <w:tcPr>
            <w:tcW w:w="5527" w:type="dxa"/>
            <w:shd w:val="clear" w:color="auto" w:fill="B4C6E7" w:themeFill="accent1" w:themeFillTint="66"/>
          </w:tcPr>
          <w:p w14:paraId="125EBC8F" w14:textId="77777777" w:rsidR="006A4432" w:rsidRPr="00930CFC" w:rsidRDefault="006A4432" w:rsidP="002A7A16">
            <w:pPr>
              <w:pStyle w:val="Table1"/>
              <w:rPr>
                <w:b/>
                <w:bCs/>
              </w:rPr>
            </w:pPr>
            <w:r w:rsidRPr="00930CFC">
              <w:rPr>
                <w:b/>
                <w:bCs/>
              </w:rPr>
              <w:t>Assessment</w:t>
            </w:r>
          </w:p>
        </w:tc>
      </w:tr>
      <w:tr w:rsidR="006A4432" w:rsidRPr="00462638" w14:paraId="561B03B6" w14:textId="77777777" w:rsidTr="002A7A16">
        <w:tc>
          <w:tcPr>
            <w:tcW w:w="3489" w:type="dxa"/>
          </w:tcPr>
          <w:p w14:paraId="1109AC8A" w14:textId="77777777" w:rsidR="006A4432" w:rsidRPr="006B3744" w:rsidRDefault="006A4432" w:rsidP="006A4432">
            <w:pPr>
              <w:pStyle w:val="Table1"/>
              <w:rPr>
                <w:b/>
                <w:bCs/>
              </w:rPr>
            </w:pPr>
            <w:r w:rsidRPr="006B3744">
              <w:rPr>
                <w:b/>
                <w:bCs/>
              </w:rPr>
              <w:lastRenderedPageBreak/>
              <w:t xml:space="preserve">EIT–EN–O1 – Energy and social and economic well-being </w:t>
            </w:r>
          </w:p>
          <w:p w14:paraId="01030EAF" w14:textId="2865F074" w:rsidR="006A4432" w:rsidRDefault="006A4432" w:rsidP="006A4432">
            <w:pPr>
              <w:pStyle w:val="Table1"/>
            </w:pPr>
            <w:r w:rsidRPr="006A4432">
              <w:t>Otago’s communities and economy are supported by renewable energy generation within the region that is safe, secure, and resilient.</w:t>
            </w:r>
          </w:p>
        </w:tc>
        <w:tc>
          <w:tcPr>
            <w:tcW w:w="5527" w:type="dxa"/>
          </w:tcPr>
          <w:p w14:paraId="1AAF674F" w14:textId="72FD7640" w:rsidR="006A4432" w:rsidRDefault="006A4432" w:rsidP="006A4432">
            <w:pPr>
              <w:pStyle w:val="Table1"/>
            </w:pPr>
            <w:r w:rsidRPr="006A4432">
              <w:t xml:space="preserve">The benefits derived from the use and development of renewable energy is a matter to which decision-makers under the RMA are to have </w:t>
            </w:r>
            <w:proofErr w:type="gramStart"/>
            <w:r w:rsidRPr="006A4432">
              <w:t>particular regard</w:t>
            </w:r>
            <w:proofErr w:type="gramEnd"/>
            <w:r w:rsidRPr="006A4432">
              <w:t xml:space="preserve"> (Section 7(j)). The importance of renewable energy generation to Otago’s communities was also evident from consultation in early 2020. This objective provides for people and communities to provide for their long-term health and wellbeing by seeking provision of renewable electricity generation that is safe, </w:t>
            </w:r>
            <w:proofErr w:type="gramStart"/>
            <w:r w:rsidRPr="006A4432">
              <w:t>secure</w:t>
            </w:r>
            <w:proofErr w:type="gramEnd"/>
            <w:r w:rsidRPr="006A4432">
              <w:t xml:space="preserve"> and resilient.  It is to be read in conjunction with EIT</w:t>
            </w:r>
            <w:r w:rsidR="006B3744" w:rsidRPr="00731553">
              <w:t>–</w:t>
            </w:r>
            <w:r w:rsidRPr="006A4432">
              <w:t>EN</w:t>
            </w:r>
            <w:r w:rsidR="006B3744" w:rsidRPr="00731553">
              <w:t>–</w:t>
            </w:r>
            <w:r w:rsidRPr="006A4432">
              <w:t>O2, which sets out how generation is to be achieved, and there is no priority between the two objectives.  It recognises the contribution of existing renewable electricity generation in the region, including substantial hydroelectricity generation activities, and the potential for new generation activities to contribute to employment and investment, as well as the need to provide those activities in a way that provides for safety.</w:t>
            </w:r>
          </w:p>
        </w:tc>
      </w:tr>
      <w:tr w:rsidR="006A4432" w:rsidRPr="00462638" w14:paraId="5720779E" w14:textId="77777777" w:rsidTr="002A7A16">
        <w:tc>
          <w:tcPr>
            <w:tcW w:w="3489" w:type="dxa"/>
          </w:tcPr>
          <w:p w14:paraId="394573C8" w14:textId="6E1A305E" w:rsidR="006A4432" w:rsidRPr="006A4432" w:rsidRDefault="006A4432" w:rsidP="006A4432">
            <w:pPr>
              <w:pStyle w:val="Table1"/>
              <w:rPr>
                <w:b/>
                <w:bCs/>
              </w:rPr>
            </w:pPr>
            <w:r w:rsidRPr="006A4432">
              <w:rPr>
                <w:b/>
                <w:bCs/>
              </w:rPr>
              <w:t>EIT–EN–O2 – Renewable energy electricity generation</w:t>
            </w:r>
          </w:p>
          <w:p w14:paraId="38779E5E" w14:textId="77777777" w:rsidR="006A4432" w:rsidRDefault="006A4432" w:rsidP="006A4432">
            <w:pPr>
              <w:pStyle w:val="Table1"/>
            </w:pPr>
            <w:r>
              <w:t xml:space="preserve">The generation capacity of renewable electricity generation activities in Otago: </w:t>
            </w:r>
          </w:p>
          <w:p w14:paraId="60034667" w14:textId="77777777" w:rsidR="006A4432" w:rsidRDefault="006A4432" w:rsidP="006A4432">
            <w:pPr>
              <w:pStyle w:val="Table1"/>
              <w:ind w:left="456" w:hanging="425"/>
            </w:pPr>
            <w:r>
              <w:t>(1)</w:t>
            </w:r>
            <w:r>
              <w:tab/>
              <w:t>is maintained and, where practicable, maximised, within environmental limits, and</w:t>
            </w:r>
          </w:p>
          <w:p w14:paraId="36F084FF" w14:textId="78B0B77B" w:rsidR="006A4432" w:rsidRDefault="006A4432" w:rsidP="006A4432">
            <w:pPr>
              <w:pStyle w:val="Table1"/>
              <w:ind w:left="456" w:hanging="425"/>
            </w:pPr>
            <w:r>
              <w:t>(2)</w:t>
            </w:r>
            <w:r>
              <w:tab/>
              <w:t>contributes to meeting New Zealand’s national target for renewable electricity generation.</w:t>
            </w:r>
          </w:p>
        </w:tc>
        <w:tc>
          <w:tcPr>
            <w:tcW w:w="5527" w:type="dxa"/>
          </w:tcPr>
          <w:p w14:paraId="3AD912A8" w14:textId="5A6A1DC4" w:rsidR="006A4432" w:rsidRDefault="006A4432" w:rsidP="006A4432">
            <w:pPr>
              <w:pStyle w:val="Table1"/>
              <w:ind w:left="10"/>
            </w:pPr>
            <w:r>
              <w:t>Objective EIT</w:t>
            </w:r>
            <w:r w:rsidR="006B3744" w:rsidRPr="00731553">
              <w:t>–</w:t>
            </w:r>
            <w:r>
              <w:t>EN</w:t>
            </w:r>
            <w:r w:rsidR="006B3744" w:rsidRPr="00731553">
              <w:t>–</w:t>
            </w:r>
            <w:r>
              <w:t xml:space="preserve">O2 provides for the sustainable management of resources, recognising the need to maintain generation capacity in the Otago region, but that in doing so, it occurs within environmental limits.  This ensures that the potential of other natural resources </w:t>
            </w:r>
            <w:proofErr w:type="gramStart"/>
            <w:r>
              <w:t>are</w:t>
            </w:r>
            <w:proofErr w:type="gramEnd"/>
            <w:r>
              <w:t xml:space="preserve"> sustained to meet the reasonably foreseeable needs of future generations.  These environmental limits are developed further in the policies under the chapter, as well as in the infrastructure chapter.</w:t>
            </w:r>
          </w:p>
          <w:p w14:paraId="34AD7E4A" w14:textId="77777777" w:rsidR="006A4432" w:rsidRDefault="006A4432" w:rsidP="006A4432">
            <w:pPr>
              <w:pStyle w:val="Table1"/>
              <w:ind w:left="10"/>
            </w:pPr>
            <w:r>
              <w:t xml:space="preserve">The contribution to meeting national targets for renewable electricity generation recognises the need to contribute to minimising human impacts on climate change, which enables people to provide for their social, </w:t>
            </w:r>
            <w:proofErr w:type="gramStart"/>
            <w:r>
              <w:t>cultural</w:t>
            </w:r>
            <w:proofErr w:type="gramEnd"/>
            <w:r>
              <w:t xml:space="preserve"> and economic wellbeing in the long term.  The development of renewable electricity generation, </w:t>
            </w:r>
            <w:proofErr w:type="gramStart"/>
            <w:r>
              <w:t>particular where</w:t>
            </w:r>
            <w:proofErr w:type="gramEnd"/>
            <w:r>
              <w:t xml:space="preserve"> it replaces fossil fuel sources, will have a positive effect on climate change, a matter to which decision-makers are to have particular regard to under s 7(</w:t>
            </w:r>
            <w:proofErr w:type="spellStart"/>
            <w:r>
              <w:t>i</w:t>
            </w:r>
            <w:proofErr w:type="spellEnd"/>
            <w:r>
              <w:t>), as well as s 7(j), which relates to the benefits to be derived from the use and development of renewable energy.</w:t>
            </w:r>
          </w:p>
          <w:p w14:paraId="79E812A7" w14:textId="7ED2ACC1" w:rsidR="006A4432" w:rsidRDefault="006A4432" w:rsidP="006A4432">
            <w:pPr>
              <w:pStyle w:val="Table1"/>
              <w:ind w:left="10"/>
            </w:pPr>
            <w:r>
              <w:t xml:space="preserve">This objective is the key objective for implementing the single objective set out in the NPSREG.  That objective seeks to recognise the national significance of renewable electricity generation activities by providing for their development, operation, </w:t>
            </w:r>
            <w:proofErr w:type="gramStart"/>
            <w:r>
              <w:t>maintenance</w:t>
            </w:r>
            <w:proofErr w:type="gramEnd"/>
            <w:r>
              <w:t xml:space="preserve"> and upgrade, so that electricity generated from renewable sources increases or exceeds the national target for renewable electricity generation.</w:t>
            </w:r>
          </w:p>
        </w:tc>
      </w:tr>
      <w:tr w:rsidR="006A4432" w:rsidRPr="00462638" w14:paraId="134018F3" w14:textId="77777777" w:rsidTr="002A7A16">
        <w:tc>
          <w:tcPr>
            <w:tcW w:w="3489" w:type="dxa"/>
          </w:tcPr>
          <w:p w14:paraId="646A9B65" w14:textId="77777777" w:rsidR="006B3744" w:rsidRPr="006B3744" w:rsidRDefault="006B3744" w:rsidP="006B3744">
            <w:pPr>
              <w:pStyle w:val="Table1"/>
              <w:rPr>
                <w:b/>
                <w:bCs/>
              </w:rPr>
            </w:pPr>
            <w:r w:rsidRPr="006B3744">
              <w:rPr>
                <w:b/>
                <w:bCs/>
              </w:rPr>
              <w:t>EIT–EN–O3 – Energy use</w:t>
            </w:r>
          </w:p>
          <w:p w14:paraId="461B72B9" w14:textId="6FB2FE53" w:rsidR="006A4432" w:rsidRPr="004D3276" w:rsidRDefault="006B3744" w:rsidP="006B3744">
            <w:pPr>
              <w:pStyle w:val="Table1"/>
            </w:pPr>
            <w:r>
              <w:t xml:space="preserve">Development is located and designed to facilitate the efficient use of energy and to reduce demand where possible, minimising the contribution </w:t>
            </w:r>
            <w:r w:rsidR="005A03BF">
              <w:t>that</w:t>
            </w:r>
            <w:r>
              <w:t xml:space="preserve"> Otago </w:t>
            </w:r>
            <w:r w:rsidR="005A03BF">
              <w:t xml:space="preserve">makes </w:t>
            </w:r>
            <w:r>
              <w:t>to total greenhouse gas emissions.</w:t>
            </w:r>
          </w:p>
        </w:tc>
        <w:tc>
          <w:tcPr>
            <w:tcW w:w="5527" w:type="dxa"/>
          </w:tcPr>
          <w:p w14:paraId="5621F333" w14:textId="77777777" w:rsidR="006B3744" w:rsidRDefault="006B3744" w:rsidP="006B3744">
            <w:pPr>
              <w:pStyle w:val="Table1"/>
            </w:pPr>
            <w:r>
              <w:t xml:space="preserve">This objective seeks that development is undertaken in an efficient manner, resulting in both a form and function that minimises the use of fuels or energy, </w:t>
            </w:r>
            <w:proofErr w:type="gramStart"/>
            <w:r>
              <w:t>particular those</w:t>
            </w:r>
            <w:proofErr w:type="gramEnd"/>
            <w:r>
              <w:t xml:space="preserve"> that would contribute to greenhouse gas emissions.  This includes achieving transport efficiency (including provision for multimodal transport), providing for compact housing development and well-designed urban development that can utilise passive solar gain, as phasing out of non-renewable energy generation.</w:t>
            </w:r>
          </w:p>
          <w:p w14:paraId="161DE0A7" w14:textId="6F7BDFF7" w:rsidR="006A4432" w:rsidRDefault="006B3744" w:rsidP="006B3744">
            <w:pPr>
              <w:pStyle w:val="Table1"/>
            </w:pPr>
            <w:r>
              <w:t xml:space="preserve">Efficient development will sustain the potential of natural and physical resources, particularly the demand for both fossil fuels and electricity generation facilities (both renewable and non-renewable).  </w:t>
            </w:r>
            <w:proofErr w:type="gramStart"/>
            <w:r>
              <w:t>In particular, this</w:t>
            </w:r>
            <w:proofErr w:type="gramEnd"/>
            <w:r>
              <w:t xml:space="preserve"> objective reflects the direction in s 7(</w:t>
            </w:r>
            <w:proofErr w:type="spellStart"/>
            <w:r>
              <w:t>ba</w:t>
            </w:r>
            <w:proofErr w:type="spellEnd"/>
            <w:r>
              <w:t xml:space="preserve">) to have particular regard to the efficient end use of energy, </w:t>
            </w:r>
            <w:r>
              <w:lastRenderedPageBreak/>
              <w:t>and the finite characteristics of natural and physical resources (s 7(g)).</w:t>
            </w:r>
          </w:p>
        </w:tc>
      </w:tr>
    </w:tbl>
    <w:p w14:paraId="3BD2F20E" w14:textId="72F21ABE" w:rsidR="003206FD" w:rsidRPr="00947EAA" w:rsidRDefault="0098722A" w:rsidP="00A247C5">
      <w:pPr>
        <w:pStyle w:val="Normal2"/>
      </w:pPr>
      <w:r w:rsidRPr="00947EAA">
        <w:lastRenderedPageBreak/>
        <w:t xml:space="preserve">These </w:t>
      </w:r>
      <w:r w:rsidR="00582698" w:rsidRPr="00947EAA">
        <w:t xml:space="preserve">objectives </w:t>
      </w:r>
      <w:proofErr w:type="gramStart"/>
      <w:r w:rsidR="00582698" w:rsidRPr="00947EAA">
        <w:t>are considered to be</w:t>
      </w:r>
      <w:proofErr w:type="gramEnd"/>
      <w:r w:rsidR="00582698" w:rsidRPr="00947EAA">
        <w:t xml:space="preserve"> the most appropriate objectives to achieve the purpose of the </w:t>
      </w:r>
      <w:r w:rsidR="0046396F" w:rsidRPr="00947EAA">
        <w:t xml:space="preserve">RMA in relation to Energy.  The objectives are </w:t>
      </w:r>
      <w:r w:rsidR="00610952" w:rsidRPr="00947EAA">
        <w:t xml:space="preserve">implemented through a range of policies and methods as set out in </w:t>
      </w:r>
      <w:r w:rsidR="00B4169B">
        <w:t xml:space="preserve">section </w:t>
      </w:r>
      <w:r w:rsidR="00B4169B">
        <w:fldChar w:fldCharType="begin"/>
      </w:r>
      <w:r w:rsidR="00B4169B">
        <w:instrText xml:space="preserve"> REF _Ref72670442 \r \h </w:instrText>
      </w:r>
      <w:r w:rsidR="00B4169B">
        <w:fldChar w:fldCharType="separate"/>
      </w:r>
      <w:r w:rsidR="002A7A16">
        <w:t>5.9.1</w:t>
      </w:r>
      <w:r w:rsidR="00B4169B">
        <w:fldChar w:fldCharType="end"/>
      </w:r>
      <w:r w:rsidR="00B4169B">
        <w:t xml:space="preserve"> </w:t>
      </w:r>
      <w:r w:rsidR="000D6F5E" w:rsidRPr="00947EAA">
        <w:t>of this report.</w:t>
      </w:r>
      <w:r w:rsidR="003C5698" w:rsidRPr="00947EAA">
        <w:t xml:space="preserve">  These include</w:t>
      </w:r>
      <w:r w:rsidR="003206FD" w:rsidRPr="00947EAA">
        <w:t>:</w:t>
      </w:r>
    </w:p>
    <w:p w14:paraId="21803A0E" w14:textId="1F0AD265" w:rsidR="00B10EE7" w:rsidRPr="00947EAA" w:rsidRDefault="00B10EE7" w:rsidP="00A247C5">
      <w:pPr>
        <w:pStyle w:val="Normal3"/>
      </w:pPr>
      <w:r w:rsidRPr="003D1C57">
        <w:t>EIT</w:t>
      </w:r>
      <w:r w:rsidRPr="00BC76FD">
        <w:t>–</w:t>
      </w:r>
      <w:r w:rsidRPr="003D1C57">
        <w:t>EN</w:t>
      </w:r>
      <w:r w:rsidRPr="00BC76FD">
        <w:t>–</w:t>
      </w:r>
      <w:r w:rsidRPr="003D1C57">
        <w:t xml:space="preserve">P1 </w:t>
      </w:r>
      <w:r>
        <w:t xml:space="preserve">– </w:t>
      </w:r>
      <w:r w:rsidRPr="003D1C57">
        <w:t xml:space="preserve">Operation and maintenance </w:t>
      </w:r>
    </w:p>
    <w:p w14:paraId="39D7F6E7" w14:textId="77777777" w:rsidR="00910493" w:rsidRPr="003D1C57" w:rsidRDefault="00910493" w:rsidP="00A247C5">
      <w:pPr>
        <w:pStyle w:val="Normal3"/>
      </w:pPr>
      <w:r w:rsidRPr="003D1C57">
        <w:t>EIT</w:t>
      </w:r>
      <w:r w:rsidRPr="00BC76FD">
        <w:t>–</w:t>
      </w:r>
      <w:r w:rsidRPr="003D1C57">
        <w:t>EN</w:t>
      </w:r>
      <w:r w:rsidRPr="00BC76FD">
        <w:t>–</w:t>
      </w:r>
      <w:r w:rsidRPr="003D1C57">
        <w:t xml:space="preserve">P2 </w:t>
      </w:r>
      <w:r>
        <w:t xml:space="preserve">– </w:t>
      </w:r>
      <w:r w:rsidRPr="003D1C57">
        <w:t xml:space="preserve">Recognising </w:t>
      </w:r>
      <w:r w:rsidRPr="00DC489D">
        <w:t>renewable electricity generation activities</w:t>
      </w:r>
      <w:r w:rsidRPr="003D1C57">
        <w:t xml:space="preserve"> in decision</w:t>
      </w:r>
      <w:r>
        <w:t>-</w:t>
      </w:r>
      <w:r w:rsidRPr="003D1C57">
        <w:t>making</w:t>
      </w:r>
    </w:p>
    <w:p w14:paraId="21010B58" w14:textId="77777777" w:rsidR="00DE1216" w:rsidRPr="003D1C57" w:rsidRDefault="00DE1216" w:rsidP="00A247C5">
      <w:pPr>
        <w:pStyle w:val="Normal3"/>
      </w:pPr>
      <w:r w:rsidRPr="003D1C57">
        <w:t>EIT</w:t>
      </w:r>
      <w:r w:rsidRPr="00BC76FD">
        <w:t>–</w:t>
      </w:r>
      <w:r w:rsidRPr="003D1C57">
        <w:t>EN</w:t>
      </w:r>
      <w:r w:rsidRPr="00BC76FD">
        <w:t>–</w:t>
      </w:r>
      <w:r w:rsidRPr="003D1C57">
        <w:t xml:space="preserve">P3 </w:t>
      </w:r>
      <w:r>
        <w:t xml:space="preserve">– </w:t>
      </w:r>
      <w:r w:rsidRPr="003D1C57">
        <w:t xml:space="preserve">Development and upgrade of </w:t>
      </w:r>
      <w:r w:rsidRPr="00DC489D">
        <w:t>renewable electricity generation activities</w:t>
      </w:r>
      <w:r w:rsidRPr="003D1C57">
        <w:t xml:space="preserve"> </w:t>
      </w:r>
    </w:p>
    <w:p w14:paraId="6CE6C17F" w14:textId="77777777" w:rsidR="007B6758" w:rsidRPr="003D1C57" w:rsidRDefault="007B6758" w:rsidP="00A247C5">
      <w:pPr>
        <w:pStyle w:val="Normal3"/>
      </w:pPr>
      <w:r w:rsidRPr="003D1C57">
        <w:t>EIT</w:t>
      </w:r>
      <w:r w:rsidRPr="00BC76FD">
        <w:t>–</w:t>
      </w:r>
      <w:r w:rsidRPr="003D1C57">
        <w:t>EN</w:t>
      </w:r>
      <w:r w:rsidRPr="00BC76FD">
        <w:t>–</w:t>
      </w:r>
      <w:r w:rsidRPr="003D1C57">
        <w:t xml:space="preserve">P4 </w:t>
      </w:r>
      <w:r>
        <w:t>– Identifying</w:t>
      </w:r>
      <w:r w:rsidRPr="003D1C57">
        <w:t xml:space="preserve"> new sites or resources </w:t>
      </w:r>
    </w:p>
    <w:p w14:paraId="1BB115EA" w14:textId="77777777" w:rsidR="006B48A8" w:rsidRPr="003D1C57" w:rsidRDefault="006B48A8" w:rsidP="00A247C5">
      <w:pPr>
        <w:pStyle w:val="Normal3"/>
      </w:pPr>
      <w:r w:rsidRPr="003D1C57">
        <w:t>EIT</w:t>
      </w:r>
      <w:r w:rsidRPr="00BC76FD">
        <w:t>–</w:t>
      </w:r>
      <w:r w:rsidRPr="003D1C57">
        <w:t>EN</w:t>
      </w:r>
      <w:r w:rsidRPr="00BC76FD">
        <w:t>–</w:t>
      </w:r>
      <w:r w:rsidRPr="003D1C57">
        <w:t xml:space="preserve">P5 </w:t>
      </w:r>
      <w:r>
        <w:t xml:space="preserve">– </w:t>
      </w:r>
      <w:r w:rsidRPr="003D1C57">
        <w:t>Non-renewable energy generation</w:t>
      </w:r>
    </w:p>
    <w:p w14:paraId="0CE5B303" w14:textId="77777777" w:rsidR="006F2376" w:rsidRPr="003D1C57" w:rsidRDefault="006F2376" w:rsidP="00A247C5">
      <w:pPr>
        <w:pStyle w:val="Normal3"/>
      </w:pPr>
      <w:r w:rsidRPr="003D1C57">
        <w:t>EIT</w:t>
      </w:r>
      <w:r w:rsidRPr="00BC76FD">
        <w:t>–</w:t>
      </w:r>
      <w:r w:rsidRPr="003D1C57">
        <w:t>EN</w:t>
      </w:r>
      <w:r w:rsidRPr="00BC76FD">
        <w:t>–</w:t>
      </w:r>
      <w:r w:rsidRPr="003D1C57">
        <w:t xml:space="preserve">P6 </w:t>
      </w:r>
      <w:r>
        <w:t xml:space="preserve">– </w:t>
      </w:r>
      <w:r w:rsidRPr="003D1C57">
        <w:t xml:space="preserve">Managing </w:t>
      </w:r>
      <w:r w:rsidRPr="00DC489D">
        <w:t>effects</w:t>
      </w:r>
      <w:r w:rsidRPr="003D1C57">
        <w:t xml:space="preserve"> </w:t>
      </w:r>
    </w:p>
    <w:p w14:paraId="7258A6E1" w14:textId="77777777" w:rsidR="00C249B0" w:rsidRPr="003D1C57" w:rsidRDefault="00C249B0" w:rsidP="00A247C5">
      <w:pPr>
        <w:pStyle w:val="Normal3"/>
      </w:pPr>
      <w:r w:rsidRPr="003D1C57">
        <w:t>EIT</w:t>
      </w:r>
      <w:r w:rsidRPr="00BC76FD">
        <w:t>–</w:t>
      </w:r>
      <w:r w:rsidRPr="003D1C57">
        <w:t>EN</w:t>
      </w:r>
      <w:r w:rsidRPr="00BC76FD">
        <w:t>–</w:t>
      </w:r>
      <w:r w:rsidRPr="003D1C57">
        <w:t xml:space="preserve">P7 </w:t>
      </w:r>
      <w:r>
        <w:t xml:space="preserve">– </w:t>
      </w:r>
      <w:r w:rsidRPr="003D1C57">
        <w:t>Reverse sensitivity</w:t>
      </w:r>
    </w:p>
    <w:p w14:paraId="5990BC4A" w14:textId="77777777" w:rsidR="004B2B0F" w:rsidRPr="00583692" w:rsidRDefault="004B2B0F" w:rsidP="00A247C5">
      <w:pPr>
        <w:pStyle w:val="Normal3"/>
      </w:pPr>
      <w:r w:rsidRPr="003D1C57">
        <w:t>EIT</w:t>
      </w:r>
      <w:r w:rsidRPr="00BC76FD">
        <w:t>–</w:t>
      </w:r>
      <w:r w:rsidRPr="003D1C57">
        <w:t>EN</w:t>
      </w:r>
      <w:r w:rsidRPr="00BC76FD">
        <w:t>–</w:t>
      </w:r>
      <w:r w:rsidRPr="003D1C57">
        <w:t xml:space="preserve">P8 </w:t>
      </w:r>
      <w:r>
        <w:t xml:space="preserve">– </w:t>
      </w:r>
      <w:r w:rsidRPr="00DC489D">
        <w:t>Small and community scale distributed electricity generation</w:t>
      </w:r>
      <w:r w:rsidRPr="00583692">
        <w:t xml:space="preserve"> </w:t>
      </w:r>
    </w:p>
    <w:p w14:paraId="4C501698" w14:textId="77777777" w:rsidR="005E78F6" w:rsidRPr="005E78F6" w:rsidRDefault="006C7514" w:rsidP="00A247C5">
      <w:pPr>
        <w:pStyle w:val="Normal3"/>
      </w:pPr>
      <w:r w:rsidRPr="003D1C57">
        <w:t>EIT</w:t>
      </w:r>
      <w:r w:rsidRPr="00BC76FD">
        <w:t>–</w:t>
      </w:r>
      <w:r w:rsidRPr="003D1C57">
        <w:t>EN</w:t>
      </w:r>
      <w:r w:rsidRPr="00BC76FD">
        <w:t>–</w:t>
      </w:r>
      <w:r w:rsidRPr="003D1C57">
        <w:t xml:space="preserve">P9 </w:t>
      </w:r>
      <w:r>
        <w:t xml:space="preserve">– </w:t>
      </w:r>
      <w:r w:rsidRPr="003D1C57">
        <w:t>Energy conservation and efficiency</w:t>
      </w:r>
    </w:p>
    <w:p w14:paraId="69064488" w14:textId="77777777" w:rsidR="0013327D" w:rsidRPr="0013327D" w:rsidRDefault="00EC2854" w:rsidP="00A247C5">
      <w:pPr>
        <w:pStyle w:val="Normal3"/>
      </w:pPr>
      <w:r w:rsidRPr="003D1C57">
        <w:t>EIT</w:t>
      </w:r>
      <w:r w:rsidRPr="00BC76FD">
        <w:t>–</w:t>
      </w:r>
      <w:r w:rsidRPr="003D1C57">
        <w:t>EN</w:t>
      </w:r>
      <w:r w:rsidRPr="00BC76FD">
        <w:t>–</w:t>
      </w:r>
      <w:r w:rsidRPr="003D1C57">
        <w:t xml:space="preserve">M1 </w:t>
      </w:r>
      <w:r>
        <w:t xml:space="preserve">– </w:t>
      </w:r>
      <w:r w:rsidRPr="00EC2750">
        <w:t>Regional plans</w:t>
      </w:r>
    </w:p>
    <w:p w14:paraId="377DE597" w14:textId="77777777" w:rsidR="00DC029B" w:rsidRPr="003D1C57" w:rsidRDefault="00DC029B" w:rsidP="00A247C5">
      <w:pPr>
        <w:pStyle w:val="Normal3"/>
      </w:pPr>
      <w:r w:rsidRPr="003D1C57">
        <w:t>EIT</w:t>
      </w:r>
      <w:r w:rsidRPr="00BC76FD">
        <w:t>–</w:t>
      </w:r>
      <w:r w:rsidRPr="003D1C57">
        <w:t>EN</w:t>
      </w:r>
      <w:r w:rsidRPr="00BC76FD">
        <w:t>–</w:t>
      </w:r>
      <w:r w:rsidRPr="003D1C57">
        <w:t xml:space="preserve">M2 </w:t>
      </w:r>
      <w:r>
        <w:t xml:space="preserve">– </w:t>
      </w:r>
      <w:r w:rsidRPr="00196B0C">
        <w:t>District plans</w:t>
      </w:r>
    </w:p>
    <w:p w14:paraId="50CD3C8F" w14:textId="77777777" w:rsidR="00B42BB7" w:rsidRPr="003D1C57" w:rsidRDefault="00B42BB7" w:rsidP="00A247C5">
      <w:pPr>
        <w:pStyle w:val="Normal3"/>
      </w:pPr>
      <w:r w:rsidRPr="003D1C57">
        <w:t>EIT</w:t>
      </w:r>
      <w:r w:rsidRPr="00BC76FD">
        <w:t>–</w:t>
      </w:r>
      <w:r w:rsidRPr="003D1C57">
        <w:t>EN</w:t>
      </w:r>
      <w:r w:rsidRPr="00BC76FD">
        <w:t>–</w:t>
      </w:r>
      <w:r w:rsidRPr="003D1C57">
        <w:t xml:space="preserve">M3 </w:t>
      </w:r>
      <w:r>
        <w:t xml:space="preserve">– </w:t>
      </w:r>
      <w:r w:rsidRPr="003D1C57">
        <w:t>Education and information</w:t>
      </w:r>
    </w:p>
    <w:p w14:paraId="74D8453B" w14:textId="4DF423B0" w:rsidR="003C22F2" w:rsidRPr="00CC2C38" w:rsidRDefault="009A0B84" w:rsidP="00A247C5">
      <w:pPr>
        <w:pStyle w:val="Normal2"/>
      </w:pPr>
      <w:r w:rsidRPr="00CC2C38">
        <w:t xml:space="preserve">In addition to these </w:t>
      </w:r>
      <w:r w:rsidR="00892B67">
        <w:t>energy</w:t>
      </w:r>
      <w:r w:rsidRPr="00CC2C38">
        <w:t xml:space="preserve"> specific </w:t>
      </w:r>
      <w:r w:rsidR="00362A7F" w:rsidRPr="00CC2C38">
        <w:t xml:space="preserve">policies and methods, there are also a range of other </w:t>
      </w:r>
      <w:r w:rsidR="000E137D" w:rsidRPr="00CC2C38">
        <w:t>resource</w:t>
      </w:r>
      <w:r w:rsidR="00892B67">
        <w:t>-</w:t>
      </w:r>
      <w:r w:rsidR="000E137D" w:rsidRPr="00CC2C38">
        <w:t xml:space="preserve">based policies and methods which manage or protect specific resources, including </w:t>
      </w:r>
      <w:r w:rsidR="00834402" w:rsidRPr="00CC2C38">
        <w:t xml:space="preserve">historical </w:t>
      </w:r>
      <w:r w:rsidR="00804D4A" w:rsidRPr="00CC2C38">
        <w:t xml:space="preserve">and cultural values, natural features and landscapes, </w:t>
      </w:r>
      <w:r w:rsidR="009B4012" w:rsidRPr="00CC2C38">
        <w:t xml:space="preserve">the coastal environment, urban form and development, </w:t>
      </w:r>
      <w:r w:rsidR="00804D4A" w:rsidRPr="00CC2C38">
        <w:t xml:space="preserve">and indigenous biodiversity.  </w:t>
      </w:r>
      <w:proofErr w:type="gramStart"/>
      <w:r w:rsidR="00804D4A" w:rsidRPr="00CC2C38">
        <w:t>All of</w:t>
      </w:r>
      <w:proofErr w:type="gramEnd"/>
      <w:r w:rsidR="00804D4A" w:rsidRPr="00CC2C38">
        <w:t xml:space="preserve"> these topics have policies and metho</w:t>
      </w:r>
      <w:r w:rsidR="00FF69F9" w:rsidRPr="00CC2C38">
        <w:t xml:space="preserve">ds that will impact on </w:t>
      </w:r>
      <w:r w:rsidR="00165910" w:rsidRPr="00CC2C38">
        <w:t xml:space="preserve">the provision of </w:t>
      </w:r>
      <w:r w:rsidR="009B4012" w:rsidRPr="00CC2C38">
        <w:t xml:space="preserve">renewable </w:t>
      </w:r>
      <w:r w:rsidR="00EA2E9D" w:rsidRPr="00CC2C38">
        <w:t>electricity</w:t>
      </w:r>
      <w:r w:rsidR="009B4012" w:rsidRPr="00CC2C38">
        <w:t xml:space="preserve"> generation activities, and the implementation of energy efficient development.</w:t>
      </w:r>
    </w:p>
    <w:p w14:paraId="549361E6" w14:textId="7EB8DABB" w:rsidR="009A0B84" w:rsidRPr="00CC2C38" w:rsidRDefault="00834402" w:rsidP="00A247C5">
      <w:pPr>
        <w:pStyle w:val="Normal2"/>
      </w:pPr>
      <w:r w:rsidRPr="00CC2C38">
        <w:t xml:space="preserve"> </w:t>
      </w:r>
      <w:r w:rsidR="00CB6589" w:rsidRPr="00CC2C38">
        <w:t xml:space="preserve">As a package, the objectives seek to achieve more than the provisions set out in </w:t>
      </w:r>
      <w:r w:rsidR="00B4169B">
        <w:t>PORPS 2019</w:t>
      </w:r>
      <w:r w:rsidR="00CB6589" w:rsidRPr="00CC2C38">
        <w:t xml:space="preserve"> for energy.  That objective very simply s</w:t>
      </w:r>
      <w:r w:rsidR="00082912" w:rsidRPr="00CC2C38">
        <w:t>eeks</w:t>
      </w:r>
      <w:r w:rsidR="00CB6589" w:rsidRPr="00CC2C38">
        <w:t xml:space="preserve"> that energy resources are secure, </w:t>
      </w:r>
      <w:proofErr w:type="gramStart"/>
      <w:r w:rsidR="00CB6589" w:rsidRPr="00CC2C38">
        <w:t>reliable</w:t>
      </w:r>
      <w:proofErr w:type="gramEnd"/>
      <w:r w:rsidR="00CB6589" w:rsidRPr="00CC2C38">
        <w:t xml:space="preserve"> and sustainable</w:t>
      </w:r>
      <w:r w:rsidR="00EA2E9D" w:rsidRPr="00CC2C38">
        <w:t>.</w:t>
      </w:r>
    </w:p>
    <w:p w14:paraId="19FD1443" w14:textId="044DE2DB" w:rsidR="00082912" w:rsidRPr="00E5289C" w:rsidRDefault="00082912" w:rsidP="00A247C5">
      <w:pPr>
        <w:pStyle w:val="Normal2"/>
      </w:pPr>
      <w:r w:rsidRPr="00CC2C38">
        <w:t>Taking into account the evaluation of the above objectives, and how they are proposed to be implemented</w:t>
      </w:r>
      <w:r w:rsidR="001F0480" w:rsidRPr="00CC2C38">
        <w:t xml:space="preserve"> through the policies and methods, the proposed objectives are considered to be the most appropriate for implementing the purpose of the </w:t>
      </w:r>
      <w:r w:rsidR="000E63FF">
        <w:t>RMA</w:t>
      </w:r>
      <w:r w:rsidR="001F0480" w:rsidRPr="00CC2C38">
        <w:t xml:space="preserve"> as set out in s5, being the sustainable management of natural and physical resources, </w:t>
      </w:r>
      <w:r w:rsidR="00926C35">
        <w:t>along with</w:t>
      </w:r>
      <w:r w:rsidR="001F0480">
        <w:t xml:space="preserve"> the principles </w:t>
      </w:r>
      <w:r w:rsidR="001F0480" w:rsidRPr="00CC2C38">
        <w:t xml:space="preserve">in the </w:t>
      </w:r>
      <w:r w:rsidR="00B4169B">
        <w:t>RMA</w:t>
      </w:r>
      <w:r w:rsidR="001F0480" w:rsidRPr="00CC2C38">
        <w:t xml:space="preserve"> as set out in sections 6, 7 and 8.</w:t>
      </w:r>
      <w:r w:rsidR="00C129B3">
        <w:t xml:space="preserve"> </w:t>
      </w:r>
      <w:r w:rsidR="003D180E">
        <w:t xml:space="preserve">As set out in the evaluation in Section </w:t>
      </w:r>
      <w:r w:rsidR="00E04441">
        <w:fldChar w:fldCharType="begin"/>
      </w:r>
      <w:r w:rsidR="00E04441">
        <w:instrText xml:space="preserve"> REF _Ref72670442 \r \h </w:instrText>
      </w:r>
      <w:r w:rsidR="00E04441">
        <w:fldChar w:fldCharType="separate"/>
      </w:r>
      <w:r w:rsidR="002A7A16">
        <w:t>5.9.1</w:t>
      </w:r>
      <w:r w:rsidR="00E04441">
        <w:fldChar w:fldCharType="end"/>
      </w:r>
      <w:r w:rsidR="00D4664C">
        <w:t xml:space="preserve">, the </w:t>
      </w:r>
      <w:r w:rsidR="005A3309" w:rsidRPr="00941C3E">
        <w:t>approach is feasible, acceptable and without unjustified cost relative to the benefit that will accrue.</w:t>
      </w:r>
    </w:p>
    <w:p w14:paraId="0E29173B" w14:textId="21D23A73" w:rsidR="002C2245" w:rsidRDefault="002C2245" w:rsidP="00DE069C">
      <w:pPr>
        <w:pStyle w:val="Heading4"/>
      </w:pPr>
      <w:r>
        <w:t xml:space="preserve">EIT–INF – Infrastructure </w:t>
      </w:r>
    </w:p>
    <w:p w14:paraId="19191749" w14:textId="40B4D80D" w:rsidR="002C2245" w:rsidRDefault="002C2245" w:rsidP="00A247C5">
      <w:pPr>
        <w:pStyle w:val="Normal2"/>
      </w:pPr>
      <w:r>
        <w:t xml:space="preserve">This section of the EIT chapter has three objectives which are assessed in </w:t>
      </w:r>
      <w:r w:rsidR="00AD209D">
        <w:fldChar w:fldCharType="begin"/>
      </w:r>
      <w:r w:rsidR="00AD209D">
        <w:instrText xml:space="preserve"> REF _Ref72495540 \h </w:instrText>
      </w:r>
      <w:r w:rsidR="00AD209D">
        <w:fldChar w:fldCharType="separate"/>
      </w:r>
      <w:r w:rsidR="002A7A16">
        <w:t xml:space="preserve">Table </w:t>
      </w:r>
      <w:r w:rsidR="002A7A16">
        <w:rPr>
          <w:noProof/>
        </w:rPr>
        <w:t>14</w:t>
      </w:r>
      <w:r w:rsidR="00AD209D">
        <w:fldChar w:fldCharType="end"/>
      </w:r>
      <w:r w:rsidR="00AD209D">
        <w:t xml:space="preserve"> </w:t>
      </w:r>
      <w:r>
        <w:t>below.</w:t>
      </w:r>
    </w:p>
    <w:p w14:paraId="7D78A426" w14:textId="4B6711D1" w:rsidR="006F6FA1" w:rsidRDefault="006F6FA1" w:rsidP="006F6FA1">
      <w:pPr>
        <w:pStyle w:val="Caption"/>
      </w:pPr>
      <w:bookmarkStart w:id="47" w:name="_Ref72495540"/>
      <w:r>
        <w:t xml:space="preserve">Table </w:t>
      </w:r>
      <w:r>
        <w:fldChar w:fldCharType="begin"/>
      </w:r>
      <w:r>
        <w:instrText xml:space="preserve"> SEQ Table \* ARABIC </w:instrText>
      </w:r>
      <w:r>
        <w:fldChar w:fldCharType="separate"/>
      </w:r>
      <w:r w:rsidR="002A7A16">
        <w:rPr>
          <w:noProof/>
        </w:rPr>
        <w:t>14</w:t>
      </w:r>
      <w:r>
        <w:rPr>
          <w:noProof/>
        </w:rPr>
        <w:fldChar w:fldCharType="end"/>
      </w:r>
      <w:bookmarkEnd w:id="47"/>
      <w:r>
        <w:t>: Evaluation of EIT–INF objectives</w:t>
      </w:r>
    </w:p>
    <w:tbl>
      <w:tblPr>
        <w:tblStyle w:val="TableGrid"/>
        <w:tblW w:w="0" w:type="auto"/>
        <w:tblLook w:val="04A0" w:firstRow="1" w:lastRow="0" w:firstColumn="1" w:lastColumn="0" w:noHBand="0" w:noVBand="1"/>
      </w:tblPr>
      <w:tblGrid>
        <w:gridCol w:w="3489"/>
        <w:gridCol w:w="5527"/>
      </w:tblGrid>
      <w:tr w:rsidR="00E04441" w:rsidRPr="00462638" w14:paraId="131FBB25" w14:textId="77777777" w:rsidTr="002A7A16">
        <w:tc>
          <w:tcPr>
            <w:tcW w:w="3489" w:type="dxa"/>
            <w:shd w:val="clear" w:color="auto" w:fill="B4C6E7" w:themeFill="accent1" w:themeFillTint="66"/>
          </w:tcPr>
          <w:p w14:paraId="53DD3787" w14:textId="77777777" w:rsidR="00E04441" w:rsidRPr="00930CFC" w:rsidRDefault="00E04441" w:rsidP="002A7A16">
            <w:pPr>
              <w:pStyle w:val="Table1"/>
              <w:rPr>
                <w:b/>
                <w:bCs/>
              </w:rPr>
            </w:pPr>
            <w:r w:rsidRPr="00930CFC">
              <w:rPr>
                <w:b/>
                <w:bCs/>
              </w:rPr>
              <w:t>Objective</w:t>
            </w:r>
          </w:p>
        </w:tc>
        <w:tc>
          <w:tcPr>
            <w:tcW w:w="5527" w:type="dxa"/>
            <w:shd w:val="clear" w:color="auto" w:fill="B4C6E7" w:themeFill="accent1" w:themeFillTint="66"/>
          </w:tcPr>
          <w:p w14:paraId="68A8144D" w14:textId="77777777" w:rsidR="00E04441" w:rsidRPr="00930CFC" w:rsidRDefault="00E04441" w:rsidP="002A7A16">
            <w:pPr>
              <w:pStyle w:val="Table1"/>
              <w:rPr>
                <w:b/>
                <w:bCs/>
              </w:rPr>
            </w:pPr>
            <w:r w:rsidRPr="00930CFC">
              <w:rPr>
                <w:b/>
                <w:bCs/>
              </w:rPr>
              <w:t>Assessment</w:t>
            </w:r>
          </w:p>
        </w:tc>
      </w:tr>
      <w:tr w:rsidR="00E04441" w:rsidRPr="00462638" w14:paraId="09CA0CB7" w14:textId="77777777" w:rsidTr="002A7A16">
        <w:tc>
          <w:tcPr>
            <w:tcW w:w="3489" w:type="dxa"/>
          </w:tcPr>
          <w:p w14:paraId="0979696D" w14:textId="77777777" w:rsidR="00E04441" w:rsidRPr="00E04441" w:rsidRDefault="00E04441" w:rsidP="00E04441">
            <w:pPr>
              <w:pStyle w:val="Table1"/>
              <w:rPr>
                <w:b/>
                <w:bCs/>
              </w:rPr>
            </w:pPr>
            <w:r w:rsidRPr="00E04441">
              <w:rPr>
                <w:b/>
                <w:bCs/>
              </w:rPr>
              <w:t xml:space="preserve">EIT–INF–O4 – Provision of infrastructure </w:t>
            </w:r>
          </w:p>
          <w:p w14:paraId="1FBA96FB" w14:textId="11CE2A41" w:rsidR="00E04441" w:rsidRDefault="00E04441" w:rsidP="00E04441">
            <w:pPr>
              <w:pStyle w:val="Table1"/>
            </w:pPr>
            <w:r>
              <w:t xml:space="preserve">Effective, </w:t>
            </w:r>
            <w:proofErr w:type="gramStart"/>
            <w:r>
              <w:t>efficient</w:t>
            </w:r>
            <w:proofErr w:type="gramEnd"/>
            <w:r>
              <w:t xml:space="preserve"> and resilient infrastructure enables the people and communities of Otago to provide for their social and cultural well-being, their health and safety, and supports sustainable economic development and </w:t>
            </w:r>
            <w:r>
              <w:lastRenderedPageBreak/>
              <w:t>growth within the region, within environmental limits.</w:t>
            </w:r>
          </w:p>
        </w:tc>
        <w:tc>
          <w:tcPr>
            <w:tcW w:w="5527" w:type="dxa"/>
          </w:tcPr>
          <w:p w14:paraId="65CB84F1" w14:textId="0CE46CCE" w:rsidR="00E04441" w:rsidRDefault="00E04441" w:rsidP="00E04441">
            <w:pPr>
              <w:pStyle w:val="Table1"/>
            </w:pPr>
            <w:r>
              <w:lastRenderedPageBreak/>
              <w:t>This objective recognises the need for efficient use and development of infrastructure (s7(b)), and the finite characteristics of natural and physical resources (s 7(g)).</w:t>
            </w:r>
          </w:p>
          <w:p w14:paraId="4BB80EFB" w14:textId="77777777" w:rsidR="00E04441" w:rsidRDefault="00E04441" w:rsidP="00E04441">
            <w:pPr>
              <w:pStyle w:val="Table1"/>
            </w:pPr>
            <w:r>
              <w:t xml:space="preserve">This objective ties into the key elements of s5 of the RMA and recognises that provision of infrastructure is one of the </w:t>
            </w:r>
            <w:proofErr w:type="gramStart"/>
            <w:r>
              <w:t>key ways</w:t>
            </w:r>
            <w:proofErr w:type="gramEnd"/>
            <w:r>
              <w:t xml:space="preserve"> that enables people and communities to provide for their wellbeing and health and safety, including by enabling transport of goods and services, provision of municipal infrastructure, and </w:t>
            </w:r>
            <w:r>
              <w:lastRenderedPageBreak/>
              <w:t>provision of major infrastructure works such as windfarms and hydroelectricity generation facilities.</w:t>
            </w:r>
          </w:p>
          <w:p w14:paraId="6F238F91" w14:textId="6D4BDA9F" w:rsidR="00E04441" w:rsidRDefault="00E04441" w:rsidP="00E04441">
            <w:pPr>
              <w:pStyle w:val="Table1"/>
            </w:pPr>
            <w:r>
              <w:t xml:space="preserve">Of key importance is that the development of such infrastructure takes place within environmental limits.  There may be situations where significant resources are impacted, however, the approach to be used in these circumstances is provided for in the policies.  This approach is consistent with giving meaning to how adverse effects are to be avoided, </w:t>
            </w:r>
            <w:proofErr w:type="gramStart"/>
            <w:r>
              <w:t>remedied</w:t>
            </w:r>
            <w:proofErr w:type="gramEnd"/>
            <w:r>
              <w:t xml:space="preserve"> or mitigated, which is one of the key aspects of providing for sustainable management and the use of natural and physical resources, as set out in s 5(2)(c).</w:t>
            </w:r>
          </w:p>
          <w:p w14:paraId="543ED6FA" w14:textId="4247AC74" w:rsidR="00E04441" w:rsidRDefault="00E04441" w:rsidP="00E04441">
            <w:pPr>
              <w:pStyle w:val="Table1"/>
            </w:pPr>
            <w:r>
              <w:t xml:space="preserve">The recognition of environmental limits is important to provide for the matters set out in s 6, which sets out </w:t>
            </w:r>
            <w:proofErr w:type="gramStart"/>
            <w:r>
              <w:t>a number of</w:t>
            </w:r>
            <w:proofErr w:type="gramEnd"/>
            <w:r>
              <w:t xml:space="preserve"> matters of national importance which decision-makers are required to recognise and provide for.</w:t>
            </w:r>
          </w:p>
        </w:tc>
      </w:tr>
      <w:tr w:rsidR="00E04441" w:rsidRPr="00462638" w14:paraId="28CE3DF8" w14:textId="77777777" w:rsidTr="002A7A16">
        <w:tc>
          <w:tcPr>
            <w:tcW w:w="3489" w:type="dxa"/>
          </w:tcPr>
          <w:p w14:paraId="6313E8EB" w14:textId="77777777" w:rsidR="00E04441" w:rsidRPr="00E04441" w:rsidRDefault="00E04441" w:rsidP="00E04441">
            <w:pPr>
              <w:pStyle w:val="Table1"/>
              <w:rPr>
                <w:b/>
                <w:bCs/>
              </w:rPr>
            </w:pPr>
            <w:r w:rsidRPr="00E04441">
              <w:rPr>
                <w:b/>
                <w:bCs/>
              </w:rPr>
              <w:lastRenderedPageBreak/>
              <w:t xml:space="preserve">EIT–INF–O5 – Integration </w:t>
            </w:r>
          </w:p>
          <w:p w14:paraId="0DDB747D" w14:textId="77777777" w:rsidR="00E04441" w:rsidRDefault="00E04441" w:rsidP="00E04441">
            <w:pPr>
              <w:pStyle w:val="Table1"/>
            </w:pPr>
            <w:r>
              <w:t xml:space="preserve">Development of nationally and regionally significant infrastructure, as well as land use change, occurs in a co-ordinated manner to minimise adverse effects on the environment and increase efficiency in the delivery, </w:t>
            </w:r>
            <w:proofErr w:type="gramStart"/>
            <w:r>
              <w:t>operation</w:t>
            </w:r>
            <w:proofErr w:type="gramEnd"/>
            <w:r>
              <w:t xml:space="preserve"> and use of the infrastructure.</w:t>
            </w:r>
          </w:p>
          <w:p w14:paraId="3F7A6614" w14:textId="4CA40568" w:rsidR="00E04441" w:rsidRDefault="00E04441" w:rsidP="002A7A16">
            <w:pPr>
              <w:pStyle w:val="Table1"/>
              <w:ind w:left="456" w:hanging="425"/>
            </w:pPr>
          </w:p>
        </w:tc>
        <w:tc>
          <w:tcPr>
            <w:tcW w:w="5527" w:type="dxa"/>
          </w:tcPr>
          <w:p w14:paraId="23A9FB8C" w14:textId="3C15A3A2" w:rsidR="00E04441" w:rsidRDefault="00E04441" w:rsidP="00E04441">
            <w:pPr>
              <w:pStyle w:val="Table1"/>
              <w:ind w:left="10"/>
            </w:pPr>
            <w:r>
              <w:t>Objective EIT</w:t>
            </w:r>
            <w:r w:rsidRPr="00731553">
              <w:t>–</w:t>
            </w:r>
            <w:r>
              <w:t>INF</w:t>
            </w:r>
            <w:r w:rsidRPr="00731553">
              <w:t>–</w:t>
            </w:r>
            <w:r>
              <w:t>05 seeks to ensure that development of infrastructure occurs in a co-ordinated manner. This is particularly important for the delivery of growth areas and new urban development. However efficient outcomes for infrastructure are also important for roading and other types of infrastructure as well. This may include innovative ways to improve efficiency for generating activities, or transport for example.</w:t>
            </w:r>
          </w:p>
          <w:p w14:paraId="4B23F131" w14:textId="62FBFEEF" w:rsidR="00E04441" w:rsidRDefault="00E04441" w:rsidP="00E04441">
            <w:pPr>
              <w:pStyle w:val="Table1"/>
              <w:ind w:left="10"/>
            </w:pPr>
            <w:r>
              <w:t>Minimising adverse effects on the environment will assist with ensuring that natural resources are used in a way, or at a rate, that sustains those resources to meet the reasonably foreseeable needs of future generations (</w:t>
            </w:r>
            <w:proofErr w:type="gramStart"/>
            <w:r>
              <w:t>i.e.</w:t>
            </w:r>
            <w:proofErr w:type="gramEnd"/>
            <w:r>
              <w:t xml:space="preserve"> provide for intergenerational equity).  It will also assist with the safeguarding the life supporting capacity of air, water, </w:t>
            </w:r>
            <w:proofErr w:type="gramStart"/>
            <w:r>
              <w:t>soils</w:t>
            </w:r>
            <w:proofErr w:type="gramEnd"/>
            <w:r>
              <w:t xml:space="preserve"> and ecosystems</w:t>
            </w:r>
            <w:r w:rsidR="00B4169B">
              <w:t>.</w:t>
            </w:r>
          </w:p>
          <w:p w14:paraId="3CE8BBA5" w14:textId="77777777" w:rsidR="00E04441" w:rsidRDefault="00E04441" w:rsidP="00E04441">
            <w:pPr>
              <w:pStyle w:val="Table1"/>
              <w:ind w:left="10"/>
            </w:pPr>
            <w:r>
              <w:t>Such approaches are consistent with the purpose of the RMA as set out in s5.</w:t>
            </w:r>
          </w:p>
          <w:p w14:paraId="47F1F845" w14:textId="4773706C" w:rsidR="00E04441" w:rsidRDefault="00E04441" w:rsidP="00E04441">
            <w:pPr>
              <w:pStyle w:val="Table1"/>
              <w:ind w:left="10"/>
            </w:pPr>
            <w:r>
              <w:t>In addition to those matters set out in the purpose of the RMA, the objective also recognises the need for efficient use and development of natural and physical resources, which in this situation is the infrastructure assets themselves (s 7(b) and (</w:t>
            </w:r>
            <w:proofErr w:type="spellStart"/>
            <w:r>
              <w:t>ba</w:t>
            </w:r>
            <w:proofErr w:type="spellEnd"/>
            <w:r>
              <w:t>)).</w:t>
            </w:r>
          </w:p>
        </w:tc>
      </w:tr>
      <w:tr w:rsidR="00E04441" w:rsidRPr="00462638" w14:paraId="4D3DAB72" w14:textId="77777777" w:rsidTr="002A7A16">
        <w:tc>
          <w:tcPr>
            <w:tcW w:w="3489" w:type="dxa"/>
          </w:tcPr>
          <w:p w14:paraId="264F0657" w14:textId="77777777" w:rsidR="00E04441" w:rsidRPr="00E04441" w:rsidRDefault="00E04441" w:rsidP="00E04441">
            <w:pPr>
              <w:pStyle w:val="Table1"/>
              <w:rPr>
                <w:b/>
                <w:bCs/>
              </w:rPr>
            </w:pPr>
            <w:r w:rsidRPr="00E04441">
              <w:rPr>
                <w:b/>
                <w:bCs/>
              </w:rPr>
              <w:t xml:space="preserve">EIT–INF–O6 – Long-term planning for electricity transmission infrastructure </w:t>
            </w:r>
          </w:p>
          <w:p w14:paraId="348EAEFF" w14:textId="40B30A07" w:rsidR="00E04441" w:rsidRPr="004D3276" w:rsidRDefault="00E04441" w:rsidP="00E04441">
            <w:pPr>
              <w:pStyle w:val="Table1"/>
            </w:pPr>
            <w:r>
              <w:t>Long-term investment in, and planning for, electricity transmission infrastructure, and its integration with land use, is sustained.</w:t>
            </w:r>
          </w:p>
        </w:tc>
        <w:tc>
          <w:tcPr>
            <w:tcW w:w="5527" w:type="dxa"/>
          </w:tcPr>
          <w:p w14:paraId="65414505" w14:textId="77777777" w:rsidR="00E04441" w:rsidRDefault="00E04441" w:rsidP="00E04441">
            <w:pPr>
              <w:pStyle w:val="Table1"/>
            </w:pPr>
            <w:r>
              <w:t>This objective has principally been developed to implement the NPSET, and broadly covers the need to be able to plan development of National Grid assets as well as sub-transmission network infrastructure.</w:t>
            </w:r>
          </w:p>
          <w:p w14:paraId="1401C542" w14:textId="77777777" w:rsidR="00E04441" w:rsidRDefault="00E04441" w:rsidP="00E04441">
            <w:pPr>
              <w:pStyle w:val="Table1"/>
            </w:pPr>
            <w:r>
              <w:t>The key method for implementing this policy is through the identification of corridors for transmission infrastructure.  Such corridors are essential to allow for the development of the network, to provide for the health and safety of residents, or other sensitive users of land, and to limit the potential for reverse sensitivity effects on the National Grid network.</w:t>
            </w:r>
          </w:p>
          <w:p w14:paraId="7958583A" w14:textId="22F932CB" w:rsidR="00E04441" w:rsidRDefault="00E04441" w:rsidP="00E04441">
            <w:pPr>
              <w:pStyle w:val="Table1"/>
            </w:pPr>
            <w:r>
              <w:t>The objective is considered the most appropriate for implementing the purpose of the RMA given the provision for enabling people and communities to provide for their wellbeing as well as their health and safety; a key aspect of s 5(2).  The identification of corridors for transmission infrastructure will assist with achieving such outcomes.</w:t>
            </w:r>
          </w:p>
        </w:tc>
      </w:tr>
    </w:tbl>
    <w:p w14:paraId="1539B60F" w14:textId="20B72411" w:rsidR="00607F6F" w:rsidRPr="00947EAA" w:rsidRDefault="00607F6F" w:rsidP="00A247C5">
      <w:pPr>
        <w:pStyle w:val="Normal2"/>
      </w:pPr>
      <w:r w:rsidRPr="00947EAA">
        <w:t xml:space="preserve">These objectives </w:t>
      </w:r>
      <w:proofErr w:type="gramStart"/>
      <w:r w:rsidRPr="00947EAA">
        <w:t>are considered to be</w:t>
      </w:r>
      <w:proofErr w:type="gramEnd"/>
      <w:r w:rsidRPr="00947EAA">
        <w:t xml:space="preserve"> the most appropriate objectives to achieve the purpose of the RMA in relation to</w:t>
      </w:r>
      <w:r>
        <w:t xml:space="preserve"> infrastructure</w:t>
      </w:r>
      <w:r w:rsidRPr="00947EAA">
        <w:t xml:space="preserve">.  The objectives are implemented through a range of policies and methods as set out in </w:t>
      </w:r>
      <w:r w:rsidR="00E04441">
        <w:t xml:space="preserve">section </w:t>
      </w:r>
      <w:r w:rsidR="00E04441">
        <w:fldChar w:fldCharType="begin"/>
      </w:r>
      <w:r w:rsidR="00E04441">
        <w:instrText xml:space="preserve"> REF _Ref72670623 \r \h </w:instrText>
      </w:r>
      <w:r w:rsidR="00E04441">
        <w:fldChar w:fldCharType="separate"/>
      </w:r>
      <w:r w:rsidR="002A7A16">
        <w:t>5.9.2</w:t>
      </w:r>
      <w:r w:rsidR="00E04441">
        <w:fldChar w:fldCharType="end"/>
      </w:r>
      <w:r w:rsidRPr="00947EAA">
        <w:t xml:space="preserve"> of this report.  These include:</w:t>
      </w:r>
    </w:p>
    <w:p w14:paraId="5C81DBD4" w14:textId="77777777" w:rsidR="00607F6F" w:rsidRDefault="00607F6F" w:rsidP="00A247C5">
      <w:pPr>
        <w:pStyle w:val="Normal3"/>
      </w:pPr>
      <w:r w:rsidRPr="003D1C57">
        <w:lastRenderedPageBreak/>
        <w:t>EIT</w:t>
      </w:r>
      <w:r w:rsidRPr="00546389">
        <w:t>–</w:t>
      </w:r>
      <w:r w:rsidRPr="003D1C57">
        <w:t>INF</w:t>
      </w:r>
      <w:r w:rsidRPr="00546389">
        <w:t>–</w:t>
      </w:r>
      <w:r w:rsidRPr="003D1C57">
        <w:t>P</w:t>
      </w:r>
      <w:r>
        <w:t xml:space="preserve">10 – </w:t>
      </w:r>
      <w:r w:rsidRPr="003D1C57">
        <w:t xml:space="preserve">Recognising resource requirements </w:t>
      </w:r>
    </w:p>
    <w:p w14:paraId="7CDB483A" w14:textId="77777777" w:rsidR="00607F6F" w:rsidRPr="003D1C57" w:rsidRDefault="00607F6F" w:rsidP="00A247C5">
      <w:pPr>
        <w:pStyle w:val="Normal3"/>
      </w:pPr>
      <w:r w:rsidRPr="003D1C57">
        <w:t>EIT</w:t>
      </w:r>
      <w:r w:rsidRPr="00546389">
        <w:t>–</w:t>
      </w:r>
      <w:r w:rsidRPr="003D1C57">
        <w:t>INF</w:t>
      </w:r>
      <w:r w:rsidRPr="00546389">
        <w:t>–</w:t>
      </w:r>
      <w:r w:rsidRPr="003D1C57">
        <w:t>P1</w:t>
      </w:r>
      <w:r>
        <w:t>1</w:t>
      </w:r>
      <w:r w:rsidRPr="003D1C57">
        <w:t xml:space="preserve"> </w:t>
      </w:r>
      <w:r>
        <w:t xml:space="preserve">– </w:t>
      </w:r>
      <w:r w:rsidRPr="003D1C57">
        <w:t xml:space="preserve">Operation and maintenance </w:t>
      </w:r>
    </w:p>
    <w:p w14:paraId="036ECEB6" w14:textId="77777777" w:rsidR="00607F6F" w:rsidRDefault="00607F6F" w:rsidP="00A247C5">
      <w:pPr>
        <w:pStyle w:val="Normal3"/>
      </w:pPr>
      <w:r w:rsidRPr="003D1C57">
        <w:t>EIT</w:t>
      </w:r>
      <w:r w:rsidRPr="00546389">
        <w:t>–</w:t>
      </w:r>
      <w:r w:rsidRPr="003D1C57">
        <w:t>INF</w:t>
      </w:r>
      <w:r w:rsidRPr="00546389">
        <w:t>–</w:t>
      </w:r>
      <w:r w:rsidRPr="003D1C57">
        <w:t>P</w:t>
      </w:r>
      <w:r>
        <w:t>12</w:t>
      </w:r>
      <w:r w:rsidRPr="003D1C57">
        <w:t xml:space="preserve"> </w:t>
      </w:r>
      <w:r>
        <w:t xml:space="preserve">– </w:t>
      </w:r>
      <w:r w:rsidRPr="003D1C57">
        <w:t>Upgrades and development</w:t>
      </w:r>
    </w:p>
    <w:p w14:paraId="4CFCD67C" w14:textId="77777777" w:rsidR="00607F6F" w:rsidRPr="003D1C57" w:rsidRDefault="00607F6F" w:rsidP="00A247C5">
      <w:pPr>
        <w:pStyle w:val="Normal3"/>
      </w:pPr>
      <w:r w:rsidRPr="003D1C57">
        <w:t>EIT</w:t>
      </w:r>
      <w:r w:rsidRPr="00546389">
        <w:t>–</w:t>
      </w:r>
      <w:r w:rsidRPr="003D1C57">
        <w:t>INF</w:t>
      </w:r>
      <w:r w:rsidRPr="00546389" w:rsidDel="00F06410">
        <w:t>–</w:t>
      </w:r>
      <w:r w:rsidRPr="003D1C57">
        <w:t>P</w:t>
      </w:r>
      <w:r>
        <w:t>13</w:t>
      </w:r>
      <w:r w:rsidRPr="003D1C57">
        <w:t xml:space="preserve"> </w:t>
      </w:r>
      <w:r>
        <w:t xml:space="preserve">– Locating and managing effects of </w:t>
      </w:r>
      <w:r w:rsidRPr="00DC489D">
        <w:t>infrastructure</w:t>
      </w:r>
      <w:r w:rsidRPr="003D1C57">
        <w:t xml:space="preserve">  </w:t>
      </w:r>
    </w:p>
    <w:p w14:paraId="1ABD3FFF" w14:textId="77777777" w:rsidR="00607F6F" w:rsidRPr="00CC3991" w:rsidRDefault="00607F6F" w:rsidP="00A247C5">
      <w:pPr>
        <w:pStyle w:val="Normal3"/>
      </w:pPr>
      <w:r w:rsidRPr="00CC3991">
        <w:t>EIT</w:t>
      </w:r>
      <w:r w:rsidRPr="00071BD7">
        <w:t>–</w:t>
      </w:r>
      <w:r w:rsidRPr="00CC3991">
        <w:t>INF</w:t>
      </w:r>
      <w:r w:rsidRPr="00071BD7">
        <w:t>–</w:t>
      </w:r>
      <w:r w:rsidRPr="00CC3991">
        <w:t>P1</w:t>
      </w:r>
      <w:r>
        <w:t>4</w:t>
      </w:r>
      <w:r w:rsidRPr="00CC3991">
        <w:t xml:space="preserve"> – </w:t>
      </w:r>
      <w:r>
        <w:t>Decision-making c</w:t>
      </w:r>
      <w:r w:rsidRPr="00CC3991">
        <w:t xml:space="preserve">onsiderations </w:t>
      </w:r>
    </w:p>
    <w:p w14:paraId="694CD128" w14:textId="77777777" w:rsidR="00607F6F" w:rsidRPr="00DC489D" w:rsidRDefault="00607F6F" w:rsidP="00A247C5">
      <w:pPr>
        <w:pStyle w:val="Normal3"/>
      </w:pPr>
      <w:r w:rsidRPr="003D1C57">
        <w:t>EIT</w:t>
      </w:r>
      <w:r w:rsidRPr="00546389">
        <w:t>–</w:t>
      </w:r>
      <w:r w:rsidRPr="003D1C57">
        <w:t>INF</w:t>
      </w:r>
      <w:r w:rsidRPr="00071BD7">
        <w:t>–</w:t>
      </w:r>
      <w:r w:rsidRPr="003D1C57">
        <w:t>P</w:t>
      </w:r>
      <w:r>
        <w:t>15 –</w:t>
      </w:r>
      <w:r w:rsidRPr="003D1C57">
        <w:t xml:space="preserve"> Protecting </w:t>
      </w:r>
      <w:r w:rsidRPr="00DC489D">
        <w:t xml:space="preserve">nationally </w:t>
      </w:r>
      <w:r w:rsidRPr="003D1C57">
        <w:t>or</w:t>
      </w:r>
      <w:r w:rsidRPr="00DC489D">
        <w:t xml:space="preserve"> regionally significant infrastructure</w:t>
      </w:r>
    </w:p>
    <w:p w14:paraId="4300DC39" w14:textId="77777777" w:rsidR="00607F6F" w:rsidRDefault="00607F6F" w:rsidP="00A247C5">
      <w:pPr>
        <w:pStyle w:val="Normal3"/>
      </w:pPr>
      <w:r w:rsidRPr="003D1C57">
        <w:t>EIT</w:t>
      </w:r>
      <w:r w:rsidRPr="00546389">
        <w:t>–</w:t>
      </w:r>
      <w:r w:rsidRPr="003D1C57">
        <w:t>INF</w:t>
      </w:r>
      <w:r w:rsidRPr="00546389">
        <w:t>–</w:t>
      </w:r>
      <w:r w:rsidRPr="003D1C57">
        <w:t>P</w:t>
      </w:r>
      <w:r>
        <w:t>16</w:t>
      </w:r>
      <w:r w:rsidRPr="003D1C57">
        <w:t xml:space="preserve"> </w:t>
      </w:r>
      <w:r>
        <w:t xml:space="preserve">– </w:t>
      </w:r>
      <w:r w:rsidRPr="003D1C57">
        <w:t>Pro</w:t>
      </w:r>
      <w:r>
        <w:t xml:space="preserve">viding for electricity transmission and the </w:t>
      </w:r>
      <w:r w:rsidRPr="00DC489D">
        <w:t>National Grid</w:t>
      </w:r>
    </w:p>
    <w:p w14:paraId="7D6C3F6B" w14:textId="77777777" w:rsidR="00607F6F" w:rsidRPr="003D1C57" w:rsidRDefault="00607F6F" w:rsidP="00A247C5">
      <w:pPr>
        <w:pStyle w:val="Normal3"/>
      </w:pPr>
      <w:r w:rsidRPr="003D1C57">
        <w:t>EIT</w:t>
      </w:r>
      <w:r w:rsidRPr="00546389">
        <w:t>–</w:t>
      </w:r>
      <w:r w:rsidRPr="003D1C57">
        <w:t>INF</w:t>
      </w:r>
      <w:r w:rsidRPr="00546389">
        <w:t>–</w:t>
      </w:r>
      <w:r w:rsidRPr="003D1C57">
        <w:t>M</w:t>
      </w:r>
      <w:r>
        <w:t>4</w:t>
      </w:r>
      <w:r w:rsidRPr="003D1C57">
        <w:t xml:space="preserve"> </w:t>
      </w:r>
      <w:r>
        <w:t xml:space="preserve">– </w:t>
      </w:r>
      <w:r w:rsidRPr="003D1C57">
        <w:t>Regional plans</w:t>
      </w:r>
    </w:p>
    <w:p w14:paraId="3CC9E5EE" w14:textId="77777777" w:rsidR="00607F6F" w:rsidRPr="003D1C57" w:rsidRDefault="00607F6F" w:rsidP="00A247C5">
      <w:pPr>
        <w:pStyle w:val="Normal3"/>
      </w:pPr>
      <w:r w:rsidRPr="003D1C57">
        <w:t>EIT</w:t>
      </w:r>
      <w:r w:rsidRPr="00546389">
        <w:t>–</w:t>
      </w:r>
      <w:r w:rsidRPr="003D1C57">
        <w:t>INF</w:t>
      </w:r>
      <w:r w:rsidRPr="00546389">
        <w:t>–</w:t>
      </w:r>
      <w:r w:rsidRPr="003D1C57">
        <w:t>M</w:t>
      </w:r>
      <w:r>
        <w:t>5</w:t>
      </w:r>
      <w:r w:rsidRPr="003D1C57">
        <w:t xml:space="preserve"> </w:t>
      </w:r>
      <w:r>
        <w:t xml:space="preserve">– </w:t>
      </w:r>
      <w:r w:rsidRPr="003D1C57">
        <w:t>District plans</w:t>
      </w:r>
    </w:p>
    <w:p w14:paraId="2886B141" w14:textId="77777777" w:rsidR="00607F6F" w:rsidRPr="00B10EE7" w:rsidRDefault="00607F6F" w:rsidP="00A247C5">
      <w:pPr>
        <w:pStyle w:val="Normal3"/>
      </w:pPr>
      <w:r w:rsidRPr="003D1C57">
        <w:t>EIT</w:t>
      </w:r>
      <w:r w:rsidRPr="00546389">
        <w:t>–</w:t>
      </w:r>
      <w:r w:rsidRPr="003D1C57">
        <w:t>INF</w:t>
      </w:r>
      <w:r w:rsidRPr="00546389">
        <w:t>–</w:t>
      </w:r>
      <w:r w:rsidRPr="003D1C57">
        <w:t>M</w:t>
      </w:r>
      <w:r>
        <w:t>6</w:t>
      </w:r>
      <w:r w:rsidRPr="003D1C57">
        <w:t xml:space="preserve"> </w:t>
      </w:r>
      <w:r>
        <w:t xml:space="preserve">– </w:t>
      </w:r>
      <w:r w:rsidRPr="003D1C57">
        <w:t xml:space="preserve">Advocacy </w:t>
      </w:r>
    </w:p>
    <w:p w14:paraId="524AE3A1" w14:textId="2A81D422" w:rsidR="00607F6F" w:rsidRPr="0023547F" w:rsidRDefault="00607F6F" w:rsidP="00A247C5">
      <w:pPr>
        <w:pStyle w:val="Normal2"/>
      </w:pPr>
      <w:r w:rsidRPr="0023547F">
        <w:t>In addition to these infrastructure specific policies and methods, there are also a range of other resource</w:t>
      </w:r>
      <w:r w:rsidR="00746F2B">
        <w:t>-</w:t>
      </w:r>
      <w:r w:rsidRPr="0023547F">
        <w:t>based policies and methods which manage or protect specific resources, including historical and cultural values, natural features and landscapes, the coastal environment, urban form and development</w:t>
      </w:r>
      <w:r w:rsidR="00282A64">
        <w:t xml:space="preserve"> in urban areas</w:t>
      </w:r>
      <w:r w:rsidRPr="0023547F">
        <w:t xml:space="preserve">, and indigenous biodiversity.  </w:t>
      </w:r>
      <w:proofErr w:type="gramStart"/>
      <w:r w:rsidRPr="0023547F">
        <w:t>All of</w:t>
      </w:r>
      <w:proofErr w:type="gramEnd"/>
      <w:r w:rsidRPr="0023547F">
        <w:t xml:space="preserve"> these topics have policies and methods that will impact on the provision of </w:t>
      </w:r>
      <w:r w:rsidR="00746F2B">
        <w:t xml:space="preserve">infrastructure development </w:t>
      </w:r>
      <w:r w:rsidRPr="0023547F">
        <w:t>activities</w:t>
      </w:r>
      <w:r w:rsidR="00282A64">
        <w:t>.</w:t>
      </w:r>
    </w:p>
    <w:p w14:paraId="1E0B693D" w14:textId="70F0A6F5" w:rsidR="00607F6F" w:rsidRPr="0023547F" w:rsidRDefault="00607F6F" w:rsidP="00A247C5">
      <w:pPr>
        <w:pStyle w:val="Normal2"/>
      </w:pPr>
      <w:r w:rsidRPr="0023547F">
        <w:t xml:space="preserve"> As a package, the objectives seek to achieve more than the provisions set out in the operative policy statement for </w:t>
      </w:r>
      <w:r w:rsidR="00282A64">
        <w:t>infrastructure</w:t>
      </w:r>
      <w:r w:rsidRPr="0023547F">
        <w:t xml:space="preserve">.  That objective very simply seeks that </w:t>
      </w:r>
      <w:r w:rsidR="00282A64">
        <w:t>infrastructure is managed and developed in a sustainable way.</w:t>
      </w:r>
    </w:p>
    <w:p w14:paraId="4A320789" w14:textId="54D8097F" w:rsidR="002C2245" w:rsidRPr="006F6FA1" w:rsidRDefault="00607F6F" w:rsidP="00A247C5">
      <w:pPr>
        <w:pStyle w:val="Normal2"/>
      </w:pPr>
      <w:r w:rsidRPr="0023547F">
        <w:t xml:space="preserve">Taking into account the evaluation of the above objectives, and how they are proposed to be implemented as set in Part E through the policies and methods, the proposed objectives are considered to be the most appropriate for implementing the purpose of the act as set out in s5, being the sustainable management of natural and physical resources, </w:t>
      </w:r>
      <w:r>
        <w:t xml:space="preserve">along with the principles </w:t>
      </w:r>
      <w:r w:rsidRPr="0023547F">
        <w:t>in the act as set out in sections 6, 7 and 8.</w:t>
      </w:r>
      <w:r>
        <w:t xml:space="preserve">  </w:t>
      </w:r>
      <w:r w:rsidR="00ED2FD5" w:rsidRPr="00ED2FD5">
        <w:t xml:space="preserve"> </w:t>
      </w:r>
      <w:r w:rsidR="00ED2FD5">
        <w:t xml:space="preserve">As set out in the evaluation in Section 5.9.2, the </w:t>
      </w:r>
      <w:r w:rsidR="00ED2FD5" w:rsidRPr="00941C3E">
        <w:t>approach is feasible, acceptable and without unjustified cost relative to the benefit that will accrue.</w:t>
      </w:r>
    </w:p>
    <w:p w14:paraId="537EE0EB" w14:textId="2D6193F8" w:rsidR="002C2245" w:rsidRPr="002C2245" w:rsidRDefault="002C2245" w:rsidP="00DE069C">
      <w:pPr>
        <w:pStyle w:val="Heading4"/>
      </w:pPr>
      <w:r w:rsidRPr="002C2245">
        <w:t xml:space="preserve">EIT-TRAN – Transport </w:t>
      </w:r>
    </w:p>
    <w:p w14:paraId="1376525C" w14:textId="4A1C18CE" w:rsidR="002C2245" w:rsidRDefault="002C2245" w:rsidP="00A247C5">
      <w:pPr>
        <w:pStyle w:val="Normal2"/>
      </w:pPr>
      <w:r>
        <w:t xml:space="preserve">This section of the EIT chapter has four objectives that are assessed in </w:t>
      </w:r>
      <w:r w:rsidR="00AD209D">
        <w:fldChar w:fldCharType="begin"/>
      </w:r>
      <w:r w:rsidR="00AD209D">
        <w:instrText xml:space="preserve"> REF _Ref72495553 \h </w:instrText>
      </w:r>
      <w:r w:rsidR="00AD209D">
        <w:fldChar w:fldCharType="separate"/>
      </w:r>
      <w:r w:rsidR="002A7A16">
        <w:t xml:space="preserve">Table </w:t>
      </w:r>
      <w:r w:rsidR="002A7A16">
        <w:rPr>
          <w:noProof/>
        </w:rPr>
        <w:t>15</w:t>
      </w:r>
      <w:r w:rsidR="00AD209D">
        <w:fldChar w:fldCharType="end"/>
      </w:r>
      <w:r w:rsidR="00AD209D">
        <w:t xml:space="preserve"> </w:t>
      </w:r>
      <w:r>
        <w:t>below.</w:t>
      </w:r>
    </w:p>
    <w:p w14:paraId="74A23CC6" w14:textId="73D6CC50" w:rsidR="006F6FA1" w:rsidRDefault="006F6FA1" w:rsidP="00E04441">
      <w:pPr>
        <w:pStyle w:val="Caption"/>
      </w:pPr>
      <w:bookmarkStart w:id="48" w:name="_Ref72495553"/>
      <w:r>
        <w:t xml:space="preserve">Table </w:t>
      </w:r>
      <w:r>
        <w:fldChar w:fldCharType="begin"/>
      </w:r>
      <w:r>
        <w:instrText xml:space="preserve"> SEQ Table \* ARABIC </w:instrText>
      </w:r>
      <w:r>
        <w:fldChar w:fldCharType="separate"/>
      </w:r>
      <w:r w:rsidR="002A7A16">
        <w:rPr>
          <w:noProof/>
        </w:rPr>
        <w:t>15</w:t>
      </w:r>
      <w:r>
        <w:rPr>
          <w:noProof/>
        </w:rPr>
        <w:fldChar w:fldCharType="end"/>
      </w:r>
      <w:bookmarkEnd w:id="48"/>
      <w:r>
        <w:t>: Evaluation of EIT–TRAN objectives</w:t>
      </w:r>
    </w:p>
    <w:tbl>
      <w:tblPr>
        <w:tblStyle w:val="TableGrid"/>
        <w:tblW w:w="0" w:type="auto"/>
        <w:tblLook w:val="04A0" w:firstRow="1" w:lastRow="0" w:firstColumn="1" w:lastColumn="0" w:noHBand="0" w:noVBand="1"/>
      </w:tblPr>
      <w:tblGrid>
        <w:gridCol w:w="3489"/>
        <w:gridCol w:w="5527"/>
      </w:tblGrid>
      <w:tr w:rsidR="00CF52DA" w:rsidRPr="00462638" w14:paraId="37AF1659" w14:textId="77777777" w:rsidTr="00BF3D98">
        <w:tc>
          <w:tcPr>
            <w:tcW w:w="3489" w:type="dxa"/>
            <w:shd w:val="clear" w:color="auto" w:fill="B4C6E7" w:themeFill="accent1" w:themeFillTint="66"/>
          </w:tcPr>
          <w:p w14:paraId="3BA61B65" w14:textId="77777777" w:rsidR="00CF52DA" w:rsidRPr="00930CFC" w:rsidRDefault="00CF52DA" w:rsidP="002A7A16">
            <w:pPr>
              <w:pStyle w:val="Table1"/>
              <w:rPr>
                <w:b/>
                <w:bCs/>
              </w:rPr>
            </w:pPr>
            <w:r w:rsidRPr="00930CFC">
              <w:rPr>
                <w:b/>
                <w:bCs/>
              </w:rPr>
              <w:t>Objective</w:t>
            </w:r>
          </w:p>
        </w:tc>
        <w:tc>
          <w:tcPr>
            <w:tcW w:w="5527" w:type="dxa"/>
            <w:shd w:val="clear" w:color="auto" w:fill="B4C6E7" w:themeFill="accent1" w:themeFillTint="66"/>
          </w:tcPr>
          <w:p w14:paraId="6E75C90E" w14:textId="77777777" w:rsidR="00CF52DA" w:rsidRPr="00930CFC" w:rsidRDefault="00CF52DA" w:rsidP="002A7A16">
            <w:pPr>
              <w:pStyle w:val="Table1"/>
              <w:rPr>
                <w:b/>
                <w:bCs/>
              </w:rPr>
            </w:pPr>
            <w:r w:rsidRPr="00930CFC">
              <w:rPr>
                <w:b/>
                <w:bCs/>
              </w:rPr>
              <w:t>Assessment</w:t>
            </w:r>
          </w:p>
        </w:tc>
      </w:tr>
      <w:tr w:rsidR="00CF52DA" w:rsidRPr="00462638" w14:paraId="5B3DA5C8" w14:textId="77777777" w:rsidTr="00CF52DA">
        <w:tc>
          <w:tcPr>
            <w:tcW w:w="3489" w:type="dxa"/>
          </w:tcPr>
          <w:p w14:paraId="1507057D" w14:textId="77777777" w:rsidR="00CF52DA" w:rsidRPr="00CF52DA" w:rsidRDefault="00CF52DA" w:rsidP="00CF52DA">
            <w:pPr>
              <w:pStyle w:val="Table1"/>
              <w:rPr>
                <w:b/>
                <w:bCs/>
              </w:rPr>
            </w:pPr>
            <w:r w:rsidRPr="00CF52DA">
              <w:rPr>
                <w:b/>
                <w:bCs/>
              </w:rPr>
              <w:t xml:space="preserve">EIT–TRAN–O7 – Effective, </w:t>
            </w:r>
            <w:proofErr w:type="gramStart"/>
            <w:r w:rsidRPr="00CF52DA">
              <w:rPr>
                <w:b/>
                <w:bCs/>
              </w:rPr>
              <w:t>efficient</w:t>
            </w:r>
            <w:proofErr w:type="gramEnd"/>
            <w:r w:rsidRPr="00CF52DA">
              <w:rPr>
                <w:b/>
                <w:bCs/>
              </w:rPr>
              <w:t xml:space="preserve"> and safe transport </w:t>
            </w:r>
          </w:p>
          <w:p w14:paraId="39C0FE70" w14:textId="496A558A" w:rsidR="00CF52DA" w:rsidRDefault="00CF52DA" w:rsidP="00CF52DA">
            <w:pPr>
              <w:pStyle w:val="Table1"/>
            </w:pPr>
            <w:r>
              <w:t xml:space="preserve">Otago has an integrated air, land and sea transport network that is effective, </w:t>
            </w:r>
            <w:proofErr w:type="gramStart"/>
            <w:r>
              <w:t>efficient</w:t>
            </w:r>
            <w:proofErr w:type="gramEnd"/>
            <w:r>
              <w:t xml:space="preserve"> and safe and that connects communities and their activities within Otago, with other regions, and internationally and is resilient to natural hazards.</w:t>
            </w:r>
          </w:p>
        </w:tc>
        <w:tc>
          <w:tcPr>
            <w:tcW w:w="5527" w:type="dxa"/>
          </w:tcPr>
          <w:p w14:paraId="68B9686D" w14:textId="77777777" w:rsidR="00CF52DA" w:rsidRDefault="00CF52DA" w:rsidP="00CF52DA">
            <w:pPr>
              <w:pStyle w:val="Table1"/>
            </w:pPr>
            <w:r>
              <w:t xml:space="preserve">This objective seeks to enable people and communities to be able to provide for their wellbeing by having an integrated, </w:t>
            </w:r>
            <w:proofErr w:type="gramStart"/>
            <w:r>
              <w:t>safe</w:t>
            </w:r>
            <w:proofErr w:type="gramEnd"/>
            <w:r>
              <w:t xml:space="preserve"> and efficient transport network, enabling them to provide for their social, cultural and economic wellbeing.  As a desired outcome, it will enable people and goods to move freely around the region, minimising transaction costs and reducing contribution of fossil fuel emissions to climate change.  </w:t>
            </w:r>
            <w:proofErr w:type="gramStart"/>
            <w:r>
              <w:t>In particular, recognition</w:t>
            </w:r>
            <w:proofErr w:type="gramEnd"/>
            <w:r>
              <w:t xml:space="preserve"> of health and safety is a key principle of s 5(2).</w:t>
            </w:r>
          </w:p>
          <w:p w14:paraId="6AC9D001" w14:textId="1D545CE2" w:rsidR="00CF52DA" w:rsidRDefault="00CF52DA" w:rsidP="002A7A16">
            <w:pPr>
              <w:pStyle w:val="Table1"/>
            </w:pPr>
            <w:r>
              <w:t xml:space="preserve">The objective </w:t>
            </w:r>
            <w:proofErr w:type="gramStart"/>
            <w:r>
              <w:t>in particular recognises</w:t>
            </w:r>
            <w:proofErr w:type="gramEnd"/>
            <w:r>
              <w:t xml:space="preserve"> that the management of significant risks from natural hazards on the transport network is provided for as a matter </w:t>
            </w:r>
            <w:r w:rsidR="00B4169B">
              <w:t>o</w:t>
            </w:r>
            <w:r>
              <w:t>f national importance under s 6(h), and as such, seeks resilience to natural hazards in the network.  It also recognises the need for the efficient use and development of the transport network as a physical resource (s 7(b)) and the efficiency of the end use of energy (s 7(</w:t>
            </w:r>
            <w:proofErr w:type="spellStart"/>
            <w:r>
              <w:t>ba</w:t>
            </w:r>
            <w:proofErr w:type="spellEnd"/>
            <w:r>
              <w:t>)).</w:t>
            </w:r>
          </w:p>
        </w:tc>
      </w:tr>
      <w:tr w:rsidR="00CF52DA" w:rsidRPr="00462638" w14:paraId="631487D3" w14:textId="77777777" w:rsidTr="00CF52DA">
        <w:tc>
          <w:tcPr>
            <w:tcW w:w="3489" w:type="dxa"/>
          </w:tcPr>
          <w:p w14:paraId="67C47A0F" w14:textId="77777777" w:rsidR="00CF52DA" w:rsidRPr="002E7CFF" w:rsidRDefault="00CF52DA" w:rsidP="002E7CFF">
            <w:pPr>
              <w:pStyle w:val="Table1"/>
              <w:rPr>
                <w:b/>
                <w:bCs/>
              </w:rPr>
            </w:pPr>
            <w:r w:rsidRPr="002E7CFF">
              <w:rPr>
                <w:b/>
                <w:bCs/>
              </w:rPr>
              <w:lastRenderedPageBreak/>
              <w:t xml:space="preserve">EIT–TRAN–O8 – Transport system </w:t>
            </w:r>
          </w:p>
          <w:p w14:paraId="260650E8" w14:textId="778B8EA7" w:rsidR="00CF52DA" w:rsidRDefault="00CF52DA" w:rsidP="00CF52DA">
            <w:pPr>
              <w:pStyle w:val="Table1"/>
            </w:pPr>
            <w:r>
              <w:t xml:space="preserve">The transport system within Otago supports the movement of people, </w:t>
            </w:r>
            <w:proofErr w:type="gramStart"/>
            <w:r>
              <w:t>goods</w:t>
            </w:r>
            <w:proofErr w:type="gramEnd"/>
            <w:r>
              <w:t xml:space="preserve"> and services, is integrated with land use, provides a choice of transport modes and is adaptable to changes in demand.</w:t>
            </w:r>
          </w:p>
        </w:tc>
        <w:tc>
          <w:tcPr>
            <w:tcW w:w="5527" w:type="dxa"/>
          </w:tcPr>
          <w:p w14:paraId="303457AE" w14:textId="48D08B75" w:rsidR="00CF52DA" w:rsidRDefault="002E7CFF" w:rsidP="002A7A16">
            <w:pPr>
              <w:pStyle w:val="Table1"/>
              <w:ind w:left="10"/>
            </w:pPr>
            <w:r w:rsidRPr="002E7CFF">
              <w:t xml:space="preserve">By providing for more efficient transport and choice of modes that are integrated with land use, the proposed objective will enable people and communities to provide for their </w:t>
            </w:r>
            <w:r w:rsidR="00A0713C">
              <w:t>economic and cultural wellbeing</w:t>
            </w:r>
            <w:r w:rsidR="00AF0397">
              <w:t>. It will also assist with responding to the different transport needs of communities, including changes in these needs over time.</w:t>
            </w:r>
          </w:p>
        </w:tc>
      </w:tr>
      <w:tr w:rsidR="00CF52DA" w:rsidRPr="00462638" w14:paraId="20E1A121" w14:textId="77777777" w:rsidTr="00CF52DA">
        <w:tc>
          <w:tcPr>
            <w:tcW w:w="3489" w:type="dxa"/>
          </w:tcPr>
          <w:p w14:paraId="56477AC3" w14:textId="77777777" w:rsidR="002E7CFF" w:rsidRPr="002E7CFF" w:rsidRDefault="002E7CFF" w:rsidP="002E7CFF">
            <w:pPr>
              <w:pStyle w:val="Table1"/>
              <w:rPr>
                <w:b/>
                <w:bCs/>
              </w:rPr>
            </w:pPr>
            <w:r w:rsidRPr="002E7CFF">
              <w:rPr>
                <w:b/>
                <w:bCs/>
              </w:rPr>
              <w:t>EIT–TRAN–O9 – Effects of the transport system</w:t>
            </w:r>
          </w:p>
          <w:p w14:paraId="4144BA69" w14:textId="0F3D64FB" w:rsidR="00CF52DA" w:rsidRPr="004D3276" w:rsidRDefault="002E7CFF" w:rsidP="002E7CFF">
            <w:pPr>
              <w:pStyle w:val="Table1"/>
            </w:pPr>
            <w:r>
              <w:t>The contribution of transport to Otago’s greenhouse gas emissions is reduced and communities are less reliant on fossil fuels for transportation.</w:t>
            </w:r>
          </w:p>
        </w:tc>
        <w:tc>
          <w:tcPr>
            <w:tcW w:w="5527" w:type="dxa"/>
          </w:tcPr>
          <w:p w14:paraId="17EAAC53" w14:textId="3682356C" w:rsidR="00CF52DA" w:rsidRDefault="002E7CFF" w:rsidP="002A7A16">
            <w:pPr>
              <w:pStyle w:val="Table1"/>
            </w:pPr>
            <w:r w:rsidRPr="002E7CFF">
              <w:t>Management of climate change is a key issue that is faced in relation to sustainable management.  Minimisation of greenhouse gas emissions through appropriate development of the transport system will lead to long term improved outcomes in terms of climate change and impacts from natural hazards that will result from sea level rise and changes to weather patterns.  This is a matter that is particularly recognised by s7(</w:t>
            </w:r>
            <w:proofErr w:type="spellStart"/>
            <w:r w:rsidRPr="002E7CFF">
              <w:t>i</w:t>
            </w:r>
            <w:proofErr w:type="spellEnd"/>
            <w:r w:rsidRPr="002E7CFF">
              <w:t>).</w:t>
            </w:r>
          </w:p>
        </w:tc>
      </w:tr>
      <w:tr w:rsidR="002E7CFF" w:rsidRPr="00462638" w14:paraId="6110A58C" w14:textId="77777777" w:rsidTr="00CF52DA">
        <w:tc>
          <w:tcPr>
            <w:tcW w:w="3489" w:type="dxa"/>
          </w:tcPr>
          <w:p w14:paraId="7C7F4920" w14:textId="77777777" w:rsidR="002E7CFF" w:rsidRPr="002E7CFF" w:rsidRDefault="002E7CFF" w:rsidP="002E7CFF">
            <w:pPr>
              <w:pStyle w:val="Table1"/>
              <w:rPr>
                <w:b/>
                <w:bCs/>
              </w:rPr>
            </w:pPr>
            <w:r w:rsidRPr="002E7CFF">
              <w:rPr>
                <w:b/>
                <w:bCs/>
              </w:rPr>
              <w:t>EIT–TRAN–O10 – Commercial port activities</w:t>
            </w:r>
          </w:p>
          <w:p w14:paraId="5DF1D419" w14:textId="3A253A20" w:rsidR="002E7CFF" w:rsidRPr="002E7CFF" w:rsidRDefault="002E7CFF" w:rsidP="002E7CFF">
            <w:pPr>
              <w:pStyle w:val="Table1"/>
            </w:pPr>
            <w:r w:rsidRPr="002E7CFF">
              <w:t>Commercial port activities operate safely and efficiently, and within environmental limits.</w:t>
            </w:r>
          </w:p>
        </w:tc>
        <w:tc>
          <w:tcPr>
            <w:tcW w:w="5527" w:type="dxa"/>
          </w:tcPr>
          <w:p w14:paraId="3670A163" w14:textId="77777777" w:rsidR="002E7CFF" w:rsidRDefault="002E7CFF" w:rsidP="002E7CFF">
            <w:pPr>
              <w:pStyle w:val="Table1"/>
            </w:pPr>
            <w:r>
              <w:t xml:space="preserve">This objective provides for the operation of commercial port activities in a manner that is safe, efficient and within environmental limits. By providing for commercial port </w:t>
            </w:r>
            <w:proofErr w:type="gramStart"/>
            <w:r>
              <w:t>activities,  this</w:t>
            </w:r>
            <w:proofErr w:type="gramEnd"/>
            <w:r>
              <w:t xml:space="preserve"> objective enables people and communities to provide for their social, economic, and cultural well-being, consistent with the definition of sustainable management set out in s5(2), where health and safety is also a key principle.</w:t>
            </w:r>
          </w:p>
          <w:p w14:paraId="2162A996" w14:textId="2286F9E2" w:rsidR="002E7CFF" w:rsidRPr="002E7CFF" w:rsidRDefault="002E7CFF" w:rsidP="002E7CFF">
            <w:pPr>
              <w:pStyle w:val="Table1"/>
            </w:pPr>
            <w:r>
              <w:t xml:space="preserve">Ensuring that commercial port activities are managed sustainably is an issue that was consulted on with the community during the Phase 1 </w:t>
            </w:r>
            <w:proofErr w:type="gramStart"/>
            <w:r>
              <w:t>consultation, and</w:t>
            </w:r>
            <w:proofErr w:type="gramEnd"/>
            <w:r>
              <w:t xml:space="preserve"> is considered to be a significant resource management issue for the Otago region (SRMR–I10).</w:t>
            </w:r>
          </w:p>
        </w:tc>
      </w:tr>
    </w:tbl>
    <w:p w14:paraId="56625DEC" w14:textId="2ACCCA84" w:rsidR="006A5089" w:rsidRPr="00011F1D" w:rsidRDefault="006A5089" w:rsidP="00A247C5">
      <w:pPr>
        <w:pStyle w:val="Normal2"/>
      </w:pPr>
      <w:r w:rsidRPr="00011F1D">
        <w:t>The provisions that implement these objectives are evaluated in Section 5.9.3 of this report, and are listed below:</w:t>
      </w:r>
    </w:p>
    <w:p w14:paraId="6C284F31" w14:textId="77777777" w:rsidR="006A5089" w:rsidRPr="00A00F70" w:rsidRDefault="006A5089" w:rsidP="00A247C5">
      <w:pPr>
        <w:pStyle w:val="Normal3"/>
      </w:pPr>
      <w:r>
        <w:t>EIT–TRAN–P18 – Integration of the transport system</w:t>
      </w:r>
    </w:p>
    <w:p w14:paraId="617302E9" w14:textId="77777777" w:rsidR="006A5089" w:rsidRPr="00A00F70" w:rsidRDefault="006A5089" w:rsidP="00A247C5">
      <w:pPr>
        <w:pStyle w:val="Normal3"/>
      </w:pPr>
      <w:r>
        <w:t>EIT–TRAN–P19 – Transport system design</w:t>
      </w:r>
    </w:p>
    <w:p w14:paraId="14438515" w14:textId="77777777" w:rsidR="006A5089" w:rsidRPr="00A00F70" w:rsidRDefault="006A5089" w:rsidP="00A247C5">
      <w:pPr>
        <w:pStyle w:val="Normal3"/>
      </w:pPr>
      <w:r>
        <w:t>EIT–TRAN–P20 – Public transport</w:t>
      </w:r>
    </w:p>
    <w:p w14:paraId="7D552156" w14:textId="77777777" w:rsidR="006A5089" w:rsidRPr="00A00F70" w:rsidRDefault="006A5089" w:rsidP="00A247C5">
      <w:pPr>
        <w:pStyle w:val="Normal3"/>
      </w:pPr>
      <w:r>
        <w:t>EIT–TRAN–P21 – Operation of the transport system</w:t>
      </w:r>
    </w:p>
    <w:p w14:paraId="45ECCE9D" w14:textId="77777777" w:rsidR="006A5089" w:rsidRPr="00A00F70" w:rsidRDefault="006A5089" w:rsidP="00A247C5">
      <w:pPr>
        <w:pStyle w:val="Normal3"/>
      </w:pPr>
      <w:r>
        <w:t>EIT–TRAN–P22 – Sustainable transportation</w:t>
      </w:r>
    </w:p>
    <w:p w14:paraId="28BF25F1" w14:textId="45861A54" w:rsidR="006A5089" w:rsidRPr="00A00F70" w:rsidRDefault="006A5089" w:rsidP="00A247C5">
      <w:pPr>
        <w:pStyle w:val="Normal3"/>
      </w:pPr>
      <w:r>
        <w:t>EIT–TRAN–P23 – Commercial port activities</w:t>
      </w:r>
    </w:p>
    <w:p w14:paraId="481F5E46" w14:textId="59DAF2E5" w:rsidR="006A5089" w:rsidRPr="00A00F70" w:rsidRDefault="006A5089" w:rsidP="00A247C5">
      <w:pPr>
        <w:pStyle w:val="Normal3"/>
      </w:pPr>
      <w:r>
        <w:t>EIT</w:t>
      </w:r>
      <w:r w:rsidR="002E7CFF">
        <w:t>–</w:t>
      </w:r>
      <w:r>
        <w:t>TRAN-M7 – Regional plans</w:t>
      </w:r>
    </w:p>
    <w:p w14:paraId="76708775" w14:textId="3E15C3B2" w:rsidR="006A5089" w:rsidRPr="00A00F70" w:rsidRDefault="006A5089" w:rsidP="00A247C5">
      <w:pPr>
        <w:pStyle w:val="Normal3"/>
      </w:pPr>
      <w:r>
        <w:t>EIT</w:t>
      </w:r>
      <w:r w:rsidR="002E7CFF">
        <w:t>–</w:t>
      </w:r>
      <w:r>
        <w:t>TRAN-M8 – District plans</w:t>
      </w:r>
    </w:p>
    <w:p w14:paraId="56098026" w14:textId="77777777" w:rsidR="006A5089" w:rsidRPr="00A00F70" w:rsidRDefault="006A5089" w:rsidP="00A247C5">
      <w:pPr>
        <w:pStyle w:val="Normal3"/>
      </w:pPr>
      <w:r>
        <w:t>EIT–TRAN–M9 – Regional land transport plan</w:t>
      </w:r>
    </w:p>
    <w:p w14:paraId="36984DA9" w14:textId="3A8ABDD4" w:rsidR="00BD68A6" w:rsidRDefault="009423C7" w:rsidP="00A247C5">
      <w:pPr>
        <w:pStyle w:val="Normal2"/>
      </w:pPr>
      <w:r>
        <w:t>T</w:t>
      </w:r>
      <w:r w:rsidR="00A43106" w:rsidRPr="00955067">
        <w:t>he efficiency and effectiveness of the</w:t>
      </w:r>
      <w:r>
        <w:t>se</w:t>
      </w:r>
      <w:r w:rsidR="00A43106" w:rsidRPr="00955067">
        <w:t xml:space="preserve"> above provisions </w:t>
      </w:r>
      <w:r>
        <w:t xml:space="preserve">set out in Section 5.9.3 </w:t>
      </w:r>
      <w:r w:rsidR="00A43106" w:rsidRPr="00955067">
        <w:t>demonstrates that the p</w:t>
      </w:r>
      <w:r w:rsidR="00A43106">
        <w:t>olicies and methods</w:t>
      </w:r>
      <w:r w:rsidR="00A43106" w:rsidRPr="00955067">
        <w:t xml:space="preserve"> are effective at achieving the proposed objective</w:t>
      </w:r>
      <w:r>
        <w:t>s</w:t>
      </w:r>
      <w:r w:rsidR="00A43106" w:rsidRPr="00955067">
        <w:t xml:space="preserve">, where the </w:t>
      </w:r>
      <w:r>
        <w:t xml:space="preserve">cultural, social, </w:t>
      </w:r>
      <w:proofErr w:type="gramStart"/>
      <w:r>
        <w:t>environmental</w:t>
      </w:r>
      <w:proofErr w:type="gramEnd"/>
      <w:r>
        <w:t xml:space="preserve"> and economic </w:t>
      </w:r>
      <w:r w:rsidR="00A43106" w:rsidRPr="00955067">
        <w:t xml:space="preserve">benefits of </w:t>
      </w:r>
      <w:r>
        <w:t xml:space="preserve">appropriately managing and providing for transport infrastructure </w:t>
      </w:r>
      <w:r w:rsidR="00A43106" w:rsidRPr="00955067">
        <w:t xml:space="preserve">outweigh the costs </w:t>
      </w:r>
      <w:r w:rsidR="005908E8">
        <w:t>undertaking these activities w</w:t>
      </w:r>
      <w:r w:rsidR="0067082F">
        <w:t>hile providing for appropriate environmental, health and safety outcomes.</w:t>
      </w:r>
      <w:r w:rsidR="00A43106" w:rsidRPr="00955067">
        <w:t xml:space="preserve"> </w:t>
      </w:r>
      <w:r w:rsidR="00BD68A6">
        <w:t>The objectives are therefore considered feasible, without undue cost.</w:t>
      </w:r>
    </w:p>
    <w:p w14:paraId="7B5A1FE1" w14:textId="693EDEB9" w:rsidR="00A43106" w:rsidRPr="00955067" w:rsidRDefault="00A43106" w:rsidP="00A247C5">
      <w:pPr>
        <w:pStyle w:val="Normal2"/>
      </w:pPr>
      <w:r w:rsidRPr="00955067">
        <w:t xml:space="preserve">After considering the objectives and the provisions </w:t>
      </w:r>
      <w:r>
        <w:t>that implement</w:t>
      </w:r>
      <w:r w:rsidRPr="00955067">
        <w:t xml:space="preserve"> them, </w:t>
      </w:r>
      <w:r w:rsidR="001D5424">
        <w:t>EIT–TRAN–</w:t>
      </w:r>
      <w:r w:rsidR="00BD68A6">
        <w:t>O7 to EIT–TRAN–O10</w:t>
      </w:r>
      <w:r w:rsidRPr="00955067">
        <w:t xml:space="preserve"> </w:t>
      </w:r>
      <w:proofErr w:type="gramStart"/>
      <w:r w:rsidRPr="00955067">
        <w:t>are considered to be</w:t>
      </w:r>
      <w:proofErr w:type="gramEnd"/>
      <w:r w:rsidRPr="00955067">
        <w:t xml:space="preserve"> the most appropriate way to achieve the purpose of the RMA, to the extent relevant to managing </w:t>
      </w:r>
      <w:r w:rsidR="001D5424">
        <w:t xml:space="preserve">transport </w:t>
      </w:r>
      <w:r w:rsidR="00936E3E">
        <w:t>infrastructure</w:t>
      </w:r>
      <w:r w:rsidR="001D5424">
        <w:t>. In particular, the objectives</w:t>
      </w:r>
      <w:r w:rsidRPr="00955067">
        <w:t xml:space="preserve"> </w:t>
      </w:r>
      <w:r w:rsidR="001D5424" w:rsidRPr="006F6FA1">
        <w:t xml:space="preserve">enable people and communities to be able to provide for their wellbeing by having an integrated, </w:t>
      </w:r>
      <w:proofErr w:type="gramStart"/>
      <w:r w:rsidR="001D5424" w:rsidRPr="006F6FA1">
        <w:t>safe</w:t>
      </w:r>
      <w:proofErr w:type="gramEnd"/>
      <w:r w:rsidR="001D5424" w:rsidRPr="006F6FA1">
        <w:t xml:space="preserve"> and efficient transport network, enabling them to provide for their social, </w:t>
      </w:r>
      <w:r w:rsidR="001D5424" w:rsidRPr="006F6FA1">
        <w:lastRenderedPageBreak/>
        <w:t xml:space="preserve">cultural and economic wellbeing.  </w:t>
      </w:r>
      <w:r>
        <w:t>Overall, these</w:t>
      </w:r>
      <w:r w:rsidRPr="00955067">
        <w:t xml:space="preserve"> objectives </w:t>
      </w:r>
      <w:r>
        <w:t xml:space="preserve">positively contribute to </w:t>
      </w:r>
      <w:r w:rsidRPr="00955067">
        <w:t>achiev</w:t>
      </w:r>
      <w:r>
        <w:t>ing</w:t>
      </w:r>
      <w:r w:rsidRPr="00955067">
        <w:t xml:space="preserve"> </w:t>
      </w:r>
      <w:r>
        <w:t>the purpose of the RMA.</w:t>
      </w:r>
    </w:p>
    <w:p w14:paraId="5161E1F8" w14:textId="4B86079A" w:rsidR="00E05589" w:rsidRDefault="00A335E2" w:rsidP="0082271A">
      <w:pPr>
        <w:pStyle w:val="Heading3"/>
      </w:pPr>
      <w:r>
        <w:t>H</w:t>
      </w:r>
      <w:r w:rsidR="00E05589">
        <w:t>AZ – Hazards and risks</w:t>
      </w:r>
    </w:p>
    <w:p w14:paraId="6D52B79B" w14:textId="028C65E0" w:rsidR="009D75ED" w:rsidRDefault="009D75ED" w:rsidP="00A247C5">
      <w:pPr>
        <w:pStyle w:val="Normal2"/>
      </w:pPr>
      <w:r>
        <w:t xml:space="preserve">The HAZ chapter </w:t>
      </w:r>
      <w:r w:rsidR="005967AA">
        <w:t xml:space="preserve">addresses key resource management issues for Otago related to natural hazards and risks. This </w:t>
      </w:r>
      <w:r w:rsidR="00A43106">
        <w:t>chapter has</w:t>
      </w:r>
      <w:r>
        <w:t xml:space="preserve"> two sections: </w:t>
      </w:r>
      <w:r w:rsidRPr="002E7CFF">
        <w:rPr>
          <w:i/>
          <w:iCs/>
        </w:rPr>
        <w:t>HAZ</w:t>
      </w:r>
      <w:r w:rsidR="002E7CFF" w:rsidRPr="002E7CFF">
        <w:rPr>
          <w:i/>
          <w:iCs/>
        </w:rPr>
        <w:t>–</w:t>
      </w:r>
      <w:r w:rsidRPr="002E7CFF">
        <w:rPr>
          <w:i/>
          <w:iCs/>
        </w:rPr>
        <w:t>NH – Natural hazards</w:t>
      </w:r>
      <w:r>
        <w:t xml:space="preserve"> and </w:t>
      </w:r>
      <w:r w:rsidRPr="002E7CFF">
        <w:rPr>
          <w:i/>
          <w:iCs/>
        </w:rPr>
        <w:t xml:space="preserve">HAZ–CL – Contaminated </w:t>
      </w:r>
      <w:r w:rsidR="002E7CFF" w:rsidRPr="002E7CFF">
        <w:rPr>
          <w:i/>
          <w:iCs/>
        </w:rPr>
        <w:t>l</w:t>
      </w:r>
      <w:r w:rsidRPr="002E7CFF">
        <w:rPr>
          <w:i/>
          <w:iCs/>
        </w:rPr>
        <w:t>and</w:t>
      </w:r>
      <w:r>
        <w:t>. There are 3 objectives in total which are assessed below.</w:t>
      </w:r>
    </w:p>
    <w:p w14:paraId="776426BC" w14:textId="67CBC3A0" w:rsidR="0088496F" w:rsidRPr="0088496F" w:rsidRDefault="0088496F" w:rsidP="00DE069C">
      <w:pPr>
        <w:pStyle w:val="Heading4"/>
      </w:pPr>
      <w:r>
        <w:t>HAZ – NH – Natural hazards</w:t>
      </w:r>
    </w:p>
    <w:p w14:paraId="544AB9AD" w14:textId="13892C42" w:rsidR="002E7CFF" w:rsidRDefault="0088496F" w:rsidP="00B4169B">
      <w:pPr>
        <w:pStyle w:val="Normal2"/>
      </w:pPr>
      <w:r>
        <w:t xml:space="preserve">This section of the HAZ chapter contains two objectives which are assessed in </w:t>
      </w:r>
      <w:r w:rsidR="00AD209D">
        <w:fldChar w:fldCharType="begin"/>
      </w:r>
      <w:r w:rsidR="00AD209D">
        <w:instrText xml:space="preserve"> REF _Ref72495569 \h </w:instrText>
      </w:r>
      <w:r w:rsidR="00AD209D">
        <w:fldChar w:fldCharType="separate"/>
      </w:r>
      <w:r w:rsidR="002A7A16">
        <w:t xml:space="preserve">Table </w:t>
      </w:r>
      <w:r w:rsidR="002A7A16">
        <w:rPr>
          <w:noProof/>
        </w:rPr>
        <w:t>16</w:t>
      </w:r>
      <w:r w:rsidR="00AD209D">
        <w:fldChar w:fldCharType="end"/>
      </w:r>
      <w:r w:rsidR="00AD209D">
        <w:t xml:space="preserve"> </w:t>
      </w:r>
      <w:r w:rsidR="006F6FA1">
        <w:t>below</w:t>
      </w:r>
      <w:r>
        <w:t>.</w:t>
      </w:r>
    </w:p>
    <w:p w14:paraId="5184A85D" w14:textId="5E2A1830" w:rsidR="006F6FA1" w:rsidRDefault="009F1D21" w:rsidP="00324BEB">
      <w:pPr>
        <w:pStyle w:val="Caption"/>
      </w:pPr>
      <w:bookmarkStart w:id="49" w:name="_Ref72495569"/>
      <w:r>
        <w:t xml:space="preserve">Table </w:t>
      </w:r>
      <w:r>
        <w:fldChar w:fldCharType="begin"/>
      </w:r>
      <w:r>
        <w:instrText xml:space="preserve"> SEQ Table \* ARABIC </w:instrText>
      </w:r>
      <w:r>
        <w:fldChar w:fldCharType="separate"/>
      </w:r>
      <w:r w:rsidR="002A7A16">
        <w:rPr>
          <w:noProof/>
        </w:rPr>
        <w:t>16</w:t>
      </w:r>
      <w:r>
        <w:rPr>
          <w:noProof/>
        </w:rPr>
        <w:fldChar w:fldCharType="end"/>
      </w:r>
      <w:bookmarkEnd w:id="49"/>
      <w:r>
        <w:t>: Evaluation of HAZ–NH objectives</w:t>
      </w:r>
    </w:p>
    <w:tbl>
      <w:tblPr>
        <w:tblStyle w:val="TableGrid"/>
        <w:tblW w:w="0" w:type="auto"/>
        <w:tblLook w:val="04A0" w:firstRow="1" w:lastRow="0" w:firstColumn="1" w:lastColumn="0" w:noHBand="0" w:noVBand="1"/>
      </w:tblPr>
      <w:tblGrid>
        <w:gridCol w:w="3489"/>
        <w:gridCol w:w="5527"/>
      </w:tblGrid>
      <w:tr w:rsidR="00BF3D98" w:rsidRPr="00462638" w14:paraId="496C7865" w14:textId="77777777" w:rsidTr="002A7A16">
        <w:tc>
          <w:tcPr>
            <w:tcW w:w="3489" w:type="dxa"/>
            <w:shd w:val="clear" w:color="auto" w:fill="B4C6E7" w:themeFill="accent1" w:themeFillTint="66"/>
          </w:tcPr>
          <w:p w14:paraId="7E365845" w14:textId="77777777" w:rsidR="00BF3D98" w:rsidRPr="00930CFC" w:rsidRDefault="00BF3D98" w:rsidP="002A7A16">
            <w:pPr>
              <w:pStyle w:val="Table1"/>
              <w:rPr>
                <w:b/>
                <w:bCs/>
              </w:rPr>
            </w:pPr>
            <w:r w:rsidRPr="00930CFC">
              <w:rPr>
                <w:b/>
                <w:bCs/>
              </w:rPr>
              <w:t>Objective</w:t>
            </w:r>
          </w:p>
        </w:tc>
        <w:tc>
          <w:tcPr>
            <w:tcW w:w="5527" w:type="dxa"/>
            <w:shd w:val="clear" w:color="auto" w:fill="B4C6E7" w:themeFill="accent1" w:themeFillTint="66"/>
          </w:tcPr>
          <w:p w14:paraId="05E5514C" w14:textId="77777777" w:rsidR="00BF3D98" w:rsidRPr="00930CFC" w:rsidRDefault="00BF3D98" w:rsidP="002A7A16">
            <w:pPr>
              <w:pStyle w:val="Table1"/>
              <w:rPr>
                <w:b/>
                <w:bCs/>
              </w:rPr>
            </w:pPr>
            <w:r w:rsidRPr="00930CFC">
              <w:rPr>
                <w:b/>
                <w:bCs/>
              </w:rPr>
              <w:t>Assessment</w:t>
            </w:r>
          </w:p>
        </w:tc>
      </w:tr>
      <w:tr w:rsidR="00BF3D98" w:rsidRPr="00462638" w14:paraId="4675A00B" w14:textId="77777777" w:rsidTr="002A7A16">
        <w:tc>
          <w:tcPr>
            <w:tcW w:w="3489" w:type="dxa"/>
          </w:tcPr>
          <w:p w14:paraId="0F65A0CA" w14:textId="77777777" w:rsidR="00BF3D98" w:rsidRDefault="00BF3D98" w:rsidP="00BF3D98">
            <w:pPr>
              <w:pStyle w:val="Table1"/>
            </w:pPr>
            <w:r>
              <w:t xml:space="preserve">HAZ–NH–O1 – Natural hazards </w:t>
            </w:r>
          </w:p>
          <w:p w14:paraId="610DF934" w14:textId="48D61855" w:rsidR="00BF3D98" w:rsidRDefault="00BF3D98" w:rsidP="00BF3D98">
            <w:pPr>
              <w:pStyle w:val="Table1"/>
            </w:pPr>
            <w:r>
              <w:t>Levels of risk from natural hazards risks to people, property and communities within Otago do not exceed a tolerable level.</w:t>
            </w:r>
          </w:p>
        </w:tc>
        <w:tc>
          <w:tcPr>
            <w:tcW w:w="5527" w:type="dxa"/>
          </w:tcPr>
          <w:p w14:paraId="3AC2F42E" w14:textId="77777777" w:rsidR="00BF3D98" w:rsidRDefault="00BF3D98" w:rsidP="00BF3D98">
            <w:pPr>
              <w:pStyle w:val="Table1"/>
            </w:pPr>
            <w:r>
              <w:t xml:space="preserve">The management of significant risks from natural hazards is a matter of national importance under the RMA that councils must recognise and provide for in accordance with s6(h) of the RMA. The NZCPS requires councils to avoid increasing risk in coastal hazard areas and to encourage development that reduces the risk of effects from hazards, while also providing direction on managing hazards. </w:t>
            </w:r>
          </w:p>
          <w:p w14:paraId="4ECDC118" w14:textId="641E5E6D" w:rsidR="00BF3D98" w:rsidRDefault="00BF3D98" w:rsidP="00BF3D98">
            <w:pPr>
              <w:pStyle w:val="Table1"/>
            </w:pPr>
            <w:r>
              <w:t>Consultation with the Otago community indicated that natural hazards and the risk they pose is a significant resource management issue for the region. This objective provides a response to the issues raised by the community (</w:t>
            </w:r>
            <w:proofErr w:type="gramStart"/>
            <w:r>
              <w:t>in particular SRMR-I1</w:t>
            </w:r>
            <w:proofErr w:type="gramEnd"/>
            <w:r>
              <w:t xml:space="preserve">), and the requirements of Part 2 of the RMA to ensure that levels of risk from natural hazards do not exceed a tolerable level. The objective is therefore acceptable to the community and relevant. The provisions that give effect to this objective provide guidance in how to determine appropriate levels of risk, including tolerability, without undue environmental, social, </w:t>
            </w:r>
            <w:proofErr w:type="gramStart"/>
            <w:r>
              <w:t>economic</w:t>
            </w:r>
            <w:proofErr w:type="gramEnd"/>
            <w:r>
              <w:t xml:space="preserve"> and cultural costs, demonstrating that this objective is feasible.</w:t>
            </w:r>
          </w:p>
        </w:tc>
      </w:tr>
      <w:tr w:rsidR="00BF3D98" w:rsidRPr="00462638" w14:paraId="46AA209F" w14:textId="77777777" w:rsidTr="002A7A16">
        <w:tc>
          <w:tcPr>
            <w:tcW w:w="3489" w:type="dxa"/>
          </w:tcPr>
          <w:p w14:paraId="3AE2CFFB" w14:textId="77777777" w:rsidR="00BF3D98" w:rsidRDefault="00BF3D98" w:rsidP="00BF3D98">
            <w:pPr>
              <w:pStyle w:val="Table1"/>
            </w:pPr>
            <w:r>
              <w:t xml:space="preserve">HAZ–NH–O2 – Adaption </w:t>
            </w:r>
          </w:p>
          <w:p w14:paraId="1E52D719" w14:textId="2A51ADB2" w:rsidR="00BF3D98" w:rsidRDefault="00BF3D98" w:rsidP="00BF3D98">
            <w:pPr>
              <w:pStyle w:val="Table1"/>
            </w:pPr>
            <w:r>
              <w:t>Otago’s people, property and communities are prepared for and able to adapt to the effects of natural hazards, including climate change.</w:t>
            </w:r>
          </w:p>
        </w:tc>
        <w:tc>
          <w:tcPr>
            <w:tcW w:w="5527" w:type="dxa"/>
          </w:tcPr>
          <w:p w14:paraId="1BEC78EC" w14:textId="77777777" w:rsidR="00BF3D98" w:rsidRDefault="00BF3D98" w:rsidP="00BF3D98">
            <w:pPr>
              <w:pStyle w:val="Table1"/>
              <w:ind w:left="10"/>
            </w:pPr>
            <w:r>
              <w:t>In addition to the requirement for councils to manage significant risks from natural hazards (as a matter of national importance in accordance with s6(h) of the RMA), s7(</w:t>
            </w:r>
            <w:proofErr w:type="spellStart"/>
            <w:r>
              <w:t>i</w:t>
            </w:r>
            <w:proofErr w:type="spellEnd"/>
            <w:r>
              <w:t xml:space="preserve">) of the RMA requires that people exercising functions, including councils, must have </w:t>
            </w:r>
            <w:proofErr w:type="gramStart"/>
            <w:r>
              <w:t>particular regard</w:t>
            </w:r>
            <w:proofErr w:type="gramEnd"/>
            <w:r>
              <w:t xml:space="preserve"> to the effects of climate change. HAZ-NH-O2 is Otago Regional Council’s response to the national direction provided in Part 2 of the RMA, and the significant resource management issues for Otago, as raised by the community in consultation on the RPS. </w:t>
            </w:r>
            <w:proofErr w:type="gramStart"/>
            <w:r>
              <w:t>In particular, SRMR-I2</w:t>
            </w:r>
            <w:proofErr w:type="gramEnd"/>
            <w:r>
              <w:t xml:space="preserve"> outlines that Otago’s climate is changing, and will continue to change for the foreseeable future, with likely impacts on the environment, the economy and cultural and social wellbeing. As this objective is directly relevant to direction set out in Sections 6(h) and 7(</w:t>
            </w:r>
            <w:proofErr w:type="spellStart"/>
            <w:r>
              <w:t>i</w:t>
            </w:r>
            <w:proofErr w:type="spellEnd"/>
            <w:r>
              <w:t xml:space="preserve">) of the RMA and significant resource management issues SRMR-I1 and SRMR I2, it </w:t>
            </w:r>
            <w:proofErr w:type="gramStart"/>
            <w:r>
              <w:t>is considered to be</w:t>
            </w:r>
            <w:proofErr w:type="gramEnd"/>
            <w:r>
              <w:t xml:space="preserve"> both relevant and acceptable. </w:t>
            </w:r>
          </w:p>
          <w:p w14:paraId="6B12AE00" w14:textId="59E7AB3B" w:rsidR="00BF3D98" w:rsidRDefault="00BF3D98" w:rsidP="00BF3D98">
            <w:pPr>
              <w:pStyle w:val="Table1"/>
              <w:ind w:left="10"/>
            </w:pPr>
            <w:r>
              <w:t>The provisions in this section of the RPS provide direction for mitigating natural hazards and managing protection structures (including engineering interventions), where the benefits have been demonstrated to outweigh the costs of doing so. As such, this objective is also considered to be feasible.</w:t>
            </w:r>
          </w:p>
        </w:tc>
      </w:tr>
    </w:tbl>
    <w:p w14:paraId="08C8D390" w14:textId="08C6EEA2" w:rsidR="0088496F" w:rsidRDefault="00936E3E" w:rsidP="0073651A">
      <w:pPr>
        <w:pStyle w:val="Normal2"/>
      </w:pPr>
      <w:r>
        <w:lastRenderedPageBreak/>
        <w:t xml:space="preserve">The </w:t>
      </w:r>
      <w:r w:rsidR="004B343B">
        <w:t xml:space="preserve">provisions that implement these objectives are evaluated in Section </w:t>
      </w:r>
      <w:r w:rsidR="00FE7E05">
        <w:fldChar w:fldCharType="begin"/>
      </w:r>
      <w:r w:rsidR="00FE7E05">
        <w:instrText xml:space="preserve"> REF _Ref72671383 \r \h </w:instrText>
      </w:r>
      <w:r w:rsidR="00FE7E05">
        <w:fldChar w:fldCharType="separate"/>
      </w:r>
      <w:r w:rsidR="002A7A16">
        <w:t>5.10.2</w:t>
      </w:r>
      <w:r w:rsidR="00FE7E05">
        <w:fldChar w:fldCharType="end"/>
      </w:r>
      <w:r w:rsidR="00FE7E05">
        <w:t xml:space="preserve"> </w:t>
      </w:r>
      <w:r w:rsidR="004B343B">
        <w:t>of this report, and are listed below:</w:t>
      </w:r>
    </w:p>
    <w:p w14:paraId="1AC53796" w14:textId="6561BAC1" w:rsidR="00432977" w:rsidRPr="00BF2AE7" w:rsidRDefault="00432977" w:rsidP="00A247C5">
      <w:pPr>
        <w:pStyle w:val="Normal3"/>
      </w:pPr>
      <w:r w:rsidRPr="00BF2AE7">
        <w:t>HAZ</w:t>
      </w:r>
      <w:r w:rsidR="009736CD">
        <w:t>–</w:t>
      </w:r>
      <w:r>
        <w:t>NH</w:t>
      </w:r>
      <w:r w:rsidR="009736CD">
        <w:t>–</w:t>
      </w:r>
      <w:r w:rsidRPr="00BF2AE7">
        <w:t xml:space="preserve">P1 </w:t>
      </w:r>
      <w:r>
        <w:t xml:space="preserve">– </w:t>
      </w:r>
      <w:r w:rsidRPr="00BF2AE7">
        <w:t>Identifying areas subject to natural hazards</w:t>
      </w:r>
    </w:p>
    <w:p w14:paraId="1AF225D3" w14:textId="3EFEF759" w:rsidR="00432977" w:rsidRPr="00BF2AE7" w:rsidRDefault="00432977" w:rsidP="00A247C5">
      <w:pPr>
        <w:pStyle w:val="Normal3"/>
      </w:pPr>
      <w:r w:rsidRPr="00BF2AE7">
        <w:t>HAZ</w:t>
      </w:r>
      <w:r w:rsidR="009736CD">
        <w:t>–</w:t>
      </w:r>
      <w:r>
        <w:t>NH</w:t>
      </w:r>
      <w:r w:rsidR="009736CD">
        <w:t>–</w:t>
      </w:r>
      <w:r w:rsidRPr="00BF2AE7">
        <w:t xml:space="preserve">P2 </w:t>
      </w:r>
      <w:r>
        <w:t xml:space="preserve">– </w:t>
      </w:r>
      <w:r w:rsidRPr="00BF2AE7">
        <w:t>Risk assessments</w:t>
      </w:r>
    </w:p>
    <w:p w14:paraId="56A1C932" w14:textId="0AFC8C92" w:rsidR="00432977" w:rsidRPr="00BF2AE7" w:rsidRDefault="00432977" w:rsidP="00A247C5">
      <w:pPr>
        <w:pStyle w:val="Normal3"/>
      </w:pPr>
      <w:r w:rsidRPr="00BF2AE7">
        <w:t>HAZ</w:t>
      </w:r>
      <w:r w:rsidR="009736CD">
        <w:t>–</w:t>
      </w:r>
      <w:r>
        <w:t>NH</w:t>
      </w:r>
      <w:r w:rsidR="009736CD">
        <w:t>–</w:t>
      </w:r>
      <w:r w:rsidRPr="00BF2AE7">
        <w:t xml:space="preserve">P3 </w:t>
      </w:r>
      <w:r>
        <w:t xml:space="preserve">– </w:t>
      </w:r>
      <w:r w:rsidRPr="00BF2AE7">
        <w:t xml:space="preserve">New </w:t>
      </w:r>
      <w:r>
        <w:t>activities</w:t>
      </w:r>
    </w:p>
    <w:p w14:paraId="17B07030" w14:textId="6FA014A1" w:rsidR="00432977" w:rsidRDefault="00432977" w:rsidP="00A247C5">
      <w:pPr>
        <w:pStyle w:val="Normal3"/>
      </w:pPr>
      <w:r w:rsidRPr="00BF2AE7">
        <w:t>HAZ</w:t>
      </w:r>
      <w:r w:rsidR="009736CD">
        <w:t>–</w:t>
      </w:r>
      <w:r>
        <w:t>NH</w:t>
      </w:r>
      <w:r w:rsidR="009736CD">
        <w:t>–</w:t>
      </w:r>
      <w:r w:rsidRPr="00BF2AE7">
        <w:t>P</w:t>
      </w:r>
      <w:r>
        <w:t>4</w:t>
      </w:r>
      <w:r w:rsidRPr="00BF2AE7">
        <w:t xml:space="preserve"> </w:t>
      </w:r>
      <w:r>
        <w:t>–</w:t>
      </w:r>
      <w:r w:rsidRPr="00BF2AE7">
        <w:t xml:space="preserve"> Existing </w:t>
      </w:r>
      <w:r>
        <w:t>activities</w:t>
      </w:r>
    </w:p>
    <w:p w14:paraId="532033AB" w14:textId="4D2151AF" w:rsidR="00432977" w:rsidRDefault="00432977" w:rsidP="00A247C5">
      <w:pPr>
        <w:pStyle w:val="Normal3"/>
      </w:pPr>
      <w:r w:rsidRPr="00BF2AE7">
        <w:t>HAZ</w:t>
      </w:r>
      <w:r w:rsidR="009736CD">
        <w:t>–</w:t>
      </w:r>
      <w:r>
        <w:t>NH</w:t>
      </w:r>
      <w:r w:rsidR="009736CD">
        <w:t>–</w:t>
      </w:r>
      <w:r w:rsidRPr="00BF2AE7">
        <w:t>P</w:t>
      </w:r>
      <w:r>
        <w:t>5</w:t>
      </w:r>
      <w:r w:rsidRPr="00BF2AE7">
        <w:t xml:space="preserve"> </w:t>
      </w:r>
      <w:r>
        <w:t>–</w:t>
      </w:r>
      <w:r w:rsidRPr="00BF2AE7">
        <w:t xml:space="preserve"> Precautionary approach to natural hazard risk</w:t>
      </w:r>
    </w:p>
    <w:p w14:paraId="156B0888" w14:textId="7F7F1F83" w:rsidR="00432977" w:rsidRPr="00BF2AE7" w:rsidRDefault="00432977" w:rsidP="00A247C5">
      <w:pPr>
        <w:pStyle w:val="Normal3"/>
      </w:pPr>
      <w:r w:rsidRPr="00BF2AE7">
        <w:t>HAZ</w:t>
      </w:r>
      <w:r w:rsidR="009736CD">
        <w:t>–</w:t>
      </w:r>
      <w:r>
        <w:t>NH</w:t>
      </w:r>
      <w:r w:rsidR="009736CD">
        <w:t>–</w:t>
      </w:r>
      <w:r w:rsidRPr="00BF2AE7">
        <w:t xml:space="preserve">P6 </w:t>
      </w:r>
      <w:r>
        <w:t xml:space="preserve">– </w:t>
      </w:r>
      <w:r w:rsidRPr="00BF2AE7">
        <w:t>Protecting features and systems that provide hazard mitigation</w:t>
      </w:r>
    </w:p>
    <w:p w14:paraId="2DDFB2FB" w14:textId="55184739" w:rsidR="00432977" w:rsidRPr="00BF2AE7" w:rsidRDefault="00432977" w:rsidP="009736CD">
      <w:pPr>
        <w:pStyle w:val="Normal3"/>
      </w:pPr>
      <w:r w:rsidRPr="00BF2AE7">
        <w:t>HAZ</w:t>
      </w:r>
      <w:r w:rsidR="009736CD">
        <w:t>–</w:t>
      </w:r>
      <w:r>
        <w:t>NH</w:t>
      </w:r>
      <w:r w:rsidR="009736CD">
        <w:t>–</w:t>
      </w:r>
      <w:r w:rsidRPr="00BF2AE7">
        <w:t xml:space="preserve">P7 </w:t>
      </w:r>
      <w:r>
        <w:t xml:space="preserve">– </w:t>
      </w:r>
      <w:r w:rsidRPr="00BF2AE7">
        <w:t>Mitigating natural hazards</w:t>
      </w:r>
    </w:p>
    <w:p w14:paraId="79E214E2" w14:textId="674454BE" w:rsidR="00432977" w:rsidRPr="00BF2AE7" w:rsidRDefault="00432977" w:rsidP="00A247C5">
      <w:pPr>
        <w:pStyle w:val="Normal3"/>
      </w:pPr>
      <w:r w:rsidRPr="00BF2AE7">
        <w:t>HAZ</w:t>
      </w:r>
      <w:r w:rsidR="009736CD">
        <w:t>–</w:t>
      </w:r>
      <w:r>
        <w:t>NH</w:t>
      </w:r>
      <w:r w:rsidR="009736CD">
        <w:t>–</w:t>
      </w:r>
      <w:r w:rsidRPr="00BF2AE7">
        <w:t>P</w:t>
      </w:r>
      <w:r w:rsidR="009736CD">
        <w:t>8</w:t>
      </w:r>
      <w:r w:rsidRPr="00BF2AE7">
        <w:t xml:space="preserve"> </w:t>
      </w:r>
      <w:r>
        <w:t>–</w:t>
      </w:r>
      <w:r w:rsidRPr="00BF2AE7">
        <w:t xml:space="preserve"> Lifeline utilities and facilities for essential or emergency services</w:t>
      </w:r>
    </w:p>
    <w:p w14:paraId="714809CD" w14:textId="35472ECB" w:rsidR="00432977" w:rsidRPr="00BF2AE7" w:rsidRDefault="00432977" w:rsidP="00A247C5">
      <w:pPr>
        <w:pStyle w:val="Normal3"/>
      </w:pPr>
      <w:r w:rsidRPr="00BF2AE7">
        <w:t>HAZ</w:t>
      </w:r>
      <w:r w:rsidR="009736CD">
        <w:t>–</w:t>
      </w:r>
      <w:r>
        <w:t>NH</w:t>
      </w:r>
      <w:r w:rsidR="009736CD">
        <w:t>–</w:t>
      </w:r>
      <w:r w:rsidRPr="00BF2AE7">
        <w:t>P</w:t>
      </w:r>
      <w:r w:rsidR="009736CD">
        <w:t>9</w:t>
      </w:r>
      <w:r w:rsidRPr="00BF2AE7">
        <w:t xml:space="preserve"> </w:t>
      </w:r>
      <w:r>
        <w:t>–</w:t>
      </w:r>
      <w:r w:rsidRPr="00BF2AE7">
        <w:t xml:space="preserve"> </w:t>
      </w:r>
      <w:r>
        <w:t>Protection of hazard mitigation measures</w:t>
      </w:r>
    </w:p>
    <w:p w14:paraId="73ACE64B" w14:textId="193717F7" w:rsidR="00432977" w:rsidRDefault="00432977" w:rsidP="00A247C5">
      <w:pPr>
        <w:pStyle w:val="Normal3"/>
      </w:pPr>
      <w:r w:rsidRPr="00BF2AE7">
        <w:t>HAZ</w:t>
      </w:r>
      <w:r w:rsidR="009736CD">
        <w:t>–</w:t>
      </w:r>
      <w:r>
        <w:t>NH</w:t>
      </w:r>
      <w:r w:rsidR="009736CD">
        <w:t>–</w:t>
      </w:r>
      <w:r w:rsidRPr="00BF2AE7">
        <w:t>P1</w:t>
      </w:r>
      <w:r w:rsidR="009736CD">
        <w:t>0</w:t>
      </w:r>
      <w:r w:rsidRPr="00BF2AE7">
        <w:t xml:space="preserve"> </w:t>
      </w:r>
      <w:r>
        <w:t>–</w:t>
      </w:r>
      <w:r w:rsidRPr="00BF2AE7">
        <w:t xml:space="preserve"> </w:t>
      </w:r>
      <w:r>
        <w:t>Coastal hazards</w:t>
      </w:r>
    </w:p>
    <w:p w14:paraId="4B0BCFF2" w14:textId="534BF588" w:rsidR="00432977" w:rsidRPr="00BF2AE7" w:rsidRDefault="00432977" w:rsidP="00A247C5">
      <w:pPr>
        <w:pStyle w:val="Normal3"/>
      </w:pPr>
      <w:r w:rsidRPr="00BF2AE7">
        <w:t>H</w:t>
      </w:r>
      <w:r>
        <w:t>A</w:t>
      </w:r>
      <w:r w:rsidRPr="00BF2AE7">
        <w:t>Z</w:t>
      </w:r>
      <w:r w:rsidR="009736CD">
        <w:t>–</w:t>
      </w:r>
      <w:r>
        <w:t>NH</w:t>
      </w:r>
      <w:r w:rsidR="009736CD">
        <w:t>–</w:t>
      </w:r>
      <w:r w:rsidRPr="00BF2AE7">
        <w:t>P1</w:t>
      </w:r>
      <w:r w:rsidR="009736CD">
        <w:t>1</w:t>
      </w:r>
      <w:r>
        <w:t xml:space="preserve"> </w:t>
      </w:r>
      <w:r w:rsidRPr="00E5289C">
        <w:t xml:space="preserve">- </w:t>
      </w:r>
      <w:r w:rsidR="008D343C" w:rsidRPr="00E5289C">
        <w:t>K</w:t>
      </w:r>
      <w:r w:rsidR="008D343C" w:rsidRPr="00E5289C">
        <w:rPr>
          <w:lang w:eastAsia="en-NZ"/>
        </w:rPr>
        <w:t>aitiaki d</w:t>
      </w:r>
      <w:r w:rsidR="008D343C" w:rsidRPr="00E5289C">
        <w:t xml:space="preserve">ecision </w:t>
      </w:r>
      <w:r w:rsidR="008D343C">
        <w:t xml:space="preserve">making </w:t>
      </w:r>
      <w:r w:rsidR="008D343C" w:rsidRPr="003D1C57">
        <w:t xml:space="preserve"> </w:t>
      </w:r>
    </w:p>
    <w:p w14:paraId="1F3544C4" w14:textId="242B36AD" w:rsidR="00432977" w:rsidRDefault="00432977" w:rsidP="00A247C5">
      <w:pPr>
        <w:pStyle w:val="Normal3"/>
      </w:pPr>
      <w:r w:rsidRPr="00BF2AE7">
        <w:t>HAZ</w:t>
      </w:r>
      <w:r w:rsidR="009736CD">
        <w:t>–</w:t>
      </w:r>
      <w:r w:rsidRPr="00BF2AE7">
        <w:t>NH</w:t>
      </w:r>
      <w:r w:rsidR="009736CD">
        <w:t>–</w:t>
      </w:r>
      <w:r w:rsidRPr="00BF2AE7">
        <w:t xml:space="preserve">M1 </w:t>
      </w:r>
      <w:r>
        <w:t xml:space="preserve">– </w:t>
      </w:r>
      <w:r w:rsidRPr="00BF2AE7">
        <w:t>Statement of responsibilities</w:t>
      </w:r>
    </w:p>
    <w:p w14:paraId="599BE27A" w14:textId="6255BCB2" w:rsidR="00432977" w:rsidRDefault="00432977" w:rsidP="00A247C5">
      <w:pPr>
        <w:pStyle w:val="Normal3"/>
      </w:pPr>
      <w:r w:rsidRPr="00C8425A">
        <w:t>HAZ</w:t>
      </w:r>
      <w:r w:rsidR="009736CD">
        <w:t>–</w:t>
      </w:r>
      <w:r w:rsidRPr="00C8425A">
        <w:t>NH</w:t>
      </w:r>
      <w:r w:rsidR="009736CD">
        <w:t>–</w:t>
      </w:r>
      <w:r w:rsidRPr="00C8425A">
        <w:t xml:space="preserve">M2 </w:t>
      </w:r>
      <w:r>
        <w:t xml:space="preserve">– </w:t>
      </w:r>
      <w:r w:rsidRPr="00C8425A">
        <w:t>Local authorities</w:t>
      </w:r>
    </w:p>
    <w:p w14:paraId="4C4C42E7" w14:textId="79C2B873" w:rsidR="00432977" w:rsidRDefault="00432977" w:rsidP="00A247C5">
      <w:pPr>
        <w:pStyle w:val="Normal3"/>
      </w:pPr>
      <w:r w:rsidRPr="009619A5">
        <w:t>HAZ</w:t>
      </w:r>
      <w:r w:rsidR="009736CD">
        <w:t>–</w:t>
      </w:r>
      <w:r w:rsidRPr="009619A5">
        <w:t>NH</w:t>
      </w:r>
      <w:r w:rsidR="009736CD">
        <w:t>–</w:t>
      </w:r>
      <w:r w:rsidRPr="009619A5">
        <w:t xml:space="preserve">M3 </w:t>
      </w:r>
      <w:r>
        <w:t xml:space="preserve">– </w:t>
      </w:r>
      <w:r w:rsidRPr="009619A5">
        <w:t>Regional plans</w:t>
      </w:r>
    </w:p>
    <w:p w14:paraId="24AF76EE" w14:textId="585AB9A6" w:rsidR="00432977" w:rsidRDefault="00432977" w:rsidP="00A247C5">
      <w:pPr>
        <w:pStyle w:val="Normal3"/>
      </w:pPr>
      <w:r w:rsidRPr="001A0E70">
        <w:t>HAZ</w:t>
      </w:r>
      <w:r w:rsidR="009736CD">
        <w:t>–</w:t>
      </w:r>
      <w:r w:rsidRPr="001A0E70">
        <w:t>NH</w:t>
      </w:r>
      <w:r w:rsidR="009736CD">
        <w:t>–</w:t>
      </w:r>
      <w:r w:rsidRPr="001A0E70">
        <w:t xml:space="preserve">M4 </w:t>
      </w:r>
      <w:r>
        <w:t xml:space="preserve">– </w:t>
      </w:r>
      <w:r w:rsidRPr="001A0E70">
        <w:t>District plans</w:t>
      </w:r>
    </w:p>
    <w:p w14:paraId="7A724839" w14:textId="7237A15E" w:rsidR="00432977" w:rsidRDefault="00432977" w:rsidP="00A247C5">
      <w:pPr>
        <w:pStyle w:val="Normal3"/>
      </w:pPr>
      <w:r w:rsidRPr="0006631C">
        <w:t>HAZ</w:t>
      </w:r>
      <w:r w:rsidR="009736CD">
        <w:t>–</w:t>
      </w:r>
      <w:r w:rsidRPr="0006631C">
        <w:t>NH</w:t>
      </w:r>
      <w:r w:rsidR="009736CD">
        <w:t>–</w:t>
      </w:r>
      <w:r w:rsidRPr="0006631C">
        <w:t>M</w:t>
      </w:r>
      <w:r>
        <w:t>5</w:t>
      </w:r>
      <w:r w:rsidRPr="0006631C">
        <w:t xml:space="preserve"> </w:t>
      </w:r>
      <w:r>
        <w:t xml:space="preserve">– </w:t>
      </w:r>
      <w:r w:rsidRPr="0006631C">
        <w:t>Other incentives and mechanisms</w:t>
      </w:r>
    </w:p>
    <w:p w14:paraId="0D49A2A7" w14:textId="58AE4AC8" w:rsidR="00432977" w:rsidRDefault="00432977" w:rsidP="00A247C5">
      <w:pPr>
        <w:pStyle w:val="Normal3"/>
      </w:pPr>
      <w:r>
        <w:t>APP</w:t>
      </w:r>
      <w:r w:rsidR="009736CD">
        <w:t>6</w:t>
      </w:r>
      <w:r>
        <w:t xml:space="preserve"> –</w:t>
      </w:r>
      <w:r w:rsidRPr="00FF070D">
        <w:t xml:space="preserve"> Methodology</w:t>
      </w:r>
      <w:r>
        <w:t xml:space="preserve"> </w:t>
      </w:r>
      <w:r w:rsidRPr="00FF070D">
        <w:t>for</w:t>
      </w:r>
      <w:r>
        <w:t xml:space="preserve"> natural hazard</w:t>
      </w:r>
      <w:r w:rsidRPr="00FF070D">
        <w:t xml:space="preserve"> risk assessment</w:t>
      </w:r>
    </w:p>
    <w:p w14:paraId="051E72A0" w14:textId="478583F5" w:rsidR="00D86157" w:rsidRDefault="006E1E51" w:rsidP="00A247C5">
      <w:pPr>
        <w:pStyle w:val="Normal2"/>
      </w:pPr>
      <w:r w:rsidRPr="00955067">
        <w:t xml:space="preserve">The </w:t>
      </w:r>
      <w:r w:rsidR="00632C68">
        <w:t xml:space="preserve">efficiency and effectiveness </w:t>
      </w:r>
      <w:r w:rsidRPr="00955067">
        <w:t>evaluation</w:t>
      </w:r>
      <w:r w:rsidR="00632C68">
        <w:t xml:space="preserve"> in Section </w:t>
      </w:r>
      <w:r w:rsidR="009736CD">
        <w:fldChar w:fldCharType="begin"/>
      </w:r>
      <w:r w:rsidR="009736CD">
        <w:instrText xml:space="preserve"> REF _Ref72507953 \r \h </w:instrText>
      </w:r>
      <w:r w:rsidR="009736CD">
        <w:fldChar w:fldCharType="separate"/>
      </w:r>
      <w:r w:rsidR="002A7A16">
        <w:t>5.10.2.8</w:t>
      </w:r>
      <w:r w:rsidR="009736CD">
        <w:fldChar w:fldCharType="end"/>
      </w:r>
      <w:r w:rsidR="009736CD">
        <w:t xml:space="preserve"> </w:t>
      </w:r>
      <w:r w:rsidR="00236D37">
        <w:t>conclude</w:t>
      </w:r>
      <w:r w:rsidRPr="00955067">
        <w:t>s that the p</w:t>
      </w:r>
      <w:r w:rsidR="008B1A9C">
        <w:t>olicies and methods</w:t>
      </w:r>
      <w:r w:rsidRPr="00955067">
        <w:t xml:space="preserve"> are effective at achieving the proposed objective, where the benefits of managing natural hazards and risks outweigh the costs of doing so.</w:t>
      </w:r>
      <w:r w:rsidR="00236D37">
        <w:t xml:space="preserve"> This demonstrates that the objectives are feasible. The </w:t>
      </w:r>
      <w:r w:rsidR="00490EBC">
        <w:t xml:space="preserve">assessment in the above table </w:t>
      </w:r>
      <w:r w:rsidR="00DF3B74">
        <w:t>shows the relevance of the objectives</w:t>
      </w:r>
      <w:r w:rsidR="00236D37">
        <w:t xml:space="preserve"> in relation to the direction set out in the RMA</w:t>
      </w:r>
      <w:r w:rsidR="00490EBC">
        <w:t xml:space="preserve"> </w:t>
      </w:r>
      <w:r w:rsidR="002925FC">
        <w:t xml:space="preserve">and </w:t>
      </w:r>
      <w:r w:rsidR="00E246BA">
        <w:t>the significant resource management issues for Otago</w:t>
      </w:r>
      <w:r w:rsidR="00DF3B74">
        <w:t>.</w:t>
      </w:r>
    </w:p>
    <w:p w14:paraId="06CE27F1" w14:textId="5AE58403" w:rsidR="0088496F" w:rsidRPr="00955067" w:rsidRDefault="006E1E51" w:rsidP="00A247C5">
      <w:pPr>
        <w:pStyle w:val="Normal2"/>
      </w:pPr>
      <w:r w:rsidRPr="00955067">
        <w:t>After considering the objectives</w:t>
      </w:r>
      <w:r w:rsidR="003A5E2C" w:rsidRPr="00955067">
        <w:t xml:space="preserve"> and the provisions </w:t>
      </w:r>
      <w:r w:rsidR="00513935">
        <w:t>that implement</w:t>
      </w:r>
      <w:r w:rsidR="003A5E2C" w:rsidRPr="00955067">
        <w:t xml:space="preserve"> them, HAZ</w:t>
      </w:r>
      <w:r w:rsidR="00BD6693">
        <w:t>–</w:t>
      </w:r>
      <w:r w:rsidR="003A5E2C" w:rsidRPr="00955067">
        <w:t>NH</w:t>
      </w:r>
      <w:r w:rsidR="00BD6693">
        <w:t>–</w:t>
      </w:r>
      <w:r w:rsidR="003A5E2C" w:rsidRPr="00955067">
        <w:t>O1 and HAZ</w:t>
      </w:r>
      <w:r w:rsidR="00BD6693">
        <w:t>–</w:t>
      </w:r>
      <w:r w:rsidR="003A5E2C" w:rsidRPr="00955067">
        <w:t>NH</w:t>
      </w:r>
      <w:r w:rsidR="00BD6693">
        <w:t>–</w:t>
      </w:r>
      <w:r w:rsidR="003A5E2C" w:rsidRPr="00955067">
        <w:t xml:space="preserve">O2 </w:t>
      </w:r>
      <w:proofErr w:type="gramStart"/>
      <w:r w:rsidR="003A5E2C" w:rsidRPr="00955067">
        <w:t>are considered to be</w:t>
      </w:r>
      <w:proofErr w:type="gramEnd"/>
      <w:r w:rsidR="003A5E2C" w:rsidRPr="00955067">
        <w:t xml:space="preserve"> the most appropriate way to achieve the purpose of the RMA, to the extent relevant</w:t>
      </w:r>
      <w:r w:rsidR="00F87D39" w:rsidRPr="00955067">
        <w:t xml:space="preserve"> to managing natural hazards and risks. </w:t>
      </w:r>
      <w:r w:rsidR="00096736">
        <w:t>Overall, these</w:t>
      </w:r>
      <w:r w:rsidR="0088496F" w:rsidRPr="00955067">
        <w:t xml:space="preserve"> objectives </w:t>
      </w:r>
      <w:r w:rsidR="00513935">
        <w:t xml:space="preserve">positively contribute to </w:t>
      </w:r>
      <w:r w:rsidR="0088496F" w:rsidRPr="00955067">
        <w:t>achiev</w:t>
      </w:r>
      <w:r w:rsidR="00513935">
        <w:t>ing</w:t>
      </w:r>
      <w:r w:rsidR="0088496F" w:rsidRPr="00955067">
        <w:t xml:space="preserve"> </w:t>
      </w:r>
      <w:r w:rsidR="00096736">
        <w:t>the purpose of the RMA.</w:t>
      </w:r>
    </w:p>
    <w:p w14:paraId="252FFAF3" w14:textId="616F7C2B" w:rsidR="0088496F" w:rsidRDefault="0088496F" w:rsidP="00DE069C">
      <w:pPr>
        <w:pStyle w:val="Heading4"/>
      </w:pPr>
      <w:r>
        <w:t>HAZ–CL – Contaminated land</w:t>
      </w:r>
    </w:p>
    <w:p w14:paraId="0CFB5EA8" w14:textId="6C9575BA" w:rsidR="0088496F" w:rsidRDefault="0088496F" w:rsidP="00A247C5">
      <w:pPr>
        <w:pStyle w:val="Normal2"/>
      </w:pPr>
      <w:r>
        <w:t xml:space="preserve">This section of the HAZ chapter contains one objective which is assessed in </w:t>
      </w:r>
      <w:r w:rsidR="00AD209D">
        <w:fldChar w:fldCharType="begin"/>
      </w:r>
      <w:r w:rsidR="00AD209D">
        <w:instrText xml:space="preserve"> REF _Ref72495580 \h </w:instrText>
      </w:r>
      <w:r w:rsidR="00AD209D">
        <w:fldChar w:fldCharType="separate"/>
      </w:r>
      <w:r w:rsidR="002A7A16">
        <w:t xml:space="preserve">Table </w:t>
      </w:r>
      <w:r w:rsidR="002A7A16">
        <w:rPr>
          <w:noProof/>
        </w:rPr>
        <w:t>17</w:t>
      </w:r>
      <w:r w:rsidR="00AD209D">
        <w:fldChar w:fldCharType="end"/>
      </w:r>
      <w:r w:rsidR="00AD209D">
        <w:t xml:space="preserve"> </w:t>
      </w:r>
      <w:r>
        <w:t>below.</w:t>
      </w:r>
    </w:p>
    <w:p w14:paraId="18364399" w14:textId="05F8DA4A" w:rsidR="009F1D21" w:rsidRDefault="009F1D21" w:rsidP="00324BEB">
      <w:pPr>
        <w:pStyle w:val="Caption"/>
      </w:pPr>
      <w:bookmarkStart w:id="50" w:name="_Ref72495580"/>
      <w:r>
        <w:t xml:space="preserve">Table </w:t>
      </w:r>
      <w:r>
        <w:fldChar w:fldCharType="begin"/>
      </w:r>
      <w:r>
        <w:instrText xml:space="preserve"> SEQ Table \* ARABIC </w:instrText>
      </w:r>
      <w:r>
        <w:fldChar w:fldCharType="separate"/>
      </w:r>
      <w:r w:rsidR="002A7A16">
        <w:rPr>
          <w:noProof/>
        </w:rPr>
        <w:t>17</w:t>
      </w:r>
      <w:r>
        <w:rPr>
          <w:noProof/>
        </w:rPr>
        <w:fldChar w:fldCharType="end"/>
      </w:r>
      <w:bookmarkEnd w:id="50"/>
      <w:r>
        <w:t>: Evaluation of HAZ–CL objectives</w:t>
      </w:r>
    </w:p>
    <w:tbl>
      <w:tblPr>
        <w:tblStyle w:val="TableGrid"/>
        <w:tblW w:w="0" w:type="auto"/>
        <w:tblLook w:val="04A0" w:firstRow="1" w:lastRow="0" w:firstColumn="1" w:lastColumn="0" w:noHBand="0" w:noVBand="1"/>
      </w:tblPr>
      <w:tblGrid>
        <w:gridCol w:w="3489"/>
        <w:gridCol w:w="5527"/>
      </w:tblGrid>
      <w:tr w:rsidR="006F54F9" w:rsidRPr="00462638" w14:paraId="411BE7DF" w14:textId="77777777" w:rsidTr="002A7A16">
        <w:tc>
          <w:tcPr>
            <w:tcW w:w="3489" w:type="dxa"/>
            <w:shd w:val="clear" w:color="auto" w:fill="B4C6E7" w:themeFill="accent1" w:themeFillTint="66"/>
          </w:tcPr>
          <w:p w14:paraId="1A025DC3" w14:textId="77777777" w:rsidR="006F54F9" w:rsidRPr="00BE7045" w:rsidRDefault="006F54F9" w:rsidP="002A7A16">
            <w:pPr>
              <w:pStyle w:val="Table1"/>
              <w:rPr>
                <w:b/>
                <w:bCs/>
              </w:rPr>
            </w:pPr>
            <w:r w:rsidRPr="00BE7045">
              <w:rPr>
                <w:b/>
                <w:bCs/>
              </w:rPr>
              <w:t>Objective</w:t>
            </w:r>
          </w:p>
        </w:tc>
        <w:tc>
          <w:tcPr>
            <w:tcW w:w="5527" w:type="dxa"/>
            <w:shd w:val="clear" w:color="auto" w:fill="B4C6E7" w:themeFill="accent1" w:themeFillTint="66"/>
          </w:tcPr>
          <w:p w14:paraId="67D3BD8E" w14:textId="77777777" w:rsidR="006F54F9" w:rsidRPr="00BE7045" w:rsidRDefault="006F54F9" w:rsidP="002A7A16">
            <w:pPr>
              <w:pStyle w:val="Table1"/>
              <w:rPr>
                <w:b/>
                <w:bCs/>
              </w:rPr>
            </w:pPr>
            <w:r w:rsidRPr="00BE7045">
              <w:rPr>
                <w:b/>
                <w:bCs/>
              </w:rPr>
              <w:t>Assessment</w:t>
            </w:r>
          </w:p>
        </w:tc>
      </w:tr>
      <w:tr w:rsidR="006F54F9" w:rsidRPr="00462638" w14:paraId="2E8C3268" w14:textId="77777777" w:rsidTr="002A7A16">
        <w:tc>
          <w:tcPr>
            <w:tcW w:w="3489" w:type="dxa"/>
          </w:tcPr>
          <w:p w14:paraId="1B75266B" w14:textId="77777777" w:rsidR="006F54F9" w:rsidRPr="006F54F9" w:rsidRDefault="006F54F9" w:rsidP="006F54F9">
            <w:pPr>
              <w:pStyle w:val="Table1"/>
              <w:rPr>
                <w:b/>
                <w:bCs/>
              </w:rPr>
            </w:pPr>
            <w:r w:rsidRPr="006F54F9">
              <w:rPr>
                <w:b/>
                <w:bCs/>
              </w:rPr>
              <w:t>HAZ–CL–O3 – Contaminated land</w:t>
            </w:r>
          </w:p>
          <w:p w14:paraId="55DB776A" w14:textId="625E421C" w:rsidR="006F54F9" w:rsidRPr="0094119F" w:rsidRDefault="006F54F9" w:rsidP="006F54F9">
            <w:pPr>
              <w:pStyle w:val="Table1"/>
            </w:pPr>
            <w:r>
              <w:t>Contaminated land and waste materials are man</w:t>
            </w:r>
            <w:r w:rsidR="004326B6">
              <w:t>a</w:t>
            </w:r>
            <w:r>
              <w:t>ged to protect human health, mana whenua values and the environment in Otago.</w:t>
            </w:r>
          </w:p>
        </w:tc>
        <w:tc>
          <w:tcPr>
            <w:tcW w:w="5527" w:type="dxa"/>
          </w:tcPr>
          <w:p w14:paraId="43AA0901" w14:textId="7EB97577" w:rsidR="006F54F9" w:rsidRDefault="006F54F9" w:rsidP="006F54F9">
            <w:pPr>
              <w:pStyle w:val="Table1"/>
            </w:pPr>
            <w:r>
              <w:t>In relation to Section 5 of the RMA, HAZ</w:t>
            </w:r>
            <w:r w:rsidR="00BE7045">
              <w:t>–</w:t>
            </w:r>
            <w:r>
              <w:t>CL</w:t>
            </w:r>
            <w:r w:rsidR="00BE7045">
              <w:t>–</w:t>
            </w:r>
            <w:r>
              <w:t>O3 promotes the sustainable management of natural and physical resources and enables people and communities to provide for their wellbeing and for their health and safety.</w:t>
            </w:r>
          </w:p>
          <w:p w14:paraId="6D2850AA" w14:textId="77777777" w:rsidR="006F54F9" w:rsidRDefault="006F54F9" w:rsidP="006F54F9">
            <w:pPr>
              <w:pStyle w:val="Table1"/>
            </w:pPr>
            <w:r>
              <w:t xml:space="preserve">Section 5(2)(b) identifies safeguarding the life-supporting capacity of air, water, </w:t>
            </w:r>
            <w:proofErr w:type="gramStart"/>
            <w:r>
              <w:t>soil</w:t>
            </w:r>
            <w:proofErr w:type="gramEnd"/>
            <w:r>
              <w:t xml:space="preserve"> and ecosystems as a key component of sustainable management. In protecting the environment from the effects of contaminated land, the objective seeks to safeguard the life-supporting capacity of the environment, in particular soil, </w:t>
            </w:r>
            <w:proofErr w:type="gramStart"/>
            <w:r>
              <w:t>water</w:t>
            </w:r>
            <w:proofErr w:type="gramEnd"/>
            <w:r>
              <w:t xml:space="preserve"> and ecosystems.</w:t>
            </w:r>
          </w:p>
          <w:p w14:paraId="3EAB79C7" w14:textId="77777777" w:rsidR="006F54F9" w:rsidRDefault="006F54F9" w:rsidP="006F54F9">
            <w:pPr>
              <w:pStyle w:val="Table1"/>
            </w:pPr>
            <w:r>
              <w:t xml:space="preserve">In relation to Section 7(b) of the RMA, the objective gives </w:t>
            </w:r>
            <w:proofErr w:type="gramStart"/>
            <w:r>
              <w:t>particular regard</w:t>
            </w:r>
            <w:proofErr w:type="gramEnd"/>
            <w:r>
              <w:t xml:space="preserve"> to the efficient use and development of natural </w:t>
            </w:r>
            <w:r>
              <w:lastRenderedPageBreak/>
              <w:t xml:space="preserve">resources as it specifically does not seek to avoid adverse effects of already contaminated land, rather that contaminated land and waste materials are managed to protect human health, mana whenua values and the environment. </w:t>
            </w:r>
          </w:p>
          <w:p w14:paraId="60820482" w14:textId="1CCBA47F" w:rsidR="006F54F9" w:rsidRDefault="006F54F9" w:rsidP="006F54F9">
            <w:pPr>
              <w:pStyle w:val="Table1"/>
            </w:pPr>
            <w:r>
              <w:t xml:space="preserve">In relation to Sections 7(c), 7(d), 7 (f) and 7(g) the objective gives </w:t>
            </w:r>
            <w:proofErr w:type="gramStart"/>
            <w:r>
              <w:t>particular regard</w:t>
            </w:r>
            <w:proofErr w:type="gramEnd"/>
            <w:r>
              <w:t xml:space="preserve"> to the maintenance and enhancement of amenity values, the intrinsic values of ecosystems, the maintenance and enhancement of the quality of the environment, and the finite characteristics of natural resources (in particular soil and water). </w:t>
            </w:r>
          </w:p>
          <w:p w14:paraId="76F3DB7F" w14:textId="77777777" w:rsidR="006F54F9" w:rsidRDefault="006F54F9" w:rsidP="006F54F9">
            <w:pPr>
              <w:pStyle w:val="Table1"/>
            </w:pPr>
            <w:r>
              <w:t xml:space="preserve">The NESCS sets a nationally consistent set of planning controls and soil contaminant values. It ensures that land affected by contaminants in soil is appropriately identified and assessed before it is developed, and if necessary, the land is </w:t>
            </w:r>
            <w:proofErr w:type="gramStart"/>
            <w:r>
              <w:t>remediated</w:t>
            </w:r>
            <w:proofErr w:type="gramEnd"/>
            <w:r>
              <w:t xml:space="preserve"> or the contaminants contained to make the land safe for human use.</w:t>
            </w:r>
          </w:p>
          <w:p w14:paraId="0438830A" w14:textId="7EE37051" w:rsidR="006F54F9" w:rsidRDefault="006F54F9" w:rsidP="006F54F9">
            <w:pPr>
              <w:pStyle w:val="Table1"/>
            </w:pPr>
            <w:r>
              <w:t>HAZ</w:t>
            </w:r>
            <w:r w:rsidR="00FE7E05">
              <w:t>–</w:t>
            </w:r>
            <w:r>
              <w:t>CL</w:t>
            </w:r>
            <w:r w:rsidR="00FE7E05">
              <w:t>–</w:t>
            </w:r>
            <w:r>
              <w:t xml:space="preserve">O3 also responds directly to the significant resource management issues identified by the Otago community during consultation. </w:t>
            </w:r>
            <w:proofErr w:type="gramStart"/>
            <w:r>
              <w:t>In particular, SRMR</w:t>
            </w:r>
            <w:proofErr w:type="gramEnd"/>
            <w:r>
              <w:t xml:space="preserve">–I10 identifies that economic and domestic activities in Otago use natural resources but do not always account for the environmental stresses or future impacts they use. </w:t>
            </w:r>
          </w:p>
          <w:p w14:paraId="03C4C37D" w14:textId="677A41E4" w:rsidR="006F54F9" w:rsidRPr="00462638" w:rsidRDefault="006F54F9" w:rsidP="006F54F9">
            <w:pPr>
              <w:pStyle w:val="Table1"/>
            </w:pPr>
            <w:proofErr w:type="gramStart"/>
            <w:r>
              <w:t>Taking into account</w:t>
            </w:r>
            <w:proofErr w:type="gramEnd"/>
            <w:r>
              <w:t xml:space="preserve"> the direction set out in Part 2 of the RMA, higher order documents and the issues raised by the community, the outcomes sought by HAZ</w:t>
            </w:r>
            <w:r w:rsidR="00FE7E05">
              <w:t>–</w:t>
            </w:r>
            <w:r>
              <w:t>CL</w:t>
            </w:r>
            <w:r w:rsidR="00FE7E05">
              <w:t>–</w:t>
            </w:r>
            <w:r>
              <w:t>O3 are considered relevant and acceptable.</w:t>
            </w:r>
          </w:p>
        </w:tc>
      </w:tr>
    </w:tbl>
    <w:p w14:paraId="5FF5AD55" w14:textId="383969FE" w:rsidR="00A20A8B" w:rsidRPr="00E5289C" w:rsidRDefault="00E5289C" w:rsidP="00A247C5">
      <w:pPr>
        <w:pStyle w:val="Normal2"/>
      </w:pPr>
      <w:r w:rsidRPr="00E5289C">
        <w:lastRenderedPageBreak/>
        <w:t>The provisions that implement HAZ-CL-O3 are:</w:t>
      </w:r>
    </w:p>
    <w:p w14:paraId="633B296F" w14:textId="6A3BC565" w:rsidR="0016408C" w:rsidRDefault="0016408C" w:rsidP="00A247C5">
      <w:pPr>
        <w:pStyle w:val="Normal3"/>
      </w:pPr>
      <w:r>
        <w:t>HAZ</w:t>
      </w:r>
      <w:r w:rsidR="00FE7E05">
        <w:t>–</w:t>
      </w:r>
      <w:r>
        <w:t>CL</w:t>
      </w:r>
      <w:r w:rsidR="00FE7E05">
        <w:t>–</w:t>
      </w:r>
      <w:r>
        <w:t xml:space="preserve">P12 </w:t>
      </w:r>
      <w:r w:rsidR="00FE7E05">
        <w:t xml:space="preserve">– </w:t>
      </w:r>
      <w:r>
        <w:t>Identifying contaminated land</w:t>
      </w:r>
    </w:p>
    <w:p w14:paraId="6FB17FA8" w14:textId="4E9BB17D" w:rsidR="0016408C" w:rsidRDefault="0016408C" w:rsidP="00A247C5">
      <w:pPr>
        <w:pStyle w:val="Normal3"/>
      </w:pPr>
      <w:r>
        <w:t>HAZ</w:t>
      </w:r>
      <w:r w:rsidR="00FE7E05">
        <w:t>–</w:t>
      </w:r>
      <w:r>
        <w:t>CL</w:t>
      </w:r>
      <w:r w:rsidR="00FE7E05">
        <w:t>–</w:t>
      </w:r>
      <w:r>
        <w:t xml:space="preserve">P13 </w:t>
      </w:r>
      <w:r w:rsidR="00FE7E05">
        <w:t xml:space="preserve">– </w:t>
      </w:r>
      <w:r>
        <w:t>Managing contaminated land</w:t>
      </w:r>
    </w:p>
    <w:p w14:paraId="077B454C" w14:textId="70A376CA" w:rsidR="0016408C" w:rsidRDefault="0016408C" w:rsidP="00A247C5">
      <w:pPr>
        <w:pStyle w:val="Normal3"/>
      </w:pPr>
      <w:r>
        <w:t>HAZ</w:t>
      </w:r>
      <w:r w:rsidR="00FE7E05">
        <w:t>–</w:t>
      </w:r>
      <w:r>
        <w:t>CL</w:t>
      </w:r>
      <w:r w:rsidR="00FE7E05">
        <w:t>–</w:t>
      </w:r>
      <w:r>
        <w:t xml:space="preserve">P14 </w:t>
      </w:r>
      <w:r w:rsidR="00FE7E05">
        <w:t xml:space="preserve">– </w:t>
      </w:r>
      <w:r>
        <w:t>New contaminated land</w:t>
      </w:r>
    </w:p>
    <w:p w14:paraId="1F1E326D" w14:textId="47563DE4" w:rsidR="0016408C" w:rsidRDefault="0016408C" w:rsidP="00A247C5">
      <w:pPr>
        <w:pStyle w:val="Normal3"/>
      </w:pPr>
      <w:r>
        <w:t>HAZ</w:t>
      </w:r>
      <w:r w:rsidR="00FE7E05">
        <w:t>–</w:t>
      </w:r>
      <w:r>
        <w:t>CL</w:t>
      </w:r>
      <w:r w:rsidR="00FE7E05">
        <w:t>–</w:t>
      </w:r>
      <w:r>
        <w:t xml:space="preserve">P15 </w:t>
      </w:r>
      <w:r w:rsidR="00FE7E05">
        <w:t xml:space="preserve">– </w:t>
      </w:r>
      <w:r>
        <w:t>Waste minimisation responses</w:t>
      </w:r>
    </w:p>
    <w:p w14:paraId="648153D1" w14:textId="3ADE06F8" w:rsidR="0016408C" w:rsidRDefault="0016408C" w:rsidP="00A247C5">
      <w:pPr>
        <w:pStyle w:val="Normal3"/>
      </w:pPr>
      <w:r>
        <w:t>HAZ</w:t>
      </w:r>
      <w:r w:rsidR="00FE7E05">
        <w:t>–</w:t>
      </w:r>
      <w:r>
        <w:t>CL</w:t>
      </w:r>
      <w:r w:rsidR="00FE7E05">
        <w:t>–</w:t>
      </w:r>
      <w:r>
        <w:t xml:space="preserve">P16 </w:t>
      </w:r>
      <w:r w:rsidR="00FE7E05">
        <w:t xml:space="preserve">– </w:t>
      </w:r>
      <w:r>
        <w:t>Disposal of waste materials</w:t>
      </w:r>
    </w:p>
    <w:p w14:paraId="5079590F" w14:textId="29FA1690" w:rsidR="0016408C" w:rsidRDefault="0016408C" w:rsidP="00A247C5">
      <w:pPr>
        <w:pStyle w:val="Normal3"/>
      </w:pPr>
      <w:r>
        <w:t>HAZ</w:t>
      </w:r>
      <w:r w:rsidR="00FE7E05">
        <w:t>–</w:t>
      </w:r>
      <w:r>
        <w:t>CL</w:t>
      </w:r>
      <w:r w:rsidR="00FE7E05">
        <w:t>–</w:t>
      </w:r>
      <w:r>
        <w:t xml:space="preserve">P17 </w:t>
      </w:r>
      <w:r w:rsidR="00FE7E05">
        <w:t xml:space="preserve">– </w:t>
      </w:r>
      <w:r>
        <w:t>Waste facilities and services</w:t>
      </w:r>
    </w:p>
    <w:p w14:paraId="5A5A7003" w14:textId="5BE5D55C" w:rsidR="0016408C" w:rsidRDefault="0016408C" w:rsidP="00A247C5">
      <w:pPr>
        <w:pStyle w:val="Normal3"/>
      </w:pPr>
      <w:r>
        <w:t>HAZ</w:t>
      </w:r>
      <w:r w:rsidR="00FE7E05">
        <w:t>–</w:t>
      </w:r>
      <w:r>
        <w:t>CL</w:t>
      </w:r>
      <w:r w:rsidR="00FE7E05">
        <w:t>–</w:t>
      </w:r>
      <w:r>
        <w:t xml:space="preserve">M6 </w:t>
      </w:r>
      <w:r w:rsidR="00FE7E05">
        <w:t xml:space="preserve">– </w:t>
      </w:r>
      <w:r>
        <w:t>Regional plans</w:t>
      </w:r>
    </w:p>
    <w:p w14:paraId="5A87FB94" w14:textId="62CBFDBF" w:rsidR="0016408C" w:rsidRDefault="0016408C" w:rsidP="00A247C5">
      <w:pPr>
        <w:pStyle w:val="Normal3"/>
      </w:pPr>
      <w:r>
        <w:t>HAZ</w:t>
      </w:r>
      <w:r w:rsidR="00FE7E05">
        <w:t>–</w:t>
      </w:r>
      <w:r>
        <w:t>CL</w:t>
      </w:r>
      <w:r w:rsidR="00FE7E05">
        <w:t>–</w:t>
      </w:r>
      <w:r>
        <w:t xml:space="preserve">M7 </w:t>
      </w:r>
      <w:r w:rsidR="00FE7E05">
        <w:t xml:space="preserve">– </w:t>
      </w:r>
      <w:r>
        <w:t>District plans</w:t>
      </w:r>
    </w:p>
    <w:p w14:paraId="2DCB4A76" w14:textId="174EC460" w:rsidR="0016408C" w:rsidRDefault="0016408C" w:rsidP="00A247C5">
      <w:pPr>
        <w:pStyle w:val="Normal3"/>
      </w:pPr>
      <w:r>
        <w:t>HAZ</w:t>
      </w:r>
      <w:r w:rsidR="00FE7E05">
        <w:t>–</w:t>
      </w:r>
      <w:r>
        <w:t>CL</w:t>
      </w:r>
      <w:r w:rsidR="00FE7E05">
        <w:t>–</w:t>
      </w:r>
      <w:r>
        <w:t xml:space="preserve">M8 </w:t>
      </w:r>
      <w:r w:rsidR="00FE7E05">
        <w:t xml:space="preserve">– </w:t>
      </w:r>
      <w:r>
        <w:t>Waste Management and Minimisation Plans</w:t>
      </w:r>
    </w:p>
    <w:p w14:paraId="6AF467B5" w14:textId="5CEC0F60" w:rsidR="0016408C" w:rsidRDefault="0016408C" w:rsidP="00A247C5">
      <w:pPr>
        <w:pStyle w:val="Normal3"/>
      </w:pPr>
      <w:r>
        <w:t>HAZ</w:t>
      </w:r>
      <w:r w:rsidR="00FE7E05">
        <w:t>–</w:t>
      </w:r>
      <w:r>
        <w:t>CL</w:t>
      </w:r>
      <w:r w:rsidR="00FE7E05">
        <w:t>–</w:t>
      </w:r>
      <w:r>
        <w:t xml:space="preserve">M9 </w:t>
      </w:r>
      <w:r w:rsidR="00FE7E05">
        <w:t xml:space="preserve">– </w:t>
      </w:r>
      <w:r>
        <w:t>Other incentives and mechanisms</w:t>
      </w:r>
    </w:p>
    <w:p w14:paraId="29D4E14E" w14:textId="2C6FEF3A" w:rsidR="00D158BF" w:rsidRPr="00955067" w:rsidRDefault="00D158BF" w:rsidP="00A247C5">
      <w:pPr>
        <w:pStyle w:val="Normal2"/>
      </w:pPr>
      <w:r w:rsidRPr="00955067">
        <w:t xml:space="preserve">Section </w:t>
      </w:r>
      <w:r w:rsidR="00FE7E05">
        <w:fldChar w:fldCharType="begin"/>
      </w:r>
      <w:r w:rsidR="00FE7E05">
        <w:instrText xml:space="preserve"> REF _Ref72671441 \r \h </w:instrText>
      </w:r>
      <w:r w:rsidR="00FE7E05">
        <w:fldChar w:fldCharType="separate"/>
      </w:r>
      <w:r w:rsidR="002A7A16">
        <w:t>0</w:t>
      </w:r>
      <w:r w:rsidR="00FE7E05">
        <w:fldChar w:fldCharType="end"/>
      </w:r>
      <w:r w:rsidR="00FE7E05">
        <w:t xml:space="preserve"> </w:t>
      </w:r>
      <w:r w:rsidRPr="00955067">
        <w:t>of this report contains an evaluation of the efficiency and effectiveness of the above provisions in achieving the proposed objectives. The evaluation demonstrates that the p</w:t>
      </w:r>
      <w:r>
        <w:t>olicies and methods</w:t>
      </w:r>
      <w:r w:rsidRPr="00955067">
        <w:t xml:space="preserve"> are effective at achieving the proposed objective, where the benefits of managing </w:t>
      </w:r>
      <w:r>
        <w:t xml:space="preserve">contaminated land and waste materials to protect human health, mana whenua values and </w:t>
      </w:r>
      <w:r w:rsidR="00685954">
        <w:t>the environment</w:t>
      </w:r>
      <w:r w:rsidRPr="00955067">
        <w:t xml:space="preserve"> outweigh the costs of doing so. After considering the objectives and the provisions to achieve them, HAZ</w:t>
      </w:r>
      <w:r w:rsidR="00FE7E05">
        <w:t>–</w:t>
      </w:r>
      <w:r w:rsidRPr="00955067">
        <w:t>NH</w:t>
      </w:r>
      <w:r w:rsidR="00FE7E05">
        <w:t>–</w:t>
      </w:r>
      <w:r w:rsidRPr="00955067">
        <w:t>O</w:t>
      </w:r>
      <w:r w:rsidR="00685954">
        <w:t>3</w:t>
      </w:r>
      <w:r w:rsidRPr="00955067">
        <w:t xml:space="preserve"> </w:t>
      </w:r>
      <w:proofErr w:type="gramStart"/>
      <w:r w:rsidR="00685954">
        <w:t xml:space="preserve">is </w:t>
      </w:r>
      <w:r w:rsidRPr="00955067">
        <w:t>considered to be</w:t>
      </w:r>
      <w:proofErr w:type="gramEnd"/>
      <w:r w:rsidRPr="00955067">
        <w:t xml:space="preserve"> the most appropriate way to achieve the purpose of the RMA, to the extent relevant </w:t>
      </w:r>
      <w:r w:rsidR="00685954">
        <w:t>when managing waste and contaminated land</w:t>
      </w:r>
      <w:r>
        <w:t>.</w:t>
      </w:r>
    </w:p>
    <w:p w14:paraId="74803C15" w14:textId="0EE7E47C" w:rsidR="00E05589" w:rsidRDefault="00E05589" w:rsidP="0082271A">
      <w:pPr>
        <w:pStyle w:val="Heading3"/>
      </w:pPr>
      <w:r>
        <w:t>HCV – Historical and cultural values</w:t>
      </w:r>
    </w:p>
    <w:p w14:paraId="15A0858D" w14:textId="40CB0A8D" w:rsidR="0088496F" w:rsidRDefault="00145C17" w:rsidP="00A247C5">
      <w:pPr>
        <w:pStyle w:val="Normal2"/>
      </w:pPr>
      <w:r>
        <w:t xml:space="preserve">The </w:t>
      </w:r>
      <w:r w:rsidR="00DF7CFF">
        <w:t>HCV</w:t>
      </w:r>
      <w:r>
        <w:t xml:space="preserve"> chapter </w:t>
      </w:r>
      <w:r w:rsidR="00513935">
        <w:t>contains</w:t>
      </w:r>
      <w:r>
        <w:t xml:space="preserve"> two </w:t>
      </w:r>
      <w:r w:rsidR="00C002FF">
        <w:t>parts</w:t>
      </w:r>
      <w:r w:rsidR="00040DF9">
        <w:t xml:space="preserve">, </w:t>
      </w:r>
      <w:r w:rsidR="008F4D20" w:rsidRPr="008F4D20">
        <w:t>HCV–WT</w:t>
      </w:r>
      <w:r w:rsidR="008F4D20">
        <w:t xml:space="preserve"> </w:t>
      </w:r>
      <w:r w:rsidR="00DF7CFF">
        <w:t xml:space="preserve">– </w:t>
      </w:r>
      <w:proofErr w:type="spellStart"/>
      <w:r w:rsidR="00DF7CFF">
        <w:t>Wāhi</w:t>
      </w:r>
      <w:proofErr w:type="spellEnd"/>
      <w:r w:rsidR="00DF7CFF">
        <w:t xml:space="preserve"> tūpuna </w:t>
      </w:r>
      <w:r w:rsidR="008F4D20">
        <w:t xml:space="preserve">and </w:t>
      </w:r>
      <w:r w:rsidR="008F4D20" w:rsidRPr="008F4D20">
        <w:t>HCV–HH</w:t>
      </w:r>
      <w:r w:rsidR="00DF7CFF">
        <w:t xml:space="preserve"> – Historic heritage. The HCV</w:t>
      </w:r>
      <w:r w:rsidR="00DF7CFF" w:rsidRPr="008F4D20">
        <w:t>–</w:t>
      </w:r>
      <w:r w:rsidR="00DF7CFF">
        <w:t xml:space="preserve">WT chapter specifically addresses </w:t>
      </w:r>
      <w:proofErr w:type="spellStart"/>
      <w:r w:rsidR="00C63A2E">
        <w:t>w</w:t>
      </w:r>
      <w:r w:rsidR="00C002FF" w:rsidRPr="00C002FF">
        <w:t>āhi</w:t>
      </w:r>
      <w:proofErr w:type="spellEnd"/>
      <w:r w:rsidR="00C002FF" w:rsidRPr="00C002FF">
        <w:t xml:space="preserve"> tūpuna</w:t>
      </w:r>
      <w:r w:rsidR="001A56E7">
        <w:t xml:space="preserve"> and the authority of mana whenua </w:t>
      </w:r>
      <w:r w:rsidR="008C08C6">
        <w:t>over associated matters,</w:t>
      </w:r>
      <w:r w:rsidR="00250B27">
        <w:t xml:space="preserve"> and the </w:t>
      </w:r>
      <w:r w:rsidR="00250B27" w:rsidRPr="008F4D20">
        <w:t>HCV–HH</w:t>
      </w:r>
      <w:r w:rsidR="00C63A2E">
        <w:t xml:space="preserve"> addresses </w:t>
      </w:r>
      <w:r w:rsidR="00725888">
        <w:t xml:space="preserve">a broader range of </w:t>
      </w:r>
      <w:r w:rsidR="00990DDE">
        <w:t xml:space="preserve">Otago’s </w:t>
      </w:r>
      <w:r w:rsidR="00725888">
        <w:t xml:space="preserve">historical </w:t>
      </w:r>
      <w:r w:rsidR="00990DDE">
        <w:t xml:space="preserve">and </w:t>
      </w:r>
      <w:r w:rsidR="00990DDE">
        <w:lastRenderedPageBreak/>
        <w:t>heritage identity</w:t>
      </w:r>
      <w:r w:rsidR="008C08C6">
        <w:t xml:space="preserve">. </w:t>
      </w:r>
      <w:r w:rsidR="00087729">
        <w:t>There are three objectives across the</w:t>
      </w:r>
      <w:r w:rsidR="00250B27">
        <w:t xml:space="preserve"> two</w:t>
      </w:r>
      <w:r w:rsidR="00087729">
        <w:t xml:space="preserve"> sections</w:t>
      </w:r>
      <w:r w:rsidR="004326B6">
        <w:t>. A</w:t>
      </w:r>
      <w:r w:rsidR="00AC2D92">
        <w:t xml:space="preserve">n assessment of each </w:t>
      </w:r>
      <w:r w:rsidR="004326B6">
        <w:t>is</w:t>
      </w:r>
      <w:r w:rsidR="00AD2B31">
        <w:t xml:space="preserve"> </w:t>
      </w:r>
      <w:r w:rsidR="00250B27">
        <w:t xml:space="preserve">set out </w:t>
      </w:r>
      <w:r w:rsidR="00252018" w:rsidRPr="00E5289C">
        <w:t>below</w:t>
      </w:r>
      <w:r w:rsidR="00252018">
        <w:t xml:space="preserve">. </w:t>
      </w:r>
      <w:r w:rsidR="00D20C8C">
        <w:t>Broadly, t</w:t>
      </w:r>
      <w:r w:rsidR="00C467F4">
        <w:t>h</w:t>
      </w:r>
      <w:r w:rsidR="00252018">
        <w:t>e objectives aim to give ef</w:t>
      </w:r>
      <w:r w:rsidR="00C467F4">
        <w:t xml:space="preserve">fect to </w:t>
      </w:r>
      <w:r w:rsidR="007502A2">
        <w:t xml:space="preserve">the </w:t>
      </w:r>
      <w:r w:rsidR="00250B27">
        <w:t>RMA</w:t>
      </w:r>
      <w:r w:rsidR="0038454C">
        <w:t xml:space="preserve"> in a manner that is consistent with </w:t>
      </w:r>
      <w:r w:rsidR="007502A2">
        <w:t xml:space="preserve">the </w:t>
      </w:r>
      <w:r w:rsidR="007502A2" w:rsidRPr="007502A2">
        <w:t xml:space="preserve">Heritage New Zealand </w:t>
      </w:r>
      <w:proofErr w:type="spellStart"/>
      <w:r w:rsidR="007502A2" w:rsidRPr="007502A2">
        <w:t>Pouhere</w:t>
      </w:r>
      <w:proofErr w:type="spellEnd"/>
      <w:r w:rsidR="007502A2" w:rsidRPr="007502A2">
        <w:t xml:space="preserve"> Taonga Act 2014</w:t>
      </w:r>
      <w:r w:rsidR="00345C1F">
        <w:t>.</w:t>
      </w:r>
    </w:p>
    <w:p w14:paraId="78D64AEB" w14:textId="52048308" w:rsidR="0088496F" w:rsidRPr="0088496F" w:rsidRDefault="0088496F" w:rsidP="00DE069C">
      <w:pPr>
        <w:pStyle w:val="Heading4"/>
      </w:pPr>
      <w:r>
        <w:t xml:space="preserve">HCV–WT – </w:t>
      </w:r>
      <w:proofErr w:type="spellStart"/>
      <w:r>
        <w:t>Wāhi</w:t>
      </w:r>
      <w:proofErr w:type="spellEnd"/>
      <w:r>
        <w:t xml:space="preserve"> tūpuna </w:t>
      </w:r>
    </w:p>
    <w:p w14:paraId="14956F16" w14:textId="562683CB" w:rsidR="00FE7E05" w:rsidRDefault="0088496F" w:rsidP="00BF3D98">
      <w:pPr>
        <w:pStyle w:val="Normal2"/>
      </w:pPr>
      <w:r>
        <w:t xml:space="preserve">This section of the HCV chapter has two objectives which are assessed in </w:t>
      </w:r>
      <w:r w:rsidR="00AD209D">
        <w:fldChar w:fldCharType="begin"/>
      </w:r>
      <w:r w:rsidR="00AD209D">
        <w:instrText xml:space="preserve"> REF _Ref72495608 \h </w:instrText>
      </w:r>
      <w:r w:rsidR="00AD209D">
        <w:fldChar w:fldCharType="separate"/>
      </w:r>
      <w:r w:rsidR="002A7A16">
        <w:t xml:space="preserve">Table </w:t>
      </w:r>
      <w:r w:rsidR="002A7A16">
        <w:rPr>
          <w:noProof/>
        </w:rPr>
        <w:t>18</w:t>
      </w:r>
      <w:r w:rsidR="00AD209D">
        <w:fldChar w:fldCharType="end"/>
      </w:r>
      <w:r w:rsidR="00AD209D">
        <w:t xml:space="preserve"> </w:t>
      </w:r>
      <w:r>
        <w:t>below.</w:t>
      </w:r>
    </w:p>
    <w:p w14:paraId="6F29C572" w14:textId="29391791" w:rsidR="009F1D21" w:rsidRDefault="00AD209D" w:rsidP="00AD209D">
      <w:pPr>
        <w:pStyle w:val="Caption"/>
      </w:pPr>
      <w:bookmarkStart w:id="51" w:name="_Ref72495608"/>
      <w:r>
        <w:t xml:space="preserve">Table </w:t>
      </w:r>
      <w:r>
        <w:fldChar w:fldCharType="begin"/>
      </w:r>
      <w:r>
        <w:instrText xml:space="preserve"> SEQ Table \* ARABIC </w:instrText>
      </w:r>
      <w:r>
        <w:fldChar w:fldCharType="separate"/>
      </w:r>
      <w:r w:rsidR="002A7A16">
        <w:rPr>
          <w:noProof/>
        </w:rPr>
        <w:t>18</w:t>
      </w:r>
      <w:r>
        <w:rPr>
          <w:noProof/>
        </w:rPr>
        <w:fldChar w:fldCharType="end"/>
      </w:r>
      <w:bookmarkEnd w:id="51"/>
      <w:r>
        <w:t>: Evaluation of HCV-WT objectives</w:t>
      </w:r>
    </w:p>
    <w:tbl>
      <w:tblPr>
        <w:tblStyle w:val="TableGrid"/>
        <w:tblW w:w="0" w:type="auto"/>
        <w:tblLook w:val="04A0" w:firstRow="1" w:lastRow="0" w:firstColumn="1" w:lastColumn="0" w:noHBand="0" w:noVBand="1"/>
      </w:tblPr>
      <w:tblGrid>
        <w:gridCol w:w="3489"/>
        <w:gridCol w:w="5527"/>
      </w:tblGrid>
      <w:tr w:rsidR="00EB2D02" w:rsidRPr="0038454C" w14:paraId="6ABCD538" w14:textId="77777777" w:rsidTr="0093339F">
        <w:tc>
          <w:tcPr>
            <w:tcW w:w="3489" w:type="dxa"/>
            <w:shd w:val="clear" w:color="auto" w:fill="B4C6E7" w:themeFill="accent1" w:themeFillTint="66"/>
          </w:tcPr>
          <w:p w14:paraId="66B161A1" w14:textId="77777777" w:rsidR="00EB2D02" w:rsidRPr="00FE7E05" w:rsidRDefault="00EB2D02" w:rsidP="00A247C5">
            <w:pPr>
              <w:pStyle w:val="Table1"/>
              <w:rPr>
                <w:b/>
                <w:bCs/>
              </w:rPr>
            </w:pPr>
            <w:r w:rsidRPr="00FE7E05">
              <w:rPr>
                <w:b/>
                <w:bCs/>
              </w:rPr>
              <w:t>Objective</w:t>
            </w:r>
          </w:p>
        </w:tc>
        <w:tc>
          <w:tcPr>
            <w:tcW w:w="5527" w:type="dxa"/>
            <w:shd w:val="clear" w:color="auto" w:fill="B4C6E7" w:themeFill="accent1" w:themeFillTint="66"/>
          </w:tcPr>
          <w:p w14:paraId="3DFB3F6C" w14:textId="1735C8C2" w:rsidR="00EB2D02" w:rsidRPr="00FE7E05" w:rsidRDefault="00EB2D02" w:rsidP="00A247C5">
            <w:pPr>
              <w:pStyle w:val="Table1"/>
              <w:rPr>
                <w:b/>
                <w:bCs/>
              </w:rPr>
            </w:pPr>
            <w:r w:rsidRPr="00FE7E05">
              <w:rPr>
                <w:b/>
                <w:bCs/>
              </w:rPr>
              <w:t>Assessment</w:t>
            </w:r>
          </w:p>
        </w:tc>
      </w:tr>
      <w:tr w:rsidR="00EB2D02" w:rsidRPr="0038454C" w14:paraId="71B4C021" w14:textId="77777777" w:rsidTr="0093339F">
        <w:tc>
          <w:tcPr>
            <w:tcW w:w="3489" w:type="dxa"/>
          </w:tcPr>
          <w:p w14:paraId="361BA720" w14:textId="25901B5D" w:rsidR="001135AC" w:rsidRPr="00FE7E05" w:rsidRDefault="001135AC" w:rsidP="00FE7E05">
            <w:pPr>
              <w:pStyle w:val="Table1"/>
              <w:rPr>
                <w:b/>
                <w:bCs/>
              </w:rPr>
            </w:pPr>
            <w:r w:rsidRPr="00FE7E05">
              <w:rPr>
                <w:b/>
                <w:bCs/>
              </w:rPr>
              <w:t xml:space="preserve">HCV–WT–O1 – Kāi </w:t>
            </w:r>
            <w:proofErr w:type="spellStart"/>
            <w:r w:rsidRPr="00FE7E05">
              <w:rPr>
                <w:b/>
                <w:bCs/>
              </w:rPr>
              <w:t>Tahu</w:t>
            </w:r>
            <w:proofErr w:type="spellEnd"/>
            <w:r w:rsidRPr="00FE7E05">
              <w:rPr>
                <w:b/>
                <w:bCs/>
              </w:rPr>
              <w:t xml:space="preserve"> cultural</w:t>
            </w:r>
            <w:r w:rsidR="003E0187" w:rsidRPr="00FE7E05">
              <w:rPr>
                <w:b/>
                <w:bCs/>
              </w:rPr>
              <w:t xml:space="preserve"> </w:t>
            </w:r>
            <w:r w:rsidRPr="00FE7E05">
              <w:rPr>
                <w:b/>
                <w:bCs/>
              </w:rPr>
              <w:t xml:space="preserve">landscapes </w:t>
            </w:r>
          </w:p>
          <w:p w14:paraId="0E0A2221" w14:textId="043CB5F1" w:rsidR="00EB2D02" w:rsidRPr="0038454C" w:rsidRDefault="001135AC" w:rsidP="00FE7E05">
            <w:pPr>
              <w:pStyle w:val="Table1"/>
            </w:pPr>
            <w:proofErr w:type="spellStart"/>
            <w:r w:rsidRPr="0038454C">
              <w:t>Wāhi</w:t>
            </w:r>
            <w:proofErr w:type="spellEnd"/>
            <w:r w:rsidRPr="0038454C">
              <w:t xml:space="preserve"> tūpuna and their associated cultural values are identified and protected.</w:t>
            </w:r>
          </w:p>
        </w:tc>
        <w:tc>
          <w:tcPr>
            <w:tcW w:w="5527" w:type="dxa"/>
            <w:vMerge w:val="restart"/>
          </w:tcPr>
          <w:p w14:paraId="2A1BE299" w14:textId="35CD731B" w:rsidR="0054602E" w:rsidRPr="0038454C" w:rsidRDefault="00EB308E" w:rsidP="00FE7E05">
            <w:pPr>
              <w:pStyle w:val="Table1"/>
            </w:pPr>
            <w:r w:rsidRPr="0038454C">
              <w:rPr>
                <w:rFonts w:eastAsia="Calibri"/>
              </w:rPr>
              <w:t xml:space="preserve">HCV–WT–O1 and </w:t>
            </w:r>
            <w:r w:rsidR="00FA66F7" w:rsidRPr="0038454C">
              <w:rPr>
                <w:rFonts w:eastAsia="Calibri"/>
              </w:rPr>
              <w:t>HCV–WT–</w:t>
            </w:r>
            <w:r w:rsidRPr="0038454C">
              <w:rPr>
                <w:rFonts w:eastAsia="Calibri"/>
              </w:rPr>
              <w:t xml:space="preserve">O2 are specifically related to </w:t>
            </w:r>
            <w:proofErr w:type="spellStart"/>
            <w:r w:rsidR="005A72CB" w:rsidRPr="0038454C">
              <w:rPr>
                <w:rFonts w:eastAsia="Calibri"/>
              </w:rPr>
              <w:t>wāhi</w:t>
            </w:r>
            <w:proofErr w:type="spellEnd"/>
            <w:r w:rsidR="005A72CB" w:rsidRPr="0038454C">
              <w:rPr>
                <w:rFonts w:eastAsia="Calibri"/>
              </w:rPr>
              <w:t xml:space="preserve"> tūpuna matters and the authority of Mana whenua. </w:t>
            </w:r>
            <w:r w:rsidR="00A0534F" w:rsidRPr="0038454C">
              <w:t>Recognising and providing for the relationship of Māori and their cultur</w:t>
            </w:r>
            <w:r w:rsidR="004326B6">
              <w:t>e</w:t>
            </w:r>
            <w:r w:rsidR="00A0534F" w:rsidRPr="0038454C">
              <w:t xml:space="preserve"> and traditions with their ancestral lands, water, sites, </w:t>
            </w:r>
            <w:proofErr w:type="spellStart"/>
            <w:r w:rsidR="00A0534F" w:rsidRPr="0038454C">
              <w:t>wāhi</w:t>
            </w:r>
            <w:proofErr w:type="spellEnd"/>
            <w:r w:rsidR="00A0534F" w:rsidRPr="0038454C">
              <w:t xml:space="preserve"> </w:t>
            </w:r>
            <w:proofErr w:type="spellStart"/>
            <w:r w:rsidR="00A0534F" w:rsidRPr="0038454C">
              <w:t>tapu</w:t>
            </w:r>
            <w:proofErr w:type="spellEnd"/>
            <w:r w:rsidR="00A0534F" w:rsidRPr="0038454C">
              <w:t xml:space="preserve"> and other taonga is a matter of national importance under section 6(e) of the RMA.</w:t>
            </w:r>
          </w:p>
          <w:p w14:paraId="35CC17AB" w14:textId="1D74167B" w:rsidR="00EB2D02" w:rsidRPr="0038454C" w:rsidRDefault="00A0534F" w:rsidP="00FE7E05">
            <w:pPr>
              <w:pStyle w:val="Table1"/>
            </w:pPr>
            <w:r w:rsidRPr="0038454C">
              <w:t xml:space="preserve">ORC must also have </w:t>
            </w:r>
            <w:proofErr w:type="gramStart"/>
            <w:r w:rsidRPr="0038454C">
              <w:t>particular regard</w:t>
            </w:r>
            <w:proofErr w:type="gramEnd"/>
            <w:r w:rsidRPr="0038454C">
              <w:t xml:space="preserve"> to </w:t>
            </w:r>
            <w:proofErr w:type="spellStart"/>
            <w:r w:rsidRPr="0038454C">
              <w:t>kaitiakitaka</w:t>
            </w:r>
            <w:proofErr w:type="spellEnd"/>
            <w:r w:rsidRPr="0038454C">
              <w:t xml:space="preserve"> and the ethic of stewardship under s7(a) and (aa)</w:t>
            </w:r>
            <w:r w:rsidR="00FA66F7">
              <w:t xml:space="preserve"> of the RMA</w:t>
            </w:r>
            <w:r w:rsidRPr="0038454C">
              <w:t xml:space="preserve">. </w:t>
            </w:r>
            <w:r w:rsidR="00EE4BBD" w:rsidRPr="0038454C">
              <w:t>Both</w:t>
            </w:r>
            <w:r w:rsidRPr="0038454C">
              <w:t xml:space="preserve"> objectives respond to those matters</w:t>
            </w:r>
            <w:r w:rsidR="00B127F1" w:rsidRPr="0038454C">
              <w:rPr>
                <w:rFonts w:eastAsia="Calibri"/>
              </w:rPr>
              <w:t xml:space="preserve"> </w:t>
            </w:r>
            <w:r w:rsidR="00E54425" w:rsidRPr="0038454C">
              <w:rPr>
                <w:rFonts w:eastAsia="Calibri"/>
              </w:rPr>
              <w:t xml:space="preserve">in a way that is </w:t>
            </w:r>
            <w:r w:rsidR="00FA66F7">
              <w:rPr>
                <w:rFonts w:eastAsia="Calibri"/>
              </w:rPr>
              <w:t>consistent</w:t>
            </w:r>
            <w:r w:rsidR="00E54425" w:rsidRPr="0038454C">
              <w:rPr>
                <w:rFonts w:eastAsia="Calibri"/>
              </w:rPr>
              <w:t xml:space="preserve"> with the</w:t>
            </w:r>
            <w:r w:rsidR="008A57B7" w:rsidRPr="0038454C">
              <w:rPr>
                <w:rFonts w:eastAsia="Calibri"/>
              </w:rPr>
              <w:t xml:space="preserve"> obligations</w:t>
            </w:r>
            <w:r w:rsidR="00B25955" w:rsidRPr="0038454C">
              <w:rPr>
                <w:rFonts w:eastAsia="Calibri"/>
              </w:rPr>
              <w:t xml:space="preserve"> </w:t>
            </w:r>
            <w:r w:rsidR="00FA66F7">
              <w:rPr>
                <w:rFonts w:eastAsia="Calibri"/>
              </w:rPr>
              <w:t>set out in</w:t>
            </w:r>
            <w:r w:rsidR="00B25955" w:rsidRPr="0038454C">
              <w:rPr>
                <w:rFonts w:eastAsia="Calibri"/>
              </w:rPr>
              <w:t xml:space="preserve"> the</w:t>
            </w:r>
            <w:r w:rsidR="00115C14" w:rsidRPr="0038454C">
              <w:rPr>
                <w:rFonts w:eastAsia="Calibri"/>
              </w:rPr>
              <w:t xml:space="preserve"> Heritage New Zealand </w:t>
            </w:r>
            <w:proofErr w:type="spellStart"/>
            <w:r w:rsidR="00115C14" w:rsidRPr="0038454C">
              <w:rPr>
                <w:rFonts w:eastAsia="Calibri"/>
              </w:rPr>
              <w:t>Pouhere</w:t>
            </w:r>
            <w:proofErr w:type="spellEnd"/>
            <w:r w:rsidR="00115C14" w:rsidRPr="0038454C">
              <w:rPr>
                <w:rFonts w:eastAsia="Calibri"/>
              </w:rPr>
              <w:t xml:space="preserve"> Taonga Act 2014</w:t>
            </w:r>
            <w:r w:rsidR="00AE192D" w:rsidRPr="0038454C">
              <w:rPr>
                <w:rFonts w:eastAsia="Calibri"/>
              </w:rPr>
              <w:t xml:space="preserve">. </w:t>
            </w:r>
            <w:r w:rsidR="00F64032" w:rsidRPr="0038454C">
              <w:rPr>
                <w:rFonts w:eastAsia="Calibri"/>
              </w:rPr>
              <w:t>In addition</w:t>
            </w:r>
            <w:r w:rsidR="003813FA" w:rsidRPr="0038454C">
              <w:rPr>
                <w:rFonts w:eastAsia="Calibri"/>
              </w:rPr>
              <w:t xml:space="preserve">, the objectives </w:t>
            </w:r>
            <w:r w:rsidR="00C22E28" w:rsidRPr="0038454C">
              <w:rPr>
                <w:rFonts w:eastAsia="Calibri"/>
              </w:rPr>
              <w:t>respond to</w:t>
            </w:r>
            <w:r w:rsidR="003813FA" w:rsidRPr="0038454C">
              <w:rPr>
                <w:rFonts w:eastAsia="Calibri"/>
              </w:rPr>
              <w:t xml:space="preserve"> the significant resource management issues </w:t>
            </w:r>
            <w:r w:rsidR="0038040D" w:rsidRPr="0038454C">
              <w:rPr>
                <w:rFonts w:eastAsia="Calibri"/>
              </w:rPr>
              <w:t xml:space="preserve">for </w:t>
            </w:r>
            <w:r w:rsidR="00C22E28" w:rsidRPr="0038454C">
              <w:rPr>
                <w:rFonts w:eastAsia="Calibri"/>
              </w:rPr>
              <w:t>Iwi and</w:t>
            </w:r>
            <w:r w:rsidR="003813FA" w:rsidRPr="0038454C">
              <w:rPr>
                <w:rFonts w:eastAsia="Calibri"/>
              </w:rPr>
              <w:t xml:space="preserve"> the significant resource management issues </w:t>
            </w:r>
            <w:r w:rsidR="0038040D" w:rsidRPr="0038454C">
              <w:rPr>
                <w:rFonts w:eastAsia="Calibri"/>
              </w:rPr>
              <w:t xml:space="preserve">for </w:t>
            </w:r>
            <w:r w:rsidR="00E54425" w:rsidRPr="0038454C">
              <w:rPr>
                <w:rFonts w:eastAsia="Calibri"/>
              </w:rPr>
              <w:t>O</w:t>
            </w:r>
            <w:r w:rsidR="0038040D" w:rsidRPr="0038454C">
              <w:rPr>
                <w:rFonts w:eastAsia="Calibri"/>
              </w:rPr>
              <w:t xml:space="preserve">tago as they relate to </w:t>
            </w:r>
            <w:proofErr w:type="spellStart"/>
            <w:r w:rsidR="0038040D" w:rsidRPr="0038454C">
              <w:rPr>
                <w:rFonts w:eastAsia="Calibri"/>
              </w:rPr>
              <w:t>wāhi</w:t>
            </w:r>
            <w:proofErr w:type="spellEnd"/>
            <w:r w:rsidR="0038040D" w:rsidRPr="0038454C">
              <w:rPr>
                <w:rFonts w:eastAsia="Calibri"/>
              </w:rPr>
              <w:t xml:space="preserve"> tūpuna. In particular</w:t>
            </w:r>
            <w:r w:rsidR="009E605F" w:rsidRPr="0038454C">
              <w:rPr>
                <w:rFonts w:eastAsia="Calibri"/>
              </w:rPr>
              <w:t>, the objective</w:t>
            </w:r>
            <w:r w:rsidR="00C22E28" w:rsidRPr="0038454C">
              <w:rPr>
                <w:rFonts w:eastAsia="Calibri"/>
              </w:rPr>
              <w:t>s</w:t>
            </w:r>
            <w:r w:rsidR="009E605F" w:rsidRPr="0038454C">
              <w:rPr>
                <w:rFonts w:eastAsia="Calibri"/>
              </w:rPr>
              <w:t xml:space="preserve"> aim to address </w:t>
            </w:r>
            <w:r w:rsidR="00F82AF8" w:rsidRPr="0038454C">
              <w:rPr>
                <w:rFonts w:eastAsia="Calibri"/>
              </w:rPr>
              <w:t>RMIA–WTU,</w:t>
            </w:r>
            <w:r w:rsidR="0038040D" w:rsidRPr="0038454C">
              <w:rPr>
                <w:rFonts w:eastAsia="Calibri"/>
              </w:rPr>
              <w:t xml:space="preserve"> </w:t>
            </w:r>
            <w:r w:rsidR="009E605F" w:rsidRPr="0038454C">
              <w:rPr>
                <w:rFonts w:eastAsia="Calibri"/>
              </w:rPr>
              <w:t xml:space="preserve">RMIA–WTA, </w:t>
            </w:r>
            <w:r w:rsidR="005162B3" w:rsidRPr="0038454C">
              <w:rPr>
                <w:rFonts w:eastAsia="Calibri"/>
              </w:rPr>
              <w:t>SRMR</w:t>
            </w:r>
            <w:r w:rsidR="00DB1E97" w:rsidRPr="0038454C">
              <w:rPr>
                <w:rFonts w:eastAsia="Calibri"/>
              </w:rPr>
              <w:t xml:space="preserve">–I4, </w:t>
            </w:r>
            <w:r w:rsidR="009731EE" w:rsidRPr="0038454C">
              <w:rPr>
                <w:rFonts w:eastAsia="Calibri"/>
              </w:rPr>
              <w:t>SRMR–</w:t>
            </w:r>
            <w:r w:rsidR="00182E40" w:rsidRPr="0038454C">
              <w:rPr>
                <w:rFonts w:eastAsia="Calibri"/>
              </w:rPr>
              <w:t xml:space="preserve">I10, </w:t>
            </w:r>
            <w:r w:rsidR="00856386" w:rsidRPr="0038454C">
              <w:rPr>
                <w:rFonts w:eastAsia="Calibri"/>
              </w:rPr>
              <w:t xml:space="preserve">and </w:t>
            </w:r>
            <w:r w:rsidR="009731EE" w:rsidRPr="0038454C">
              <w:rPr>
                <w:rFonts w:eastAsia="Calibri"/>
              </w:rPr>
              <w:t xml:space="preserve">SRMR–I11 </w:t>
            </w:r>
          </w:p>
        </w:tc>
      </w:tr>
      <w:tr w:rsidR="00EB2D02" w:rsidRPr="0038454C" w14:paraId="4EF87C09" w14:textId="77777777" w:rsidTr="0093339F">
        <w:tc>
          <w:tcPr>
            <w:tcW w:w="3489" w:type="dxa"/>
          </w:tcPr>
          <w:p w14:paraId="652FAA2C" w14:textId="77777777" w:rsidR="008E4775" w:rsidRPr="00FE7E05" w:rsidRDefault="008E4775" w:rsidP="00FE7E05">
            <w:pPr>
              <w:pStyle w:val="Table1"/>
              <w:rPr>
                <w:b/>
                <w:bCs/>
              </w:rPr>
            </w:pPr>
            <w:r w:rsidRPr="00FE7E05">
              <w:rPr>
                <w:b/>
                <w:bCs/>
              </w:rPr>
              <w:t xml:space="preserve">HCV–WT–O2 – </w:t>
            </w:r>
            <w:proofErr w:type="spellStart"/>
            <w:r w:rsidRPr="00FE7E05">
              <w:rPr>
                <w:b/>
                <w:bCs/>
              </w:rPr>
              <w:t>Rakatirataka</w:t>
            </w:r>
            <w:proofErr w:type="spellEnd"/>
          </w:p>
          <w:p w14:paraId="3E3B96FE" w14:textId="15742657" w:rsidR="00EB2D02" w:rsidRPr="0038454C" w:rsidRDefault="008E4775" w:rsidP="00FE7E05">
            <w:pPr>
              <w:pStyle w:val="Table1"/>
            </w:pPr>
            <w:r w:rsidRPr="0038454C">
              <w:t xml:space="preserve">The </w:t>
            </w:r>
            <w:proofErr w:type="spellStart"/>
            <w:r w:rsidRPr="0038454C">
              <w:t>rakatirataka</w:t>
            </w:r>
            <w:proofErr w:type="spellEnd"/>
            <w:r w:rsidRPr="0038454C">
              <w:t xml:space="preserve"> of mana whenua over </w:t>
            </w:r>
            <w:proofErr w:type="spellStart"/>
            <w:r w:rsidRPr="0038454C">
              <w:t>wāhi</w:t>
            </w:r>
            <w:proofErr w:type="spellEnd"/>
            <w:r w:rsidRPr="0038454C">
              <w:t xml:space="preserve"> tūpuna is recognised, and mana </w:t>
            </w:r>
            <w:r w:rsidR="5F4BC02F" w:rsidRPr="0038454C">
              <w:t>whenua</w:t>
            </w:r>
            <w:r w:rsidRPr="0038454C">
              <w:t xml:space="preserve"> </w:t>
            </w:r>
            <w:proofErr w:type="gramStart"/>
            <w:r w:rsidRPr="0038454C">
              <w:t>are able to</w:t>
            </w:r>
            <w:proofErr w:type="gramEnd"/>
            <w:r w:rsidRPr="0038454C">
              <w:t xml:space="preserve"> exercise </w:t>
            </w:r>
            <w:proofErr w:type="spellStart"/>
            <w:r w:rsidRPr="0038454C">
              <w:t>kaitiakitaka</w:t>
            </w:r>
            <w:proofErr w:type="spellEnd"/>
            <w:r w:rsidRPr="0038454C">
              <w:t xml:space="preserve"> within these areas.</w:t>
            </w:r>
          </w:p>
        </w:tc>
        <w:tc>
          <w:tcPr>
            <w:tcW w:w="5527" w:type="dxa"/>
            <w:vMerge/>
          </w:tcPr>
          <w:p w14:paraId="0F1C626C" w14:textId="77777777" w:rsidR="00EB2D02" w:rsidRPr="0038454C" w:rsidRDefault="00EB2D02" w:rsidP="00A247C5">
            <w:pPr>
              <w:pStyle w:val="Table1"/>
            </w:pPr>
          </w:p>
        </w:tc>
      </w:tr>
    </w:tbl>
    <w:p w14:paraId="045F2419" w14:textId="5D5493A4" w:rsidR="173B5BB5" w:rsidRPr="00FA66F7" w:rsidRDefault="48FE1C93" w:rsidP="00A247C5">
      <w:pPr>
        <w:pStyle w:val="Normal2"/>
      </w:pPr>
      <w:r w:rsidRPr="002E3FC5">
        <w:t xml:space="preserve">The provisions </w:t>
      </w:r>
      <w:r w:rsidR="00FA66F7">
        <w:t xml:space="preserve">that implement these objectives </w:t>
      </w:r>
      <w:r w:rsidRPr="002E3FC5">
        <w:t xml:space="preserve">are evaluated in </w:t>
      </w:r>
      <w:r w:rsidR="00FA66F7">
        <w:t>S</w:t>
      </w:r>
      <w:r w:rsidR="00ED30CA" w:rsidRPr="002E3FC5">
        <w:t xml:space="preserve">ection </w:t>
      </w:r>
      <w:r w:rsidR="00FE7E05">
        <w:fldChar w:fldCharType="begin"/>
      </w:r>
      <w:r w:rsidR="00FE7E05">
        <w:instrText xml:space="preserve"> REF _Ref72671504 \r \h </w:instrText>
      </w:r>
      <w:r w:rsidR="00FE7E05">
        <w:fldChar w:fldCharType="separate"/>
      </w:r>
      <w:r w:rsidR="002A7A16">
        <w:t>5.11</w:t>
      </w:r>
      <w:r w:rsidR="00FE7E05">
        <w:fldChar w:fldCharType="end"/>
      </w:r>
      <w:r w:rsidR="00FE7E05">
        <w:t xml:space="preserve"> </w:t>
      </w:r>
      <w:r w:rsidRPr="002E3FC5">
        <w:t xml:space="preserve">of this </w:t>
      </w:r>
      <w:r w:rsidR="00FA66F7">
        <w:t>r</w:t>
      </w:r>
      <w:r w:rsidRPr="002E3FC5">
        <w:t>eport,</w:t>
      </w:r>
      <w:r w:rsidR="00FA66F7">
        <w:t xml:space="preserve"> and are listed b</w:t>
      </w:r>
      <w:r w:rsidR="00E25511">
        <w:t>elow</w:t>
      </w:r>
      <w:r w:rsidRPr="002E3FC5">
        <w:t>:</w:t>
      </w:r>
    </w:p>
    <w:p w14:paraId="00980A07" w14:textId="63F711AD" w:rsidR="48FE1C93" w:rsidRDefault="48FE1C93" w:rsidP="00A247C5">
      <w:pPr>
        <w:pStyle w:val="Normal3"/>
        <w:rPr>
          <w:rFonts w:eastAsiaTheme="minorEastAsia"/>
        </w:rPr>
      </w:pPr>
      <w:r>
        <w:t>HCV</w:t>
      </w:r>
      <w:r w:rsidR="00FE7E05">
        <w:t>–</w:t>
      </w:r>
      <w:r>
        <w:t>WT</w:t>
      </w:r>
      <w:r w:rsidR="00FE7E05">
        <w:t>–</w:t>
      </w:r>
      <w:r>
        <w:t xml:space="preserve">P1 </w:t>
      </w:r>
      <w:r w:rsidR="00FE7E05">
        <w:t xml:space="preserve">– </w:t>
      </w:r>
      <w:r>
        <w:t xml:space="preserve">Recognise and identify </w:t>
      </w:r>
      <w:proofErr w:type="spellStart"/>
      <w:r>
        <w:t>wāhi</w:t>
      </w:r>
      <w:proofErr w:type="spellEnd"/>
      <w:r>
        <w:t xml:space="preserve"> tūpuna</w:t>
      </w:r>
    </w:p>
    <w:p w14:paraId="7317A69F" w14:textId="2053DEF3" w:rsidR="48FE1C93" w:rsidRDefault="48FE1C93" w:rsidP="00A247C5">
      <w:pPr>
        <w:pStyle w:val="Normal3"/>
        <w:rPr>
          <w:rFonts w:eastAsiaTheme="minorEastAsia"/>
        </w:rPr>
      </w:pPr>
      <w:r>
        <w:t>HCV</w:t>
      </w:r>
      <w:r w:rsidR="00FE7E05">
        <w:t>–</w:t>
      </w:r>
      <w:r>
        <w:t>WT</w:t>
      </w:r>
      <w:r w:rsidR="00FE7E05">
        <w:t>–</w:t>
      </w:r>
      <w:r>
        <w:t xml:space="preserve">P2 </w:t>
      </w:r>
      <w:r w:rsidR="00FE7E05">
        <w:t xml:space="preserve">– </w:t>
      </w:r>
      <w:r>
        <w:t xml:space="preserve">Management of </w:t>
      </w:r>
      <w:proofErr w:type="spellStart"/>
      <w:r>
        <w:t>wāhi</w:t>
      </w:r>
      <w:proofErr w:type="spellEnd"/>
      <w:r>
        <w:t xml:space="preserve"> tūpuna</w:t>
      </w:r>
    </w:p>
    <w:p w14:paraId="7AD62189" w14:textId="65DFAD72" w:rsidR="48FE1C93" w:rsidRPr="002E3FC5" w:rsidRDefault="48FE1C93" w:rsidP="00A247C5">
      <w:pPr>
        <w:pStyle w:val="Normal3"/>
        <w:rPr>
          <w:rFonts w:eastAsiaTheme="minorEastAsia"/>
        </w:rPr>
      </w:pPr>
      <w:r w:rsidRPr="002E3FC5">
        <w:t>HCV</w:t>
      </w:r>
      <w:r w:rsidR="00FE7E05">
        <w:t>–</w:t>
      </w:r>
      <w:r w:rsidRPr="002E3FC5">
        <w:t>WT</w:t>
      </w:r>
      <w:r w:rsidR="00FE7E05">
        <w:t>–</w:t>
      </w:r>
      <w:r w:rsidRPr="002E3FC5">
        <w:t xml:space="preserve">M1 </w:t>
      </w:r>
      <w:r w:rsidR="00FE7E05">
        <w:t xml:space="preserve">– </w:t>
      </w:r>
      <w:r w:rsidRPr="002E3FC5">
        <w:t>Identification</w:t>
      </w:r>
    </w:p>
    <w:p w14:paraId="1EAD2FDE" w14:textId="325FC40C" w:rsidR="48FE1C93" w:rsidRPr="002E3FC5" w:rsidRDefault="48FE1C93" w:rsidP="00A247C5">
      <w:pPr>
        <w:pStyle w:val="Normal3"/>
        <w:rPr>
          <w:rFonts w:eastAsiaTheme="minorEastAsia"/>
        </w:rPr>
      </w:pPr>
      <w:r w:rsidRPr="002E3FC5">
        <w:t>HCV</w:t>
      </w:r>
      <w:r w:rsidR="00FE7E05">
        <w:t>–</w:t>
      </w:r>
      <w:r w:rsidRPr="002E3FC5">
        <w:t>WT</w:t>
      </w:r>
      <w:r w:rsidR="00FE7E05">
        <w:t>–</w:t>
      </w:r>
      <w:r w:rsidRPr="002E3FC5">
        <w:t xml:space="preserve">M2 </w:t>
      </w:r>
      <w:r w:rsidR="00FE7E05">
        <w:t xml:space="preserve">– </w:t>
      </w:r>
      <w:r w:rsidR="00D941B7">
        <w:t>Regional and district plans</w:t>
      </w:r>
    </w:p>
    <w:p w14:paraId="3C9E978F" w14:textId="18F7A111" w:rsidR="48FE1C93" w:rsidRPr="002E3FC5" w:rsidRDefault="48FE1C93" w:rsidP="00A247C5">
      <w:pPr>
        <w:pStyle w:val="Normal3"/>
        <w:rPr>
          <w:rFonts w:eastAsiaTheme="minorEastAsia"/>
        </w:rPr>
      </w:pPr>
      <w:r w:rsidRPr="002E3FC5">
        <w:t>HCV</w:t>
      </w:r>
      <w:r w:rsidR="00FE7E05">
        <w:t>–</w:t>
      </w:r>
      <w:r w:rsidRPr="002E3FC5">
        <w:t>WT</w:t>
      </w:r>
      <w:r w:rsidR="00FE7E05">
        <w:t>–</w:t>
      </w:r>
      <w:r w:rsidRPr="002E3FC5">
        <w:t xml:space="preserve">M3 </w:t>
      </w:r>
      <w:r w:rsidR="00FE7E05">
        <w:t xml:space="preserve">– </w:t>
      </w:r>
      <w:r w:rsidRPr="002E3FC5">
        <w:t xml:space="preserve">Collaboration with Kāi </w:t>
      </w:r>
      <w:proofErr w:type="spellStart"/>
      <w:r w:rsidRPr="002E3FC5">
        <w:t>Tahu</w:t>
      </w:r>
      <w:proofErr w:type="spellEnd"/>
    </w:p>
    <w:p w14:paraId="62741F3B" w14:textId="47A0CA10" w:rsidR="007F1359" w:rsidRPr="00FE7E05" w:rsidRDefault="1D671180" w:rsidP="00FE7E05">
      <w:pPr>
        <w:pStyle w:val="Normal3"/>
        <w:rPr>
          <w:rFonts w:eastAsiaTheme="minorEastAsia"/>
          <w:color w:val="000000" w:themeColor="text1"/>
        </w:rPr>
      </w:pPr>
      <w:r w:rsidRPr="002E3FC5">
        <w:rPr>
          <w:rFonts w:ascii="Calibri" w:eastAsia="Calibri" w:hAnsi="Calibri" w:cs="Calibri"/>
          <w:color w:val="000000" w:themeColor="text1"/>
        </w:rPr>
        <w:t>APP7</w:t>
      </w:r>
      <w:r w:rsidR="00FE7E05">
        <w:rPr>
          <w:rFonts w:ascii="Calibri" w:eastAsia="Calibri" w:hAnsi="Calibri" w:cs="Calibri"/>
          <w:color w:val="000000" w:themeColor="text1"/>
        </w:rPr>
        <w:t xml:space="preserve"> –</w:t>
      </w:r>
      <w:r w:rsidR="7E3E30CA" w:rsidRPr="002E3FC5">
        <w:rPr>
          <w:rFonts w:ascii="Calibri" w:eastAsia="Calibri" w:hAnsi="Calibri" w:cs="Calibri"/>
          <w:b/>
          <w:bCs/>
          <w:color w:val="1F3864" w:themeColor="accent1" w:themeShade="80"/>
          <w:sz w:val="28"/>
          <w:szCs w:val="28"/>
          <w:lang w:val="en-US"/>
        </w:rPr>
        <w:t xml:space="preserve"> </w:t>
      </w:r>
      <w:r w:rsidR="7E3E30CA" w:rsidRPr="002E3FC5">
        <w:rPr>
          <w:rStyle w:val="Normal3Char"/>
          <w:lang w:val="en-US"/>
        </w:rPr>
        <w:t xml:space="preserve">Identifying </w:t>
      </w:r>
      <w:proofErr w:type="spellStart"/>
      <w:r w:rsidR="7E3E30CA" w:rsidRPr="002E3FC5">
        <w:rPr>
          <w:rStyle w:val="Normal3Char"/>
          <w:lang w:val="en-US"/>
        </w:rPr>
        <w:t>wāhi</w:t>
      </w:r>
      <w:proofErr w:type="spellEnd"/>
      <w:r w:rsidR="7E3E30CA" w:rsidRPr="002E3FC5">
        <w:rPr>
          <w:rStyle w:val="Normal3Char"/>
          <w:lang w:val="en-US"/>
        </w:rPr>
        <w:t xml:space="preserve"> </w:t>
      </w:r>
      <w:r w:rsidR="7E3E30CA" w:rsidRPr="002E3FC5">
        <w:rPr>
          <w:rFonts w:ascii="Calibri" w:eastAsia="Calibri" w:hAnsi="Calibri" w:cs="Calibri"/>
          <w:color w:val="000000" w:themeColor="text1"/>
          <w:lang w:val="en-US"/>
        </w:rPr>
        <w:t>tūpuna</w:t>
      </w:r>
    </w:p>
    <w:p w14:paraId="10A75906" w14:textId="25C5B08C" w:rsidR="009F7A02" w:rsidRDefault="005E4060" w:rsidP="00A247C5">
      <w:pPr>
        <w:pStyle w:val="Normal2"/>
      </w:pPr>
      <w:r w:rsidRPr="005E4060">
        <w:t>HCV–WT–O1</w:t>
      </w:r>
      <w:r>
        <w:t xml:space="preserve"> and </w:t>
      </w:r>
      <w:r w:rsidR="00D941B7" w:rsidRPr="005E4060">
        <w:t>HCV–WT–</w:t>
      </w:r>
      <w:r>
        <w:t xml:space="preserve">O2 </w:t>
      </w:r>
      <w:r w:rsidR="00D81F01">
        <w:t>set out the</w:t>
      </w:r>
      <w:r w:rsidR="00C231EA">
        <w:t xml:space="preserve"> overarching approach </w:t>
      </w:r>
      <w:r w:rsidR="00584A74" w:rsidRPr="00584A74">
        <w:t xml:space="preserve">for </w:t>
      </w:r>
      <w:r w:rsidR="005A2938">
        <w:t>the</w:t>
      </w:r>
      <w:r w:rsidR="003D7A98">
        <w:t xml:space="preserve"> protection </w:t>
      </w:r>
      <w:r w:rsidR="00537638">
        <w:t>and management of</w:t>
      </w:r>
      <w:r w:rsidR="00537638" w:rsidRPr="00537638">
        <w:t xml:space="preserve"> </w:t>
      </w:r>
      <w:proofErr w:type="spellStart"/>
      <w:r w:rsidR="00537638">
        <w:t>w</w:t>
      </w:r>
      <w:r w:rsidR="00537638" w:rsidRPr="00537638">
        <w:t>āhi</w:t>
      </w:r>
      <w:proofErr w:type="spellEnd"/>
      <w:r w:rsidR="00537638" w:rsidRPr="00537638">
        <w:t xml:space="preserve"> </w:t>
      </w:r>
      <w:r w:rsidR="00D81F01">
        <w:t>tupuna across Otago</w:t>
      </w:r>
      <w:r w:rsidR="003146C1">
        <w:t xml:space="preserve">, while ensuring mana whenua </w:t>
      </w:r>
      <w:r w:rsidR="00584A74" w:rsidRPr="00584A74">
        <w:t>can</w:t>
      </w:r>
      <w:r w:rsidR="00E027D9">
        <w:t xml:space="preserve"> exercise</w:t>
      </w:r>
      <w:r w:rsidR="00E027D9" w:rsidRPr="00E027D9">
        <w:t xml:space="preserve"> </w:t>
      </w:r>
      <w:proofErr w:type="spellStart"/>
      <w:r w:rsidR="00E027D9" w:rsidRPr="00E027D9">
        <w:t>kaitiakitaka</w:t>
      </w:r>
      <w:proofErr w:type="spellEnd"/>
      <w:r w:rsidR="00B708BE">
        <w:t xml:space="preserve">. </w:t>
      </w:r>
      <w:r w:rsidR="00AC79EF">
        <w:t xml:space="preserve">The outcomes sought by these objectives are consistent with the requirements </w:t>
      </w:r>
      <w:r w:rsidR="00584A74" w:rsidRPr="00584A74">
        <w:t xml:space="preserve">set out in </w:t>
      </w:r>
      <w:r w:rsidR="00616530" w:rsidRPr="008304D5">
        <w:t>section</w:t>
      </w:r>
      <w:r w:rsidR="0036377E" w:rsidRPr="008304D5">
        <w:t>s</w:t>
      </w:r>
      <w:r w:rsidR="00616530" w:rsidRPr="008304D5">
        <w:t xml:space="preserve"> 6</w:t>
      </w:r>
      <w:r w:rsidR="0036377E" w:rsidRPr="008F7C9B">
        <w:t xml:space="preserve"> and 7</w:t>
      </w:r>
      <w:r w:rsidR="00616530">
        <w:t xml:space="preserve"> of the RMA</w:t>
      </w:r>
      <w:r w:rsidR="00584A74" w:rsidRPr="00584A74">
        <w:t>.</w:t>
      </w:r>
    </w:p>
    <w:p w14:paraId="6F416B70" w14:textId="6F0AADEA" w:rsidR="0057205D" w:rsidRPr="00B458E1" w:rsidRDefault="009F7A02" w:rsidP="00A247C5">
      <w:pPr>
        <w:pStyle w:val="Normal2"/>
      </w:pPr>
      <w:r>
        <w:t>The</w:t>
      </w:r>
      <w:r w:rsidR="007F1359" w:rsidRPr="005A775B">
        <w:t xml:space="preserve"> </w:t>
      </w:r>
      <w:r>
        <w:t>e</w:t>
      </w:r>
      <w:r w:rsidR="007F1359">
        <w:t>valuatio</w:t>
      </w:r>
      <w:r w:rsidR="007F1359" w:rsidRPr="005A775B">
        <w:t>n</w:t>
      </w:r>
      <w:r w:rsidR="0019447A">
        <w:t xml:space="preserve"> of provisions</w:t>
      </w:r>
      <w:r>
        <w:t xml:space="preserve"> set out in</w:t>
      </w:r>
      <w:r w:rsidR="00E6213D">
        <w:t xml:space="preserve"> Section </w:t>
      </w:r>
      <w:r w:rsidR="00FE7E05">
        <w:fldChar w:fldCharType="begin"/>
      </w:r>
      <w:r w:rsidR="00FE7E05">
        <w:instrText xml:space="preserve"> REF _Ref72671574 \r \h </w:instrText>
      </w:r>
      <w:r w:rsidR="00FE7E05">
        <w:fldChar w:fldCharType="separate"/>
      </w:r>
      <w:r w:rsidR="002A7A16">
        <w:t>0</w:t>
      </w:r>
      <w:r w:rsidR="00FE7E05">
        <w:fldChar w:fldCharType="end"/>
      </w:r>
      <w:r w:rsidR="00FE7E05">
        <w:t xml:space="preserve"> </w:t>
      </w:r>
      <w:r w:rsidR="00E20537">
        <w:t>concludes</w:t>
      </w:r>
      <w:r>
        <w:t xml:space="preserve"> that the provisions </w:t>
      </w:r>
      <w:r w:rsidR="00E20537">
        <w:t xml:space="preserve">are effective, in particular, the requirement for </w:t>
      </w:r>
      <w:r w:rsidR="00EB10AA" w:rsidRPr="005A775B">
        <w:t xml:space="preserve">local authorities to work alongside iwi to identify </w:t>
      </w:r>
      <w:proofErr w:type="spellStart"/>
      <w:r w:rsidR="00EB10AA" w:rsidRPr="005A775B">
        <w:t>wāhi</w:t>
      </w:r>
      <w:proofErr w:type="spellEnd"/>
      <w:r w:rsidR="00EB10AA" w:rsidRPr="005A775B">
        <w:t xml:space="preserve"> tūpuna ensures that they are correctly identified</w:t>
      </w:r>
      <w:r w:rsidR="001A2A0A">
        <w:t xml:space="preserve"> </w:t>
      </w:r>
      <w:r w:rsidR="00DE5951">
        <w:t>and</w:t>
      </w:r>
      <w:r w:rsidR="00EB10AA" w:rsidRPr="005A775B">
        <w:t xml:space="preserve"> mapping the extent of </w:t>
      </w:r>
      <w:proofErr w:type="spellStart"/>
      <w:r w:rsidR="00EB10AA" w:rsidRPr="005A775B">
        <w:t>wāhi</w:t>
      </w:r>
      <w:proofErr w:type="spellEnd"/>
      <w:r w:rsidR="00EB10AA" w:rsidRPr="005A775B">
        <w:t xml:space="preserve"> tūpuna will improve the certainty about their location and the management approach to be applied.</w:t>
      </w:r>
      <w:r w:rsidR="00E20537">
        <w:t xml:space="preserve"> </w:t>
      </w:r>
      <w:r w:rsidR="00D367D7">
        <w:t xml:space="preserve">While implementing these provisions will bear some costs (including the identification process by local authorities), the cultural and environmental benefits outweigh those costs. </w:t>
      </w:r>
      <w:r w:rsidR="00EB10AA" w:rsidRPr="005A775B">
        <w:t xml:space="preserve"> The </w:t>
      </w:r>
      <w:r w:rsidR="00EB10AA" w:rsidRPr="00140ECB">
        <w:t>requirements</w:t>
      </w:r>
      <w:r w:rsidR="00BD0036">
        <w:t xml:space="preserve"> for identifying and managing </w:t>
      </w:r>
      <w:proofErr w:type="spellStart"/>
      <w:r w:rsidR="00BD0036" w:rsidRPr="005A775B">
        <w:t>wāhi</w:t>
      </w:r>
      <w:proofErr w:type="spellEnd"/>
      <w:r w:rsidR="00BD0036" w:rsidRPr="005A775B">
        <w:t xml:space="preserve"> </w:t>
      </w:r>
      <w:r w:rsidR="00BD0036">
        <w:t>tupuna, as</w:t>
      </w:r>
      <w:r w:rsidR="00EB10AA" w:rsidRPr="00140ECB">
        <w:t xml:space="preserve"> outlined in the policies and methods, increases the certainty that</w:t>
      </w:r>
      <w:r w:rsidR="00EB10AA" w:rsidRPr="00C54F75">
        <w:t xml:space="preserve"> </w:t>
      </w:r>
      <w:r w:rsidR="00EB10AA" w:rsidRPr="00C12CEA">
        <w:t>HCV</w:t>
      </w:r>
      <w:r w:rsidR="00FE7E05">
        <w:t>–</w:t>
      </w:r>
      <w:r w:rsidR="00EB10AA" w:rsidRPr="00C12CEA">
        <w:t>WT</w:t>
      </w:r>
      <w:r w:rsidR="00FE7E05">
        <w:t>–</w:t>
      </w:r>
      <w:r w:rsidR="00EB10AA" w:rsidRPr="00C12CEA">
        <w:t xml:space="preserve">O1 and </w:t>
      </w:r>
      <w:r w:rsidR="00E6213D" w:rsidRPr="00C12CEA">
        <w:t>HCV</w:t>
      </w:r>
      <w:r w:rsidR="00FE7E05">
        <w:t>–</w:t>
      </w:r>
      <w:r w:rsidR="00E6213D" w:rsidRPr="00C12CEA">
        <w:t>WT</w:t>
      </w:r>
      <w:r w:rsidR="00FE7E05">
        <w:t>–</w:t>
      </w:r>
      <w:r w:rsidR="00EB10AA" w:rsidRPr="00C12CEA">
        <w:t>O2 will be me</w:t>
      </w:r>
      <w:r w:rsidR="00EB10AA" w:rsidRPr="00C604D2">
        <w:t>t</w:t>
      </w:r>
      <w:r w:rsidR="00A47888" w:rsidRPr="005F4377">
        <w:t xml:space="preserve">. </w:t>
      </w:r>
      <w:r w:rsidR="00484B66" w:rsidRPr="00484B66">
        <w:t xml:space="preserve"> </w:t>
      </w:r>
      <w:r w:rsidR="00BD0036">
        <w:t>T</w:t>
      </w:r>
      <w:r w:rsidR="00484B66" w:rsidRPr="00484B66">
        <w:t>he objective</w:t>
      </w:r>
      <w:r w:rsidR="00484B66">
        <w:t>s</w:t>
      </w:r>
      <w:r w:rsidR="00484B66" w:rsidRPr="00484B66">
        <w:t xml:space="preserve"> </w:t>
      </w:r>
      <w:r w:rsidR="00484B66">
        <w:t xml:space="preserve">are </w:t>
      </w:r>
      <w:r w:rsidR="00484B66" w:rsidRPr="00484B66">
        <w:t xml:space="preserve">relevant and acceptable in terms of responding to the direction set out in </w:t>
      </w:r>
      <w:r w:rsidR="00484B66">
        <w:t>sections 6 and 7</w:t>
      </w:r>
      <w:r w:rsidR="00484B66" w:rsidRPr="00484B66">
        <w:t xml:space="preserve"> of the RMA, </w:t>
      </w:r>
      <w:r w:rsidR="00484B66">
        <w:t>are</w:t>
      </w:r>
      <w:r w:rsidR="00484B66" w:rsidRPr="00484B66">
        <w:t xml:space="preserve"> </w:t>
      </w:r>
      <w:r w:rsidR="00BD0036">
        <w:t>feasible</w:t>
      </w:r>
      <w:r w:rsidR="00484B66" w:rsidRPr="00484B66">
        <w:t xml:space="preserve"> and do not impose undue cost.</w:t>
      </w:r>
      <w:r w:rsidR="00BD0036">
        <w:t xml:space="preserve"> </w:t>
      </w:r>
      <w:r w:rsidR="00AC108C">
        <w:t>Overall, these</w:t>
      </w:r>
      <w:r w:rsidR="00AC108C" w:rsidRPr="00955067">
        <w:t xml:space="preserve"> objectives </w:t>
      </w:r>
      <w:r w:rsidR="00AC108C">
        <w:t xml:space="preserve">positively contribute to </w:t>
      </w:r>
      <w:r w:rsidR="00AC108C" w:rsidRPr="00955067">
        <w:t>achiev</w:t>
      </w:r>
      <w:r w:rsidR="00AC108C">
        <w:t>ing</w:t>
      </w:r>
      <w:r w:rsidR="00AC108C" w:rsidRPr="00955067">
        <w:t xml:space="preserve"> </w:t>
      </w:r>
      <w:r w:rsidR="00AC108C">
        <w:t>the purpose of the RMA.</w:t>
      </w:r>
    </w:p>
    <w:p w14:paraId="348018C2" w14:textId="6BC43832" w:rsidR="009D75ED" w:rsidRPr="00B458E1" w:rsidRDefault="008B133A" w:rsidP="00DE069C">
      <w:pPr>
        <w:pStyle w:val="Heading4"/>
      </w:pPr>
      <w:r>
        <w:lastRenderedPageBreak/>
        <w:t>HCV</w:t>
      </w:r>
      <w:r w:rsidR="00E41F55">
        <w:t>–</w:t>
      </w:r>
      <w:r>
        <w:t xml:space="preserve">HH – </w:t>
      </w:r>
      <w:r w:rsidR="00E41F55">
        <w:t>H</w:t>
      </w:r>
      <w:r>
        <w:t>istoric heritage</w:t>
      </w:r>
    </w:p>
    <w:p w14:paraId="0CA9B061" w14:textId="7D41DEC6" w:rsidR="009F1D21" w:rsidRDefault="009F1D21" w:rsidP="009F1D21">
      <w:pPr>
        <w:pStyle w:val="Caption"/>
      </w:pPr>
      <w:r>
        <w:t xml:space="preserve">Table </w:t>
      </w:r>
      <w:r>
        <w:fldChar w:fldCharType="begin"/>
      </w:r>
      <w:r>
        <w:instrText xml:space="preserve"> SEQ Table \* ARABIC </w:instrText>
      </w:r>
      <w:r>
        <w:fldChar w:fldCharType="separate"/>
      </w:r>
      <w:r w:rsidR="002A7A16">
        <w:rPr>
          <w:noProof/>
        </w:rPr>
        <w:t>19</w:t>
      </w:r>
      <w:r>
        <w:rPr>
          <w:noProof/>
        </w:rPr>
        <w:fldChar w:fldCharType="end"/>
      </w:r>
      <w:r>
        <w:t>: Evaluation of HCV–HH objectives</w:t>
      </w:r>
    </w:p>
    <w:tbl>
      <w:tblPr>
        <w:tblStyle w:val="TableGrid"/>
        <w:tblW w:w="0" w:type="auto"/>
        <w:tblLook w:val="04A0" w:firstRow="1" w:lastRow="0" w:firstColumn="1" w:lastColumn="0" w:noHBand="0" w:noVBand="1"/>
      </w:tblPr>
      <w:tblGrid>
        <w:gridCol w:w="3489"/>
        <w:gridCol w:w="5527"/>
      </w:tblGrid>
      <w:tr w:rsidR="0088496F" w:rsidRPr="000113DD" w14:paraId="2FFCA529" w14:textId="77777777" w:rsidTr="0088496F">
        <w:tc>
          <w:tcPr>
            <w:tcW w:w="3489" w:type="dxa"/>
            <w:shd w:val="clear" w:color="auto" w:fill="B4C6E7" w:themeFill="accent1" w:themeFillTint="66"/>
          </w:tcPr>
          <w:p w14:paraId="3893AE1A" w14:textId="56320E18" w:rsidR="0088496F" w:rsidRPr="00E41F55" w:rsidRDefault="0088496F" w:rsidP="00A247C5">
            <w:pPr>
              <w:pStyle w:val="Table1"/>
              <w:rPr>
                <w:b/>
                <w:bCs/>
              </w:rPr>
            </w:pPr>
            <w:r w:rsidRPr="00E41F55">
              <w:rPr>
                <w:b/>
                <w:bCs/>
              </w:rPr>
              <w:t>Objective</w:t>
            </w:r>
          </w:p>
        </w:tc>
        <w:tc>
          <w:tcPr>
            <w:tcW w:w="5527" w:type="dxa"/>
            <w:shd w:val="clear" w:color="auto" w:fill="B4C6E7" w:themeFill="accent1" w:themeFillTint="66"/>
          </w:tcPr>
          <w:p w14:paraId="148AE840" w14:textId="7441A020" w:rsidR="0088496F" w:rsidRPr="00E41F55" w:rsidRDefault="0088496F" w:rsidP="00A247C5">
            <w:pPr>
              <w:pStyle w:val="Table1"/>
              <w:rPr>
                <w:b/>
                <w:bCs/>
              </w:rPr>
            </w:pPr>
            <w:r w:rsidRPr="00E41F55">
              <w:rPr>
                <w:b/>
                <w:bCs/>
              </w:rPr>
              <w:t>Assessment</w:t>
            </w:r>
          </w:p>
        </w:tc>
      </w:tr>
      <w:tr w:rsidR="00EB2D02" w:rsidRPr="000113DD" w14:paraId="6318B756" w14:textId="77777777" w:rsidTr="0093339F">
        <w:tc>
          <w:tcPr>
            <w:tcW w:w="3489" w:type="dxa"/>
          </w:tcPr>
          <w:p w14:paraId="459A9B12" w14:textId="2C3A5024" w:rsidR="008D4EBB" w:rsidRPr="00E41F55" w:rsidRDefault="008D4EBB" w:rsidP="00E41F55">
            <w:pPr>
              <w:pStyle w:val="Table1"/>
              <w:rPr>
                <w:b/>
                <w:bCs/>
              </w:rPr>
            </w:pPr>
            <w:r w:rsidRPr="00E41F55">
              <w:rPr>
                <w:b/>
                <w:bCs/>
              </w:rPr>
              <w:t>HCV–HH–O3 – Historic heritage resources</w:t>
            </w:r>
          </w:p>
          <w:p w14:paraId="36C90955" w14:textId="279901CC" w:rsidR="00EB2D02" w:rsidRPr="000113DD" w:rsidRDefault="008D4EBB" w:rsidP="00E41F55">
            <w:pPr>
              <w:pStyle w:val="Table1"/>
            </w:pPr>
            <w:r w:rsidRPr="000113DD">
              <w:t xml:space="preserve">Otago’s unique historic heritage contributes to the region’s character, sense of identity, and social, </w:t>
            </w:r>
            <w:proofErr w:type="gramStart"/>
            <w:r w:rsidRPr="000113DD">
              <w:t>cultural</w:t>
            </w:r>
            <w:proofErr w:type="gramEnd"/>
            <w:r w:rsidRPr="000113DD">
              <w:t xml:space="preserve"> and economic well-being</w:t>
            </w:r>
            <w:r w:rsidR="00E54028" w:rsidRPr="000113DD">
              <w:t>, and is preserved for future generations</w:t>
            </w:r>
            <w:r w:rsidRPr="000113DD">
              <w:t>.</w:t>
            </w:r>
          </w:p>
        </w:tc>
        <w:tc>
          <w:tcPr>
            <w:tcW w:w="5527" w:type="dxa"/>
          </w:tcPr>
          <w:p w14:paraId="3BF75BF4" w14:textId="05FFFF22" w:rsidR="00DF3D82" w:rsidRPr="000113DD" w:rsidRDefault="00CB367D" w:rsidP="00E41F55">
            <w:pPr>
              <w:pStyle w:val="Table1"/>
            </w:pPr>
            <w:r w:rsidRPr="000113DD">
              <w:t xml:space="preserve">HCV–HH–O3 </w:t>
            </w:r>
            <w:r w:rsidR="007921EB">
              <w:t>directly</w:t>
            </w:r>
            <w:r w:rsidR="00BE4C68">
              <w:t xml:space="preserve"> respon</w:t>
            </w:r>
            <w:r w:rsidR="007921EB">
              <w:t>d</w:t>
            </w:r>
            <w:r w:rsidR="00BE4C68">
              <w:t xml:space="preserve">s </w:t>
            </w:r>
            <w:r w:rsidR="00D64800" w:rsidRPr="000113DD">
              <w:t>t</w:t>
            </w:r>
            <w:r w:rsidR="00350D57">
              <w:t xml:space="preserve">o the requirements of s6(f) of the RMA </w:t>
            </w:r>
            <w:r w:rsidR="007921EB">
              <w:t xml:space="preserve">to protect </w:t>
            </w:r>
            <w:r w:rsidR="00885B28" w:rsidRPr="000113DD">
              <w:t xml:space="preserve">historic heritage from inappropriate </w:t>
            </w:r>
            <w:r w:rsidR="00F5261E" w:rsidRPr="000113DD">
              <w:t xml:space="preserve">subdivision, use and </w:t>
            </w:r>
            <w:r w:rsidR="00424920" w:rsidRPr="000113DD">
              <w:t>developmen</w:t>
            </w:r>
            <w:r w:rsidR="007921EB">
              <w:t>t</w:t>
            </w:r>
            <w:r w:rsidR="00350D57">
              <w:t>,</w:t>
            </w:r>
            <w:r w:rsidR="00885B28" w:rsidRPr="000113DD">
              <w:t xml:space="preserve"> as a matter of national importance. </w:t>
            </w:r>
            <w:r w:rsidR="006E30BB" w:rsidRPr="000113DD">
              <w:t xml:space="preserve"> </w:t>
            </w:r>
            <w:r w:rsidR="00600FE2">
              <w:t xml:space="preserve">This objective </w:t>
            </w:r>
            <w:r w:rsidR="00600FE2" w:rsidRPr="000113DD">
              <w:t>aims to preserve heritage for future generations</w:t>
            </w:r>
            <w:r w:rsidR="001E6DF6">
              <w:t xml:space="preserve">, responding </w:t>
            </w:r>
            <w:r w:rsidR="006E30BB" w:rsidRPr="000113DD">
              <w:t xml:space="preserve">to </w:t>
            </w:r>
            <w:r w:rsidR="001E6DF6">
              <w:t xml:space="preserve">issues raised by the community on </w:t>
            </w:r>
            <w:r w:rsidR="006E30BB" w:rsidRPr="000113DD">
              <w:t xml:space="preserve">significant resource management issues for the Otago region, </w:t>
            </w:r>
            <w:proofErr w:type="gramStart"/>
            <w:r w:rsidR="006E30BB" w:rsidRPr="000113DD">
              <w:t>in particular SRMR</w:t>
            </w:r>
            <w:proofErr w:type="gramEnd"/>
            <w:r w:rsidR="006E30BB" w:rsidRPr="000113DD">
              <w:t>–I4.</w:t>
            </w:r>
          </w:p>
          <w:p w14:paraId="5977C6F6" w14:textId="62A72B86" w:rsidR="00EB2D02" w:rsidRPr="000113DD" w:rsidRDefault="007921EB" w:rsidP="00E41F55">
            <w:pPr>
              <w:pStyle w:val="Table1"/>
            </w:pPr>
            <w:r>
              <w:t xml:space="preserve">The requirement to </w:t>
            </w:r>
            <w:r w:rsidR="009B458C">
              <w:t>recognise and provide for the matters set out in s6 of the RMA means that outcomes sought by</w:t>
            </w:r>
            <w:r w:rsidR="00072ED4" w:rsidRPr="000113DD">
              <w:t xml:space="preserve"> </w:t>
            </w:r>
            <w:r w:rsidR="009B458C" w:rsidRPr="000113DD">
              <w:t>HCV–HH–</w:t>
            </w:r>
            <w:r w:rsidR="009B458C">
              <w:t>O3 are necessary and relevant i</w:t>
            </w:r>
            <w:r w:rsidR="00BE5648">
              <w:t xml:space="preserve">n achieving the purpose of the RMA. </w:t>
            </w:r>
          </w:p>
        </w:tc>
      </w:tr>
    </w:tbl>
    <w:p w14:paraId="0CFC4CCA" w14:textId="67795EC5" w:rsidR="34C72508" w:rsidRDefault="34C72508"/>
    <w:p w14:paraId="05D7E155" w14:textId="38A814E6" w:rsidR="25C62EC4" w:rsidRPr="009F1D21" w:rsidRDefault="25C62EC4" w:rsidP="00A247C5">
      <w:pPr>
        <w:pStyle w:val="Normal2"/>
      </w:pPr>
      <w:r>
        <w:t xml:space="preserve">The provisions </w:t>
      </w:r>
      <w:r w:rsidR="00E6213D">
        <w:t xml:space="preserve">that implement </w:t>
      </w:r>
      <w:r w:rsidR="00BA1209" w:rsidRPr="00BA1209">
        <w:rPr>
          <w:bCs/>
        </w:rPr>
        <w:t>HCV–HH–O3</w:t>
      </w:r>
      <w:r>
        <w:t xml:space="preserve"> are evaluated in </w:t>
      </w:r>
      <w:r w:rsidR="00E6213D">
        <w:t>S</w:t>
      </w:r>
      <w:r w:rsidRPr="009F1D21">
        <w:t xml:space="preserve">ection </w:t>
      </w:r>
      <w:r w:rsidR="00ED30CA" w:rsidRPr="009F1D21">
        <w:t>5.11</w:t>
      </w:r>
      <w:r w:rsidR="00E6213D">
        <w:t>.3</w:t>
      </w:r>
      <w:r>
        <w:t xml:space="preserve"> of this </w:t>
      </w:r>
      <w:r w:rsidR="00E6213D">
        <w:t>r</w:t>
      </w:r>
      <w:r>
        <w:t xml:space="preserve">eport, </w:t>
      </w:r>
      <w:r w:rsidR="00BA1209">
        <w:t>and are listed below</w:t>
      </w:r>
      <w:r>
        <w:t>:</w:t>
      </w:r>
    </w:p>
    <w:p w14:paraId="6553E0E2" w14:textId="3C403913" w:rsidR="25C62EC4" w:rsidRPr="00A247C5" w:rsidRDefault="25C62EC4" w:rsidP="00BF3D98">
      <w:pPr>
        <w:pStyle w:val="Normal3"/>
        <w:rPr>
          <w:rFonts w:eastAsiaTheme="minorEastAsia"/>
        </w:rPr>
      </w:pPr>
      <w:r>
        <w:t>HCV</w:t>
      </w:r>
      <w:r w:rsidR="00E41F55">
        <w:t>–</w:t>
      </w:r>
      <w:r>
        <w:t>HH</w:t>
      </w:r>
      <w:r w:rsidR="00E41F55">
        <w:t>–</w:t>
      </w:r>
      <w:r>
        <w:t>P3 – Recognising historic heritage</w:t>
      </w:r>
    </w:p>
    <w:p w14:paraId="633A82DA" w14:textId="580C6703" w:rsidR="25C62EC4" w:rsidRPr="00A247C5" w:rsidRDefault="25C62EC4" w:rsidP="00BF3D98">
      <w:pPr>
        <w:pStyle w:val="Normal3"/>
        <w:rPr>
          <w:rFonts w:eastAsiaTheme="minorEastAsia"/>
        </w:rPr>
      </w:pPr>
      <w:r>
        <w:t>HCV</w:t>
      </w:r>
      <w:r w:rsidR="00E41F55">
        <w:t>–</w:t>
      </w:r>
      <w:r>
        <w:t>HH</w:t>
      </w:r>
      <w:r w:rsidR="00E41F55">
        <w:t>–</w:t>
      </w:r>
      <w:r>
        <w:t>P4 – Identifying historic heritage</w:t>
      </w:r>
    </w:p>
    <w:p w14:paraId="6861F43C" w14:textId="2EF674F2" w:rsidR="25C62EC4" w:rsidRPr="00A247C5" w:rsidRDefault="25C62EC4" w:rsidP="00BF3D98">
      <w:pPr>
        <w:pStyle w:val="Normal3"/>
        <w:rPr>
          <w:rFonts w:eastAsiaTheme="minorEastAsia"/>
        </w:rPr>
      </w:pPr>
      <w:r>
        <w:t>HCV</w:t>
      </w:r>
      <w:r w:rsidR="00E41F55">
        <w:t>–</w:t>
      </w:r>
      <w:r>
        <w:t>HH</w:t>
      </w:r>
      <w:r w:rsidR="00E41F55">
        <w:t>–</w:t>
      </w:r>
      <w:r>
        <w:t xml:space="preserve">P5 – Managing historic heritage </w:t>
      </w:r>
    </w:p>
    <w:p w14:paraId="5195054E" w14:textId="536D0D25" w:rsidR="25C62EC4" w:rsidRPr="00A247C5" w:rsidRDefault="25C62EC4" w:rsidP="00BF3D98">
      <w:pPr>
        <w:pStyle w:val="Normal3"/>
        <w:rPr>
          <w:rFonts w:eastAsiaTheme="minorEastAsia"/>
        </w:rPr>
      </w:pPr>
      <w:r>
        <w:t>HCV</w:t>
      </w:r>
      <w:r w:rsidR="00E41F55">
        <w:t>–</w:t>
      </w:r>
      <w:r>
        <w:t>HH</w:t>
      </w:r>
      <w:r w:rsidR="00E41F55">
        <w:t>–</w:t>
      </w:r>
      <w:r>
        <w:t>P6 – Enhancing historic heritage</w:t>
      </w:r>
    </w:p>
    <w:p w14:paraId="5D62347B" w14:textId="2E171B15" w:rsidR="25C62EC4" w:rsidRPr="00A247C5" w:rsidRDefault="25C62EC4" w:rsidP="00BF3D98">
      <w:pPr>
        <w:pStyle w:val="Normal3"/>
        <w:rPr>
          <w:rFonts w:eastAsiaTheme="minorEastAsia"/>
        </w:rPr>
      </w:pPr>
      <w:r>
        <w:t>HCV</w:t>
      </w:r>
      <w:r w:rsidR="00E41F55">
        <w:t>–</w:t>
      </w:r>
      <w:r>
        <w:t>HH</w:t>
      </w:r>
      <w:r w:rsidR="00E41F55">
        <w:t>–</w:t>
      </w:r>
      <w:r>
        <w:t>P7 – Integration of historic heritage</w:t>
      </w:r>
    </w:p>
    <w:p w14:paraId="2153A48D" w14:textId="52072C63" w:rsidR="25C62EC4" w:rsidRPr="00A247C5" w:rsidRDefault="25C62EC4" w:rsidP="00BF3D98">
      <w:pPr>
        <w:pStyle w:val="Normal3"/>
        <w:rPr>
          <w:rFonts w:eastAsiaTheme="minorEastAsia"/>
        </w:rPr>
      </w:pPr>
      <w:r>
        <w:t>HCV</w:t>
      </w:r>
      <w:r w:rsidR="00E41F55">
        <w:t>–</w:t>
      </w:r>
      <w:r>
        <w:t>HH</w:t>
      </w:r>
      <w:r w:rsidR="00E41F55">
        <w:t>–</w:t>
      </w:r>
      <w:r>
        <w:t>M4 – Regional plans</w:t>
      </w:r>
    </w:p>
    <w:p w14:paraId="180CD876" w14:textId="7D9F1051" w:rsidR="25C62EC4" w:rsidRPr="00A247C5" w:rsidRDefault="25C62EC4" w:rsidP="00BF3D98">
      <w:pPr>
        <w:pStyle w:val="Normal3"/>
        <w:rPr>
          <w:rFonts w:eastAsiaTheme="minorEastAsia"/>
        </w:rPr>
      </w:pPr>
      <w:r>
        <w:t>HCV</w:t>
      </w:r>
      <w:r w:rsidR="00E41F55">
        <w:t>–</w:t>
      </w:r>
      <w:r>
        <w:t>HH</w:t>
      </w:r>
      <w:r w:rsidR="00E41F55">
        <w:t>–</w:t>
      </w:r>
      <w:r>
        <w:t>M5 – District Plans</w:t>
      </w:r>
    </w:p>
    <w:p w14:paraId="11EFA208" w14:textId="20A2F3A8" w:rsidR="25C62EC4" w:rsidRPr="00A247C5" w:rsidRDefault="25C62EC4" w:rsidP="00BF3D98">
      <w:pPr>
        <w:pStyle w:val="Normal3"/>
        <w:rPr>
          <w:rFonts w:eastAsiaTheme="minorEastAsia"/>
        </w:rPr>
      </w:pPr>
      <w:r>
        <w:t>HCV</w:t>
      </w:r>
      <w:r w:rsidR="00E41F55">
        <w:t>–</w:t>
      </w:r>
      <w:r>
        <w:t>HH</w:t>
      </w:r>
      <w:r w:rsidR="00E41F55">
        <w:t>–</w:t>
      </w:r>
      <w:r>
        <w:t>M6 – Incentives and education</w:t>
      </w:r>
    </w:p>
    <w:p w14:paraId="1CDBF20F" w14:textId="3C299B6A" w:rsidR="2653A4F2" w:rsidRPr="00E41F55" w:rsidRDefault="25C62EC4" w:rsidP="00BF3D98">
      <w:pPr>
        <w:pStyle w:val="Normal3"/>
        <w:rPr>
          <w:rFonts w:eastAsiaTheme="minorEastAsia"/>
        </w:rPr>
      </w:pPr>
      <w:r>
        <w:t xml:space="preserve">APP8 – Criteria for identification of items, </w:t>
      </w:r>
      <w:proofErr w:type="gramStart"/>
      <w:r>
        <w:t>places</w:t>
      </w:r>
      <w:proofErr w:type="gramEnd"/>
      <w:r>
        <w:t xml:space="preserve"> and areas of historic heritage</w:t>
      </w:r>
    </w:p>
    <w:p w14:paraId="3FE9F76B" w14:textId="15760C8E" w:rsidR="006A49E7" w:rsidRPr="00827C06" w:rsidRDefault="00CA1842" w:rsidP="00A247C5">
      <w:pPr>
        <w:pStyle w:val="Normal2"/>
      </w:pPr>
      <w:r w:rsidRPr="00CA1842">
        <w:t>HCV</w:t>
      </w:r>
      <w:r w:rsidR="00E41F55">
        <w:t>–</w:t>
      </w:r>
      <w:r w:rsidRPr="00CA1842">
        <w:t>HH</w:t>
      </w:r>
      <w:r w:rsidR="00E41F55">
        <w:t>–</w:t>
      </w:r>
      <w:r w:rsidRPr="00CA1842">
        <w:t xml:space="preserve">O3 </w:t>
      </w:r>
      <w:r w:rsidR="002525BD" w:rsidRPr="005F4377">
        <w:t>sets up</w:t>
      </w:r>
      <w:r>
        <w:t xml:space="preserve"> </w:t>
      </w:r>
      <w:r w:rsidR="006C2930" w:rsidRPr="005F4377">
        <w:t xml:space="preserve">an overarching policy framework </w:t>
      </w:r>
      <w:r w:rsidR="00BE5648">
        <w:t>that provides a</w:t>
      </w:r>
      <w:r w:rsidR="00B94521" w:rsidRPr="005F4377">
        <w:t xml:space="preserve"> </w:t>
      </w:r>
      <w:r w:rsidR="00640D7F" w:rsidRPr="005F4377">
        <w:t>detailed</w:t>
      </w:r>
      <w:r w:rsidR="00B94521" w:rsidRPr="005F4377">
        <w:t xml:space="preserve"> management </w:t>
      </w:r>
      <w:r w:rsidR="00640D7F" w:rsidRPr="005F4377">
        <w:t>regime</w:t>
      </w:r>
      <w:r w:rsidR="00B94521" w:rsidRPr="005F4377">
        <w:t xml:space="preserve"> for the </w:t>
      </w:r>
      <w:r w:rsidR="00640D7F" w:rsidRPr="005F4377">
        <w:t>protection</w:t>
      </w:r>
      <w:r w:rsidR="00B94521" w:rsidRPr="005F4377">
        <w:t xml:space="preserve"> of historic heritage in Otago</w:t>
      </w:r>
      <w:r w:rsidR="00BE5648">
        <w:t>, that are to be implemented</w:t>
      </w:r>
      <w:r w:rsidR="00640D7F" w:rsidRPr="005F4377">
        <w:t xml:space="preserve"> through</w:t>
      </w:r>
      <w:r w:rsidR="00243BC7">
        <w:t xml:space="preserve"> subsequent</w:t>
      </w:r>
      <w:r w:rsidR="00640D7F" w:rsidRPr="005F4377">
        <w:t xml:space="preserve"> regional</w:t>
      </w:r>
      <w:r w:rsidR="00243BC7">
        <w:t xml:space="preserve"> and district</w:t>
      </w:r>
      <w:r w:rsidR="00640D7F" w:rsidRPr="005F4377">
        <w:t xml:space="preserve"> planning</w:t>
      </w:r>
      <w:r w:rsidR="00243BC7">
        <w:t xml:space="preserve"> documents</w:t>
      </w:r>
      <w:r w:rsidR="00B94521" w:rsidRPr="005F4377">
        <w:t>.</w:t>
      </w:r>
      <w:r w:rsidR="007624C7" w:rsidRPr="005F4377">
        <w:t xml:space="preserve"> </w:t>
      </w:r>
      <w:r w:rsidR="006A49E7">
        <w:t xml:space="preserve">Objective </w:t>
      </w:r>
      <w:r w:rsidR="00E41F55">
        <w:t>HCV–</w:t>
      </w:r>
      <w:r w:rsidR="006A49E7">
        <w:t>HH</w:t>
      </w:r>
      <w:r w:rsidR="00E41F55">
        <w:t>–</w:t>
      </w:r>
      <w:r w:rsidR="006A49E7">
        <w:t>O3 directly responds to the direction set out in the RMA by requiring the preservation of</w:t>
      </w:r>
      <w:r w:rsidR="00544342" w:rsidRPr="005F4377">
        <w:t xml:space="preserve"> </w:t>
      </w:r>
      <w:r w:rsidR="00AA7C1B" w:rsidRPr="005F4377">
        <w:t>heritage for future generations</w:t>
      </w:r>
      <w:r w:rsidR="006A49E7">
        <w:t xml:space="preserve"> and is therefore considered acceptable</w:t>
      </w:r>
      <w:r w:rsidR="00E93741">
        <w:t xml:space="preserve"> and relevant.</w:t>
      </w:r>
      <w:r w:rsidR="006A49E7">
        <w:t xml:space="preserve"> </w:t>
      </w:r>
      <w:r w:rsidR="004A1ADC" w:rsidRPr="004A1ADC">
        <w:t xml:space="preserve">With reference to the evaluation of provisions, the policies and methods integrate and logically stem out from the objective for easy navigation and clear direction in a manner that is </w:t>
      </w:r>
      <w:r w:rsidR="00E93741">
        <w:t>consistent</w:t>
      </w:r>
      <w:r w:rsidR="004A1ADC" w:rsidRPr="004A1ADC">
        <w:t xml:space="preserve"> with both the </w:t>
      </w:r>
      <w:r w:rsidR="00E93741">
        <w:t>RMA</w:t>
      </w:r>
      <w:r w:rsidR="004A1ADC" w:rsidRPr="004A1ADC">
        <w:t xml:space="preserve"> and the Heritage New Zealand </w:t>
      </w:r>
      <w:proofErr w:type="spellStart"/>
      <w:r w:rsidR="004A1ADC" w:rsidRPr="004A1ADC">
        <w:t>Pouhere</w:t>
      </w:r>
      <w:proofErr w:type="spellEnd"/>
      <w:r w:rsidR="004A1ADC" w:rsidRPr="004A1ADC">
        <w:t xml:space="preserve"> Taonga Act 2014. Collectively, the clear and consistent approach to identification and classification </w:t>
      </w:r>
      <w:r w:rsidR="00E93741">
        <w:t xml:space="preserve">of historic heritage </w:t>
      </w:r>
      <w:r w:rsidR="004A1ADC" w:rsidRPr="004A1ADC">
        <w:t>increases the certainty that Objective HCV</w:t>
      </w:r>
      <w:r w:rsidR="00E41F55">
        <w:t>–</w:t>
      </w:r>
      <w:r w:rsidR="004A1ADC" w:rsidRPr="004A1ADC">
        <w:t>HH</w:t>
      </w:r>
      <w:r w:rsidR="00E41F55">
        <w:t>–</w:t>
      </w:r>
      <w:r w:rsidR="004A1ADC" w:rsidRPr="004A1ADC">
        <w:t xml:space="preserve">O3 will be met, demonstrating that the objective is feasible and can be achieved without unjustified costs. </w:t>
      </w:r>
      <w:r w:rsidR="00E93741">
        <w:t>This objective positively contributes to achieving the purpose of the RMA.</w:t>
      </w:r>
    </w:p>
    <w:p w14:paraId="256C95A8" w14:textId="0FD4B3FF" w:rsidR="00E05589" w:rsidRDefault="00E05589" w:rsidP="0082271A">
      <w:pPr>
        <w:pStyle w:val="Heading3"/>
      </w:pPr>
      <w:r>
        <w:t xml:space="preserve">NFL – </w:t>
      </w:r>
      <w:r w:rsidRPr="00A335E2">
        <w:t>Natural</w:t>
      </w:r>
      <w:r>
        <w:t xml:space="preserve"> features and landscapes</w:t>
      </w:r>
    </w:p>
    <w:p w14:paraId="6E09E8F1" w14:textId="68DCF631" w:rsidR="00E05589" w:rsidRDefault="00446714" w:rsidP="00A247C5">
      <w:pPr>
        <w:pStyle w:val="Normal2"/>
      </w:pPr>
      <w:r>
        <w:t xml:space="preserve"> The NFL chapter of the RPS sets out the objectives and management approach for </w:t>
      </w:r>
      <w:r w:rsidR="00A71209">
        <w:t xml:space="preserve">outstanding and highly valued natural features and landscapes in the Otago region. There is one objective in this section of the RPS, which is evaluated in </w:t>
      </w:r>
      <w:r w:rsidR="004B7C10">
        <w:fldChar w:fldCharType="begin"/>
      </w:r>
      <w:r w:rsidR="004B7C10">
        <w:instrText xml:space="preserve"> REF _Ref72495660 \h </w:instrText>
      </w:r>
      <w:r w:rsidR="004B7C10">
        <w:fldChar w:fldCharType="separate"/>
      </w:r>
      <w:r w:rsidR="002A7A16">
        <w:t xml:space="preserve">Table </w:t>
      </w:r>
      <w:r w:rsidR="002A7A16">
        <w:rPr>
          <w:noProof/>
        </w:rPr>
        <w:t>20</w:t>
      </w:r>
      <w:r w:rsidR="004B7C10">
        <w:fldChar w:fldCharType="end"/>
      </w:r>
      <w:r w:rsidR="004B7C10">
        <w:t xml:space="preserve"> </w:t>
      </w:r>
      <w:r w:rsidR="00A71209">
        <w:t>below.</w:t>
      </w:r>
    </w:p>
    <w:p w14:paraId="78FDB269" w14:textId="37B24D79" w:rsidR="00E41F55" w:rsidRDefault="00E41F55" w:rsidP="00E41F55">
      <w:pPr>
        <w:pStyle w:val="Normal2"/>
        <w:numPr>
          <w:ilvl w:val="0"/>
          <w:numId w:val="0"/>
        </w:numPr>
        <w:ind w:left="720" w:hanging="720"/>
      </w:pPr>
    </w:p>
    <w:p w14:paraId="4E52E104" w14:textId="1A7CAE0F" w:rsidR="00E41F55" w:rsidRDefault="00E41F55" w:rsidP="00E41F55">
      <w:pPr>
        <w:pStyle w:val="Normal2"/>
        <w:numPr>
          <w:ilvl w:val="0"/>
          <w:numId w:val="0"/>
        </w:numPr>
        <w:ind w:left="720" w:hanging="720"/>
      </w:pPr>
    </w:p>
    <w:p w14:paraId="676ABE43" w14:textId="2DEA61ED" w:rsidR="00E5289C" w:rsidRDefault="004B7C10" w:rsidP="004B7C10">
      <w:pPr>
        <w:pStyle w:val="Caption"/>
      </w:pPr>
      <w:bookmarkStart w:id="52" w:name="_Ref72495660"/>
      <w:r>
        <w:lastRenderedPageBreak/>
        <w:t xml:space="preserve">Table </w:t>
      </w:r>
      <w:r>
        <w:fldChar w:fldCharType="begin"/>
      </w:r>
      <w:r>
        <w:instrText xml:space="preserve"> SEQ Table \* ARABIC </w:instrText>
      </w:r>
      <w:r>
        <w:fldChar w:fldCharType="separate"/>
      </w:r>
      <w:r w:rsidR="002A7A16">
        <w:rPr>
          <w:noProof/>
        </w:rPr>
        <w:t>20</w:t>
      </w:r>
      <w:r>
        <w:rPr>
          <w:noProof/>
        </w:rPr>
        <w:fldChar w:fldCharType="end"/>
      </w:r>
      <w:bookmarkEnd w:id="52"/>
      <w:r>
        <w:t>: Evaluation of NFL objectives</w:t>
      </w:r>
    </w:p>
    <w:tbl>
      <w:tblPr>
        <w:tblStyle w:val="TableGrid"/>
        <w:tblW w:w="0" w:type="auto"/>
        <w:tblLook w:val="04A0" w:firstRow="1" w:lastRow="0" w:firstColumn="1" w:lastColumn="0" w:noHBand="0" w:noVBand="1"/>
      </w:tblPr>
      <w:tblGrid>
        <w:gridCol w:w="3489"/>
        <w:gridCol w:w="5527"/>
      </w:tblGrid>
      <w:tr w:rsidR="00E37A18" w:rsidRPr="00462638" w14:paraId="2EA248B4" w14:textId="77777777" w:rsidTr="0093339F">
        <w:tc>
          <w:tcPr>
            <w:tcW w:w="3489" w:type="dxa"/>
            <w:shd w:val="clear" w:color="auto" w:fill="B4C6E7" w:themeFill="accent1" w:themeFillTint="66"/>
          </w:tcPr>
          <w:p w14:paraId="396CF99D" w14:textId="77777777" w:rsidR="00E37A18" w:rsidRPr="00E41F55" w:rsidRDefault="00E37A18" w:rsidP="00A247C5">
            <w:pPr>
              <w:pStyle w:val="Table1"/>
              <w:rPr>
                <w:b/>
                <w:bCs/>
              </w:rPr>
            </w:pPr>
            <w:r w:rsidRPr="00E41F55">
              <w:rPr>
                <w:b/>
                <w:bCs/>
              </w:rPr>
              <w:t>Objective</w:t>
            </w:r>
          </w:p>
        </w:tc>
        <w:tc>
          <w:tcPr>
            <w:tcW w:w="5527" w:type="dxa"/>
            <w:shd w:val="clear" w:color="auto" w:fill="B4C6E7" w:themeFill="accent1" w:themeFillTint="66"/>
          </w:tcPr>
          <w:p w14:paraId="24B0D32E" w14:textId="556C398F" w:rsidR="00E37A18" w:rsidRPr="00E41F55" w:rsidRDefault="00E37A18" w:rsidP="00A247C5">
            <w:pPr>
              <w:pStyle w:val="Table1"/>
              <w:rPr>
                <w:b/>
                <w:bCs/>
              </w:rPr>
            </w:pPr>
            <w:r w:rsidRPr="00E41F55">
              <w:rPr>
                <w:b/>
                <w:bCs/>
              </w:rPr>
              <w:t>Assessment</w:t>
            </w:r>
          </w:p>
        </w:tc>
      </w:tr>
      <w:tr w:rsidR="00E37A18" w:rsidRPr="00462638" w14:paraId="7821C149" w14:textId="77777777" w:rsidTr="0093339F">
        <w:tc>
          <w:tcPr>
            <w:tcW w:w="3489" w:type="dxa"/>
          </w:tcPr>
          <w:p w14:paraId="6EA25F5E" w14:textId="77777777" w:rsidR="003360D8" w:rsidRPr="00780C89" w:rsidRDefault="003360D8" w:rsidP="00BF3D98">
            <w:pPr>
              <w:pStyle w:val="Table1"/>
            </w:pPr>
            <w:r w:rsidRPr="00780C89">
              <w:t xml:space="preserve">NFL–O1 – Outstanding </w:t>
            </w:r>
            <w:r w:rsidRPr="00780C89" w:rsidDel="00D34524">
              <w:t xml:space="preserve">and highly valued </w:t>
            </w:r>
            <w:r w:rsidRPr="00780C89">
              <w:t xml:space="preserve">natural features and landscapes </w:t>
            </w:r>
          </w:p>
          <w:p w14:paraId="66318D6F" w14:textId="77777777" w:rsidR="003360D8" w:rsidRPr="008B133A" w:rsidRDefault="003360D8" w:rsidP="003360D8">
            <w:pPr>
              <w:pStyle w:val="JustifiedSpacing"/>
              <w:rPr>
                <w:sz w:val="20"/>
                <w:szCs w:val="20"/>
              </w:rPr>
            </w:pPr>
            <w:r w:rsidRPr="008B133A">
              <w:rPr>
                <w:sz w:val="20"/>
                <w:szCs w:val="20"/>
              </w:rPr>
              <w:t xml:space="preserve">The areas and values of Otago’s outstanding and highly valued natural features and landscapes are identified, and the use and development of Otago’s </w:t>
            </w:r>
            <w:r w:rsidRPr="008B133A">
              <w:rPr>
                <w:i/>
                <w:sz w:val="20"/>
                <w:szCs w:val="20"/>
              </w:rPr>
              <w:t xml:space="preserve">natural and physical resources </w:t>
            </w:r>
            <w:r w:rsidRPr="008B133A">
              <w:rPr>
                <w:sz w:val="20"/>
                <w:szCs w:val="20"/>
              </w:rPr>
              <w:t>results in:</w:t>
            </w:r>
          </w:p>
          <w:p w14:paraId="160BD7EF" w14:textId="0677ABE8" w:rsidR="003360D8" w:rsidRPr="008B133A" w:rsidRDefault="003360D8" w:rsidP="003360D8">
            <w:pPr>
              <w:pStyle w:val="JustifiedSpacing"/>
              <w:ind w:left="567" w:hanging="567"/>
              <w:rPr>
                <w:sz w:val="20"/>
                <w:szCs w:val="20"/>
              </w:rPr>
            </w:pPr>
            <w:r w:rsidRPr="008B133A">
              <w:rPr>
                <w:sz w:val="20"/>
                <w:szCs w:val="20"/>
              </w:rPr>
              <w:t>(1)</w:t>
            </w:r>
            <w:r w:rsidRPr="008B133A">
              <w:rPr>
                <w:sz w:val="20"/>
                <w:szCs w:val="20"/>
              </w:rPr>
              <w:tab/>
              <w:t>the protection of outstanding natural features and landscapes, and</w:t>
            </w:r>
          </w:p>
          <w:p w14:paraId="5F67A1EC" w14:textId="2D508E81" w:rsidR="003360D8" w:rsidRPr="008B133A" w:rsidRDefault="003360D8" w:rsidP="003360D8">
            <w:pPr>
              <w:pStyle w:val="JustifiedSpacing"/>
              <w:ind w:left="567" w:hanging="567"/>
              <w:rPr>
                <w:sz w:val="20"/>
                <w:szCs w:val="20"/>
              </w:rPr>
            </w:pPr>
            <w:r w:rsidRPr="008B133A">
              <w:rPr>
                <w:sz w:val="20"/>
                <w:szCs w:val="20"/>
              </w:rPr>
              <w:t>(2)</w:t>
            </w:r>
            <w:r w:rsidRPr="008B133A">
              <w:rPr>
                <w:sz w:val="20"/>
                <w:szCs w:val="20"/>
              </w:rPr>
              <w:tab/>
              <w:t>the maintenance or enhancement of highly valued natural features and landscapes.</w:t>
            </w:r>
          </w:p>
          <w:p w14:paraId="22CBF5B0" w14:textId="77777777" w:rsidR="00E37A18" w:rsidRDefault="00E37A18" w:rsidP="00A247C5">
            <w:pPr>
              <w:pStyle w:val="Table1"/>
            </w:pPr>
          </w:p>
        </w:tc>
        <w:tc>
          <w:tcPr>
            <w:tcW w:w="5527" w:type="dxa"/>
          </w:tcPr>
          <w:p w14:paraId="2D81A168" w14:textId="54E10000" w:rsidR="00E37A18" w:rsidRDefault="00B552C4" w:rsidP="00E41F55">
            <w:pPr>
              <w:pStyle w:val="Table1"/>
            </w:pPr>
            <w:r w:rsidRPr="00B32110">
              <w:t>Protecting outstanding natural features and landscapes from inappropriate subdivision, use and development is a matter of national importance in the RMA</w:t>
            </w:r>
            <w:r w:rsidR="00050D6D">
              <w:t>,</w:t>
            </w:r>
            <w:r>
              <w:t xml:space="preserve"> that councils are required to recognise and provide for, in accordance with s6(b) of the RMA. </w:t>
            </w:r>
            <w:r w:rsidRPr="00B32110">
              <w:t xml:space="preserve"> </w:t>
            </w:r>
            <w:r>
              <w:t xml:space="preserve">The relationship of Māori and their culture and traditions with their ancestral lands, water, sites, </w:t>
            </w:r>
            <w:proofErr w:type="spellStart"/>
            <w:r>
              <w:t>wāhi</w:t>
            </w:r>
            <w:proofErr w:type="spellEnd"/>
            <w:r>
              <w:t xml:space="preserve"> </w:t>
            </w:r>
            <w:proofErr w:type="spellStart"/>
            <w:r>
              <w:t>tapu</w:t>
            </w:r>
            <w:proofErr w:type="spellEnd"/>
            <w:r>
              <w:t xml:space="preserve"> and other taonga is also a matter of national importance. Although </w:t>
            </w:r>
            <w:proofErr w:type="spellStart"/>
            <w:r>
              <w:t>wāhi</w:t>
            </w:r>
            <w:proofErr w:type="spellEnd"/>
            <w:r>
              <w:t xml:space="preserve"> tūpuna are addressed in the HCV</w:t>
            </w:r>
            <w:r w:rsidR="00EB7186">
              <w:t>–</w:t>
            </w:r>
            <w:r>
              <w:t>WT chapter of the RPS, they are an important component of managing natural features and landscapes</w:t>
            </w:r>
            <w:r w:rsidR="00793AFD">
              <w:t>.</w:t>
            </w:r>
          </w:p>
          <w:p w14:paraId="6119EF77" w14:textId="77777777" w:rsidR="00793AFD" w:rsidRPr="00C57316" w:rsidRDefault="00793AFD" w:rsidP="00E41F55">
            <w:pPr>
              <w:pStyle w:val="Table1"/>
            </w:pPr>
            <w:r w:rsidRPr="00C57316">
              <w:t xml:space="preserve">The NPSET sets out objectives and policies for managing the effects of the electricity transmission network. Policy 8 states that in rural environments, planning and development of the transmission system should seek to avoid adverse effects on outstanding natural landscapes, areas of high natural character and areas of high recreation value and amenity and existing sensitive activities. Policy 4 requires decision-makers to have regard to the extent to which any adverse effects have been avoided, </w:t>
            </w:r>
            <w:proofErr w:type="gramStart"/>
            <w:r w:rsidRPr="00C57316">
              <w:t>remedied</w:t>
            </w:r>
            <w:proofErr w:type="gramEnd"/>
            <w:r w:rsidRPr="00C57316">
              <w:t xml:space="preserve"> or mitigated by the route, site and method selection.</w:t>
            </w:r>
          </w:p>
          <w:p w14:paraId="3F3B4063" w14:textId="0AB3C377" w:rsidR="00C57316" w:rsidRPr="00C57316" w:rsidRDefault="00C57316" w:rsidP="00E41F55">
            <w:pPr>
              <w:pStyle w:val="Table1"/>
            </w:pPr>
            <w:r w:rsidRPr="00C57316">
              <w:t xml:space="preserve">The NPSREG contains an objective and policies to enable the sustainable management of renewable electricity generation. Policy C1 requires decision-makers to have regard to a range of matters, including the need to locate the renewable electricity generation activity where the renewable energy resource is available and the location of existing structures and infrastructure in relation to the renewable electricity generation activity. </w:t>
            </w:r>
          </w:p>
          <w:p w14:paraId="059D21AE" w14:textId="31F04AC6" w:rsidR="00E37A18" w:rsidRDefault="00050D6D" w:rsidP="00E41F55">
            <w:pPr>
              <w:pStyle w:val="Table1"/>
            </w:pPr>
            <w:r>
              <w:t>NFL-O1</w:t>
            </w:r>
            <w:r w:rsidR="00D26C82">
              <w:t xml:space="preserve"> is Otago Regional Council’s response to the requirements set out in s6(b) of the RMA in a</w:t>
            </w:r>
            <w:r w:rsidR="00D35B3E">
              <w:t xml:space="preserve"> way</w:t>
            </w:r>
            <w:r w:rsidR="00D26C82">
              <w:t xml:space="preserve"> that also gives effect to the NPSREG and</w:t>
            </w:r>
            <w:r w:rsidR="00D35B3E">
              <w:t xml:space="preserve"> </w:t>
            </w:r>
            <w:r w:rsidR="00D26C82">
              <w:t xml:space="preserve">NPSET. </w:t>
            </w:r>
            <w:r w:rsidR="00075ECC">
              <w:t xml:space="preserve">The protection of </w:t>
            </w:r>
            <w:r w:rsidR="004150EA">
              <w:t xml:space="preserve">outstanding and highly valued natural features and landscapes </w:t>
            </w:r>
            <w:r w:rsidR="004E6916">
              <w:t xml:space="preserve">is considered relevant and an acceptable management approach, as it gives effect to the direction set out in the RMA, but also to the </w:t>
            </w:r>
            <w:r w:rsidR="00120FEB">
              <w:t>significant resource management issues raised by iwi and the Otago community during consultation. SRMR</w:t>
            </w:r>
            <w:r w:rsidR="00AE7694" w:rsidRPr="00855899">
              <w:t>–I4</w:t>
            </w:r>
            <w:r w:rsidR="00C5733F">
              <w:t>, SRMR</w:t>
            </w:r>
            <w:r w:rsidR="00C5733F" w:rsidRPr="00855899">
              <w:t>–I</w:t>
            </w:r>
            <w:r w:rsidR="00C5733F">
              <w:t>7</w:t>
            </w:r>
            <w:r w:rsidR="00CA7874">
              <w:t>- SRMR</w:t>
            </w:r>
            <w:r w:rsidR="00CA7874" w:rsidRPr="00855899">
              <w:t>–I</w:t>
            </w:r>
            <w:r w:rsidR="00CA7874">
              <w:t>11</w:t>
            </w:r>
            <w:r w:rsidR="00AD3A11">
              <w:t>.</w:t>
            </w:r>
          </w:p>
        </w:tc>
      </w:tr>
    </w:tbl>
    <w:p w14:paraId="3A04C71E" w14:textId="09B0F636" w:rsidR="00447110" w:rsidRDefault="00A71209" w:rsidP="00A247C5">
      <w:pPr>
        <w:pStyle w:val="Normal2"/>
      </w:pPr>
      <w:r w:rsidRPr="007D3C52">
        <w:t xml:space="preserve">The NFL chapter contains </w:t>
      </w:r>
      <w:proofErr w:type="gramStart"/>
      <w:r w:rsidRPr="007D3C52">
        <w:t>a number of</w:t>
      </w:r>
      <w:proofErr w:type="gramEnd"/>
      <w:r w:rsidRPr="007D3C52">
        <w:t xml:space="preserve"> policies and methods that </w:t>
      </w:r>
      <w:r w:rsidR="000E2792">
        <w:t>implement</w:t>
      </w:r>
      <w:r w:rsidRPr="007D3C52">
        <w:t xml:space="preserve"> NFL-O1</w:t>
      </w:r>
      <w:r w:rsidR="007D3C52" w:rsidRPr="007D3C52">
        <w:t>, as follows:</w:t>
      </w:r>
    </w:p>
    <w:p w14:paraId="6457A5FC" w14:textId="34A22A60" w:rsidR="00447110" w:rsidRDefault="00447110" w:rsidP="00A247C5">
      <w:pPr>
        <w:pStyle w:val="Normal3"/>
      </w:pPr>
      <w:r>
        <w:t>NFL</w:t>
      </w:r>
      <w:r w:rsidR="00E41F55">
        <w:t>–</w:t>
      </w:r>
      <w:r>
        <w:t>P1 – Identification</w:t>
      </w:r>
    </w:p>
    <w:p w14:paraId="11879775" w14:textId="5F391BF2" w:rsidR="00447110" w:rsidRDefault="00447110" w:rsidP="00A247C5">
      <w:pPr>
        <w:pStyle w:val="Normal3"/>
      </w:pPr>
      <w:r>
        <w:t>NFL</w:t>
      </w:r>
      <w:r w:rsidR="00E41F55">
        <w:t>–</w:t>
      </w:r>
      <w:r>
        <w:t>P2 – Protection</w:t>
      </w:r>
    </w:p>
    <w:p w14:paraId="19CA0DFE" w14:textId="5C6A07DD" w:rsidR="00447110" w:rsidRDefault="00447110" w:rsidP="00A247C5">
      <w:pPr>
        <w:pStyle w:val="Normal3"/>
      </w:pPr>
      <w:r>
        <w:t>NFL</w:t>
      </w:r>
      <w:r w:rsidR="00E41F55">
        <w:t>–</w:t>
      </w:r>
      <w:r>
        <w:t>P3 – Maintenance</w:t>
      </w:r>
    </w:p>
    <w:p w14:paraId="23BB4412" w14:textId="600191A3" w:rsidR="00447110" w:rsidRDefault="00447110" w:rsidP="00A247C5">
      <w:pPr>
        <w:pStyle w:val="Normal3"/>
      </w:pPr>
      <w:r>
        <w:t>NFL</w:t>
      </w:r>
      <w:r w:rsidR="00E41F55">
        <w:t>–</w:t>
      </w:r>
      <w:r>
        <w:t>P4 – Restoration</w:t>
      </w:r>
    </w:p>
    <w:p w14:paraId="622F2E3E" w14:textId="015EB2B8" w:rsidR="00447110" w:rsidRDefault="00447110" w:rsidP="00A247C5">
      <w:pPr>
        <w:pStyle w:val="Normal3"/>
      </w:pPr>
      <w:r>
        <w:t>NFL</w:t>
      </w:r>
      <w:r w:rsidR="00E41F55">
        <w:t>–P</w:t>
      </w:r>
      <w:r>
        <w:t>5</w:t>
      </w:r>
      <w:r w:rsidR="00AD3A11">
        <w:t xml:space="preserve"> </w:t>
      </w:r>
      <w:r>
        <w:t>– Wilding conifers</w:t>
      </w:r>
    </w:p>
    <w:p w14:paraId="470DFA35" w14:textId="3C1EFFC4" w:rsidR="00447110" w:rsidRDefault="00447110" w:rsidP="00A247C5">
      <w:pPr>
        <w:pStyle w:val="Normal3"/>
      </w:pPr>
      <w:r>
        <w:t>NFL</w:t>
      </w:r>
      <w:r w:rsidR="00E41F55">
        <w:t>–</w:t>
      </w:r>
      <w:r>
        <w:t>P6 – Coastal features and landscapes</w:t>
      </w:r>
    </w:p>
    <w:p w14:paraId="7E449C7D" w14:textId="1656097B" w:rsidR="00447110" w:rsidRDefault="00447110" w:rsidP="00A247C5">
      <w:pPr>
        <w:pStyle w:val="Normal3"/>
      </w:pPr>
      <w:r>
        <w:t>NFL</w:t>
      </w:r>
      <w:r w:rsidR="00E41F55">
        <w:t>–</w:t>
      </w:r>
      <w:r>
        <w:t>M1 – Identification</w:t>
      </w:r>
    </w:p>
    <w:p w14:paraId="2934746D" w14:textId="5C4C82C9" w:rsidR="00447110" w:rsidRDefault="00447110" w:rsidP="00A247C5">
      <w:pPr>
        <w:pStyle w:val="Normal3"/>
      </w:pPr>
      <w:r>
        <w:t>NFL</w:t>
      </w:r>
      <w:r w:rsidR="00E41F55">
        <w:t>–</w:t>
      </w:r>
      <w:r>
        <w:t>M2 – Regional plans</w:t>
      </w:r>
    </w:p>
    <w:p w14:paraId="5C634DBE" w14:textId="4F12D7A9" w:rsidR="00447110" w:rsidRDefault="00447110" w:rsidP="00A247C5">
      <w:pPr>
        <w:pStyle w:val="Normal3"/>
      </w:pPr>
      <w:r>
        <w:t>NFL</w:t>
      </w:r>
      <w:r w:rsidR="00E41F55">
        <w:t>–</w:t>
      </w:r>
      <w:r>
        <w:t>M3 – District plans</w:t>
      </w:r>
    </w:p>
    <w:p w14:paraId="68AA4B30" w14:textId="08F18571" w:rsidR="00447110" w:rsidRDefault="00447110" w:rsidP="00A247C5">
      <w:pPr>
        <w:pStyle w:val="Normal3"/>
      </w:pPr>
      <w:r>
        <w:t>NFL</w:t>
      </w:r>
      <w:r w:rsidR="00E41F55">
        <w:t>–</w:t>
      </w:r>
      <w:r>
        <w:t>M4 – Other incentives and mechanisms</w:t>
      </w:r>
    </w:p>
    <w:p w14:paraId="6813501E" w14:textId="6867AEDF" w:rsidR="00447110" w:rsidRDefault="00447110" w:rsidP="00A247C5">
      <w:pPr>
        <w:pStyle w:val="Normal3"/>
      </w:pPr>
      <w:r>
        <w:t>APP</w:t>
      </w:r>
      <w:r w:rsidR="00E41F55">
        <w:t>9</w:t>
      </w:r>
      <w:r>
        <w:t xml:space="preserve"> – Identification criteria for outstanding and highly valued natural features, </w:t>
      </w:r>
      <w:proofErr w:type="gramStart"/>
      <w:r>
        <w:t>landscapes</w:t>
      </w:r>
      <w:proofErr w:type="gramEnd"/>
      <w:r>
        <w:t xml:space="preserve"> and seascapes</w:t>
      </w:r>
    </w:p>
    <w:p w14:paraId="12072259" w14:textId="77777777" w:rsidR="00447110" w:rsidRDefault="00447110" w:rsidP="00A247C5">
      <w:pPr>
        <w:pStyle w:val="Normal3"/>
        <w:numPr>
          <w:ilvl w:val="0"/>
          <w:numId w:val="0"/>
        </w:numPr>
        <w:ind w:left="1440"/>
        <w:rPr>
          <w:highlight w:val="yellow"/>
        </w:rPr>
      </w:pPr>
    </w:p>
    <w:p w14:paraId="170C67C7" w14:textId="572F7425" w:rsidR="008B133A" w:rsidRDefault="00447110" w:rsidP="00A247C5">
      <w:pPr>
        <w:pStyle w:val="Normal2"/>
      </w:pPr>
      <w:r w:rsidRPr="008B133A">
        <w:t xml:space="preserve">Section 5.12 of this report contains an evaluation of </w:t>
      </w:r>
      <w:r w:rsidR="0016408C" w:rsidRPr="008B133A">
        <w:t>whether the provisions are the most efficient and effective way to give effect to the proposed objectiv</w:t>
      </w:r>
      <w:r w:rsidR="008B133A" w:rsidRPr="008B133A">
        <w:t>e.</w:t>
      </w:r>
      <w:r w:rsidR="00DC726B">
        <w:t xml:space="preserve"> The evaluation concludes that the policies and methods are </w:t>
      </w:r>
      <w:proofErr w:type="gramStart"/>
      <w:r w:rsidR="00DC726B">
        <w:t>effective</w:t>
      </w:r>
      <w:r w:rsidR="004D3753">
        <w:t>, and</w:t>
      </w:r>
      <w:proofErr w:type="gramEnd"/>
      <w:r w:rsidR="004D3753">
        <w:t xml:space="preserve"> </w:t>
      </w:r>
      <w:r w:rsidR="00F43F9D">
        <w:t xml:space="preserve">providing identification criteria will ensure that there is consistency in how the provisions are applied. While there will be implementation costs associated with the provisions (including costs for local authorities for identifying areas), the environmental, </w:t>
      </w:r>
      <w:proofErr w:type="gramStart"/>
      <w:r w:rsidR="00F43F9D">
        <w:t>cultural</w:t>
      </w:r>
      <w:proofErr w:type="gramEnd"/>
      <w:r w:rsidR="00F43F9D">
        <w:t xml:space="preserve"> and social benefits outweigh these. </w:t>
      </w:r>
    </w:p>
    <w:p w14:paraId="52878D40" w14:textId="134AB3C7" w:rsidR="0088620F" w:rsidRPr="008B133A" w:rsidRDefault="0088620F" w:rsidP="00A247C5">
      <w:pPr>
        <w:pStyle w:val="Normal2"/>
      </w:pPr>
      <w:r>
        <w:t>After considering the NFL objective and the provisions to achieve it, NFL</w:t>
      </w:r>
      <w:r w:rsidR="00E41F55">
        <w:t>–</w:t>
      </w:r>
      <w:r>
        <w:t xml:space="preserve">O1 </w:t>
      </w:r>
      <w:proofErr w:type="gramStart"/>
      <w:r>
        <w:t>is considered to be</w:t>
      </w:r>
      <w:proofErr w:type="gramEnd"/>
      <w:r>
        <w:t xml:space="preserve"> relevant, acceptable and feasible. </w:t>
      </w:r>
      <w:r w:rsidR="00182FC5">
        <w:t>NFL</w:t>
      </w:r>
      <w:r w:rsidR="00E41F55">
        <w:t>–</w:t>
      </w:r>
      <w:r w:rsidR="00182FC5">
        <w:t>O1 positively contributes to achieving the purpose of the RMA.</w:t>
      </w:r>
    </w:p>
    <w:p w14:paraId="66ABD3E8" w14:textId="41413276" w:rsidR="00E05589" w:rsidRDefault="00E05589" w:rsidP="0082271A">
      <w:pPr>
        <w:pStyle w:val="Heading3"/>
      </w:pPr>
      <w:r>
        <w:t>UFD – Urban form and development</w:t>
      </w:r>
    </w:p>
    <w:p w14:paraId="6EAD23AB" w14:textId="2501DB39" w:rsidR="00E41F55" w:rsidRDefault="00B331EA" w:rsidP="00E41F55">
      <w:pPr>
        <w:pStyle w:val="Normal2"/>
      </w:pPr>
      <w:r>
        <w:t xml:space="preserve">The </w:t>
      </w:r>
      <w:r w:rsidR="00F3386D">
        <w:t>UFD chapter of the PORP</w:t>
      </w:r>
      <w:r w:rsidR="000E0C50">
        <w:t>S</w:t>
      </w:r>
      <w:r w:rsidR="008A4EFE">
        <w:t xml:space="preserve"> sets out the objectives and management approach for urban form and development</w:t>
      </w:r>
      <w:r w:rsidR="000E0C50">
        <w:t xml:space="preserve"> within the Otago Region. There are five objectives in this section of the RPS, which are evaluated in the Table below. </w:t>
      </w:r>
    </w:p>
    <w:p w14:paraId="731ADFFD" w14:textId="674255BC" w:rsidR="002E3FC5" w:rsidRDefault="002E3FC5" w:rsidP="002E3FC5">
      <w:pPr>
        <w:pStyle w:val="Caption"/>
      </w:pPr>
      <w:r>
        <w:t xml:space="preserve">Table </w:t>
      </w:r>
      <w:r>
        <w:fldChar w:fldCharType="begin"/>
      </w:r>
      <w:r>
        <w:instrText xml:space="preserve"> SEQ Table \* ARABIC </w:instrText>
      </w:r>
      <w:r>
        <w:fldChar w:fldCharType="separate"/>
      </w:r>
      <w:r w:rsidR="002A7A16">
        <w:rPr>
          <w:noProof/>
        </w:rPr>
        <w:t>21</w:t>
      </w:r>
      <w:r>
        <w:rPr>
          <w:noProof/>
        </w:rPr>
        <w:fldChar w:fldCharType="end"/>
      </w:r>
      <w:r>
        <w:t>: Evaluation of UFD objectives</w:t>
      </w:r>
    </w:p>
    <w:tbl>
      <w:tblPr>
        <w:tblStyle w:val="TableGrid"/>
        <w:tblW w:w="0" w:type="auto"/>
        <w:tblLook w:val="04A0" w:firstRow="1" w:lastRow="0" w:firstColumn="1" w:lastColumn="0" w:noHBand="0" w:noVBand="1"/>
      </w:tblPr>
      <w:tblGrid>
        <w:gridCol w:w="3489"/>
        <w:gridCol w:w="5527"/>
      </w:tblGrid>
      <w:tr w:rsidR="00E41F55" w:rsidRPr="00462638" w14:paraId="5C21BCFA" w14:textId="77777777" w:rsidTr="002A7A16">
        <w:tc>
          <w:tcPr>
            <w:tcW w:w="3489" w:type="dxa"/>
            <w:shd w:val="clear" w:color="auto" w:fill="B4C6E7" w:themeFill="accent1" w:themeFillTint="66"/>
          </w:tcPr>
          <w:p w14:paraId="3359BBB0" w14:textId="77777777" w:rsidR="00E41F55" w:rsidRPr="00BD6693" w:rsidRDefault="00E41F55" w:rsidP="002A7A16">
            <w:pPr>
              <w:pStyle w:val="Table1"/>
              <w:rPr>
                <w:b/>
                <w:bCs/>
              </w:rPr>
            </w:pPr>
            <w:r w:rsidRPr="00BD6693">
              <w:rPr>
                <w:b/>
                <w:bCs/>
              </w:rPr>
              <w:t>Objective</w:t>
            </w:r>
          </w:p>
        </w:tc>
        <w:tc>
          <w:tcPr>
            <w:tcW w:w="5527" w:type="dxa"/>
            <w:shd w:val="clear" w:color="auto" w:fill="B4C6E7" w:themeFill="accent1" w:themeFillTint="66"/>
          </w:tcPr>
          <w:p w14:paraId="14820C62" w14:textId="77777777" w:rsidR="00E41F55" w:rsidRPr="00BD6693" w:rsidRDefault="00E41F55" w:rsidP="002A7A16">
            <w:pPr>
              <w:pStyle w:val="Table1"/>
              <w:rPr>
                <w:b/>
                <w:bCs/>
              </w:rPr>
            </w:pPr>
            <w:r w:rsidRPr="00BD6693">
              <w:rPr>
                <w:b/>
                <w:bCs/>
              </w:rPr>
              <w:t>Assessment</w:t>
            </w:r>
          </w:p>
        </w:tc>
      </w:tr>
      <w:tr w:rsidR="00E41F55" w:rsidRPr="00462638" w14:paraId="5AFADC04" w14:textId="77777777" w:rsidTr="002A7A16">
        <w:tc>
          <w:tcPr>
            <w:tcW w:w="3489" w:type="dxa"/>
          </w:tcPr>
          <w:p w14:paraId="36471207" w14:textId="77777777" w:rsidR="00E41F55" w:rsidRPr="00E41F55" w:rsidRDefault="00E41F55" w:rsidP="00E41F55">
            <w:pPr>
              <w:pStyle w:val="Table1"/>
              <w:rPr>
                <w:b/>
                <w:bCs/>
              </w:rPr>
            </w:pPr>
            <w:r w:rsidRPr="00E41F55">
              <w:rPr>
                <w:b/>
                <w:bCs/>
              </w:rPr>
              <w:t xml:space="preserve">UFD–O1 – Form and function of urban areas  </w:t>
            </w:r>
          </w:p>
          <w:p w14:paraId="5F8B558E" w14:textId="77777777" w:rsidR="00E41F55" w:rsidRDefault="00E41F55" w:rsidP="00E41F55">
            <w:pPr>
              <w:pStyle w:val="Table1"/>
            </w:pPr>
            <w:r>
              <w:t>The form and functioning of Otago’s urban areas:</w:t>
            </w:r>
          </w:p>
          <w:p w14:paraId="7F5E1F92" w14:textId="77777777" w:rsidR="00E41F55" w:rsidRDefault="00E41F55" w:rsidP="00E41F55">
            <w:pPr>
              <w:pStyle w:val="Table1"/>
              <w:ind w:left="456" w:hanging="456"/>
            </w:pPr>
            <w:r>
              <w:t>(1)</w:t>
            </w:r>
            <w:r>
              <w:tab/>
              <w:t>reflects the diverse and changing needs and preferences of Otago’s people and communities, now and in the future, and</w:t>
            </w:r>
          </w:p>
          <w:p w14:paraId="1140D151" w14:textId="58EE0EF6" w:rsidR="00E41F55" w:rsidRPr="0094119F" w:rsidRDefault="00E41F55" w:rsidP="00E41F55">
            <w:pPr>
              <w:pStyle w:val="Table1"/>
              <w:ind w:left="456" w:hanging="456"/>
            </w:pPr>
            <w:r>
              <w:t>(2)</w:t>
            </w:r>
            <w:r>
              <w:tab/>
              <w:t>maintains or enhances the significant values and features identified in this RPS, and the character and resources of each urban area.</w:t>
            </w:r>
          </w:p>
        </w:tc>
        <w:tc>
          <w:tcPr>
            <w:tcW w:w="5527" w:type="dxa"/>
          </w:tcPr>
          <w:p w14:paraId="61176819" w14:textId="324141CF" w:rsidR="00E41F55" w:rsidRDefault="00E41F55" w:rsidP="00E41F55">
            <w:pPr>
              <w:pStyle w:val="Table1"/>
            </w:pPr>
            <w:r>
              <w:t>UFD</w:t>
            </w:r>
            <w:r w:rsidR="00EB7186">
              <w:t>–</w:t>
            </w:r>
            <w:r>
              <w:t xml:space="preserve">O1 outlines the role that Otago’s urban areas play in providing for growth and change, while also maintaining and enhancing the values that make each area attractive to growth and change in the first place. </w:t>
            </w:r>
            <w:r w:rsidR="00B31DEB">
              <w:t>This objective contributes to giving effect to objectives 1, 2, 3, 4</w:t>
            </w:r>
            <w:r w:rsidR="002E618D">
              <w:t xml:space="preserve"> and 6 of the NPSUD as well as </w:t>
            </w:r>
            <w:r w:rsidR="00212705">
              <w:t>Policy 1</w:t>
            </w:r>
            <w:r w:rsidR="00DA243B">
              <w:t xml:space="preserve"> by setting out the outcomes sought for the form and functioning of Otago’s urban areas.</w:t>
            </w:r>
          </w:p>
          <w:p w14:paraId="557DED06" w14:textId="4AB51300" w:rsidR="00E41F55" w:rsidRPr="00462638" w:rsidRDefault="00532D2E" w:rsidP="002A7A16">
            <w:pPr>
              <w:pStyle w:val="Table1"/>
            </w:pPr>
            <w:r>
              <w:t xml:space="preserve">Kāi </w:t>
            </w:r>
            <w:proofErr w:type="spellStart"/>
            <w:r>
              <w:t>Tahu</w:t>
            </w:r>
            <w:proofErr w:type="spellEnd"/>
            <w:r>
              <w:t xml:space="preserve"> did not specifically identify issues with urban environments; their concerns relate more to the effect urban environments can have on the natural environment. </w:t>
            </w:r>
            <w:r w:rsidR="00396EBE">
              <w:t>This objective</w:t>
            </w:r>
            <w:r w:rsidR="00E41F55">
              <w:t xml:space="preserve"> responds to community views in relation to SRMR</w:t>
            </w:r>
            <w:r w:rsidR="00EB7186">
              <w:t>–</w:t>
            </w:r>
            <w:r w:rsidR="00E41F55">
              <w:t>I</w:t>
            </w:r>
            <w:r w:rsidR="002229EF">
              <w:t>4, SRMR–I10 and SRMR–I11.</w:t>
            </w:r>
          </w:p>
        </w:tc>
      </w:tr>
      <w:tr w:rsidR="00E41F55" w:rsidRPr="00462638" w14:paraId="557D5010" w14:textId="77777777" w:rsidTr="002A7A16">
        <w:tc>
          <w:tcPr>
            <w:tcW w:w="3489" w:type="dxa"/>
          </w:tcPr>
          <w:p w14:paraId="36E74468" w14:textId="77777777" w:rsidR="00E41F55" w:rsidRPr="00E41F55" w:rsidRDefault="00E41F55" w:rsidP="00E41F55">
            <w:pPr>
              <w:pStyle w:val="Table1"/>
              <w:rPr>
                <w:b/>
                <w:bCs/>
              </w:rPr>
            </w:pPr>
            <w:r w:rsidRPr="00E41F55">
              <w:rPr>
                <w:b/>
                <w:bCs/>
              </w:rPr>
              <w:t>UFD–O2 – Development of urban areas</w:t>
            </w:r>
          </w:p>
          <w:p w14:paraId="61380B91" w14:textId="77777777" w:rsidR="00E41F55" w:rsidRDefault="00E41F55" w:rsidP="00E41F55">
            <w:pPr>
              <w:pStyle w:val="Table1"/>
            </w:pPr>
            <w:r>
              <w:t xml:space="preserve">The development and change of Otago’s urban areas: </w:t>
            </w:r>
          </w:p>
          <w:p w14:paraId="3E20A5F3" w14:textId="77777777" w:rsidR="00E41F55" w:rsidRDefault="00E41F55" w:rsidP="00E41F55">
            <w:pPr>
              <w:pStyle w:val="Table1"/>
              <w:ind w:left="456" w:hanging="456"/>
            </w:pPr>
            <w:r>
              <w:t>(1)</w:t>
            </w:r>
            <w:r>
              <w:tab/>
              <w:t>improves housing choice, quality, and affordability,</w:t>
            </w:r>
          </w:p>
          <w:p w14:paraId="058B20D1" w14:textId="77777777" w:rsidR="00E41F55" w:rsidRDefault="00E41F55" w:rsidP="00E41F55">
            <w:pPr>
              <w:pStyle w:val="Table1"/>
              <w:ind w:left="456" w:hanging="456"/>
            </w:pPr>
            <w:r>
              <w:t xml:space="preserve">(2) </w:t>
            </w:r>
            <w:r>
              <w:tab/>
              <w:t xml:space="preserve">allows business and other non-residential activities to meet the needs of communities in appropriate locations, </w:t>
            </w:r>
          </w:p>
          <w:p w14:paraId="4576949E" w14:textId="77777777" w:rsidR="00E41F55" w:rsidRDefault="00E41F55" w:rsidP="00E41F55">
            <w:pPr>
              <w:pStyle w:val="Table1"/>
              <w:ind w:left="456" w:hanging="456"/>
            </w:pPr>
            <w:r>
              <w:t>(3)</w:t>
            </w:r>
            <w:r>
              <w:tab/>
              <w:t>respects and wherever possible enhances the area’s history, setting, and natural and built environment,</w:t>
            </w:r>
          </w:p>
          <w:p w14:paraId="71304F0E" w14:textId="77777777" w:rsidR="00E41F55" w:rsidRDefault="00E41F55" w:rsidP="00E41F55">
            <w:pPr>
              <w:pStyle w:val="Table1"/>
              <w:ind w:left="456" w:hanging="456"/>
            </w:pPr>
            <w:r>
              <w:t xml:space="preserve">(4) </w:t>
            </w:r>
            <w:r>
              <w:tab/>
              <w:t>delivers good urban design outcomes, and improves liveability,</w:t>
            </w:r>
          </w:p>
          <w:p w14:paraId="6555CE3C" w14:textId="77777777" w:rsidR="00E41F55" w:rsidRDefault="00E41F55" w:rsidP="00E41F55">
            <w:pPr>
              <w:pStyle w:val="Table1"/>
              <w:ind w:left="456" w:hanging="456"/>
            </w:pPr>
            <w:r>
              <w:lastRenderedPageBreak/>
              <w:t xml:space="preserve">(5) </w:t>
            </w:r>
            <w:r>
              <w:tab/>
              <w:t xml:space="preserve">improves connectivity within urban areas, particularly by active transport and public transport, </w:t>
            </w:r>
          </w:p>
          <w:p w14:paraId="27D5C145" w14:textId="77777777" w:rsidR="00E41F55" w:rsidRDefault="00E41F55" w:rsidP="00E41F55">
            <w:pPr>
              <w:pStyle w:val="Table1"/>
              <w:ind w:left="456" w:hanging="456"/>
            </w:pPr>
            <w:r>
              <w:t>(6)</w:t>
            </w:r>
            <w:r>
              <w:tab/>
              <w:t xml:space="preserve">minimises conflict between incompatible activities, </w:t>
            </w:r>
          </w:p>
          <w:p w14:paraId="4E643601" w14:textId="567564B9" w:rsidR="00E41F55" w:rsidRDefault="00E41F55" w:rsidP="00E41F55">
            <w:pPr>
              <w:pStyle w:val="Table1"/>
              <w:ind w:left="456" w:hanging="456"/>
            </w:pPr>
            <w:r>
              <w:t>(7)</w:t>
            </w:r>
            <w:r>
              <w:tab/>
              <w:t>manage</w:t>
            </w:r>
            <w:r w:rsidR="00D278D4">
              <w:t>s</w:t>
            </w:r>
            <w:r>
              <w:t xml:space="preserve"> the exposure of risk from natural hazards, in accordance with the HAZ</w:t>
            </w:r>
            <w:r w:rsidR="00FB70D4">
              <w:t>–</w:t>
            </w:r>
            <w:r>
              <w:t>NH</w:t>
            </w:r>
            <w:r w:rsidR="00FB70D4">
              <w:t xml:space="preserve"> – </w:t>
            </w:r>
            <w:r>
              <w:t xml:space="preserve">Natural hazards section of this RPS, </w:t>
            </w:r>
          </w:p>
          <w:p w14:paraId="75789835" w14:textId="77777777" w:rsidR="00E41F55" w:rsidRDefault="00E41F55" w:rsidP="00E41F55">
            <w:pPr>
              <w:pStyle w:val="Table1"/>
              <w:ind w:left="456" w:hanging="456"/>
            </w:pPr>
            <w:r>
              <w:t xml:space="preserve">(8) </w:t>
            </w:r>
            <w:r>
              <w:tab/>
              <w:t xml:space="preserve">results in sustainable and efficient use of water, energy, land, and infrastructure, </w:t>
            </w:r>
          </w:p>
          <w:p w14:paraId="2E740CE9" w14:textId="77777777" w:rsidR="00E41F55" w:rsidRDefault="00E41F55" w:rsidP="00E41F55">
            <w:pPr>
              <w:pStyle w:val="Table1"/>
              <w:ind w:left="456" w:hanging="456"/>
            </w:pPr>
            <w:r>
              <w:t>(9)</w:t>
            </w:r>
            <w:r>
              <w:tab/>
              <w:t xml:space="preserve">achieves integration of land use with existing and planned development infrastructure and additional infrastructure and facilitates the safe and efficient ongoing use of regionally significant infrastructure, </w:t>
            </w:r>
          </w:p>
          <w:p w14:paraId="3520109A" w14:textId="37200F09" w:rsidR="00E41F55" w:rsidRDefault="00E41F55" w:rsidP="00E41F55">
            <w:pPr>
              <w:pStyle w:val="Table1"/>
              <w:ind w:left="456" w:hanging="456"/>
            </w:pPr>
            <w:r>
              <w:t xml:space="preserve">(10) </w:t>
            </w:r>
            <w:r>
              <w:tab/>
              <w:t xml:space="preserve">achieve consolidated, well </w:t>
            </w:r>
            <w:proofErr w:type="gramStart"/>
            <w:r>
              <w:t>designed</w:t>
            </w:r>
            <w:proofErr w:type="gramEnd"/>
            <w:r>
              <w:t xml:space="preserve"> and located, and sustainable development in and around existing urban areas as the primary focus for accommodating the region’s urban growth and change, and</w:t>
            </w:r>
          </w:p>
          <w:p w14:paraId="35AAE8CF" w14:textId="4B972BA1" w:rsidR="00E41F55" w:rsidRPr="0094119F" w:rsidRDefault="00E41F55" w:rsidP="00E41F55">
            <w:pPr>
              <w:pStyle w:val="Table1"/>
              <w:ind w:left="456" w:hanging="456"/>
            </w:pPr>
            <w:r>
              <w:t>(11)</w:t>
            </w:r>
            <w:r>
              <w:tab/>
              <w:t>is guided by the input and involvement of mana whenua.</w:t>
            </w:r>
          </w:p>
        </w:tc>
        <w:tc>
          <w:tcPr>
            <w:tcW w:w="5527" w:type="dxa"/>
          </w:tcPr>
          <w:p w14:paraId="370C31AB" w14:textId="0C273052" w:rsidR="00E41F55" w:rsidRDefault="00E41F55" w:rsidP="00E41F55">
            <w:pPr>
              <w:pStyle w:val="Table1"/>
            </w:pPr>
            <w:r>
              <w:lastRenderedPageBreak/>
              <w:t>UFD</w:t>
            </w:r>
            <w:r w:rsidR="00EB7186">
              <w:t>–</w:t>
            </w:r>
            <w:r>
              <w:t>O2 builds on UFD</w:t>
            </w:r>
            <w:r w:rsidR="00EB7186">
              <w:t>–</w:t>
            </w:r>
            <w:r>
              <w:t xml:space="preserve">O1 </w:t>
            </w:r>
            <w:r w:rsidR="002229EF">
              <w:t xml:space="preserve">by </w:t>
            </w:r>
            <w:r>
              <w:t>providing the long-term goals for development and change of Otago’s urban area</w:t>
            </w:r>
            <w:r w:rsidR="00D278D4">
              <w:t xml:space="preserve">, including </w:t>
            </w:r>
            <w:r>
              <w:t xml:space="preserve">how this can be managed to achieve overall improvements across key environmental, </w:t>
            </w:r>
            <w:proofErr w:type="gramStart"/>
            <w:r>
              <w:t>cultural</w:t>
            </w:r>
            <w:proofErr w:type="gramEnd"/>
            <w:r>
              <w:t xml:space="preserve"> and social measures. </w:t>
            </w:r>
          </w:p>
          <w:p w14:paraId="46AAEABF" w14:textId="423D9563" w:rsidR="00E41F55" w:rsidRDefault="00E41F55" w:rsidP="00E41F55">
            <w:pPr>
              <w:pStyle w:val="Table1"/>
            </w:pPr>
            <w:r>
              <w:t>UFD</w:t>
            </w:r>
            <w:r w:rsidR="002229EF">
              <w:t>–</w:t>
            </w:r>
            <w:r>
              <w:t xml:space="preserve">O2 </w:t>
            </w:r>
            <w:r w:rsidR="002229EF">
              <w:t>contributes to giving effect to</w:t>
            </w:r>
            <w:r>
              <w:t xml:space="preserve"> Objectives 1 and 4 and Policy 1 of the NPSUD. Additionally, UFD</w:t>
            </w:r>
            <w:r w:rsidR="002229EF">
              <w:t>–</w:t>
            </w:r>
            <w:r>
              <w:t>O2 gives effect to sections 6(b), (c), (h) and 7(b) of the RMA by requiring development and change to manage the exposure of risk from natural hazards and ensure sustainable and efficient use of natural resources.</w:t>
            </w:r>
          </w:p>
          <w:p w14:paraId="3933EC01" w14:textId="09DF226F" w:rsidR="005D300E" w:rsidRDefault="005D300E" w:rsidP="00E41F55">
            <w:pPr>
              <w:pStyle w:val="Table1"/>
            </w:pPr>
            <w:proofErr w:type="gramStart"/>
            <w:r>
              <w:t>This objective addresses</w:t>
            </w:r>
            <w:proofErr w:type="gramEnd"/>
            <w:r>
              <w:t xml:space="preserve"> some of the issues Kāi </w:t>
            </w:r>
            <w:proofErr w:type="spellStart"/>
            <w:r>
              <w:t>Tahu</w:t>
            </w:r>
            <w:proofErr w:type="spellEnd"/>
            <w:r>
              <w:t xml:space="preserve"> identified as significant, including the </w:t>
            </w:r>
            <w:r w:rsidR="00CB3495">
              <w:t xml:space="preserve">effects of urban development on freshwater (RMIA–WAI–I3), </w:t>
            </w:r>
            <w:proofErr w:type="spellStart"/>
            <w:r w:rsidR="00EC3802">
              <w:t>mahika</w:t>
            </w:r>
            <w:proofErr w:type="spellEnd"/>
            <w:r w:rsidR="00EC3802">
              <w:t xml:space="preserve"> kai (RMIA–MKB–I1)</w:t>
            </w:r>
            <w:r w:rsidR="00D616C6">
              <w:t xml:space="preserve"> and the visibility of the sky and </w:t>
            </w:r>
            <w:proofErr w:type="spellStart"/>
            <w:r w:rsidR="00D616C6">
              <w:t>wāhi</w:t>
            </w:r>
            <w:proofErr w:type="spellEnd"/>
            <w:r w:rsidR="00D616C6">
              <w:t xml:space="preserve"> tūpuna features (RMIA–</w:t>
            </w:r>
            <w:r w:rsidR="001E58DB">
              <w:t xml:space="preserve">AA–I1). It also responds to community feedback on the issues, particularly </w:t>
            </w:r>
            <w:r w:rsidR="00320835">
              <w:t>SRMR–I4, SRMR–I6, SRMR–I9,</w:t>
            </w:r>
            <w:r w:rsidR="004B45F9">
              <w:t xml:space="preserve"> SRMR–I10 and SRMR–I11.</w:t>
            </w:r>
          </w:p>
          <w:p w14:paraId="6556FEE4" w14:textId="20CF2AD5" w:rsidR="002229EF" w:rsidRPr="00462638" w:rsidRDefault="002229EF" w:rsidP="00E41F55">
            <w:pPr>
              <w:pStyle w:val="Table1"/>
            </w:pPr>
          </w:p>
        </w:tc>
      </w:tr>
      <w:tr w:rsidR="00E41F55" w:rsidRPr="00462638" w14:paraId="09D8EB05" w14:textId="77777777" w:rsidTr="002A7A16">
        <w:tc>
          <w:tcPr>
            <w:tcW w:w="3489" w:type="dxa"/>
          </w:tcPr>
          <w:p w14:paraId="5D854174" w14:textId="77777777" w:rsidR="00E41F55" w:rsidRPr="00E41F55" w:rsidRDefault="00E41F55" w:rsidP="00E41F55">
            <w:pPr>
              <w:pStyle w:val="Table1"/>
              <w:rPr>
                <w:b/>
                <w:bCs/>
              </w:rPr>
            </w:pPr>
            <w:r w:rsidRPr="00E41F55">
              <w:rPr>
                <w:b/>
                <w:bCs/>
              </w:rPr>
              <w:t>UFD–O3 – Strategic planning</w:t>
            </w:r>
          </w:p>
          <w:p w14:paraId="5C2CE9D6" w14:textId="77777777" w:rsidR="00E41F55" w:rsidRPr="00E41F55" w:rsidRDefault="00E41F55" w:rsidP="00E41F55">
            <w:pPr>
              <w:pStyle w:val="Table1"/>
            </w:pPr>
            <w:r w:rsidRPr="00E41F55">
              <w:t xml:space="preserve">Strategic planning is undertaken in advance of significant development, </w:t>
            </w:r>
            <w:proofErr w:type="gramStart"/>
            <w:r w:rsidRPr="00E41F55">
              <w:t>expansion</w:t>
            </w:r>
            <w:proofErr w:type="gramEnd"/>
            <w:r w:rsidRPr="00E41F55">
              <w:t xml:space="preserve"> or redevelopment of urban areas to ensure that </w:t>
            </w:r>
          </w:p>
          <w:p w14:paraId="4213A9C2" w14:textId="77777777" w:rsidR="00E41F55" w:rsidRPr="00E41F55" w:rsidRDefault="00E41F55" w:rsidP="00E41F55">
            <w:pPr>
              <w:pStyle w:val="Table1"/>
              <w:ind w:left="456" w:hanging="456"/>
            </w:pPr>
            <w:r w:rsidRPr="00E41F55">
              <w:t>(1)</w:t>
            </w:r>
            <w:r w:rsidRPr="00E41F55">
              <w:tab/>
              <w:t xml:space="preserve">there is sufficient development capacity supported by integrated infrastructure provision for Otago’s housing and business needs in the short, </w:t>
            </w:r>
            <w:proofErr w:type="gramStart"/>
            <w:r w:rsidRPr="00E41F55">
              <w:t>medium</w:t>
            </w:r>
            <w:proofErr w:type="gramEnd"/>
            <w:r w:rsidRPr="00E41F55">
              <w:t xml:space="preserve"> and long term, </w:t>
            </w:r>
          </w:p>
          <w:p w14:paraId="07644A5A" w14:textId="77777777" w:rsidR="00E41F55" w:rsidRPr="00E41F55" w:rsidRDefault="00E41F55" w:rsidP="00E41F55">
            <w:pPr>
              <w:pStyle w:val="Table1"/>
              <w:ind w:left="456" w:hanging="456"/>
            </w:pPr>
            <w:r w:rsidRPr="00E41F55">
              <w:t>(2)</w:t>
            </w:r>
            <w:r w:rsidRPr="00E41F55">
              <w:tab/>
              <w:t xml:space="preserve">development is located, </w:t>
            </w:r>
            <w:proofErr w:type="gramStart"/>
            <w:r w:rsidRPr="00E41F55">
              <w:t>designed</w:t>
            </w:r>
            <w:proofErr w:type="gramEnd"/>
            <w:r w:rsidRPr="00E41F55">
              <w:t xml:space="preserve"> and delivered in a way and at a rate that recognises and provides for locationally relevant regionally significant features and values identified by this RPS, and </w:t>
            </w:r>
          </w:p>
          <w:p w14:paraId="7F0DE37D" w14:textId="2D850E20" w:rsidR="00E41F55" w:rsidRPr="00E41F55" w:rsidRDefault="00E41F55" w:rsidP="00E41F55">
            <w:pPr>
              <w:pStyle w:val="Table1"/>
              <w:ind w:left="456" w:hanging="456"/>
            </w:pPr>
            <w:r w:rsidRPr="00E41F55">
              <w:t>(3)</w:t>
            </w:r>
            <w:r w:rsidRPr="00E41F55">
              <w:tab/>
              <w:t>the involvement of mana whenua is facilitated, and their values and aspirations are provided for.</w:t>
            </w:r>
          </w:p>
        </w:tc>
        <w:tc>
          <w:tcPr>
            <w:tcW w:w="5527" w:type="dxa"/>
          </w:tcPr>
          <w:p w14:paraId="476B3B38" w14:textId="14282DE6" w:rsidR="00E41F55" w:rsidRDefault="00E41F55" w:rsidP="00E41F55">
            <w:pPr>
              <w:pStyle w:val="Table1"/>
            </w:pPr>
            <w:r>
              <w:t>UFD</w:t>
            </w:r>
            <w:r w:rsidR="004B45F9">
              <w:t>–</w:t>
            </w:r>
            <w:r>
              <w:t xml:space="preserve">O3 requires strategic planning be undertaken prior to significant development expansion or redevelopment of urban areas. The purpose of strategic planning is to </w:t>
            </w:r>
            <w:proofErr w:type="gramStart"/>
            <w:r>
              <w:t>ensure  there</w:t>
            </w:r>
            <w:proofErr w:type="gramEnd"/>
            <w:r>
              <w:t xml:space="preserve"> is sufficient development capacity supported by integrated infrastructure, consideration of all the other matters highlighted by the PORPS, as well as facilitating the involvement of mana whenua to ensure their values and aspirations are provided for. </w:t>
            </w:r>
            <w:r w:rsidR="0027663B">
              <w:t>This objective is reflective of the direction and approach of the NPSUD, specifically objectives 1, 5 and 6 and policy 9.</w:t>
            </w:r>
          </w:p>
          <w:p w14:paraId="77CBB233" w14:textId="348AB360" w:rsidR="00E41F55" w:rsidRDefault="0027663B" w:rsidP="00E41F55">
            <w:pPr>
              <w:pStyle w:val="Table1"/>
            </w:pPr>
            <w:proofErr w:type="gramStart"/>
            <w:r>
              <w:t>This objective addresses</w:t>
            </w:r>
            <w:proofErr w:type="gramEnd"/>
            <w:r>
              <w:t xml:space="preserve"> some of the issues Kāi </w:t>
            </w:r>
            <w:proofErr w:type="spellStart"/>
            <w:r>
              <w:t>Tahu</w:t>
            </w:r>
            <w:proofErr w:type="spellEnd"/>
            <w:r>
              <w:t xml:space="preserve"> identified as significant, including the effects of urban development on freshwater (RMIA–WAI–I3), </w:t>
            </w:r>
            <w:proofErr w:type="spellStart"/>
            <w:r>
              <w:t>mahika</w:t>
            </w:r>
            <w:proofErr w:type="spellEnd"/>
            <w:r>
              <w:t xml:space="preserve"> kai (RMIA–MKB–I1) and the visibility of the sky and </w:t>
            </w:r>
            <w:proofErr w:type="spellStart"/>
            <w:r>
              <w:t>wāhi</w:t>
            </w:r>
            <w:proofErr w:type="spellEnd"/>
            <w:r>
              <w:t xml:space="preserve"> tūpuna features (RMIA–AA–I1). </w:t>
            </w:r>
            <w:r w:rsidR="00E41F55">
              <w:t>UFD</w:t>
            </w:r>
            <w:r>
              <w:t>–</w:t>
            </w:r>
            <w:r w:rsidR="00E41F55">
              <w:t xml:space="preserve">O3 </w:t>
            </w:r>
            <w:r>
              <w:t xml:space="preserve">also </w:t>
            </w:r>
            <w:r w:rsidR="00E41F55">
              <w:t xml:space="preserve">responds to SRMR–I4, SRMR–I10 and SRMR–I11. </w:t>
            </w:r>
          </w:p>
          <w:p w14:paraId="5C804D14" w14:textId="77777777" w:rsidR="00E41F55" w:rsidRDefault="00E41F55" w:rsidP="00E41F55">
            <w:pPr>
              <w:pStyle w:val="Table1"/>
            </w:pPr>
          </w:p>
          <w:p w14:paraId="4119F087" w14:textId="77777777" w:rsidR="00E41F55" w:rsidRDefault="00E41F55" w:rsidP="00E41F55">
            <w:pPr>
              <w:pStyle w:val="Table1"/>
            </w:pPr>
          </w:p>
          <w:p w14:paraId="52DD2B74" w14:textId="77777777" w:rsidR="00E41F55" w:rsidRDefault="00E41F55" w:rsidP="00E41F55">
            <w:pPr>
              <w:pStyle w:val="Table1"/>
            </w:pPr>
          </w:p>
        </w:tc>
      </w:tr>
      <w:tr w:rsidR="00E41F55" w:rsidRPr="00462638" w14:paraId="5304F16E" w14:textId="77777777" w:rsidTr="002A7A16">
        <w:tc>
          <w:tcPr>
            <w:tcW w:w="3489" w:type="dxa"/>
          </w:tcPr>
          <w:p w14:paraId="6C07C725" w14:textId="77777777" w:rsidR="00E41F55" w:rsidRPr="00E41F55" w:rsidRDefault="00E41F55" w:rsidP="00E41F55">
            <w:pPr>
              <w:pStyle w:val="Table1"/>
              <w:rPr>
                <w:b/>
                <w:bCs/>
              </w:rPr>
            </w:pPr>
            <w:r w:rsidRPr="00E41F55">
              <w:rPr>
                <w:b/>
                <w:bCs/>
              </w:rPr>
              <w:t>UFD–O4 – Development in rural areas</w:t>
            </w:r>
          </w:p>
          <w:p w14:paraId="016FD620" w14:textId="77777777" w:rsidR="00E41F55" w:rsidRPr="00E41F55" w:rsidRDefault="00E41F55" w:rsidP="00E41F55">
            <w:pPr>
              <w:pStyle w:val="Table1"/>
            </w:pPr>
            <w:r w:rsidRPr="00E41F55">
              <w:t>Development in Otago’s rural areas occurs in a way that:</w:t>
            </w:r>
          </w:p>
          <w:p w14:paraId="3A762A85" w14:textId="77777777" w:rsidR="00E41F55" w:rsidRPr="00E41F55" w:rsidRDefault="00E41F55" w:rsidP="00E41F55">
            <w:pPr>
              <w:pStyle w:val="Table1"/>
              <w:ind w:left="456" w:hanging="456"/>
            </w:pPr>
            <w:r w:rsidRPr="00E41F55">
              <w:lastRenderedPageBreak/>
              <w:t xml:space="preserve">(1) </w:t>
            </w:r>
            <w:r w:rsidRPr="00E41F55">
              <w:tab/>
              <w:t xml:space="preserve">avoids impacts on significant values and features identified in this </w:t>
            </w:r>
            <w:proofErr w:type="gramStart"/>
            <w:r w:rsidRPr="00E41F55">
              <w:t>RPS;</w:t>
            </w:r>
            <w:proofErr w:type="gramEnd"/>
          </w:p>
          <w:p w14:paraId="624A0030" w14:textId="77777777" w:rsidR="00E41F55" w:rsidRPr="00E41F55" w:rsidRDefault="00E41F55" w:rsidP="00E41F55">
            <w:pPr>
              <w:pStyle w:val="Table1"/>
              <w:ind w:left="456" w:hanging="456"/>
            </w:pPr>
            <w:r w:rsidRPr="00E41F55">
              <w:t xml:space="preserve">(2) </w:t>
            </w:r>
            <w:r w:rsidRPr="00E41F55">
              <w:tab/>
              <w:t xml:space="preserve">avoids as the first priority, land and soils identified as highly productive by LF–LS–P16 unless there is an operational need for the development to be located in rural </w:t>
            </w:r>
            <w:proofErr w:type="gramStart"/>
            <w:r w:rsidRPr="00E41F55">
              <w:t>areas;</w:t>
            </w:r>
            <w:proofErr w:type="gramEnd"/>
          </w:p>
          <w:p w14:paraId="4BF62EDE" w14:textId="77777777" w:rsidR="00E41F55" w:rsidRPr="00E41F55" w:rsidRDefault="00E41F55" w:rsidP="00E41F55">
            <w:pPr>
              <w:pStyle w:val="Table1"/>
              <w:ind w:left="456" w:hanging="456"/>
            </w:pPr>
            <w:r w:rsidRPr="00E41F55">
              <w:t>(3)</w:t>
            </w:r>
            <w:r w:rsidRPr="00E41F55">
              <w:tab/>
              <w:t>only provides for urban expansion, rural lifestyle and rural residential development and the establishment of sensitive activities, in locations identified through strategic planning or zoned within district plans as suitable for such development; and</w:t>
            </w:r>
          </w:p>
          <w:p w14:paraId="7529A5E4" w14:textId="4F675B8C" w:rsidR="00E41F55" w:rsidRPr="00E41F55" w:rsidRDefault="00E41F55" w:rsidP="00E41F55">
            <w:pPr>
              <w:pStyle w:val="Table1"/>
              <w:ind w:left="456" w:hanging="456"/>
            </w:pPr>
            <w:r w:rsidRPr="00E41F55">
              <w:t xml:space="preserve">(4) </w:t>
            </w:r>
            <w:r w:rsidRPr="00E41F55">
              <w:tab/>
              <w:t xml:space="preserve">outside of areas identified in (3), </w:t>
            </w:r>
            <w:proofErr w:type="gramStart"/>
            <w:r w:rsidRPr="00E41F55">
              <w:t>maintains</w:t>
            </w:r>
            <w:proofErr w:type="gramEnd"/>
            <w:r w:rsidRPr="00E41F55">
              <w:t xml:space="preserve"> and enhances the natural and physical resources that support the productive capacity, rural character, and long-term viability of the rural sector and rural communities.</w:t>
            </w:r>
          </w:p>
        </w:tc>
        <w:tc>
          <w:tcPr>
            <w:tcW w:w="5527" w:type="dxa"/>
          </w:tcPr>
          <w:p w14:paraId="391B0753" w14:textId="2AF07C58" w:rsidR="00E41F55" w:rsidRDefault="00E41F55" w:rsidP="00E41F55">
            <w:pPr>
              <w:pStyle w:val="Table1"/>
            </w:pPr>
            <w:r>
              <w:lastRenderedPageBreak/>
              <w:t>UFD</w:t>
            </w:r>
            <w:r w:rsidR="0027663B">
              <w:t>–</w:t>
            </w:r>
            <w:r>
              <w:t xml:space="preserve">O4 provides a specific approach to development in rural areas and builds on the other UFD objectives. At a high level, this objective requires development in rural areas to avoid impacts on significant values and features identified in other sections of the PORPS, while ensuring the values of rural areas, including the </w:t>
            </w:r>
            <w:r>
              <w:lastRenderedPageBreak/>
              <w:t xml:space="preserve">features they contain, is important for achieving integrated management across the region. </w:t>
            </w:r>
            <w:r w:rsidR="009A1277">
              <w:t xml:space="preserve">UFD–O4 aligns with the purpose and principals of the RMA, specifically section 5 and section 7 (b), (c) and (f) by requiring development in rural areas to ensure it is identified as being suitable for development or occurs in a way that maintains and enhances the natural and physical resources that support rural areas.  </w:t>
            </w:r>
          </w:p>
          <w:p w14:paraId="59CE1B94" w14:textId="55A4EE8E" w:rsidR="00E41F55" w:rsidRDefault="009A1277" w:rsidP="00E41F55">
            <w:pPr>
              <w:pStyle w:val="Table1"/>
            </w:pPr>
            <w:proofErr w:type="gramStart"/>
            <w:r>
              <w:t>This objective addresses</w:t>
            </w:r>
            <w:proofErr w:type="gramEnd"/>
            <w:r>
              <w:t xml:space="preserve"> some of the issues Kāi </w:t>
            </w:r>
            <w:proofErr w:type="spellStart"/>
            <w:r>
              <w:t>Tahu</w:t>
            </w:r>
            <w:proofErr w:type="spellEnd"/>
            <w:r>
              <w:t xml:space="preserve"> identified as significant, including the effects of urban development on freshwater (RMIA–WAI–I3), </w:t>
            </w:r>
            <w:proofErr w:type="spellStart"/>
            <w:r>
              <w:t>mahika</w:t>
            </w:r>
            <w:proofErr w:type="spellEnd"/>
            <w:r>
              <w:t xml:space="preserve"> kai (RMIA–MKB–I1) and the visibility of the sky and </w:t>
            </w:r>
            <w:proofErr w:type="spellStart"/>
            <w:r>
              <w:t>wāhi</w:t>
            </w:r>
            <w:proofErr w:type="spellEnd"/>
            <w:r>
              <w:t xml:space="preserve"> tūpuna features (RMIA–AA–I1). </w:t>
            </w:r>
            <w:r w:rsidR="00E41F55">
              <w:t xml:space="preserve">This objective responds to SRMR–I4 and SRMR–I10 by establishing a framework for development in rural areas. </w:t>
            </w:r>
          </w:p>
        </w:tc>
      </w:tr>
      <w:tr w:rsidR="00E41F55" w:rsidRPr="00462638" w14:paraId="2C1550D8" w14:textId="77777777" w:rsidTr="002A7A16">
        <w:tc>
          <w:tcPr>
            <w:tcW w:w="3489" w:type="dxa"/>
          </w:tcPr>
          <w:p w14:paraId="2A6557F9" w14:textId="460D9FA4" w:rsidR="00E41F55" w:rsidRPr="00E41F55" w:rsidRDefault="00E41F55" w:rsidP="00E41F55">
            <w:pPr>
              <w:pStyle w:val="Table1"/>
              <w:rPr>
                <w:b/>
                <w:bCs/>
              </w:rPr>
            </w:pPr>
            <w:r w:rsidRPr="00E41F55">
              <w:rPr>
                <w:b/>
                <w:bCs/>
              </w:rPr>
              <w:lastRenderedPageBreak/>
              <w:t xml:space="preserve">UFD–O5 – Urban development and </w:t>
            </w:r>
            <w:r>
              <w:rPr>
                <w:b/>
                <w:bCs/>
              </w:rPr>
              <w:t>c</w:t>
            </w:r>
            <w:r w:rsidRPr="00E41F55">
              <w:rPr>
                <w:b/>
                <w:bCs/>
              </w:rPr>
              <w:t xml:space="preserve">limate </w:t>
            </w:r>
            <w:r>
              <w:rPr>
                <w:b/>
                <w:bCs/>
              </w:rPr>
              <w:t>c</w:t>
            </w:r>
            <w:r w:rsidRPr="00E41F55">
              <w:rPr>
                <w:b/>
                <w:bCs/>
              </w:rPr>
              <w:t>hange</w:t>
            </w:r>
          </w:p>
          <w:p w14:paraId="0CECB650" w14:textId="77777777" w:rsidR="00E41F55" w:rsidRDefault="00E41F55" w:rsidP="00E41F55">
            <w:pPr>
              <w:pStyle w:val="Table1"/>
            </w:pPr>
            <w:r>
              <w:t xml:space="preserve">The impacts of climate change are responded to in the development and change of Otago’s urban areas so that: </w:t>
            </w:r>
          </w:p>
          <w:p w14:paraId="701AE025" w14:textId="41CFBA5A" w:rsidR="00E41F55" w:rsidRDefault="00E41F55" w:rsidP="00E41F55">
            <w:pPr>
              <w:pStyle w:val="Table1"/>
              <w:ind w:left="456" w:hanging="456"/>
            </w:pPr>
            <w:r>
              <w:t>(1)</w:t>
            </w:r>
            <w:r>
              <w:tab/>
              <w:t xml:space="preserve">the contributions of current communities and future generations to climate change impacts are reduced, </w:t>
            </w:r>
          </w:p>
          <w:p w14:paraId="5215D76A" w14:textId="77777777" w:rsidR="00E41F55" w:rsidRDefault="00E41F55" w:rsidP="00E41F55">
            <w:pPr>
              <w:pStyle w:val="Table1"/>
              <w:ind w:left="456" w:hanging="456"/>
            </w:pPr>
            <w:r>
              <w:t xml:space="preserve">(2) </w:t>
            </w:r>
            <w:r>
              <w:tab/>
              <w:t>community resilience increases,</w:t>
            </w:r>
          </w:p>
          <w:p w14:paraId="2AF5CD9C" w14:textId="77777777" w:rsidR="00E41F55" w:rsidRDefault="00E41F55" w:rsidP="00E41F55">
            <w:pPr>
              <w:pStyle w:val="Table1"/>
              <w:ind w:left="456" w:hanging="456"/>
            </w:pPr>
            <w:r>
              <w:t xml:space="preserve">(3) </w:t>
            </w:r>
            <w:r>
              <w:tab/>
              <w:t>adaptation to the effects of climate change is facilitated,</w:t>
            </w:r>
          </w:p>
          <w:p w14:paraId="32DD93D1" w14:textId="77777777" w:rsidR="00E41F55" w:rsidRDefault="00E41F55" w:rsidP="00E41F55">
            <w:pPr>
              <w:pStyle w:val="Table1"/>
              <w:ind w:left="456" w:hanging="456"/>
            </w:pPr>
            <w:r>
              <w:t xml:space="preserve">(3) </w:t>
            </w:r>
            <w:r>
              <w:tab/>
              <w:t xml:space="preserve">energy use is minimised, and energy efficiency improves, and </w:t>
            </w:r>
          </w:p>
          <w:p w14:paraId="797C90F7" w14:textId="77777777" w:rsidR="00E41F55" w:rsidRDefault="00E41F55" w:rsidP="00E41F55">
            <w:pPr>
              <w:pStyle w:val="Table1"/>
              <w:ind w:left="456" w:hanging="456"/>
            </w:pPr>
            <w:r>
              <w:t xml:space="preserve">(4) </w:t>
            </w:r>
            <w:r>
              <w:tab/>
              <w:t>establishment and use of small and community-scale distributed electricity generation is enabled.</w:t>
            </w:r>
          </w:p>
          <w:p w14:paraId="7F67AD4A" w14:textId="77777777" w:rsidR="00E41F55" w:rsidRPr="00E41F55" w:rsidRDefault="00E41F55" w:rsidP="00E41F55">
            <w:pPr>
              <w:pStyle w:val="Table1"/>
            </w:pPr>
          </w:p>
        </w:tc>
        <w:tc>
          <w:tcPr>
            <w:tcW w:w="5527" w:type="dxa"/>
          </w:tcPr>
          <w:p w14:paraId="39E5F5EC" w14:textId="4B51C0B7" w:rsidR="00E41F55" w:rsidRDefault="00E41F55" w:rsidP="00E41F55">
            <w:pPr>
              <w:pStyle w:val="Table1"/>
            </w:pPr>
            <w:r>
              <w:t>UFD</w:t>
            </w:r>
            <w:r w:rsidR="0027663B">
              <w:t>–</w:t>
            </w:r>
            <w:r>
              <w:t>O5 specifically identifies the way that urban development and change can be managed to both limit the contribution to climate change impacts (mitigation) and enable adaptation to its reasonably foreseeable impacts.</w:t>
            </w:r>
          </w:p>
          <w:p w14:paraId="4618441D" w14:textId="7D8561EE" w:rsidR="00E41F55" w:rsidRDefault="00E41F55" w:rsidP="00E41F55">
            <w:pPr>
              <w:pStyle w:val="Table1"/>
            </w:pPr>
            <w:r>
              <w:t>UFD</w:t>
            </w:r>
            <w:r w:rsidR="0027663B">
              <w:t>–</w:t>
            </w:r>
            <w:r>
              <w:t xml:space="preserve">O5 specifically responds to SRMR–I2 and SRMR–I4 by requiring the impacts of climate change be responded to during the development and change of Otago’s urban areas. Objective 8 and policy 6(e) of the NPSUD requires urban environments to be resilient to the current and future effects of climate change, as sought by UFD-O5. </w:t>
            </w:r>
            <w:r w:rsidR="00D278D4">
              <w:t xml:space="preserve">It is also required to have </w:t>
            </w:r>
            <w:proofErr w:type="gramStart"/>
            <w:r w:rsidR="00D278D4">
              <w:t>particular regard</w:t>
            </w:r>
            <w:proofErr w:type="gramEnd"/>
            <w:r w:rsidR="00D278D4">
              <w:t xml:space="preserve"> to t</w:t>
            </w:r>
            <w:r>
              <w:t>he effects of climate change in accordance with section 7(</w:t>
            </w:r>
            <w:proofErr w:type="spellStart"/>
            <w:r>
              <w:t>i</w:t>
            </w:r>
            <w:proofErr w:type="spellEnd"/>
            <w:r>
              <w:t xml:space="preserve">) of the RMA. </w:t>
            </w:r>
          </w:p>
          <w:p w14:paraId="476FEE49" w14:textId="77777777" w:rsidR="00E41F55" w:rsidRDefault="00E41F55" w:rsidP="00E41F55">
            <w:pPr>
              <w:pStyle w:val="Table1"/>
            </w:pPr>
          </w:p>
        </w:tc>
      </w:tr>
    </w:tbl>
    <w:p w14:paraId="507B9BB5" w14:textId="4317CA63" w:rsidR="00E0131A" w:rsidRDefault="00C41093" w:rsidP="00A247C5">
      <w:pPr>
        <w:pStyle w:val="Normal2"/>
      </w:pPr>
      <w:r w:rsidRPr="00941C3E">
        <w:t>T</w:t>
      </w:r>
      <w:r w:rsidR="00AB31EC" w:rsidRPr="00941C3E">
        <w:t xml:space="preserve">he relevant </w:t>
      </w:r>
      <w:r w:rsidR="00D03393">
        <w:t>PO</w:t>
      </w:r>
      <w:r w:rsidR="00AB31EC" w:rsidRPr="00941C3E">
        <w:t xml:space="preserve">RPS provisions that </w:t>
      </w:r>
      <w:r w:rsidR="00D03393">
        <w:t>implement</w:t>
      </w:r>
      <w:r w:rsidR="00AB31EC" w:rsidRPr="00941C3E">
        <w:t xml:space="preserve"> these objectives </w:t>
      </w:r>
      <w:r w:rsidRPr="00941C3E">
        <w:t xml:space="preserve">are found in the </w:t>
      </w:r>
      <w:r w:rsidR="00DF1ABF" w:rsidRPr="00941C3E">
        <w:t xml:space="preserve">policies and methods of the </w:t>
      </w:r>
      <w:r w:rsidRPr="00941C3E">
        <w:t>U</w:t>
      </w:r>
      <w:r w:rsidR="00C307D2" w:rsidRPr="00941C3E">
        <w:t>FD</w:t>
      </w:r>
      <w:r w:rsidRPr="00941C3E">
        <w:t xml:space="preserve"> chapter</w:t>
      </w:r>
      <w:r w:rsidR="00E0131A">
        <w:t xml:space="preserve"> and are listed below:</w:t>
      </w:r>
    </w:p>
    <w:p w14:paraId="50BF25DA" w14:textId="66646A5F" w:rsidR="00E07AD7" w:rsidRPr="00F8339D" w:rsidRDefault="00E07AD7" w:rsidP="00A247C5">
      <w:pPr>
        <w:pStyle w:val="Normal3"/>
      </w:pPr>
      <w:r>
        <w:t>UFD</w:t>
      </w:r>
      <w:r w:rsidR="009A1277">
        <w:t>–</w:t>
      </w:r>
      <w:r>
        <w:t xml:space="preserve">P1 – Strategic planning </w:t>
      </w:r>
    </w:p>
    <w:p w14:paraId="501BEA7F" w14:textId="18EC483D" w:rsidR="00E07AD7" w:rsidRPr="00F8339D" w:rsidRDefault="00E07AD7" w:rsidP="00A247C5">
      <w:pPr>
        <w:pStyle w:val="Normal3"/>
      </w:pPr>
      <w:r>
        <w:t>UFD</w:t>
      </w:r>
      <w:r w:rsidR="009A1277">
        <w:t>–</w:t>
      </w:r>
      <w:r>
        <w:t>P2 - Sufficiency of development capacity</w:t>
      </w:r>
    </w:p>
    <w:p w14:paraId="59FFDCDB" w14:textId="6A6E849A" w:rsidR="00E07AD7" w:rsidRPr="00F8339D" w:rsidRDefault="00E07AD7" w:rsidP="00A247C5">
      <w:pPr>
        <w:pStyle w:val="Normal3"/>
      </w:pPr>
      <w:r>
        <w:t>UFD</w:t>
      </w:r>
      <w:r w:rsidR="009A1277">
        <w:t>–</w:t>
      </w:r>
      <w:r>
        <w:t>P3 – Urban intensification</w:t>
      </w:r>
    </w:p>
    <w:p w14:paraId="47C8ABC7" w14:textId="7206FD86" w:rsidR="00E07AD7" w:rsidRPr="00F8339D" w:rsidRDefault="00E07AD7" w:rsidP="00A247C5">
      <w:pPr>
        <w:pStyle w:val="Normal3"/>
      </w:pPr>
      <w:r>
        <w:t>UFD</w:t>
      </w:r>
      <w:r w:rsidR="009A1277">
        <w:t>–</w:t>
      </w:r>
      <w:r>
        <w:t>P4 – Urban expansion</w:t>
      </w:r>
    </w:p>
    <w:p w14:paraId="7872D28C" w14:textId="4FE9D605" w:rsidR="00E07AD7" w:rsidRPr="00F8339D" w:rsidRDefault="00E07AD7" w:rsidP="00A247C5">
      <w:pPr>
        <w:pStyle w:val="Normal3"/>
      </w:pPr>
      <w:r>
        <w:t>UFD</w:t>
      </w:r>
      <w:r w:rsidR="009A1277">
        <w:t>–</w:t>
      </w:r>
      <w:r>
        <w:t>P5 – Commercial activities</w:t>
      </w:r>
    </w:p>
    <w:p w14:paraId="68043C38" w14:textId="0263172D" w:rsidR="00E07AD7" w:rsidRPr="00F8339D" w:rsidRDefault="00E07AD7" w:rsidP="00A247C5">
      <w:pPr>
        <w:pStyle w:val="Normal3"/>
      </w:pPr>
      <w:r>
        <w:t>UFD</w:t>
      </w:r>
      <w:r w:rsidR="009A1277">
        <w:t>–</w:t>
      </w:r>
      <w:r>
        <w:t>P6 – Industrial activities</w:t>
      </w:r>
    </w:p>
    <w:p w14:paraId="058717D3" w14:textId="068DD807" w:rsidR="00E07AD7" w:rsidRPr="00F8339D" w:rsidRDefault="00E07AD7" w:rsidP="00A247C5">
      <w:pPr>
        <w:pStyle w:val="Normal3"/>
      </w:pPr>
      <w:r>
        <w:lastRenderedPageBreak/>
        <w:t>UFD</w:t>
      </w:r>
      <w:r w:rsidR="009A1277">
        <w:t>–</w:t>
      </w:r>
      <w:r>
        <w:t>P7 –Rural areas</w:t>
      </w:r>
    </w:p>
    <w:p w14:paraId="2AA9A736" w14:textId="7DCABBD9" w:rsidR="00E07AD7" w:rsidRPr="00F8339D" w:rsidRDefault="00E07AD7" w:rsidP="00A247C5">
      <w:pPr>
        <w:pStyle w:val="Normal3"/>
      </w:pPr>
      <w:r>
        <w:t>UFD</w:t>
      </w:r>
      <w:r w:rsidR="009A1277">
        <w:t>–</w:t>
      </w:r>
      <w:r>
        <w:t>P8 – Rural lifestyle and rural residential zones</w:t>
      </w:r>
    </w:p>
    <w:p w14:paraId="498086E0" w14:textId="32F5BEFB" w:rsidR="00E07AD7" w:rsidRDefault="00E07AD7" w:rsidP="00A247C5">
      <w:pPr>
        <w:pStyle w:val="Normal3"/>
      </w:pPr>
      <w:r>
        <w:t>UFD</w:t>
      </w:r>
      <w:r w:rsidR="009A1277">
        <w:t>–</w:t>
      </w:r>
      <w:r>
        <w:t xml:space="preserve">P9 – Iwi, </w:t>
      </w:r>
      <w:proofErr w:type="spellStart"/>
      <w:r>
        <w:t>hapū</w:t>
      </w:r>
      <w:proofErr w:type="spellEnd"/>
      <w:r>
        <w:t xml:space="preserve"> and </w:t>
      </w:r>
      <w:proofErr w:type="spellStart"/>
      <w:r>
        <w:t>whānau</w:t>
      </w:r>
      <w:proofErr w:type="spellEnd"/>
    </w:p>
    <w:p w14:paraId="701AD50C" w14:textId="2B67CAD0" w:rsidR="00C307D2" w:rsidRPr="00941C3E" w:rsidRDefault="00E07AD7" w:rsidP="00A247C5">
      <w:pPr>
        <w:pStyle w:val="Normal3"/>
      </w:pPr>
      <w:r>
        <w:t>UFD</w:t>
      </w:r>
      <w:r w:rsidR="009A1277">
        <w:t>–</w:t>
      </w:r>
      <w:r>
        <w:t>P10 – Criteria for significant development capacity</w:t>
      </w:r>
    </w:p>
    <w:p w14:paraId="2E1FF1F5" w14:textId="69363D1A" w:rsidR="00A06C8C" w:rsidRPr="00F8339D" w:rsidRDefault="00A06C8C" w:rsidP="00A247C5">
      <w:pPr>
        <w:pStyle w:val="Normal3"/>
      </w:pPr>
      <w:r>
        <w:t>UFD</w:t>
      </w:r>
      <w:r w:rsidR="009A1277">
        <w:t>–</w:t>
      </w:r>
      <w:r>
        <w:t>M1 – Strategic planning</w:t>
      </w:r>
    </w:p>
    <w:p w14:paraId="1A9202DF" w14:textId="1A2DFBC4" w:rsidR="00A06C8C" w:rsidRPr="00F8339D" w:rsidRDefault="00A06C8C" w:rsidP="00A247C5">
      <w:pPr>
        <w:pStyle w:val="Normal3"/>
      </w:pPr>
      <w:r>
        <w:t>UFD</w:t>
      </w:r>
      <w:r w:rsidR="009A1277">
        <w:t>–</w:t>
      </w:r>
      <w:r>
        <w:t>M2 – District Plans</w:t>
      </w:r>
    </w:p>
    <w:p w14:paraId="6E84E7B2" w14:textId="7FF445D1" w:rsidR="00A06C8C" w:rsidRPr="00F8339D" w:rsidRDefault="00A06C8C" w:rsidP="00A247C5">
      <w:pPr>
        <w:pStyle w:val="Normal3"/>
      </w:pPr>
      <w:r>
        <w:t>UFD</w:t>
      </w:r>
      <w:r w:rsidR="009A1277">
        <w:t>–</w:t>
      </w:r>
      <w:r>
        <w:t>M3 – Design of public spaces and surrounds</w:t>
      </w:r>
    </w:p>
    <w:p w14:paraId="2F56C067" w14:textId="528196F8" w:rsidR="00A06C8C" w:rsidRPr="00941C3E" w:rsidRDefault="00A06C8C" w:rsidP="00A247C5">
      <w:pPr>
        <w:pStyle w:val="Normal3"/>
      </w:pPr>
      <w:r>
        <w:t>APP10 – Bottom lines for development capacity</w:t>
      </w:r>
    </w:p>
    <w:p w14:paraId="7192591D" w14:textId="0895E5AA" w:rsidR="00AB31EC" w:rsidRPr="00941C3E" w:rsidRDefault="00DC4FD2" w:rsidP="00A247C5">
      <w:pPr>
        <w:pStyle w:val="Normal2"/>
      </w:pPr>
      <w:r w:rsidRPr="00941C3E">
        <w:t xml:space="preserve">Specific </w:t>
      </w:r>
      <w:r w:rsidR="00AA21FE" w:rsidRPr="00941C3E">
        <w:t xml:space="preserve">evaluation of </w:t>
      </w:r>
      <w:r w:rsidR="00A06C8C">
        <w:t>these</w:t>
      </w:r>
      <w:r w:rsidR="00AB31EC" w:rsidRPr="00941C3E">
        <w:t xml:space="preserve"> policies and methods</w:t>
      </w:r>
      <w:r w:rsidR="00AA21FE" w:rsidRPr="00941C3E">
        <w:t xml:space="preserve"> is </w:t>
      </w:r>
      <w:r w:rsidR="000F47FA" w:rsidRPr="00941C3E">
        <w:t>contained</w:t>
      </w:r>
      <w:r w:rsidR="00AA21FE" w:rsidRPr="00941C3E">
        <w:t xml:space="preserve"> in Section </w:t>
      </w:r>
      <w:r w:rsidR="009A1277">
        <w:fldChar w:fldCharType="begin"/>
      </w:r>
      <w:r w:rsidR="009A1277">
        <w:instrText xml:space="preserve"> REF _Ref72748306 \r \h </w:instrText>
      </w:r>
      <w:r w:rsidR="009A1277">
        <w:fldChar w:fldCharType="separate"/>
      </w:r>
      <w:r w:rsidR="002A7A16">
        <w:t>5.13</w:t>
      </w:r>
      <w:r w:rsidR="009A1277">
        <w:fldChar w:fldCharType="end"/>
      </w:r>
      <w:r w:rsidR="009A1277">
        <w:t xml:space="preserve"> </w:t>
      </w:r>
      <w:r w:rsidR="00AA21FE" w:rsidRPr="00941C3E">
        <w:t>of this report</w:t>
      </w:r>
      <w:r w:rsidR="00E93741">
        <w:t>.</w:t>
      </w:r>
    </w:p>
    <w:p w14:paraId="02375FF1" w14:textId="6CFA8091" w:rsidR="00BA5765" w:rsidRDefault="009A1277" w:rsidP="00A247C5">
      <w:pPr>
        <w:pStyle w:val="Normal2"/>
      </w:pPr>
      <w:r>
        <w:t xml:space="preserve">Objectives </w:t>
      </w:r>
      <w:r w:rsidR="00982DE1">
        <w:t>UFD</w:t>
      </w:r>
      <w:r>
        <w:t>–</w:t>
      </w:r>
      <w:r w:rsidR="00982DE1">
        <w:t>O1 to UFD</w:t>
      </w:r>
      <w:r>
        <w:t>–</w:t>
      </w:r>
      <w:r w:rsidR="00982DE1">
        <w:t>O5</w:t>
      </w:r>
      <w:r w:rsidR="004B0E67">
        <w:t xml:space="preserve"> </w:t>
      </w:r>
      <w:r w:rsidR="00AB31EC" w:rsidRPr="00941C3E">
        <w:t xml:space="preserve">are considered the most appropriate way to achieve the purpose of the </w:t>
      </w:r>
      <w:r w:rsidR="004B0E67">
        <w:t>RMA</w:t>
      </w:r>
      <w:r w:rsidR="00AB31EC" w:rsidRPr="00941C3E">
        <w:t xml:space="preserve"> </w:t>
      </w:r>
      <w:r w:rsidR="004A0502" w:rsidRPr="00941C3E">
        <w:t xml:space="preserve">by enabling people and communities to provide for their wellbeing </w:t>
      </w:r>
      <w:r w:rsidR="00295A29">
        <w:t xml:space="preserve">and safeguarding the life supporting capacity of ecosystems </w:t>
      </w:r>
      <w:r w:rsidR="00BA5765">
        <w:t>through a</w:t>
      </w:r>
      <w:r w:rsidR="008136AF" w:rsidRPr="00941C3E">
        <w:t xml:space="preserve"> considered </w:t>
      </w:r>
      <w:r w:rsidR="00BA5765">
        <w:t>and strategic</w:t>
      </w:r>
      <w:r w:rsidR="008136AF" w:rsidRPr="00941C3E">
        <w:t xml:space="preserve"> approach</w:t>
      </w:r>
      <w:r w:rsidR="00F26E5D" w:rsidRPr="00941C3E">
        <w:t xml:space="preserve"> to urban growth and development</w:t>
      </w:r>
      <w:r w:rsidR="00BA5765">
        <w:t xml:space="preserve">. The </w:t>
      </w:r>
      <w:r w:rsidR="00FE1A07">
        <w:t xml:space="preserve">objectives are in response to </w:t>
      </w:r>
      <w:r w:rsidR="00AD17D2">
        <w:t xml:space="preserve">community feedback, specifically </w:t>
      </w:r>
      <w:r w:rsidR="00307F61" w:rsidRPr="003D1C57">
        <w:t>SRMR</w:t>
      </w:r>
      <w:r w:rsidR="00307F61">
        <w:t xml:space="preserve">–I10, </w:t>
      </w:r>
      <w:r w:rsidR="00307F61" w:rsidRPr="003D1C57">
        <w:t>SRMR</w:t>
      </w:r>
      <w:r w:rsidR="00307F61">
        <w:t xml:space="preserve">–I11, </w:t>
      </w:r>
      <w:r w:rsidR="00307F61" w:rsidRPr="003D1C57">
        <w:t>SRMR</w:t>
      </w:r>
      <w:r w:rsidR="00307F61">
        <w:t>–I</w:t>
      </w:r>
      <w:r w:rsidR="0063402C">
        <w:t xml:space="preserve">2 and </w:t>
      </w:r>
      <w:r w:rsidR="0063402C" w:rsidRPr="003D1C57">
        <w:t>SRMR</w:t>
      </w:r>
      <w:r w:rsidR="0063402C">
        <w:t xml:space="preserve">–I4. While there are likely to be costs, the benefit of </w:t>
      </w:r>
      <w:r w:rsidR="00547FCB">
        <w:t xml:space="preserve">well-functioning urban areas </w:t>
      </w:r>
      <w:r w:rsidR="00BA12DD">
        <w:t xml:space="preserve">environmentally, economically and socially </w:t>
      </w:r>
      <w:proofErr w:type="gramStart"/>
      <w:r w:rsidR="00BA12DD">
        <w:t>are</w:t>
      </w:r>
      <w:proofErr w:type="gramEnd"/>
      <w:r w:rsidR="00BA12DD">
        <w:t xml:space="preserve"> </w:t>
      </w:r>
      <w:r w:rsidR="005F1351">
        <w:t>expected to be significant.</w:t>
      </w:r>
      <w:r w:rsidR="005F1351" w:rsidRPr="005F1351">
        <w:t xml:space="preserve"> </w:t>
      </w:r>
      <w:r w:rsidR="005F1351">
        <w:t xml:space="preserve">The efficiency and effectiveness evaluation in Section 5.13 of this report also shows that the provisions are effective, meaning that the objectives are feasible. Overall, the objectives are considered appropriate in terms of achieving the purpose of the RMA, are relevant and acceptable as they are a response to community feedback and </w:t>
      </w:r>
      <w:r w:rsidR="00900C9C">
        <w:t>accord with the NPSUD</w:t>
      </w:r>
      <w:r w:rsidR="005F1351">
        <w:t>.</w:t>
      </w:r>
    </w:p>
    <w:p w14:paraId="04149AB1" w14:textId="4EB9D729" w:rsidR="00AB31EC" w:rsidRDefault="00AB31EC" w:rsidP="00CB405E">
      <w:pPr>
        <w:pStyle w:val="Heading2"/>
      </w:pPr>
      <w:bookmarkStart w:id="53" w:name="_Toc72507632"/>
      <w:r>
        <w:t>Conclusion</w:t>
      </w:r>
      <w:bookmarkEnd w:id="53"/>
    </w:p>
    <w:p w14:paraId="34BF2A77" w14:textId="7AEABAC1" w:rsidR="008D2414" w:rsidRPr="00726430" w:rsidRDefault="008D2414" w:rsidP="00A247C5">
      <w:pPr>
        <w:pStyle w:val="Normal2"/>
      </w:pPr>
      <w:r w:rsidRPr="00726430">
        <w:t>As a package, t</w:t>
      </w:r>
      <w:r w:rsidR="00EC6288" w:rsidRPr="00726430">
        <w:t xml:space="preserve">he PORPS 2021 objectives </w:t>
      </w:r>
      <w:proofErr w:type="gramStart"/>
      <w:r w:rsidR="00EC6288" w:rsidRPr="00726430">
        <w:t>are considered to be</w:t>
      </w:r>
      <w:proofErr w:type="gramEnd"/>
      <w:r w:rsidR="00EC6288" w:rsidRPr="00726430">
        <w:t xml:space="preserve"> more appropriate than the objectives in the PORPS 2019 because they respond to the full suite of national direction currently in force,</w:t>
      </w:r>
      <w:r w:rsidRPr="00726430">
        <w:t xml:space="preserve"> which assists with</w:t>
      </w:r>
      <w:r w:rsidR="00EC6288" w:rsidRPr="00726430">
        <w:t xml:space="preserve"> giving effect to the purpose of the RMA, as well as resource management issues identified by</w:t>
      </w:r>
      <w:r w:rsidRPr="00726430">
        <w:t xml:space="preserve"> Kāi </w:t>
      </w:r>
      <w:proofErr w:type="spellStart"/>
      <w:r w:rsidRPr="00726430">
        <w:t>Tahu</w:t>
      </w:r>
      <w:proofErr w:type="spellEnd"/>
      <w:r w:rsidRPr="00726430">
        <w:t xml:space="preserve"> and</w:t>
      </w:r>
      <w:r w:rsidR="00EC6288" w:rsidRPr="00726430">
        <w:t xml:space="preserve"> the</w:t>
      </w:r>
      <w:r w:rsidRPr="00726430">
        <w:t xml:space="preserve"> wider</w:t>
      </w:r>
      <w:r w:rsidR="00EC6288" w:rsidRPr="00726430">
        <w:t xml:space="preserve"> community. </w:t>
      </w:r>
      <w:r w:rsidR="005D50CE" w:rsidRPr="00726430">
        <w:t xml:space="preserve">They outline more specific outcomes sought for the region and, in response to feedback from Kāi </w:t>
      </w:r>
      <w:proofErr w:type="spellStart"/>
      <w:r w:rsidR="005D50CE" w:rsidRPr="00726430">
        <w:t>Tahu</w:t>
      </w:r>
      <w:proofErr w:type="spellEnd"/>
      <w:r w:rsidR="005D50CE" w:rsidRPr="00726430">
        <w:t xml:space="preserve"> and the community, in some cases seek to strengthen </w:t>
      </w:r>
      <w:r w:rsidR="007D508B" w:rsidRPr="00726430">
        <w:t>what is sought in comparison to the PORPS 2019.</w:t>
      </w:r>
      <w:r w:rsidR="0073313F" w:rsidRPr="00726430">
        <w:t xml:space="preserve"> They are also compliant with the National Planning Standards</w:t>
      </w:r>
      <w:r w:rsidR="00126F02" w:rsidRPr="00726430">
        <w:t xml:space="preserve"> and </w:t>
      </w:r>
      <w:r w:rsidR="006A2449" w:rsidRPr="00726430">
        <w:t>reduce uncertainty about the outcomes to be achieved in comparison to the objectives in the PORPS 2019.</w:t>
      </w:r>
    </w:p>
    <w:p w14:paraId="3185BBD9" w14:textId="76BCF709" w:rsidR="007D508B" w:rsidRPr="00726430" w:rsidRDefault="007D508B" w:rsidP="00A247C5">
      <w:pPr>
        <w:pStyle w:val="Normal2"/>
      </w:pPr>
      <w:r w:rsidRPr="00726430">
        <w:t xml:space="preserve">Many of the objectives are not dissimilar to the current PORPS 2019 objectives, in particular the outcomes sought for </w:t>
      </w:r>
      <w:r w:rsidR="00F1257B" w:rsidRPr="00726430">
        <w:rPr>
          <w:i/>
          <w:iCs/>
        </w:rPr>
        <w:t xml:space="preserve">AIR – Air, </w:t>
      </w:r>
      <w:r w:rsidR="00197D30" w:rsidRPr="00726430">
        <w:rPr>
          <w:i/>
          <w:iCs/>
        </w:rPr>
        <w:t xml:space="preserve">EIT – Energy, </w:t>
      </w:r>
      <w:proofErr w:type="gramStart"/>
      <w:r w:rsidR="00197D30" w:rsidRPr="00726430">
        <w:rPr>
          <w:i/>
          <w:iCs/>
        </w:rPr>
        <w:t>infrastructure</w:t>
      </w:r>
      <w:proofErr w:type="gramEnd"/>
      <w:r w:rsidR="00197D30" w:rsidRPr="00726430">
        <w:rPr>
          <w:i/>
          <w:iCs/>
        </w:rPr>
        <w:t xml:space="preserve"> and transport</w:t>
      </w:r>
      <w:r w:rsidR="00197D30" w:rsidRPr="00726430">
        <w:t xml:space="preserve">, </w:t>
      </w:r>
      <w:r w:rsidR="004F1F78" w:rsidRPr="00726430">
        <w:rPr>
          <w:i/>
          <w:iCs/>
        </w:rPr>
        <w:t>HAZ – Hazards and risks</w:t>
      </w:r>
      <w:r w:rsidR="004F1F78" w:rsidRPr="00726430">
        <w:t xml:space="preserve">, </w:t>
      </w:r>
      <w:r w:rsidR="004F1F78" w:rsidRPr="00726430">
        <w:rPr>
          <w:i/>
          <w:iCs/>
        </w:rPr>
        <w:t>HCV – Historical and cultural values</w:t>
      </w:r>
      <w:r w:rsidR="004F1F78" w:rsidRPr="00726430">
        <w:t xml:space="preserve"> and </w:t>
      </w:r>
      <w:r w:rsidR="004F1F78" w:rsidRPr="00726430">
        <w:rPr>
          <w:i/>
          <w:iCs/>
        </w:rPr>
        <w:t>NFL – Natural features and landscapes</w:t>
      </w:r>
      <w:r w:rsidR="004F1F78" w:rsidRPr="00726430">
        <w:t xml:space="preserve">. Where there have been significant changes, this has been primarily in response to new national direction, for example for </w:t>
      </w:r>
      <w:r w:rsidR="004F1F78" w:rsidRPr="00726430">
        <w:rPr>
          <w:i/>
          <w:iCs/>
        </w:rPr>
        <w:t>LF – Land and freshwater, ECO – Ecosystems and biodiversity</w:t>
      </w:r>
      <w:r w:rsidR="00F1257B" w:rsidRPr="00726430">
        <w:rPr>
          <w:i/>
          <w:iCs/>
        </w:rPr>
        <w:t xml:space="preserve">, </w:t>
      </w:r>
      <w:r w:rsidR="00F1257B" w:rsidRPr="00726430">
        <w:t xml:space="preserve">and </w:t>
      </w:r>
      <w:r w:rsidR="00F1257B" w:rsidRPr="00726430">
        <w:rPr>
          <w:i/>
          <w:iCs/>
        </w:rPr>
        <w:t>UFD – Urban form and development</w:t>
      </w:r>
      <w:r w:rsidR="00F1257B" w:rsidRPr="00726430">
        <w:t xml:space="preserve">. Given the obligation on ORC to give effect to national policy statements, which assist with achieving the purpose of the RMA 1991, those changes </w:t>
      </w:r>
      <w:proofErr w:type="gramStart"/>
      <w:r w:rsidR="00F1257B" w:rsidRPr="00726430">
        <w:t>are considered to be</w:t>
      </w:r>
      <w:proofErr w:type="gramEnd"/>
      <w:r w:rsidR="00F1257B" w:rsidRPr="00726430">
        <w:t xml:space="preserve"> more appropriate than the PORPS 20219. </w:t>
      </w:r>
    </w:p>
    <w:p w14:paraId="7D5AF2D9" w14:textId="77777777" w:rsidR="009F6568" w:rsidRDefault="00E05030" w:rsidP="00A247C5">
      <w:pPr>
        <w:pStyle w:val="Normal2"/>
      </w:pPr>
      <w:r w:rsidRPr="00726430">
        <w:t xml:space="preserve">It is acknowledged that achieving some of the objectives in the PORPS 2021 will </w:t>
      </w:r>
      <w:r w:rsidR="00BD2563" w:rsidRPr="00726430">
        <w:t xml:space="preserve">come at significant cost. This is particularly the case for </w:t>
      </w:r>
      <w:r w:rsidR="00BD2563" w:rsidRPr="00726430">
        <w:rPr>
          <w:i/>
          <w:iCs/>
        </w:rPr>
        <w:t xml:space="preserve">LF – Land and freshwater </w:t>
      </w:r>
      <w:r w:rsidR="00BD2563" w:rsidRPr="00726430">
        <w:t xml:space="preserve">and </w:t>
      </w:r>
      <w:r w:rsidR="00BD2563" w:rsidRPr="00726430">
        <w:rPr>
          <w:i/>
          <w:iCs/>
        </w:rPr>
        <w:t>ECO – Ecosystems and biodiversity</w:t>
      </w:r>
      <w:r w:rsidR="00BD2563" w:rsidRPr="00726430">
        <w:t xml:space="preserve"> due to the constraints that implementation will place on the ability of people to use and develop the region’s natural resources. This is likely to result in significant economic, and associated social, costs. There are also likely to be increased costs for all local authorities, particularly in identifying </w:t>
      </w:r>
      <w:r w:rsidR="00845EC2" w:rsidRPr="00726430">
        <w:t xml:space="preserve">various areas or matters of significance as required by the PORPS 2021 (for example, natural features and landscapes, areas of natural character, and </w:t>
      </w:r>
      <w:r w:rsidR="00173DBD" w:rsidRPr="00726430">
        <w:t xml:space="preserve">assessing natural hazard risks). </w:t>
      </w:r>
      <w:r w:rsidR="00BD2563" w:rsidRPr="00726430">
        <w:t xml:space="preserve">However, in </w:t>
      </w:r>
      <w:proofErr w:type="gramStart"/>
      <w:r w:rsidR="00173DBD" w:rsidRPr="00726430">
        <w:t>all of</w:t>
      </w:r>
      <w:proofErr w:type="gramEnd"/>
      <w:r w:rsidR="00173DBD" w:rsidRPr="00726430">
        <w:t xml:space="preserve"> these</w:t>
      </w:r>
      <w:r w:rsidR="00BD2563" w:rsidRPr="00726430">
        <w:t xml:space="preserve"> cases, there will also be significant </w:t>
      </w:r>
      <w:r w:rsidR="00BD2563" w:rsidRPr="00726430">
        <w:lastRenderedPageBreak/>
        <w:t xml:space="preserve">environmental and cultural benefits. </w:t>
      </w:r>
      <w:r w:rsidR="00126F02" w:rsidRPr="00726430">
        <w:t xml:space="preserve">This </w:t>
      </w:r>
      <w:proofErr w:type="gramStart"/>
      <w:r w:rsidR="00126F02" w:rsidRPr="00726430">
        <w:t>is considered to be</w:t>
      </w:r>
      <w:proofErr w:type="gramEnd"/>
      <w:r w:rsidR="00126F02" w:rsidRPr="00726430">
        <w:t xml:space="preserve"> appropriate in order to achieve the purpose of the RMA 1991. </w:t>
      </w:r>
    </w:p>
    <w:p w14:paraId="4A5DFC1F" w14:textId="3D8496C7" w:rsidR="00E05030" w:rsidRPr="00726430" w:rsidRDefault="00126F02" w:rsidP="00A247C5">
      <w:pPr>
        <w:pStyle w:val="Normal2"/>
      </w:pPr>
      <w:r w:rsidRPr="00726430">
        <w:t xml:space="preserve">As the issues identify, </w:t>
      </w:r>
      <w:r w:rsidR="00BE3E5A" w:rsidRPr="00726430">
        <w:t>the historic and current use of Otago’s natural and physical resources have resulted in a range of adverse effects on those resources</w:t>
      </w:r>
      <w:r w:rsidR="006D4392" w:rsidRPr="00726430">
        <w:t xml:space="preserve">, and in some cases have resulted in degradation or loss of those resources. </w:t>
      </w:r>
      <w:r w:rsidR="00E313B7" w:rsidRPr="00726430">
        <w:t xml:space="preserve">For Kāi </w:t>
      </w:r>
      <w:proofErr w:type="spellStart"/>
      <w:r w:rsidR="00E313B7" w:rsidRPr="00726430">
        <w:t>Tahu</w:t>
      </w:r>
      <w:proofErr w:type="spellEnd"/>
      <w:r w:rsidR="00E313B7" w:rsidRPr="00726430">
        <w:t xml:space="preserve">, </w:t>
      </w:r>
      <w:r w:rsidR="00E01170" w:rsidRPr="00726430">
        <w:t>this has affected their mana, which is (in part) a reflection of the natural environment</w:t>
      </w:r>
      <w:r w:rsidR="0015505B" w:rsidRPr="00726430">
        <w:t xml:space="preserve">: </w:t>
      </w:r>
      <w:proofErr w:type="spellStart"/>
      <w:r w:rsidR="00726430" w:rsidRPr="00726430">
        <w:rPr>
          <w:rFonts w:ascii="Calibri" w:eastAsia="Calibri" w:hAnsi="Calibri" w:cs="Times New Roman"/>
          <w:i/>
          <w:iCs/>
        </w:rPr>
        <w:t>Toitū</w:t>
      </w:r>
      <w:proofErr w:type="spellEnd"/>
      <w:r w:rsidR="00726430" w:rsidRPr="00726430">
        <w:rPr>
          <w:rFonts w:ascii="Calibri" w:eastAsia="Calibri" w:hAnsi="Calibri" w:cs="Times New Roman"/>
          <w:i/>
          <w:iCs/>
        </w:rPr>
        <w:t xml:space="preserve"> te Marae o Tane, </w:t>
      </w:r>
      <w:proofErr w:type="spellStart"/>
      <w:r w:rsidR="00726430" w:rsidRPr="00726430">
        <w:rPr>
          <w:rFonts w:ascii="Calibri" w:eastAsia="Calibri" w:hAnsi="Calibri" w:cs="Times New Roman"/>
          <w:i/>
          <w:iCs/>
        </w:rPr>
        <w:t>toitū</w:t>
      </w:r>
      <w:proofErr w:type="spellEnd"/>
      <w:r w:rsidR="00726430" w:rsidRPr="00726430">
        <w:rPr>
          <w:rFonts w:ascii="Calibri" w:eastAsia="Calibri" w:hAnsi="Calibri" w:cs="Times New Roman"/>
          <w:i/>
          <w:iCs/>
        </w:rPr>
        <w:t xml:space="preserve"> te Marae o </w:t>
      </w:r>
      <w:proofErr w:type="spellStart"/>
      <w:r w:rsidR="00726430" w:rsidRPr="00726430">
        <w:rPr>
          <w:rFonts w:ascii="Calibri" w:eastAsia="Calibri" w:hAnsi="Calibri" w:cs="Times New Roman"/>
          <w:i/>
          <w:iCs/>
        </w:rPr>
        <w:t>Takaroa</w:t>
      </w:r>
      <w:proofErr w:type="spellEnd"/>
      <w:r w:rsidR="00726430" w:rsidRPr="00726430">
        <w:rPr>
          <w:rFonts w:ascii="Calibri" w:eastAsia="Calibri" w:hAnsi="Calibri" w:cs="Times New Roman"/>
          <w:i/>
          <w:iCs/>
        </w:rPr>
        <w:t xml:space="preserve">, </w:t>
      </w:r>
      <w:proofErr w:type="spellStart"/>
      <w:r w:rsidR="00726430" w:rsidRPr="00726430">
        <w:rPr>
          <w:rFonts w:ascii="Calibri" w:eastAsia="Calibri" w:hAnsi="Calibri" w:cs="Times New Roman"/>
          <w:i/>
          <w:iCs/>
        </w:rPr>
        <w:t>toitū</w:t>
      </w:r>
      <w:proofErr w:type="spellEnd"/>
      <w:r w:rsidR="00726430" w:rsidRPr="00726430">
        <w:rPr>
          <w:rFonts w:ascii="Calibri" w:eastAsia="Calibri" w:hAnsi="Calibri" w:cs="Times New Roman"/>
          <w:i/>
          <w:iCs/>
        </w:rPr>
        <w:t xml:space="preserve"> te Iwi </w:t>
      </w:r>
      <w:r w:rsidR="00726430" w:rsidRPr="00726430">
        <w:rPr>
          <w:rFonts w:ascii="Calibri" w:eastAsia="Calibri" w:hAnsi="Calibri" w:cs="Times New Roman"/>
        </w:rPr>
        <w:t>(protect and strengthen the realms of the land and sea, and they will protect and strengthen the people).</w:t>
      </w:r>
      <w:r w:rsidR="00052A4B">
        <w:rPr>
          <w:rFonts w:ascii="Calibri" w:eastAsia="Calibri" w:hAnsi="Calibri" w:cs="Times New Roman"/>
        </w:rPr>
        <w:t xml:space="preserve"> In consideration of the requirement </w:t>
      </w:r>
      <w:r w:rsidR="009F6568">
        <w:rPr>
          <w:rFonts w:ascii="Calibri" w:eastAsia="Calibri" w:hAnsi="Calibri" w:cs="Times New Roman"/>
        </w:rPr>
        <w:t xml:space="preserve">in section 5 of the RMA 1991 to sustain the potential of natural and physical resources to meet the reasonably foreseeable needs of future generations and to </w:t>
      </w:r>
      <w:r w:rsidR="005C1A1F">
        <w:rPr>
          <w:rFonts w:ascii="Calibri" w:eastAsia="Calibri" w:hAnsi="Calibri" w:cs="Times New Roman"/>
        </w:rPr>
        <w:t xml:space="preserve">safeguard the life-supporting capacity of air, water, soil, and ecosystems, the objectives </w:t>
      </w:r>
      <w:proofErr w:type="gramStart"/>
      <w:r w:rsidR="005C1A1F">
        <w:rPr>
          <w:rFonts w:ascii="Calibri" w:eastAsia="Calibri" w:hAnsi="Calibri" w:cs="Times New Roman"/>
        </w:rPr>
        <w:t>are considered to be</w:t>
      </w:r>
      <w:proofErr w:type="gramEnd"/>
      <w:r w:rsidR="005C1A1F">
        <w:rPr>
          <w:rFonts w:ascii="Calibri" w:eastAsia="Calibri" w:hAnsi="Calibri" w:cs="Times New Roman"/>
        </w:rPr>
        <w:t xml:space="preserve"> appropriate. </w:t>
      </w:r>
    </w:p>
    <w:p w14:paraId="3ECA5FC6" w14:textId="77777777" w:rsidR="00726430" w:rsidRPr="00726430" w:rsidRDefault="00726430" w:rsidP="00052A4B">
      <w:pPr>
        <w:pStyle w:val="Normal2"/>
        <w:numPr>
          <w:ilvl w:val="0"/>
          <w:numId w:val="0"/>
        </w:numPr>
      </w:pPr>
    </w:p>
    <w:p w14:paraId="740727F3" w14:textId="51949D92" w:rsidR="008E47ED" w:rsidRDefault="008E47ED" w:rsidP="00A247C5">
      <w:pPr>
        <w:pStyle w:val="Normal2"/>
        <w:numPr>
          <w:ilvl w:val="0"/>
          <w:numId w:val="0"/>
        </w:numPr>
        <w:ind w:left="720"/>
      </w:pPr>
    </w:p>
    <w:p w14:paraId="7E2FFAC8" w14:textId="45971966" w:rsidR="00DE3AB7" w:rsidRDefault="00DE3AB7" w:rsidP="00A247C5">
      <w:pPr>
        <w:pStyle w:val="Normal2"/>
        <w:numPr>
          <w:ilvl w:val="0"/>
          <w:numId w:val="0"/>
        </w:numPr>
        <w:ind w:left="720"/>
        <w:sectPr w:rsidR="00DE3AB7" w:rsidSect="00460BB3">
          <w:headerReference w:type="even" r:id="rId26"/>
          <w:headerReference w:type="default" r:id="rId27"/>
          <w:footerReference w:type="even" r:id="rId28"/>
          <w:pgSz w:w="11906" w:h="16838"/>
          <w:pgMar w:top="1440" w:right="1440" w:bottom="1440" w:left="1440" w:header="708" w:footer="708" w:gutter="0"/>
          <w:cols w:space="708"/>
          <w:docGrid w:linePitch="360"/>
        </w:sectPr>
      </w:pPr>
    </w:p>
    <w:p w14:paraId="5B020094" w14:textId="448A6513" w:rsidR="00886EF1" w:rsidRDefault="00886EF1" w:rsidP="00875820">
      <w:pPr>
        <w:pStyle w:val="Heading1"/>
        <w:shd w:val="clear" w:color="auto" w:fill="DEEAF6" w:themeFill="accent5" w:themeFillTint="33"/>
      </w:pPr>
      <w:bookmarkStart w:id="54" w:name="_Toc72507633"/>
      <w:r>
        <w:lastRenderedPageBreak/>
        <w:t xml:space="preserve">Evaluation </w:t>
      </w:r>
      <w:r w:rsidR="00BE6EA7">
        <w:t>of provisions</w:t>
      </w:r>
      <w:bookmarkEnd w:id="54"/>
    </w:p>
    <w:p w14:paraId="5E7FDE88" w14:textId="5411A15D" w:rsidR="00005F72" w:rsidRPr="00005F72" w:rsidRDefault="00005F72" w:rsidP="00875820">
      <w:pPr>
        <w:pStyle w:val="Heading2"/>
        <w:shd w:val="clear" w:color="auto" w:fill="DEEAF6" w:themeFill="accent5" w:themeFillTint="33"/>
      </w:pPr>
      <w:bookmarkStart w:id="55" w:name="_Toc72507634"/>
      <w:r>
        <w:t>Introduction</w:t>
      </w:r>
      <w:bookmarkEnd w:id="55"/>
    </w:p>
    <w:p w14:paraId="77DB1770" w14:textId="6F89F967" w:rsidR="00B87EF2" w:rsidRDefault="0048100A" w:rsidP="00875820">
      <w:pPr>
        <w:pStyle w:val="Normal2"/>
        <w:shd w:val="clear" w:color="auto" w:fill="DEEAF6" w:themeFill="accent5" w:themeFillTint="33"/>
      </w:pPr>
      <w:r>
        <w:t xml:space="preserve">Part </w:t>
      </w:r>
      <w:r w:rsidR="00012F5A">
        <w:t>5</w:t>
      </w:r>
      <w:r>
        <w:t xml:space="preserve"> sets out the evaluations that have occurred under section 32 of the RMA in relation to </w:t>
      </w:r>
      <w:r w:rsidR="00D4595B">
        <w:t xml:space="preserve">the provisions of the </w:t>
      </w:r>
      <w:r w:rsidR="00E81F7F">
        <w:t>PORPS 2021</w:t>
      </w:r>
      <w:r w:rsidR="00D4595B">
        <w:t xml:space="preserve">. </w:t>
      </w:r>
      <w:r w:rsidR="009B4C00">
        <w:t xml:space="preserve">For ease of reference, the </w:t>
      </w:r>
      <w:r w:rsidR="00683A47">
        <w:t xml:space="preserve">structure of this section mirrors the structure of the </w:t>
      </w:r>
      <w:r w:rsidR="00E81F7F">
        <w:t>PORPS 2021</w:t>
      </w:r>
      <w:r w:rsidR="00683A47">
        <w:t>:</w:t>
      </w:r>
    </w:p>
    <w:p w14:paraId="408ED385" w14:textId="26ECC62C" w:rsidR="00785F08" w:rsidRPr="003057A2" w:rsidRDefault="00012F5A" w:rsidP="00875820">
      <w:pPr>
        <w:pStyle w:val="Normal3"/>
        <w:shd w:val="clear" w:color="auto" w:fill="DEEAF6" w:themeFill="accent5" w:themeFillTint="33"/>
      </w:pPr>
      <w:r>
        <w:t xml:space="preserve">MW – </w:t>
      </w:r>
      <w:r w:rsidR="00CE16FB">
        <w:t>Mana</w:t>
      </w:r>
      <w:r w:rsidR="00785F08">
        <w:t xml:space="preserve"> whenua</w:t>
      </w:r>
    </w:p>
    <w:p w14:paraId="56492DAD" w14:textId="36EE1FF5" w:rsidR="0097564A" w:rsidRPr="003057A2" w:rsidRDefault="00012F5A" w:rsidP="00875820">
      <w:pPr>
        <w:pStyle w:val="Normal3"/>
        <w:shd w:val="clear" w:color="auto" w:fill="DEEAF6" w:themeFill="accent5" w:themeFillTint="33"/>
      </w:pPr>
      <w:r>
        <w:t xml:space="preserve">IM – </w:t>
      </w:r>
      <w:r w:rsidR="008F2555">
        <w:t>Integrated management</w:t>
      </w:r>
    </w:p>
    <w:p w14:paraId="640F6DA7" w14:textId="6F9376A2" w:rsidR="008F2555" w:rsidRPr="003057A2" w:rsidRDefault="00012F5A" w:rsidP="00875820">
      <w:pPr>
        <w:pStyle w:val="Normal3"/>
        <w:shd w:val="clear" w:color="auto" w:fill="DEEAF6" w:themeFill="accent5" w:themeFillTint="33"/>
      </w:pPr>
      <w:r>
        <w:t xml:space="preserve">AIR – </w:t>
      </w:r>
      <w:r w:rsidR="008F2555">
        <w:t>Air</w:t>
      </w:r>
    </w:p>
    <w:p w14:paraId="6967B0A8" w14:textId="272C92BE" w:rsidR="008F2555" w:rsidRPr="003057A2" w:rsidRDefault="00012F5A" w:rsidP="00875820">
      <w:pPr>
        <w:pStyle w:val="Normal3"/>
        <w:shd w:val="clear" w:color="auto" w:fill="DEEAF6" w:themeFill="accent5" w:themeFillTint="33"/>
      </w:pPr>
      <w:r>
        <w:t xml:space="preserve">CE – </w:t>
      </w:r>
      <w:r w:rsidR="008F2555">
        <w:t>Coastal environment</w:t>
      </w:r>
    </w:p>
    <w:p w14:paraId="19852107" w14:textId="3B0473D9" w:rsidR="008F2555" w:rsidRPr="003057A2" w:rsidRDefault="00012F5A" w:rsidP="00875820">
      <w:pPr>
        <w:pStyle w:val="Normal3"/>
        <w:shd w:val="clear" w:color="auto" w:fill="DEEAF6" w:themeFill="accent5" w:themeFillTint="33"/>
      </w:pPr>
      <w:r>
        <w:t xml:space="preserve">LF – </w:t>
      </w:r>
      <w:r w:rsidR="008F2555">
        <w:t>Land and freshwater</w:t>
      </w:r>
    </w:p>
    <w:p w14:paraId="2190ACFE" w14:textId="72A6BAB7" w:rsidR="008F2555" w:rsidRPr="003057A2" w:rsidRDefault="00012F5A" w:rsidP="00875820">
      <w:pPr>
        <w:pStyle w:val="Normal3"/>
        <w:shd w:val="clear" w:color="auto" w:fill="DEEAF6" w:themeFill="accent5" w:themeFillTint="33"/>
      </w:pPr>
      <w:r>
        <w:t xml:space="preserve">ECO – </w:t>
      </w:r>
      <w:r w:rsidR="008F2555">
        <w:t>Ecosystems and indigenous biodiversity</w:t>
      </w:r>
    </w:p>
    <w:p w14:paraId="3F7900C4" w14:textId="15EABC0C" w:rsidR="008F2555" w:rsidRPr="003057A2" w:rsidRDefault="00012F5A" w:rsidP="00875820">
      <w:pPr>
        <w:pStyle w:val="Normal3"/>
        <w:shd w:val="clear" w:color="auto" w:fill="DEEAF6" w:themeFill="accent5" w:themeFillTint="33"/>
      </w:pPr>
      <w:r>
        <w:t xml:space="preserve">EIT – </w:t>
      </w:r>
      <w:r w:rsidR="008F2555">
        <w:t xml:space="preserve">Energy, </w:t>
      </w:r>
      <w:proofErr w:type="gramStart"/>
      <w:r w:rsidR="008F2555">
        <w:t>infrastructure</w:t>
      </w:r>
      <w:proofErr w:type="gramEnd"/>
      <w:r w:rsidR="008F2555">
        <w:t xml:space="preserve"> and transport</w:t>
      </w:r>
    </w:p>
    <w:p w14:paraId="09DF7098" w14:textId="00F4E164" w:rsidR="008F2555" w:rsidRPr="003057A2" w:rsidRDefault="00012F5A" w:rsidP="00875820">
      <w:pPr>
        <w:pStyle w:val="Normal3"/>
        <w:shd w:val="clear" w:color="auto" w:fill="DEEAF6" w:themeFill="accent5" w:themeFillTint="33"/>
      </w:pPr>
      <w:r>
        <w:t xml:space="preserve">HAZ – </w:t>
      </w:r>
      <w:r w:rsidR="008F2555">
        <w:t>Hazards and risks</w:t>
      </w:r>
    </w:p>
    <w:p w14:paraId="314C7863" w14:textId="2DA9CEDC" w:rsidR="008F2555" w:rsidRPr="003057A2" w:rsidRDefault="00012F5A" w:rsidP="00875820">
      <w:pPr>
        <w:pStyle w:val="Normal3"/>
        <w:shd w:val="clear" w:color="auto" w:fill="DEEAF6" w:themeFill="accent5" w:themeFillTint="33"/>
      </w:pPr>
      <w:r>
        <w:t xml:space="preserve">HCV – </w:t>
      </w:r>
      <w:r w:rsidR="008F2555">
        <w:t>Historical and cultural values</w:t>
      </w:r>
    </w:p>
    <w:p w14:paraId="3B100A7C" w14:textId="3832A0D9" w:rsidR="008F2555" w:rsidRPr="003057A2" w:rsidRDefault="00012F5A" w:rsidP="00875820">
      <w:pPr>
        <w:pStyle w:val="Normal3"/>
        <w:shd w:val="clear" w:color="auto" w:fill="DEEAF6" w:themeFill="accent5" w:themeFillTint="33"/>
      </w:pPr>
      <w:r>
        <w:t xml:space="preserve">NFL – </w:t>
      </w:r>
      <w:r w:rsidR="008F2555">
        <w:t>Natural features and landscapes</w:t>
      </w:r>
    </w:p>
    <w:p w14:paraId="36A80B99" w14:textId="568F0219" w:rsidR="008F2555" w:rsidRPr="003057A2" w:rsidRDefault="00012F5A" w:rsidP="00875820">
      <w:pPr>
        <w:pStyle w:val="Normal3"/>
        <w:shd w:val="clear" w:color="auto" w:fill="DEEAF6" w:themeFill="accent5" w:themeFillTint="33"/>
      </w:pPr>
      <w:r>
        <w:t xml:space="preserve">UFD – </w:t>
      </w:r>
      <w:r w:rsidR="008F2555">
        <w:t>Urban form and development</w:t>
      </w:r>
    </w:p>
    <w:p w14:paraId="177E9B9D" w14:textId="65137917" w:rsidR="00683A47" w:rsidRPr="000400D3" w:rsidRDefault="00200DD4" w:rsidP="00875820">
      <w:pPr>
        <w:pStyle w:val="Normal2"/>
        <w:shd w:val="clear" w:color="auto" w:fill="DEEAF6" w:themeFill="accent5" w:themeFillTint="33"/>
      </w:pPr>
      <w:r>
        <w:t xml:space="preserve">Section </w:t>
      </w:r>
      <w:r>
        <w:fldChar w:fldCharType="begin"/>
      </w:r>
      <w:r>
        <w:instrText xml:space="preserve"> REF _Ref31806444 \r \h  \* MERGEFORMAT </w:instrText>
      </w:r>
      <w:r>
        <w:fldChar w:fldCharType="separate"/>
      </w:r>
      <w:r w:rsidR="002A7A16">
        <w:t>1.4</w:t>
      </w:r>
      <w:r>
        <w:fldChar w:fldCharType="end"/>
      </w:r>
      <w:r w:rsidR="000400D3">
        <w:t xml:space="preserve"> sets out the requirements of section 32 evaluation reports. This part of the report focuses on examining whether the provisions in the proposal (</w:t>
      </w:r>
      <w:proofErr w:type="gramStart"/>
      <w:r w:rsidR="000400D3">
        <w:t>i.e.</w:t>
      </w:r>
      <w:proofErr w:type="gramEnd"/>
      <w:r w:rsidR="000400D3">
        <w:t xml:space="preserve"> the policies and methods) are the most appropriate way to achieve the objectives by:</w:t>
      </w:r>
    </w:p>
    <w:p w14:paraId="07645A8A" w14:textId="61457603" w:rsidR="000400D3" w:rsidRPr="003057A2" w:rsidRDefault="000400D3" w:rsidP="00875820">
      <w:pPr>
        <w:pStyle w:val="Normal3"/>
        <w:shd w:val="clear" w:color="auto" w:fill="DEEAF6" w:themeFill="accent5" w:themeFillTint="33"/>
      </w:pPr>
      <w:r>
        <w:t>Identifying other reasonably practicable options for achieving the objectives; and</w:t>
      </w:r>
    </w:p>
    <w:p w14:paraId="1B25706D" w14:textId="2B7D3F76" w:rsidR="000400D3" w:rsidRPr="003057A2" w:rsidRDefault="000400D3" w:rsidP="00875820">
      <w:pPr>
        <w:pStyle w:val="Normal3"/>
        <w:shd w:val="clear" w:color="auto" w:fill="DEEAF6" w:themeFill="accent5" w:themeFillTint="33"/>
      </w:pPr>
      <w:r>
        <w:t xml:space="preserve">Assessing the efficiency and effectiveness of the provisions in achieving the </w:t>
      </w:r>
      <w:proofErr w:type="gramStart"/>
      <w:r>
        <w:t>objectives;</w:t>
      </w:r>
      <w:proofErr w:type="gramEnd"/>
    </w:p>
    <w:p w14:paraId="166F084C" w14:textId="00B68C8A" w:rsidR="000400D3" w:rsidRPr="000400D3" w:rsidRDefault="000400D3" w:rsidP="00875820">
      <w:pPr>
        <w:pStyle w:val="Normal3"/>
        <w:shd w:val="clear" w:color="auto" w:fill="DEEAF6" w:themeFill="accent5" w:themeFillTint="33"/>
      </w:pPr>
      <w:r>
        <w:t>Summarising the reasons for deciding on the provisions.</w:t>
      </w:r>
    </w:p>
    <w:p w14:paraId="32889049" w14:textId="6AA9C4D2" w:rsidR="000400D3" w:rsidRDefault="000400D3" w:rsidP="00875820">
      <w:pPr>
        <w:pStyle w:val="Normal2"/>
        <w:shd w:val="clear" w:color="auto" w:fill="DEEAF6" w:themeFill="accent5" w:themeFillTint="33"/>
      </w:pPr>
      <w:r>
        <w:t>In accordance with section 32(2), that examination also includes:</w:t>
      </w:r>
    </w:p>
    <w:p w14:paraId="617E58D4" w14:textId="7926C831" w:rsidR="000400D3" w:rsidRPr="003057A2" w:rsidRDefault="000400D3" w:rsidP="00875820">
      <w:pPr>
        <w:pStyle w:val="Normal3"/>
        <w:shd w:val="clear" w:color="auto" w:fill="DEEAF6" w:themeFill="accent5" w:themeFillTint="33"/>
      </w:pPr>
      <w:r>
        <w:t xml:space="preserve">Identifying and assessing the benefits and costs of the environmental, economic, </w:t>
      </w:r>
      <w:proofErr w:type="gramStart"/>
      <w:r>
        <w:t>social</w:t>
      </w:r>
      <w:proofErr w:type="gramEnd"/>
      <w:r>
        <w:t xml:space="preserve"> and cultural effects anticipated from the implementation of the provisions</w:t>
      </w:r>
      <w:r w:rsidR="006F2B48">
        <w:t>, including the opportunities for:</w:t>
      </w:r>
    </w:p>
    <w:p w14:paraId="3F1655C0" w14:textId="77777777" w:rsidR="006F2B48" w:rsidRPr="003057A2" w:rsidRDefault="006F2B48" w:rsidP="00875820">
      <w:pPr>
        <w:pStyle w:val="Normal4"/>
        <w:shd w:val="clear" w:color="auto" w:fill="DEEAF6" w:themeFill="accent5" w:themeFillTint="33"/>
      </w:pPr>
      <w:r>
        <w:t>Economic growth that are anticipated to be provided or reduced; and</w:t>
      </w:r>
    </w:p>
    <w:p w14:paraId="56E47CEB" w14:textId="77777777" w:rsidR="006F2B48" w:rsidRPr="003057A2" w:rsidRDefault="006F2B48" w:rsidP="00875820">
      <w:pPr>
        <w:pStyle w:val="Normal4"/>
        <w:shd w:val="clear" w:color="auto" w:fill="DEEAF6" w:themeFill="accent5" w:themeFillTint="33"/>
      </w:pPr>
      <w:r>
        <w:t xml:space="preserve">Employment that are anticipated to be provided or </w:t>
      </w:r>
      <w:proofErr w:type="gramStart"/>
      <w:r>
        <w:t>reduced;</w:t>
      </w:r>
      <w:proofErr w:type="gramEnd"/>
      <w:r>
        <w:t xml:space="preserve"> </w:t>
      </w:r>
    </w:p>
    <w:p w14:paraId="169918DE" w14:textId="5F1EAF01" w:rsidR="006F2B48" w:rsidRPr="003057A2" w:rsidRDefault="006F2B48" w:rsidP="00875820">
      <w:pPr>
        <w:pStyle w:val="Normal3"/>
        <w:shd w:val="clear" w:color="auto" w:fill="DEEAF6" w:themeFill="accent5" w:themeFillTint="33"/>
      </w:pPr>
      <w:r>
        <w:t>Where practicable, quantifying the benefits and costs; and</w:t>
      </w:r>
    </w:p>
    <w:p w14:paraId="0A5BB9CB" w14:textId="52EFBA3A" w:rsidR="006F2B48" w:rsidRDefault="006F2B48" w:rsidP="00875820">
      <w:pPr>
        <w:pStyle w:val="Normal3"/>
        <w:shd w:val="clear" w:color="auto" w:fill="DEEAF6" w:themeFill="accent5" w:themeFillTint="33"/>
      </w:pPr>
      <w:r>
        <w:t>Assessing the risk of acting or not acting if there is uncertain or insufficient information about the subject matter of the provisions.</w:t>
      </w:r>
    </w:p>
    <w:p w14:paraId="6F96385E" w14:textId="6A343F39" w:rsidR="000D203E" w:rsidRPr="000D203E" w:rsidRDefault="006F2B48" w:rsidP="00875820">
      <w:pPr>
        <w:pStyle w:val="Normal2"/>
        <w:shd w:val="clear" w:color="auto" w:fill="DEEAF6" w:themeFill="accent5" w:themeFillTint="33"/>
      </w:pPr>
      <w:r>
        <w:t xml:space="preserve">Some chapters contain sub-sections which have been adopted in these evaluations </w:t>
      </w:r>
      <w:proofErr w:type="gramStart"/>
      <w:r>
        <w:t>in order to</w:t>
      </w:r>
      <w:proofErr w:type="gramEnd"/>
      <w:r>
        <w:t xml:space="preserve"> </w:t>
      </w:r>
      <w:r w:rsidR="00D367D9">
        <w:t>ensure the assessments are at an appropriate level of detail.</w:t>
      </w:r>
    </w:p>
    <w:p w14:paraId="137C28ED" w14:textId="23FE2D4D" w:rsidR="003C6F2D" w:rsidRDefault="003C6F2D" w:rsidP="00875820">
      <w:pPr>
        <w:pStyle w:val="Heading2"/>
        <w:shd w:val="clear" w:color="auto" w:fill="DEEAF6" w:themeFill="accent5" w:themeFillTint="33"/>
      </w:pPr>
      <w:bookmarkStart w:id="56" w:name="_Toc72507635"/>
      <w:r>
        <w:t>Limitations</w:t>
      </w:r>
      <w:bookmarkEnd w:id="56"/>
    </w:p>
    <w:p w14:paraId="4C2E38DF" w14:textId="4E0D90D3" w:rsidR="003C6F2D" w:rsidRPr="000400D3" w:rsidRDefault="003C6F2D" w:rsidP="00875820">
      <w:pPr>
        <w:pStyle w:val="Normal2"/>
        <w:shd w:val="clear" w:color="auto" w:fill="DEEAF6" w:themeFill="accent5" w:themeFillTint="33"/>
      </w:pPr>
      <w:r>
        <w:t>This report focuses on identifying costs and benefits</w:t>
      </w:r>
      <w:r w:rsidR="00F538DC">
        <w:t xml:space="preserve">, who they will fall on, and attempts to indicate their scale or, where possible, quantify them. However, there is a lack of information about many </w:t>
      </w:r>
      <w:r w:rsidR="005C677C">
        <w:t xml:space="preserve">topics. </w:t>
      </w:r>
      <w:r w:rsidR="005464D1">
        <w:t xml:space="preserve">That is </w:t>
      </w:r>
      <w:r w:rsidR="00502CA4">
        <w:t>largely</w:t>
      </w:r>
      <w:r w:rsidR="005464D1">
        <w:t xml:space="preserve"> due to the </w:t>
      </w:r>
      <w:r w:rsidR="00860F82">
        <w:t xml:space="preserve">short timeframes set for completing the work and the lack of information about the </w:t>
      </w:r>
      <w:r w:rsidR="00502CA4">
        <w:t xml:space="preserve">implementation of the PORPS 2019. </w:t>
      </w:r>
      <w:r w:rsidR="00EF321D">
        <w:t xml:space="preserve">There </w:t>
      </w:r>
      <w:r w:rsidR="005C677C">
        <w:t xml:space="preserve">is </w:t>
      </w:r>
      <w:r w:rsidR="001E08D9">
        <w:t xml:space="preserve">also </w:t>
      </w:r>
      <w:r w:rsidR="005C677C">
        <w:t xml:space="preserve">uncertainty about the current states and trends </w:t>
      </w:r>
      <w:r w:rsidR="00F271C0">
        <w:t xml:space="preserve">of </w:t>
      </w:r>
      <w:r w:rsidR="00EF321D">
        <w:t xml:space="preserve">many </w:t>
      </w:r>
      <w:r w:rsidR="00F271C0">
        <w:t>natural resources</w:t>
      </w:r>
      <w:r w:rsidR="00EF321D">
        <w:t xml:space="preserve"> in the region</w:t>
      </w:r>
      <w:r w:rsidR="00F271C0">
        <w:t xml:space="preserve">. In some instances, these information gaps have been </w:t>
      </w:r>
      <w:r w:rsidR="00DB6A7B">
        <w:t xml:space="preserve">partly addressed by reports commissioned </w:t>
      </w:r>
      <w:r w:rsidR="00DB6A7B">
        <w:lastRenderedPageBreak/>
        <w:t xml:space="preserve">on a specific topic to support the development of this RPS (for example, the HAZ – Hazards and risks chapter and ECO – Ecosystems and </w:t>
      </w:r>
      <w:r w:rsidR="009C77CD">
        <w:t xml:space="preserve">indigenous </w:t>
      </w:r>
      <w:r w:rsidR="00DB6A7B">
        <w:t xml:space="preserve">biodiversity). </w:t>
      </w:r>
      <w:r w:rsidR="004D7D98">
        <w:t xml:space="preserve">However, in some cases there </w:t>
      </w:r>
      <w:r w:rsidR="009C77CD">
        <w:t>remains</w:t>
      </w:r>
      <w:r w:rsidR="004D7D98">
        <w:t xml:space="preserve"> a lack of information</w:t>
      </w:r>
      <w:r w:rsidR="001749C5">
        <w:t>.</w:t>
      </w:r>
    </w:p>
    <w:p w14:paraId="2E4A3CF2" w14:textId="7E392C94" w:rsidR="001749C5" w:rsidRPr="000400D3" w:rsidRDefault="001749C5" w:rsidP="00875820">
      <w:pPr>
        <w:pStyle w:val="Normal2"/>
        <w:shd w:val="clear" w:color="auto" w:fill="DEEAF6" w:themeFill="accent5" w:themeFillTint="33"/>
      </w:pPr>
      <w:r>
        <w:t xml:space="preserve">The evaluations in the following sections use </w:t>
      </w:r>
      <w:r w:rsidR="002E0C31">
        <w:t xml:space="preserve">any relevant information </w:t>
      </w:r>
      <w:r w:rsidR="00054195">
        <w:t>made available to the authors</w:t>
      </w:r>
      <w:r w:rsidR="00436A4E">
        <w:t xml:space="preserve"> but it is acknowledged that this is not comprehensive. </w:t>
      </w:r>
    </w:p>
    <w:p w14:paraId="0D70E17D" w14:textId="57379DF5" w:rsidR="006F0A68" w:rsidRDefault="00C102B1" w:rsidP="00CB405E">
      <w:pPr>
        <w:pStyle w:val="Heading2"/>
      </w:pPr>
      <w:bookmarkStart w:id="57" w:name="_Toc72507636"/>
      <w:bookmarkStart w:id="58" w:name="_Ref72669194"/>
      <w:r>
        <w:t xml:space="preserve">MW – </w:t>
      </w:r>
      <w:r w:rsidR="00CE16FB">
        <w:t>Mana</w:t>
      </w:r>
      <w:r w:rsidR="006F0A68">
        <w:t xml:space="preserve"> whenua</w:t>
      </w:r>
      <w:bookmarkEnd w:id="57"/>
      <w:bookmarkEnd w:id="58"/>
    </w:p>
    <w:p w14:paraId="3E8720DF" w14:textId="77777777" w:rsidR="006F0A68" w:rsidRDefault="006F0A68" w:rsidP="0082271A">
      <w:pPr>
        <w:pStyle w:val="Heading3"/>
      </w:pPr>
      <w:r>
        <w:t>Introduction</w:t>
      </w:r>
    </w:p>
    <w:p w14:paraId="0ED78634" w14:textId="1C85A3CA" w:rsidR="00F75866" w:rsidRDefault="00E830D4" w:rsidP="00A247C5">
      <w:pPr>
        <w:pStyle w:val="Normal2"/>
      </w:pPr>
      <w:r w:rsidRPr="29589E8D">
        <w:rPr>
          <w:rFonts w:ascii="Calibri" w:eastAsia="Calibri" w:hAnsi="Calibri" w:cs="Times New Roman"/>
        </w:rPr>
        <w:t xml:space="preserve">Kāi </w:t>
      </w:r>
      <w:proofErr w:type="spellStart"/>
      <w:r w:rsidRPr="29589E8D">
        <w:rPr>
          <w:rFonts w:ascii="Calibri" w:eastAsia="Calibri" w:hAnsi="Calibri" w:cs="Times New Roman"/>
        </w:rPr>
        <w:t>Tahu</w:t>
      </w:r>
      <w:proofErr w:type="spellEnd"/>
      <w:r w:rsidRPr="29589E8D">
        <w:rPr>
          <w:rFonts w:ascii="Calibri" w:eastAsia="Calibri" w:hAnsi="Calibri" w:cs="Times New Roman"/>
        </w:rPr>
        <w:t xml:space="preserve"> are </w:t>
      </w:r>
      <w:proofErr w:type="spellStart"/>
      <w:r w:rsidRPr="29589E8D">
        <w:rPr>
          <w:rFonts w:ascii="Calibri" w:eastAsia="Calibri" w:hAnsi="Calibri" w:cs="Times New Roman"/>
        </w:rPr>
        <w:t>takata</w:t>
      </w:r>
      <w:proofErr w:type="spellEnd"/>
      <w:r w:rsidRPr="29589E8D">
        <w:rPr>
          <w:rFonts w:ascii="Calibri" w:eastAsia="Calibri" w:hAnsi="Calibri" w:cs="Times New Roman"/>
        </w:rPr>
        <w:t xml:space="preserve"> whenua of the Otago region.</w:t>
      </w:r>
      <w:r>
        <w:t xml:space="preserve"> </w:t>
      </w:r>
      <w:r w:rsidRPr="29589E8D">
        <w:rPr>
          <w:rFonts w:ascii="Calibri" w:eastAsia="Calibri" w:hAnsi="Calibri" w:cs="Times New Roman"/>
        </w:rPr>
        <w:t xml:space="preserve">Te </w:t>
      </w:r>
      <w:proofErr w:type="spellStart"/>
      <w:r w:rsidRPr="29589E8D">
        <w:rPr>
          <w:rFonts w:ascii="Calibri" w:eastAsia="Calibri" w:hAnsi="Calibri" w:cs="Times New Roman"/>
        </w:rPr>
        <w:t>Tiriti</w:t>
      </w:r>
      <w:proofErr w:type="spellEnd"/>
      <w:r w:rsidRPr="29589E8D">
        <w:rPr>
          <w:rFonts w:ascii="Calibri" w:eastAsia="Calibri" w:hAnsi="Calibri" w:cs="Times New Roman"/>
        </w:rPr>
        <w:t xml:space="preserve"> o Waitangi establishes a partnership between Kāi </w:t>
      </w:r>
      <w:proofErr w:type="spellStart"/>
      <w:r w:rsidRPr="29589E8D">
        <w:rPr>
          <w:rFonts w:ascii="Calibri" w:eastAsia="Calibri" w:hAnsi="Calibri" w:cs="Times New Roman"/>
        </w:rPr>
        <w:t>Tahu</w:t>
      </w:r>
      <w:proofErr w:type="spellEnd"/>
      <w:r w:rsidRPr="29589E8D">
        <w:rPr>
          <w:rFonts w:ascii="Calibri" w:eastAsia="Calibri" w:hAnsi="Calibri" w:cs="Times New Roman"/>
        </w:rPr>
        <w:t xml:space="preserve"> and the Crown. </w:t>
      </w:r>
      <w:r w:rsidR="00E33A3B">
        <w:t>Section 8 of the</w:t>
      </w:r>
      <w:r w:rsidR="001C606E">
        <w:t xml:space="preserve"> RMA </w:t>
      </w:r>
      <w:r w:rsidR="004D5421">
        <w:t xml:space="preserve">requires </w:t>
      </w:r>
      <w:r w:rsidR="0044795E">
        <w:t xml:space="preserve">that </w:t>
      </w:r>
      <w:r w:rsidR="009C049C">
        <w:t>parties involved</w:t>
      </w:r>
      <w:r w:rsidR="00C767F7">
        <w:t>, under the RMA, in</w:t>
      </w:r>
      <w:r w:rsidR="0044795E">
        <w:t xml:space="preserve"> managing natural and physical resources,</w:t>
      </w:r>
      <w:r w:rsidR="004D5421">
        <w:t xml:space="preserve"> </w:t>
      </w:r>
      <w:proofErr w:type="gramStart"/>
      <w:r w:rsidR="009C049C">
        <w:t xml:space="preserve">take </w:t>
      </w:r>
      <w:r w:rsidR="00C767F7">
        <w:t>into account</w:t>
      </w:r>
      <w:proofErr w:type="gramEnd"/>
      <w:r w:rsidR="00C767F7">
        <w:t xml:space="preserve"> the principles of </w:t>
      </w:r>
      <w:r w:rsidR="002B22A2">
        <w:t xml:space="preserve">Te </w:t>
      </w:r>
      <w:proofErr w:type="spellStart"/>
      <w:r w:rsidR="002B22A2">
        <w:t>Tiriti</w:t>
      </w:r>
      <w:proofErr w:type="spellEnd"/>
      <w:r w:rsidR="002B22A2">
        <w:t xml:space="preserve"> o Waitangi (</w:t>
      </w:r>
      <w:r w:rsidR="00C767F7">
        <w:t>the Treaty of Waitangi).</w:t>
      </w:r>
      <w:r w:rsidR="004D5421">
        <w:t xml:space="preserve"> </w:t>
      </w:r>
      <w:r w:rsidR="00BA7C20">
        <w:t xml:space="preserve">The relationship of </w:t>
      </w:r>
      <w:r w:rsidR="002B22A2">
        <w:t>Māori</w:t>
      </w:r>
      <w:r w:rsidR="00BA7C20">
        <w:t xml:space="preserve"> and their culture and traditions with their ancestral lands, water, sites, </w:t>
      </w:r>
      <w:proofErr w:type="spellStart"/>
      <w:r w:rsidR="00BA7C20">
        <w:t>waahi</w:t>
      </w:r>
      <w:proofErr w:type="spellEnd"/>
      <w:r w:rsidR="00BA7C20">
        <w:t xml:space="preserve"> </w:t>
      </w:r>
      <w:proofErr w:type="spellStart"/>
      <w:r w:rsidR="00BA7C20">
        <w:t>tapu</w:t>
      </w:r>
      <w:proofErr w:type="spellEnd"/>
      <w:r w:rsidR="00BA7C20">
        <w:t xml:space="preserve">, and </w:t>
      </w:r>
      <w:r w:rsidR="00D96787">
        <w:t>other</w:t>
      </w:r>
      <w:r w:rsidR="00BA7C20">
        <w:t xml:space="preserve"> </w:t>
      </w:r>
      <w:proofErr w:type="spellStart"/>
      <w:r w:rsidR="00BA7C20">
        <w:t>tao</w:t>
      </w:r>
      <w:r w:rsidR="002B22A2">
        <w:t>k</w:t>
      </w:r>
      <w:r w:rsidR="00BA7C20">
        <w:t>a</w:t>
      </w:r>
      <w:proofErr w:type="spellEnd"/>
      <w:r w:rsidR="00BA7C20">
        <w:t xml:space="preserve"> is also identified as a matter of national </w:t>
      </w:r>
      <w:r w:rsidR="00D96787">
        <w:t>importance</w:t>
      </w:r>
      <w:r w:rsidR="00BA7C20">
        <w:t xml:space="preserve"> in section 6 </w:t>
      </w:r>
      <w:r w:rsidR="00D96787">
        <w:t xml:space="preserve">and required to be recognised and provided for in the </w:t>
      </w:r>
      <w:r w:rsidR="008A7D83">
        <w:t>PO</w:t>
      </w:r>
      <w:r w:rsidR="481D9BA2">
        <w:t>RPS</w:t>
      </w:r>
      <w:r w:rsidR="008A7D83">
        <w:t xml:space="preserve"> 2021</w:t>
      </w:r>
      <w:r w:rsidR="481D9BA2">
        <w:t>.</w:t>
      </w:r>
      <w:r w:rsidR="00D96787">
        <w:t xml:space="preserve"> </w:t>
      </w:r>
      <w:proofErr w:type="gramStart"/>
      <w:r w:rsidR="001C4400">
        <w:t>Particular regard</w:t>
      </w:r>
      <w:proofErr w:type="gramEnd"/>
      <w:r w:rsidR="001C4400">
        <w:t xml:space="preserve"> must also be had to </w:t>
      </w:r>
      <w:proofErr w:type="spellStart"/>
      <w:r w:rsidR="001C6E19">
        <w:t>kaitiakita</w:t>
      </w:r>
      <w:r w:rsidR="002B22A2">
        <w:t>k</w:t>
      </w:r>
      <w:r w:rsidR="001C6E19">
        <w:t>a</w:t>
      </w:r>
      <w:proofErr w:type="spellEnd"/>
      <w:r w:rsidR="00562C1A">
        <w:t xml:space="preserve"> under section 7(a). </w:t>
      </w:r>
    </w:p>
    <w:p w14:paraId="76DBCCC7" w14:textId="7AEAB1FF" w:rsidR="006F0A68" w:rsidRDefault="000B691A" w:rsidP="00A247C5">
      <w:pPr>
        <w:pStyle w:val="Normal2"/>
      </w:pPr>
      <w:r>
        <w:t xml:space="preserve">The </w:t>
      </w:r>
      <w:r w:rsidR="002B22A2" w:rsidRPr="002B22A2">
        <w:rPr>
          <w:i/>
          <w:iCs/>
        </w:rPr>
        <w:t xml:space="preserve">MW – </w:t>
      </w:r>
      <w:r w:rsidR="00F32FA9" w:rsidRPr="002B22A2">
        <w:rPr>
          <w:i/>
          <w:iCs/>
        </w:rPr>
        <w:t xml:space="preserve">Mana </w:t>
      </w:r>
      <w:r w:rsidR="002B22A2" w:rsidRPr="002B22A2">
        <w:rPr>
          <w:i/>
          <w:iCs/>
        </w:rPr>
        <w:t>w</w:t>
      </w:r>
      <w:r w:rsidR="00F32FA9" w:rsidRPr="002B22A2">
        <w:rPr>
          <w:i/>
          <w:iCs/>
        </w:rPr>
        <w:t>henua</w:t>
      </w:r>
      <w:r w:rsidR="00F32FA9">
        <w:t xml:space="preserve"> chapter</w:t>
      </w:r>
      <w:r>
        <w:t xml:space="preserve"> </w:t>
      </w:r>
      <w:r w:rsidR="008B1904">
        <w:t xml:space="preserve">seeks to </w:t>
      </w:r>
      <w:r w:rsidR="00143652">
        <w:t xml:space="preserve">establish </w:t>
      </w:r>
      <w:r w:rsidR="465D7212">
        <w:t>appropriate recogni</w:t>
      </w:r>
      <w:r w:rsidR="00143652">
        <w:t>tion of</w:t>
      </w:r>
      <w:r w:rsidR="008B1904">
        <w:t xml:space="preserve"> this partnership</w:t>
      </w:r>
      <w:r w:rsidR="00552099">
        <w:t>, the treaty principles</w:t>
      </w:r>
      <w:r w:rsidR="0015561C">
        <w:t xml:space="preserve"> and </w:t>
      </w:r>
      <w:r w:rsidR="00C24791">
        <w:t>sets</w:t>
      </w:r>
      <w:r w:rsidR="00BE086F">
        <w:t xml:space="preserve"> out </w:t>
      </w:r>
      <w:r w:rsidR="00C24791">
        <w:t>general considerations for the incorporation of</w:t>
      </w:r>
      <w:r w:rsidR="007D50D8">
        <w:t xml:space="preserve"> Kāi </w:t>
      </w:r>
      <w:proofErr w:type="spellStart"/>
      <w:r w:rsidR="007D50D8">
        <w:t>Tahu</w:t>
      </w:r>
      <w:proofErr w:type="spellEnd"/>
      <w:r w:rsidR="007D50D8">
        <w:t xml:space="preserve"> </w:t>
      </w:r>
      <w:r w:rsidR="00C24791">
        <w:t>values and interests into</w:t>
      </w:r>
      <w:r w:rsidR="00434ABE">
        <w:t xml:space="preserve"> resource management </w:t>
      </w:r>
      <w:r w:rsidR="00C24791">
        <w:t>planning, consenting, and implementation processes.</w:t>
      </w:r>
      <w:r w:rsidR="002F19D1">
        <w:t xml:space="preserve"> </w:t>
      </w:r>
      <w:r w:rsidR="002F19D1">
        <w:rPr>
          <w:rStyle w:val="normaltextrun"/>
          <w:rFonts w:ascii="Calibri" w:hAnsi="Calibri" w:cs="Calibri"/>
          <w:color w:val="000000"/>
          <w:shd w:val="clear" w:color="auto" w:fill="FFFFFF"/>
        </w:rPr>
        <w:t>The policies in this section are designed to achieve MW</w:t>
      </w:r>
      <w:r w:rsidR="002B22A2">
        <w:rPr>
          <w:rStyle w:val="normaltextrun"/>
          <w:rFonts w:ascii="Calibri" w:hAnsi="Calibri" w:cs="Calibri"/>
          <w:color w:val="000000"/>
          <w:shd w:val="clear" w:color="auto" w:fill="FFFFFF"/>
        </w:rPr>
        <w:t>–</w:t>
      </w:r>
      <w:r w:rsidR="002F19D1">
        <w:rPr>
          <w:rStyle w:val="normaltextrun"/>
          <w:rFonts w:ascii="Calibri" w:hAnsi="Calibri" w:cs="Calibri"/>
          <w:color w:val="000000"/>
          <w:shd w:val="clear" w:color="auto" w:fill="FFFFFF"/>
        </w:rPr>
        <w:t>O1 by setting out the actions that must be undertaken by </w:t>
      </w:r>
      <w:r w:rsidR="002F19D1" w:rsidRPr="002B22A2">
        <w:rPr>
          <w:rStyle w:val="normaltextrun"/>
          <w:rFonts w:ascii="Calibri" w:hAnsi="Calibri" w:cs="Calibri"/>
          <w:color w:val="000000"/>
          <w:shd w:val="clear" w:color="auto" w:fill="FFFFFF"/>
        </w:rPr>
        <w:t>local authorities</w:t>
      </w:r>
      <w:r w:rsidR="002F19D1">
        <w:rPr>
          <w:rStyle w:val="normaltextrun"/>
          <w:rFonts w:ascii="Calibri" w:hAnsi="Calibri" w:cs="Calibri"/>
          <w:color w:val="000000"/>
          <w:shd w:val="clear" w:color="auto" w:fill="FFFFFF"/>
        </w:rPr>
        <w:t> to ensure the principles of Te </w:t>
      </w:r>
      <w:proofErr w:type="spellStart"/>
      <w:r w:rsidR="002F19D1">
        <w:rPr>
          <w:rStyle w:val="normaltextrun"/>
          <w:rFonts w:ascii="Calibri" w:hAnsi="Calibri" w:cs="Calibri"/>
          <w:color w:val="000000"/>
          <w:shd w:val="clear" w:color="auto" w:fill="FFFFFF"/>
        </w:rPr>
        <w:t>Tiriti</w:t>
      </w:r>
      <w:proofErr w:type="spellEnd"/>
      <w:r w:rsidR="002F19D1">
        <w:rPr>
          <w:rStyle w:val="normaltextrun"/>
          <w:rFonts w:ascii="Calibri" w:hAnsi="Calibri" w:cs="Calibri"/>
          <w:color w:val="000000"/>
          <w:shd w:val="clear" w:color="auto" w:fill="FFFFFF"/>
        </w:rPr>
        <w:t xml:space="preserve"> o Waitangi are </w:t>
      </w:r>
      <w:r w:rsidR="002B22A2">
        <w:rPr>
          <w:rStyle w:val="normaltextrun"/>
          <w:rFonts w:ascii="Calibri" w:hAnsi="Calibri" w:cs="Calibri"/>
          <w:color w:val="000000"/>
          <w:shd w:val="clear" w:color="auto" w:fill="FFFFFF"/>
        </w:rPr>
        <w:t>given effect</w:t>
      </w:r>
      <w:r w:rsidR="002F19D1">
        <w:rPr>
          <w:rStyle w:val="normaltextrun"/>
          <w:rFonts w:ascii="Calibri" w:hAnsi="Calibri" w:cs="Calibri"/>
          <w:color w:val="000000"/>
          <w:shd w:val="clear" w:color="auto" w:fill="FFFFFF"/>
        </w:rPr>
        <w:t xml:space="preserve"> in resource management processes and decisions.</w:t>
      </w:r>
      <w:r w:rsidR="002F19D1">
        <w:rPr>
          <w:rStyle w:val="normaltextrun"/>
          <w:rFonts w:ascii="Arial" w:hAnsi="Arial" w:cs="Arial"/>
          <w:color w:val="000000"/>
          <w:shd w:val="clear" w:color="auto" w:fill="FFFFFF"/>
        </w:rPr>
        <w:t> </w:t>
      </w:r>
      <w:r w:rsidR="002F19D1">
        <w:rPr>
          <w:rStyle w:val="normaltextrun"/>
          <w:rFonts w:ascii="Calibri" w:hAnsi="Calibri" w:cs="Calibri"/>
          <w:color w:val="000000"/>
          <w:shd w:val="clear" w:color="auto" w:fill="FFFFFF"/>
        </w:rPr>
        <w:t>The </w:t>
      </w:r>
      <w:r w:rsidR="00746EBD" w:rsidRPr="002B22A2">
        <w:rPr>
          <w:rStyle w:val="normaltextrun"/>
          <w:rFonts w:ascii="Calibri" w:hAnsi="Calibri" w:cs="Calibri"/>
          <w:shd w:val="clear" w:color="auto" w:fill="FFFFFF"/>
        </w:rPr>
        <w:t xml:space="preserve">policies </w:t>
      </w:r>
      <w:r w:rsidR="002F19D1" w:rsidRPr="002B22A2">
        <w:rPr>
          <w:rStyle w:val="normaltextrun"/>
          <w:rFonts w:ascii="Calibri" w:hAnsi="Calibri" w:cs="Calibri"/>
          <w:shd w:val="clear" w:color="auto" w:fill="FFFFFF"/>
        </w:rPr>
        <w:t>also require the development and implementation of planning tools which recognise the role of Kāi </w:t>
      </w:r>
      <w:proofErr w:type="spellStart"/>
      <w:r w:rsidR="002F19D1" w:rsidRPr="002B22A2">
        <w:rPr>
          <w:rStyle w:val="normaltextrun"/>
          <w:rFonts w:ascii="Calibri" w:hAnsi="Calibri" w:cs="Calibri"/>
          <w:shd w:val="clear" w:color="auto" w:fill="FFFFFF"/>
        </w:rPr>
        <w:t>Tahu</w:t>
      </w:r>
      <w:proofErr w:type="spellEnd"/>
      <w:r w:rsidR="002F19D1" w:rsidRPr="002B22A2">
        <w:rPr>
          <w:rStyle w:val="normaltextrun"/>
          <w:rFonts w:ascii="Calibri" w:hAnsi="Calibri" w:cs="Calibri"/>
          <w:shd w:val="clear" w:color="auto" w:fill="FFFFFF"/>
        </w:rPr>
        <w:t> in resource management and ensure their engagement with and participation in resource management.</w:t>
      </w:r>
      <w:r w:rsidR="002F19D1" w:rsidRPr="002B22A2">
        <w:rPr>
          <w:rStyle w:val="eop"/>
          <w:rFonts w:ascii="Calibri" w:hAnsi="Calibri" w:cs="Calibri"/>
          <w:shd w:val="clear" w:color="auto" w:fill="FFFFFF"/>
        </w:rPr>
        <w:t> </w:t>
      </w:r>
    </w:p>
    <w:p w14:paraId="30D5CA5F" w14:textId="77777777" w:rsidR="004C42F6" w:rsidRDefault="004C42F6" w:rsidP="00A247C5">
      <w:pPr>
        <w:pStyle w:val="Normal2"/>
      </w:pPr>
      <w:r>
        <w:t>The relevant provisions for this section are:</w:t>
      </w:r>
    </w:p>
    <w:p w14:paraId="4DF36540" w14:textId="77777777" w:rsidR="003D0B46" w:rsidRDefault="003D0B46" w:rsidP="00A247C5">
      <w:pPr>
        <w:pStyle w:val="Normal3"/>
      </w:pPr>
      <w:r>
        <w:t>MW–P1 – Treaty obligations</w:t>
      </w:r>
    </w:p>
    <w:p w14:paraId="0D802444" w14:textId="6C28D23F" w:rsidR="003D0B46" w:rsidRDefault="003D0B46" w:rsidP="00A247C5">
      <w:pPr>
        <w:pStyle w:val="Normal3"/>
      </w:pPr>
      <w:r>
        <w:t xml:space="preserve">MW–P2 </w:t>
      </w:r>
      <w:r w:rsidR="00210809">
        <w:t xml:space="preserve">– </w:t>
      </w:r>
      <w:r>
        <w:t>Treaty principles</w:t>
      </w:r>
    </w:p>
    <w:p w14:paraId="07FBFA48" w14:textId="77777777" w:rsidR="003D0B46" w:rsidRDefault="003D0B46" w:rsidP="00A247C5">
      <w:pPr>
        <w:pStyle w:val="Normal3"/>
      </w:pPr>
      <w:r>
        <w:t xml:space="preserve">MW–P3 – Supporting Kāi </w:t>
      </w:r>
      <w:proofErr w:type="spellStart"/>
      <w:r>
        <w:t>Tahu</w:t>
      </w:r>
      <w:proofErr w:type="spellEnd"/>
      <w:r>
        <w:t xml:space="preserve"> wellbeing</w:t>
      </w:r>
    </w:p>
    <w:p w14:paraId="68BD4AC2" w14:textId="77777777" w:rsidR="003D0B46" w:rsidRDefault="003D0B46" w:rsidP="00A247C5">
      <w:pPr>
        <w:pStyle w:val="Normal3"/>
      </w:pPr>
      <w:r>
        <w:t>MW–P4 – Sustainable use of Māori land</w:t>
      </w:r>
    </w:p>
    <w:p w14:paraId="40E9F3EE" w14:textId="77777777" w:rsidR="003D0B46" w:rsidRDefault="003D0B46" w:rsidP="00A247C5">
      <w:pPr>
        <w:pStyle w:val="Normal3"/>
      </w:pPr>
      <w:r>
        <w:t xml:space="preserve">MW–M1 – Collaboration with Kāi </w:t>
      </w:r>
      <w:proofErr w:type="spellStart"/>
      <w:r>
        <w:t>Tahu</w:t>
      </w:r>
      <w:proofErr w:type="spellEnd"/>
    </w:p>
    <w:p w14:paraId="6A3FCA2C" w14:textId="6B3C35EA" w:rsidR="003D0B46" w:rsidRDefault="003D0B46" w:rsidP="00A247C5">
      <w:pPr>
        <w:pStyle w:val="Normal3"/>
      </w:pPr>
      <w:r>
        <w:t>MW</w:t>
      </w:r>
      <w:r w:rsidR="00A20596">
        <w:t>–</w:t>
      </w:r>
      <w:r>
        <w:t xml:space="preserve">M2 – Work with Kāi </w:t>
      </w:r>
      <w:proofErr w:type="spellStart"/>
      <w:r>
        <w:t>Tahu</w:t>
      </w:r>
      <w:proofErr w:type="spellEnd"/>
    </w:p>
    <w:p w14:paraId="2C3BFC96" w14:textId="77777777" w:rsidR="003D0B46" w:rsidRDefault="003D0B46" w:rsidP="00A247C5">
      <w:pPr>
        <w:pStyle w:val="Normal3"/>
      </w:pPr>
      <w:r>
        <w:t xml:space="preserve">MW–M3 – Kāi </w:t>
      </w:r>
      <w:proofErr w:type="spellStart"/>
      <w:r>
        <w:t>Tahu</w:t>
      </w:r>
      <w:proofErr w:type="spellEnd"/>
      <w:r>
        <w:t xml:space="preserve"> relationships</w:t>
      </w:r>
    </w:p>
    <w:p w14:paraId="1455D0F9" w14:textId="77777777" w:rsidR="003D0B46" w:rsidRDefault="003D0B46" w:rsidP="00A247C5">
      <w:pPr>
        <w:pStyle w:val="Normal3"/>
      </w:pPr>
      <w:r>
        <w:t xml:space="preserve">MW–M4 – Kāi </w:t>
      </w:r>
      <w:proofErr w:type="spellStart"/>
      <w:r>
        <w:t>Tahu</w:t>
      </w:r>
      <w:proofErr w:type="spellEnd"/>
      <w:r>
        <w:t xml:space="preserve"> involvement in resource management</w:t>
      </w:r>
    </w:p>
    <w:p w14:paraId="3B3EA910" w14:textId="77777777" w:rsidR="003D0B46" w:rsidRDefault="003D0B46" w:rsidP="00A247C5">
      <w:pPr>
        <w:pStyle w:val="Normal3"/>
      </w:pPr>
      <w:r>
        <w:t>MW–M5 – Regional and district plans</w:t>
      </w:r>
    </w:p>
    <w:p w14:paraId="6DE8A506" w14:textId="77777777" w:rsidR="003D0B46" w:rsidRDefault="003D0B46" w:rsidP="00A247C5">
      <w:pPr>
        <w:pStyle w:val="Normal3"/>
      </w:pPr>
      <w:r>
        <w:t>MW–M6 – Incentives and education</w:t>
      </w:r>
    </w:p>
    <w:p w14:paraId="110FCBB2" w14:textId="77777777" w:rsidR="003D0B46" w:rsidRDefault="003D0B46" w:rsidP="00A247C5">
      <w:pPr>
        <w:pStyle w:val="Normal3"/>
      </w:pPr>
      <w:r>
        <w:t>MW–M7 – Advocacy and facilitation</w:t>
      </w:r>
    </w:p>
    <w:p w14:paraId="694BDEE8" w14:textId="77777777" w:rsidR="006F0A68" w:rsidRDefault="006F0A68" w:rsidP="0082271A">
      <w:pPr>
        <w:pStyle w:val="Heading3"/>
      </w:pPr>
      <w:r>
        <w:t>Current issues</w:t>
      </w:r>
    </w:p>
    <w:p w14:paraId="64146833" w14:textId="20ED4D99" w:rsidR="006F0A68" w:rsidRDefault="00AC7293" w:rsidP="00A247C5">
      <w:pPr>
        <w:pStyle w:val="Normal2"/>
      </w:pPr>
      <w:r>
        <w:t xml:space="preserve">In order to appropriately </w:t>
      </w:r>
      <w:r w:rsidR="00A856DD">
        <w:t xml:space="preserve">take into account the Treaty principles, </w:t>
      </w:r>
      <w:r>
        <w:t xml:space="preserve">recognise the relationship of </w:t>
      </w:r>
      <w:r w:rsidR="00A20596">
        <w:t>Māori</w:t>
      </w:r>
      <w:r>
        <w:t xml:space="preserve"> and their culture and traditions with their ancestral lands, water, sites, </w:t>
      </w:r>
      <w:proofErr w:type="spellStart"/>
      <w:r>
        <w:t>waahi</w:t>
      </w:r>
      <w:proofErr w:type="spellEnd"/>
      <w:r>
        <w:t xml:space="preserve"> </w:t>
      </w:r>
      <w:proofErr w:type="spellStart"/>
      <w:r>
        <w:t>tapu</w:t>
      </w:r>
      <w:proofErr w:type="spellEnd"/>
      <w:r>
        <w:t xml:space="preserve">, and other </w:t>
      </w:r>
      <w:proofErr w:type="spellStart"/>
      <w:r>
        <w:t>tao</w:t>
      </w:r>
      <w:r w:rsidR="00A20596">
        <w:t>k</w:t>
      </w:r>
      <w:r>
        <w:t>a</w:t>
      </w:r>
      <w:proofErr w:type="spellEnd"/>
      <w:r>
        <w:t xml:space="preserve">, and have </w:t>
      </w:r>
      <w:proofErr w:type="gramStart"/>
      <w:r>
        <w:t>particular  regard</w:t>
      </w:r>
      <w:proofErr w:type="gramEnd"/>
      <w:r>
        <w:t xml:space="preserve"> to </w:t>
      </w:r>
      <w:proofErr w:type="spellStart"/>
      <w:r>
        <w:t>kaitiakita</w:t>
      </w:r>
      <w:r w:rsidR="00A20596">
        <w:t>k</w:t>
      </w:r>
      <w:r>
        <w:t>a</w:t>
      </w:r>
      <w:proofErr w:type="spellEnd"/>
      <w:r w:rsidR="00A856DD">
        <w:t>, there is a need</w:t>
      </w:r>
      <w:r w:rsidR="00C12194">
        <w:t>, firstly,</w:t>
      </w:r>
      <w:r w:rsidR="00A856DD">
        <w:t xml:space="preserve"> to </w:t>
      </w:r>
      <w:r w:rsidR="000A5247">
        <w:t xml:space="preserve">understand these principles </w:t>
      </w:r>
      <w:r w:rsidR="008C2E18">
        <w:t xml:space="preserve">and </w:t>
      </w:r>
      <w:r w:rsidR="000A5247">
        <w:t xml:space="preserve">the values of Kāi </w:t>
      </w:r>
      <w:proofErr w:type="spellStart"/>
      <w:r w:rsidR="000A5247">
        <w:t>Tahu</w:t>
      </w:r>
      <w:proofErr w:type="spellEnd"/>
      <w:r w:rsidR="00C12194">
        <w:t xml:space="preserve">. </w:t>
      </w:r>
      <w:r w:rsidR="00941FDE">
        <w:t xml:space="preserve">Secondly, </w:t>
      </w:r>
      <w:proofErr w:type="gramStart"/>
      <w:r w:rsidR="00941FDE">
        <w:t xml:space="preserve">in </w:t>
      </w:r>
      <w:r w:rsidR="00D541A8">
        <w:t>order</w:t>
      </w:r>
      <w:r w:rsidR="00941FDE">
        <w:t xml:space="preserve"> to</w:t>
      </w:r>
      <w:proofErr w:type="gramEnd"/>
      <w:r w:rsidR="00941FDE">
        <w:t xml:space="preserve"> fulfil these obligations, there is a need for direction on</w:t>
      </w:r>
      <w:r w:rsidR="008C2E18">
        <w:t xml:space="preserve"> how these</w:t>
      </w:r>
      <w:r w:rsidR="000A5247">
        <w:t xml:space="preserve"> </w:t>
      </w:r>
      <w:r w:rsidR="00941FDE">
        <w:t>should be applied</w:t>
      </w:r>
      <w:r w:rsidR="008C2E18">
        <w:t xml:space="preserve"> </w:t>
      </w:r>
      <w:r w:rsidR="000A5247">
        <w:t>to resource management in Otago</w:t>
      </w:r>
      <w:r>
        <w:t xml:space="preserve">. </w:t>
      </w:r>
      <w:r w:rsidR="00F838AC">
        <w:t>This information is currently included in the PORPS 2019 but is contained in different chapters.</w:t>
      </w:r>
    </w:p>
    <w:p w14:paraId="7B8A2A0A" w14:textId="23817BEA" w:rsidR="00A56B2C" w:rsidRDefault="007F2D00" w:rsidP="00A247C5">
      <w:pPr>
        <w:pStyle w:val="Normal2"/>
      </w:pPr>
      <w:r>
        <w:lastRenderedPageBreak/>
        <w:t xml:space="preserve">The National Planning Standards require there to be a specific </w:t>
      </w:r>
      <w:proofErr w:type="spellStart"/>
      <w:r>
        <w:t>ta</w:t>
      </w:r>
      <w:r w:rsidR="00A20596">
        <w:t>k</w:t>
      </w:r>
      <w:r>
        <w:t>ata</w:t>
      </w:r>
      <w:proofErr w:type="spellEnd"/>
      <w:r>
        <w:t xml:space="preserve"> whenua/mana whenua chapter. The ‘Introduction and General Provisions Standard’ </w:t>
      </w:r>
      <w:r w:rsidR="000941B1">
        <w:t>requires</w:t>
      </w:r>
      <w:r>
        <w:t xml:space="preserve"> that the provisions in this chapter are to include context and process-related </w:t>
      </w:r>
      <w:proofErr w:type="gramStart"/>
      <w:r>
        <w:t>provisions;</w:t>
      </w:r>
      <w:proofErr w:type="gramEnd"/>
      <w:r>
        <w:t xml:space="preserve"> whereas other mana whenua provisions are to be integrated as appropriate throughout the </w:t>
      </w:r>
      <w:r w:rsidR="00A04BA4">
        <w:t>regional policy statement</w:t>
      </w:r>
      <w:r w:rsidR="29DB3350">
        <w:t xml:space="preserve">.  </w:t>
      </w:r>
      <w:r w:rsidR="3697F4A1">
        <w:t>Th</w:t>
      </w:r>
      <w:r w:rsidR="00A56B2C">
        <w:t>e National Planning</w:t>
      </w:r>
      <w:r w:rsidR="3697F4A1">
        <w:t xml:space="preserve"> </w:t>
      </w:r>
      <w:r w:rsidR="00F86114">
        <w:t>Standard</w:t>
      </w:r>
      <w:r w:rsidR="00A20596">
        <w:t>s</w:t>
      </w:r>
      <w:r w:rsidR="00F86114">
        <w:t xml:space="preserve"> also list </w:t>
      </w:r>
      <w:proofErr w:type="gramStart"/>
      <w:r w:rsidR="00F86114">
        <w:t>a number of</w:t>
      </w:r>
      <w:proofErr w:type="gramEnd"/>
      <w:r w:rsidR="00F86114">
        <w:t xml:space="preserve"> matters that should be considered for inclusion within the mana whenua chapter. </w:t>
      </w:r>
    </w:p>
    <w:p w14:paraId="1679E854" w14:textId="523B41A4" w:rsidR="007F2D00" w:rsidRDefault="3229676C" w:rsidP="00A247C5">
      <w:pPr>
        <w:pStyle w:val="Normal2"/>
      </w:pPr>
      <w:r>
        <w:t xml:space="preserve">The </w:t>
      </w:r>
      <w:r w:rsidR="00620E63">
        <w:t>layout of the PORPS 2019</w:t>
      </w:r>
      <w:r w:rsidR="00DD3FAA">
        <w:t xml:space="preserve"> and </w:t>
      </w:r>
      <w:r w:rsidR="004D6549">
        <w:t>its approach</w:t>
      </w:r>
      <w:r w:rsidR="00DD3FAA">
        <w:t xml:space="preserve"> to these matters</w:t>
      </w:r>
      <w:r w:rsidR="00922AD5">
        <w:t xml:space="preserve"> </w:t>
      </w:r>
      <w:r w:rsidR="0055273E">
        <w:t>does not align with the direction in the National Planning Standards</w:t>
      </w:r>
      <w:r w:rsidR="00D429EC">
        <w:t xml:space="preserve"> as to where this type of content is to be located</w:t>
      </w:r>
      <w:r w:rsidR="0055273E">
        <w:t>.</w:t>
      </w:r>
    </w:p>
    <w:p w14:paraId="7DEE5BCB" w14:textId="77777777" w:rsidR="006F0A68" w:rsidRDefault="006F0A68" w:rsidP="0082271A">
      <w:pPr>
        <w:pStyle w:val="Heading3"/>
      </w:pPr>
      <w:r>
        <w:t>Objectives</w:t>
      </w:r>
    </w:p>
    <w:p w14:paraId="28A97F69" w14:textId="05F38CC9" w:rsidR="006F0A68" w:rsidRDefault="006F0A68" w:rsidP="00A247C5">
      <w:pPr>
        <w:pStyle w:val="Normal2"/>
      </w:pPr>
      <w:r>
        <w:t xml:space="preserve">Section 32(1)(b) requires an examination of whether the provisions in a proposal </w:t>
      </w:r>
      <w:proofErr w:type="gramStart"/>
      <w:r>
        <w:t>are the most appropriate way</w:t>
      </w:r>
      <w:proofErr w:type="gramEnd"/>
      <w:r>
        <w:t xml:space="preserve"> to achieve the </w:t>
      </w:r>
      <w:r w:rsidR="0AFC8000">
        <w:t>objective.</w:t>
      </w:r>
      <w:r>
        <w:t xml:space="preserve"> The </w:t>
      </w:r>
      <w:r w:rsidR="0AFC8000">
        <w:t>objective</w:t>
      </w:r>
      <w:r>
        <w:t xml:space="preserve"> relevant for this topic </w:t>
      </w:r>
      <w:r w:rsidR="00D91FE0">
        <w:t>is</w:t>
      </w:r>
      <w:r>
        <w:t>:</w:t>
      </w:r>
    </w:p>
    <w:p w14:paraId="3F31B71B" w14:textId="38D09194" w:rsidR="00A20596" w:rsidRDefault="00A20596" w:rsidP="00A20596">
      <w:pPr>
        <w:pStyle w:val="Caption"/>
        <w:ind w:left="709"/>
      </w:pPr>
      <w:r>
        <w:t xml:space="preserve">Table </w:t>
      </w:r>
      <w:r>
        <w:fldChar w:fldCharType="begin"/>
      </w:r>
      <w:r>
        <w:instrText xml:space="preserve"> SEQ Table \* ARABIC </w:instrText>
      </w:r>
      <w:r>
        <w:fldChar w:fldCharType="separate"/>
      </w:r>
      <w:r w:rsidR="002A7A16">
        <w:rPr>
          <w:noProof/>
        </w:rPr>
        <w:t>22</w:t>
      </w:r>
      <w:r>
        <w:rPr>
          <w:noProof/>
        </w:rPr>
        <w:fldChar w:fldCharType="end"/>
      </w:r>
      <w:r>
        <w:t>: MW - Mana whenua objectives</w:t>
      </w:r>
    </w:p>
    <w:tbl>
      <w:tblPr>
        <w:tblStyle w:val="TableGrid"/>
        <w:tblW w:w="0" w:type="auto"/>
        <w:tblInd w:w="720" w:type="dxa"/>
        <w:tblLook w:val="04A0" w:firstRow="1" w:lastRow="0" w:firstColumn="1" w:lastColumn="0" w:noHBand="0" w:noVBand="1"/>
      </w:tblPr>
      <w:tblGrid>
        <w:gridCol w:w="2677"/>
        <w:gridCol w:w="5619"/>
      </w:tblGrid>
      <w:tr w:rsidR="00A20596" w14:paraId="31BA9A61" w14:textId="77777777" w:rsidTr="00183E31">
        <w:tc>
          <w:tcPr>
            <w:tcW w:w="2677" w:type="dxa"/>
          </w:tcPr>
          <w:p w14:paraId="48E5B2D3" w14:textId="1F99E649" w:rsidR="00A20596" w:rsidRPr="00557EEE" w:rsidRDefault="00A20596" w:rsidP="00A247C5">
            <w:pPr>
              <w:pStyle w:val="Table1"/>
            </w:pPr>
            <w:r>
              <w:t>MW–</w:t>
            </w:r>
            <w:r w:rsidRPr="00557EEE">
              <w:t xml:space="preserve">O1 </w:t>
            </w:r>
            <w:r>
              <w:t xml:space="preserve">– Principles of Te </w:t>
            </w:r>
            <w:proofErr w:type="spellStart"/>
            <w:r>
              <w:t>Tiriti</w:t>
            </w:r>
            <w:proofErr w:type="spellEnd"/>
            <w:r>
              <w:t xml:space="preserve"> o Waitangi</w:t>
            </w:r>
          </w:p>
        </w:tc>
        <w:tc>
          <w:tcPr>
            <w:tcW w:w="5619" w:type="dxa"/>
          </w:tcPr>
          <w:p w14:paraId="2F0A1B00" w14:textId="354C5EFB" w:rsidR="00A20596" w:rsidRDefault="0006196A" w:rsidP="00A247C5">
            <w:pPr>
              <w:pStyle w:val="Table1"/>
            </w:pPr>
            <w:r w:rsidRPr="0006196A">
              <w:t xml:space="preserve">The principles of Te </w:t>
            </w:r>
            <w:proofErr w:type="spellStart"/>
            <w:r w:rsidRPr="0006196A">
              <w:t>Tiriti</w:t>
            </w:r>
            <w:proofErr w:type="spellEnd"/>
            <w:r w:rsidRPr="0006196A">
              <w:t xml:space="preserve"> o Waitangi are given effect in resource management processes and decisions, utilising a partnership approach between councils and Papatipu </w:t>
            </w:r>
            <w:proofErr w:type="spellStart"/>
            <w:r w:rsidRPr="0006196A">
              <w:t>Rūnaka</w:t>
            </w:r>
            <w:proofErr w:type="spellEnd"/>
            <w:r w:rsidRPr="0006196A">
              <w:t xml:space="preserve"> to ensure that what is valued by mana whenua is actively protected in the region.</w:t>
            </w:r>
          </w:p>
        </w:tc>
      </w:tr>
    </w:tbl>
    <w:p w14:paraId="009C2EFA" w14:textId="77777777" w:rsidR="006F0A68" w:rsidRDefault="006F0A68" w:rsidP="0082271A">
      <w:pPr>
        <w:pStyle w:val="Heading3"/>
      </w:pPr>
      <w:r>
        <w:t>Reasonably practicable options</w:t>
      </w:r>
    </w:p>
    <w:p w14:paraId="02C2E146" w14:textId="77777777" w:rsidR="006F0A68" w:rsidRDefault="006F0A68" w:rsidP="00A247C5">
      <w:pPr>
        <w:pStyle w:val="Normal2"/>
      </w:pPr>
      <w:r>
        <w:t>Two reasonably practicable options were identified to achieve the objectives:</w:t>
      </w:r>
    </w:p>
    <w:p w14:paraId="0948F39B" w14:textId="754B75CB" w:rsidR="006F0A68" w:rsidRDefault="006F0A68" w:rsidP="00A247C5">
      <w:pPr>
        <w:pStyle w:val="Normal3"/>
        <w:numPr>
          <w:ilvl w:val="1"/>
          <w:numId w:val="70"/>
        </w:numPr>
      </w:pPr>
      <w:r w:rsidRPr="00A247C5">
        <w:rPr>
          <w:b/>
          <w:bCs/>
        </w:rPr>
        <w:t>Option 1:</w:t>
      </w:r>
      <w:r>
        <w:t xml:space="preserve"> Status quo (PORPS 2019)</w:t>
      </w:r>
    </w:p>
    <w:p w14:paraId="4EB6309F" w14:textId="708820F7" w:rsidR="006F0A68" w:rsidRDefault="006F0A68" w:rsidP="00A247C5">
      <w:pPr>
        <w:pStyle w:val="Normal3"/>
        <w:numPr>
          <w:ilvl w:val="1"/>
          <w:numId w:val="70"/>
        </w:numPr>
      </w:pPr>
      <w:r w:rsidRPr="00A247C5">
        <w:rPr>
          <w:b/>
          <w:bCs/>
        </w:rPr>
        <w:t>Option 2:</w:t>
      </w:r>
      <w:r>
        <w:t xml:space="preserve"> </w:t>
      </w:r>
      <w:r w:rsidR="00E81F7F">
        <w:t>PORPS 2021</w:t>
      </w:r>
      <w:r w:rsidR="007A4326">
        <w:t xml:space="preserve"> – </w:t>
      </w:r>
      <w:r w:rsidR="007A4326">
        <w:rPr>
          <w:i/>
          <w:iCs/>
        </w:rPr>
        <w:t xml:space="preserve">preferred </w:t>
      </w:r>
    </w:p>
    <w:p w14:paraId="3E7434E0" w14:textId="77777777" w:rsidR="006F0A68" w:rsidRDefault="006F0A68" w:rsidP="00DE069C">
      <w:pPr>
        <w:pStyle w:val="Heading4"/>
      </w:pPr>
      <w:r>
        <w:t>Option 1: Status quo</w:t>
      </w:r>
    </w:p>
    <w:p w14:paraId="7236A18C" w14:textId="280C7762" w:rsidR="00C06DC7" w:rsidRDefault="006F0A68" w:rsidP="00A247C5">
      <w:pPr>
        <w:pStyle w:val="Normal2"/>
      </w:pPr>
      <w:r>
        <w:t xml:space="preserve">The status quo </w:t>
      </w:r>
      <w:r w:rsidR="003325F7">
        <w:t>contains largely</w:t>
      </w:r>
      <w:r w:rsidR="00530293">
        <w:t xml:space="preserve"> </w:t>
      </w:r>
      <w:r w:rsidR="00191C71">
        <w:t xml:space="preserve">the </w:t>
      </w:r>
      <w:r w:rsidR="003325F7">
        <w:t xml:space="preserve">same content as </w:t>
      </w:r>
      <w:r w:rsidR="001662A8">
        <w:t xml:space="preserve">proposed in the </w:t>
      </w:r>
      <w:r w:rsidR="00E81F7F">
        <w:t>PORPS 2021</w:t>
      </w:r>
      <w:r w:rsidR="00C76298">
        <w:t>.</w:t>
      </w:r>
      <w:r w:rsidR="001662A8">
        <w:t xml:space="preserve"> However, under the status quo, this content is </w:t>
      </w:r>
      <w:r w:rsidR="003624C6">
        <w:t xml:space="preserve">not contained in a single mana whenua chapter and is instead spread throughout the </w:t>
      </w:r>
      <w:r w:rsidR="00216A26">
        <w:t xml:space="preserve">document and the </w:t>
      </w:r>
      <w:r w:rsidR="007F17E2">
        <w:t>provisions</w:t>
      </w:r>
      <w:r w:rsidR="00216A26">
        <w:t xml:space="preserve"> within it</w:t>
      </w:r>
      <w:r w:rsidR="007F17E2">
        <w:t>.</w:t>
      </w:r>
      <w:r>
        <w:t xml:space="preserve"> </w:t>
      </w:r>
    </w:p>
    <w:p w14:paraId="42001B9B" w14:textId="3662FDE4" w:rsidR="00C06DC7" w:rsidRPr="00F5177D" w:rsidRDefault="00C06DC7" w:rsidP="00A247C5">
      <w:pPr>
        <w:pStyle w:val="Normal2"/>
        <w:rPr>
          <w:rFonts w:ascii="Calibri" w:hAnsi="Calibri" w:cs="Calibri"/>
        </w:rPr>
      </w:pPr>
      <w:r>
        <w:t>The PORPS</w:t>
      </w:r>
      <w:r w:rsidR="11FFD128">
        <w:t xml:space="preserve"> </w:t>
      </w:r>
      <w:r w:rsidR="3E60C1BA">
        <w:t>2019</w:t>
      </w:r>
      <w:r>
        <w:t xml:space="preserve"> includes direction to </w:t>
      </w:r>
      <w:proofErr w:type="gramStart"/>
      <w:r>
        <w:t>take into account</w:t>
      </w:r>
      <w:proofErr w:type="gramEnd"/>
      <w:r>
        <w:t xml:space="preserve"> the principles of Te </w:t>
      </w:r>
      <w:proofErr w:type="spellStart"/>
      <w:r>
        <w:t>Tiriti</w:t>
      </w:r>
      <w:proofErr w:type="spellEnd"/>
      <w:r>
        <w:t xml:space="preserve"> o Waitangi in resource management processes and decisions (Objective 2.1</w:t>
      </w:r>
      <w:r w:rsidR="0002540E">
        <w:t>)</w:t>
      </w:r>
      <w:r>
        <w:t xml:space="preserve"> and includes provisions that outline treaty obligations and how these will be provided for. The PORPS</w:t>
      </w:r>
      <w:r w:rsidR="11FFD128">
        <w:t xml:space="preserve"> </w:t>
      </w:r>
      <w:r w:rsidR="439A2761">
        <w:t>2019</w:t>
      </w:r>
      <w:r>
        <w:t xml:space="preserve"> also provides for </w:t>
      </w:r>
      <w:r w:rsidRPr="29589E8D">
        <w:rPr>
          <w:rFonts w:ascii="Calibri" w:hAnsi="Calibri" w:cs="Calibri"/>
        </w:rPr>
        <w:t xml:space="preserve">Kāi </w:t>
      </w:r>
      <w:proofErr w:type="spellStart"/>
      <w:r w:rsidRPr="29589E8D">
        <w:rPr>
          <w:rFonts w:ascii="Calibri" w:hAnsi="Calibri" w:cs="Calibri"/>
        </w:rPr>
        <w:t>Tahu</w:t>
      </w:r>
      <w:proofErr w:type="spellEnd"/>
      <w:r w:rsidRPr="29589E8D">
        <w:rPr>
          <w:rFonts w:ascii="Calibri" w:hAnsi="Calibri" w:cs="Calibri"/>
        </w:rPr>
        <w:t xml:space="preserve"> relationships with </w:t>
      </w:r>
      <w:proofErr w:type="spellStart"/>
      <w:r w:rsidRPr="29589E8D">
        <w:rPr>
          <w:rFonts w:ascii="Calibri" w:hAnsi="Calibri" w:cs="Calibri"/>
        </w:rPr>
        <w:t>wāhi</w:t>
      </w:r>
      <w:proofErr w:type="spellEnd"/>
      <w:r w:rsidRPr="29589E8D">
        <w:rPr>
          <w:rFonts w:ascii="Calibri" w:hAnsi="Calibri" w:cs="Calibri"/>
        </w:rPr>
        <w:t xml:space="preserve"> t</w:t>
      </w:r>
      <w:r w:rsidR="00E840D9">
        <w:rPr>
          <w:rFonts w:ascii="Calibri" w:hAnsi="Calibri" w:cs="Calibri"/>
        </w:rPr>
        <w:t>ū</w:t>
      </w:r>
      <w:r w:rsidRPr="29589E8D">
        <w:rPr>
          <w:rFonts w:ascii="Calibri" w:hAnsi="Calibri" w:cs="Calibri"/>
        </w:rPr>
        <w:t xml:space="preserve">puna and </w:t>
      </w:r>
      <w:r w:rsidR="00E25BE8" w:rsidRPr="29589E8D">
        <w:rPr>
          <w:rFonts w:ascii="Calibri" w:hAnsi="Calibri" w:cs="Calibri"/>
        </w:rPr>
        <w:t xml:space="preserve">seeks to </w:t>
      </w:r>
      <w:r w:rsidR="0002540E" w:rsidRPr="29589E8D">
        <w:rPr>
          <w:rFonts w:ascii="Calibri" w:hAnsi="Calibri" w:cs="Calibri"/>
        </w:rPr>
        <w:t>enable</w:t>
      </w:r>
      <w:r w:rsidRPr="29589E8D">
        <w:rPr>
          <w:rFonts w:ascii="Calibri" w:hAnsi="Calibri" w:cs="Calibri"/>
        </w:rPr>
        <w:t xml:space="preserve"> the sustainable development of </w:t>
      </w:r>
      <w:proofErr w:type="spellStart"/>
      <w:r w:rsidRPr="29589E8D">
        <w:rPr>
          <w:rFonts w:ascii="Calibri" w:hAnsi="Calibri" w:cs="Calibri"/>
        </w:rPr>
        <w:t>Maori</w:t>
      </w:r>
      <w:proofErr w:type="spellEnd"/>
      <w:r w:rsidRPr="29589E8D">
        <w:rPr>
          <w:rFonts w:ascii="Calibri" w:hAnsi="Calibri" w:cs="Calibri"/>
        </w:rPr>
        <w:t xml:space="preserve"> land. </w:t>
      </w:r>
      <w:r>
        <w:t xml:space="preserve">Schedule 1 of the PORPS </w:t>
      </w:r>
      <w:r w:rsidR="5F85ADAD">
        <w:t>2019</w:t>
      </w:r>
      <w:r w:rsidR="11FFD128">
        <w:t xml:space="preserve"> </w:t>
      </w:r>
      <w:r>
        <w:t xml:space="preserve">sets out Kāi </w:t>
      </w:r>
      <w:proofErr w:type="spellStart"/>
      <w:r>
        <w:t>Tahu</w:t>
      </w:r>
      <w:proofErr w:type="spellEnd"/>
      <w:r>
        <w:t xml:space="preserve"> values and interests, and states that these values and interests must be considered in planning and consenting decisions.</w:t>
      </w:r>
      <w:r w:rsidR="0002540E" w:rsidRPr="29589E8D">
        <w:rPr>
          <w:rFonts w:ascii="Calibri" w:hAnsi="Calibri" w:cs="Calibri"/>
        </w:rPr>
        <w:t xml:space="preserve"> </w:t>
      </w:r>
      <w:r>
        <w:t xml:space="preserve">Schedule 2 of the PORPS </w:t>
      </w:r>
      <w:r w:rsidR="1526B4B4">
        <w:t>2019</w:t>
      </w:r>
      <w:r w:rsidR="11FFD128">
        <w:t xml:space="preserve"> </w:t>
      </w:r>
      <w:r>
        <w:t xml:space="preserve">describes the Statutory acknowledgement areas in the Otago region. </w:t>
      </w:r>
    </w:p>
    <w:p w14:paraId="0B1D5271" w14:textId="34D8C308" w:rsidR="006F0A68" w:rsidRDefault="00F00836" w:rsidP="00A247C5">
      <w:pPr>
        <w:pStyle w:val="Normal2"/>
      </w:pPr>
      <w:r>
        <w:t>The National Planning Standards require t</w:t>
      </w:r>
      <w:r w:rsidR="007F4818">
        <w:t xml:space="preserve">here to be a specific </w:t>
      </w:r>
      <w:proofErr w:type="spellStart"/>
      <w:r w:rsidR="007F4818">
        <w:t>ta</w:t>
      </w:r>
      <w:r w:rsidR="00E840D9">
        <w:t>k</w:t>
      </w:r>
      <w:r w:rsidR="007F4818">
        <w:t>ata</w:t>
      </w:r>
      <w:proofErr w:type="spellEnd"/>
      <w:r w:rsidR="007F4818">
        <w:t xml:space="preserve"> whenua/mana whenua chapter</w:t>
      </w:r>
      <w:r w:rsidR="0078723A">
        <w:t xml:space="preserve"> and </w:t>
      </w:r>
      <w:r w:rsidR="5477B300">
        <w:t>require</w:t>
      </w:r>
      <w:r w:rsidR="0078723A">
        <w:t xml:space="preserve"> that</w:t>
      </w:r>
      <w:r w:rsidR="0088165E">
        <w:t xml:space="preserve"> context and process-related </w:t>
      </w:r>
      <w:r w:rsidR="00170B81">
        <w:t>provisions</w:t>
      </w:r>
      <w:r w:rsidR="0078723A">
        <w:t xml:space="preserve"> are included in this chapter</w:t>
      </w:r>
      <w:r w:rsidR="00D6480A">
        <w:t xml:space="preserve">. </w:t>
      </w:r>
      <w:r w:rsidR="00C76298">
        <w:t>T</w:t>
      </w:r>
      <w:r w:rsidR="006F0A68">
        <w:t xml:space="preserve">he status quo </w:t>
      </w:r>
      <w:r w:rsidR="0078723A">
        <w:t xml:space="preserve">therefore </w:t>
      </w:r>
      <w:r w:rsidR="000A6477">
        <w:t>does not ali</w:t>
      </w:r>
      <w:r w:rsidR="0068204F">
        <w:t>g</w:t>
      </w:r>
      <w:r w:rsidR="000A6477">
        <w:t>n with the requirements of the National Planning Standards.</w:t>
      </w:r>
    </w:p>
    <w:p w14:paraId="7EF05D16" w14:textId="003BB060" w:rsidR="006F0A68" w:rsidRDefault="006F0A68" w:rsidP="00DE069C">
      <w:pPr>
        <w:pStyle w:val="Heading4"/>
      </w:pPr>
      <w:r>
        <w:t xml:space="preserve">Option 2: </w:t>
      </w:r>
      <w:r w:rsidR="00E81F7F">
        <w:t>PORPS 2021</w:t>
      </w:r>
      <w:r w:rsidR="00AE24E9">
        <w:t xml:space="preserve"> – </w:t>
      </w:r>
      <w:r w:rsidR="00AE24E9">
        <w:rPr>
          <w:i/>
          <w:iCs/>
        </w:rPr>
        <w:t xml:space="preserve">preferred </w:t>
      </w:r>
    </w:p>
    <w:p w14:paraId="2B74978B" w14:textId="631D490D" w:rsidR="00D25506" w:rsidRDefault="00AF4CE5" w:rsidP="00A247C5">
      <w:pPr>
        <w:pStyle w:val="Normal2"/>
      </w:pPr>
      <w:r>
        <w:t xml:space="preserve">Option 2 involves taking the content from the PORPS 2019 that relates to the matters identified in the National Planning Standards for consideration in the </w:t>
      </w:r>
      <w:r w:rsidR="00E840D9">
        <w:rPr>
          <w:i/>
          <w:iCs/>
        </w:rPr>
        <w:t>MW – Mana whenua</w:t>
      </w:r>
      <w:r>
        <w:t xml:space="preserve"> </w:t>
      </w:r>
      <w:r>
        <w:lastRenderedPageBreak/>
        <w:t>chapter,</w:t>
      </w:r>
      <w:r w:rsidR="0092314D">
        <w:t xml:space="preserve"> including conte</w:t>
      </w:r>
      <w:r w:rsidR="009A47E5">
        <w:t>x</w:t>
      </w:r>
      <w:r w:rsidR="0092314D">
        <w:t>t and process-related provisions</w:t>
      </w:r>
      <w:r w:rsidR="00FC799D">
        <w:t>,</w:t>
      </w:r>
      <w:r>
        <w:t xml:space="preserve"> and inserting </w:t>
      </w:r>
      <w:r w:rsidR="0092314D">
        <w:t>them</w:t>
      </w:r>
      <w:r>
        <w:t xml:space="preserve"> into </w:t>
      </w:r>
      <w:r w:rsidR="00FC799D">
        <w:t>a single</w:t>
      </w:r>
      <w:r w:rsidR="594811F2">
        <w:t xml:space="preserve"> chapter. </w:t>
      </w:r>
      <w:r w:rsidR="00C74F94">
        <w:t xml:space="preserve"> In addition, </w:t>
      </w:r>
      <w:r>
        <w:t>this chapter</w:t>
      </w:r>
      <w:r w:rsidR="00E27169">
        <w:t xml:space="preserve"> </w:t>
      </w:r>
      <w:r w:rsidR="00BD58A4">
        <w:t xml:space="preserve">sets out some of </w:t>
      </w:r>
      <w:proofErr w:type="gramStart"/>
      <w:r w:rsidR="00BD58A4">
        <w:t>the means by which</w:t>
      </w:r>
      <w:proofErr w:type="gramEnd"/>
      <w:r w:rsidR="00BD58A4">
        <w:t xml:space="preserve"> </w:t>
      </w:r>
      <w:r w:rsidR="003C0351">
        <w:t xml:space="preserve">many of </w:t>
      </w:r>
      <w:r w:rsidR="00BD58A4">
        <w:t xml:space="preserve">the </w:t>
      </w:r>
      <w:r w:rsidR="00C217EF">
        <w:t>resource management issues of significance to iwi authorities in the region</w:t>
      </w:r>
      <w:r w:rsidR="00AC674B">
        <w:t xml:space="preserve"> are to be resolved.</w:t>
      </w:r>
    </w:p>
    <w:p w14:paraId="75F49242" w14:textId="1F7B7E13" w:rsidR="00471BC4" w:rsidRDefault="00AC5D5A" w:rsidP="00A247C5">
      <w:pPr>
        <w:pStyle w:val="Normal2"/>
      </w:pPr>
      <w:r>
        <w:rPr>
          <w:rStyle w:val="normaltextrun"/>
          <w:rFonts w:ascii="Calibri" w:hAnsi="Calibri" w:cs="Calibri"/>
          <w:color w:val="000000"/>
          <w:shd w:val="clear" w:color="auto" w:fill="FFFFFF"/>
        </w:rPr>
        <w:t xml:space="preserve">The issues and concerns described in </w:t>
      </w:r>
      <w:r w:rsidR="00B76D2C">
        <w:rPr>
          <w:rStyle w:val="normaltextrun"/>
          <w:rFonts w:ascii="Calibri" w:hAnsi="Calibri" w:cs="Calibri"/>
          <w:color w:val="000000"/>
          <w:shd w:val="clear" w:color="auto" w:fill="FFFFFF"/>
        </w:rPr>
        <w:t>the RMIA section</w:t>
      </w:r>
      <w:r w:rsidR="004477E4">
        <w:rPr>
          <w:rStyle w:val="normaltextrun"/>
          <w:rFonts w:ascii="Calibri" w:hAnsi="Calibri" w:cs="Calibri"/>
          <w:color w:val="000000"/>
          <w:shd w:val="clear" w:color="auto" w:fill="FFFFFF"/>
        </w:rPr>
        <w:t xml:space="preserve"> need to </w:t>
      </w:r>
      <w:r>
        <w:rPr>
          <w:rStyle w:val="normaltextrun"/>
          <w:rFonts w:ascii="Calibri" w:hAnsi="Calibri" w:cs="Calibri"/>
          <w:color w:val="000000"/>
          <w:shd w:val="clear" w:color="auto" w:fill="FFFFFF"/>
        </w:rPr>
        <w:t>be read and understood in the context of</w:t>
      </w:r>
      <w:r w:rsidR="00E840D9">
        <w:rPr>
          <w:rStyle w:val="normaltextrun"/>
          <w:rFonts w:ascii="Calibri" w:hAnsi="Calibri" w:cs="Calibri"/>
          <w:color w:val="000000"/>
          <w:shd w:val="clear" w:color="auto" w:fill="FFFFFF"/>
        </w:rPr>
        <w:t xml:space="preserve"> the</w:t>
      </w:r>
      <w:r>
        <w:rPr>
          <w:rStyle w:val="normaltextrun"/>
          <w:rFonts w:ascii="Calibri" w:hAnsi="Calibri" w:cs="Calibri"/>
          <w:color w:val="000000"/>
          <w:shd w:val="clear" w:color="auto" w:fill="FFFFFF"/>
        </w:rPr>
        <w:t xml:space="preserve"> </w:t>
      </w:r>
      <w:r w:rsidRPr="00E840D9">
        <w:rPr>
          <w:rStyle w:val="normaltextrun"/>
          <w:rFonts w:ascii="Calibri" w:hAnsi="Calibri" w:cs="Calibri"/>
          <w:i/>
          <w:iCs/>
          <w:color w:val="000000"/>
          <w:shd w:val="clear" w:color="auto" w:fill="FFFFFF"/>
        </w:rPr>
        <w:t xml:space="preserve">MW – Mana </w:t>
      </w:r>
      <w:r w:rsidR="00E840D9" w:rsidRPr="00E840D9">
        <w:rPr>
          <w:rStyle w:val="normaltextrun"/>
          <w:rFonts w:ascii="Calibri" w:hAnsi="Calibri" w:cs="Calibri"/>
          <w:i/>
          <w:iCs/>
          <w:color w:val="000000"/>
          <w:shd w:val="clear" w:color="auto" w:fill="FFFFFF"/>
        </w:rPr>
        <w:t>w</w:t>
      </w:r>
      <w:r w:rsidRPr="00E840D9">
        <w:rPr>
          <w:rStyle w:val="normaltextrun"/>
          <w:rFonts w:ascii="Calibri" w:hAnsi="Calibri" w:cs="Calibri"/>
          <w:i/>
          <w:iCs/>
          <w:color w:val="000000"/>
          <w:shd w:val="clear" w:color="auto" w:fill="FFFFFF"/>
        </w:rPr>
        <w:t>henua</w:t>
      </w:r>
      <w:r>
        <w:rPr>
          <w:rStyle w:val="normaltextrun"/>
          <w:rFonts w:ascii="Calibri" w:hAnsi="Calibri" w:cs="Calibri"/>
          <w:color w:val="000000"/>
          <w:shd w:val="clear" w:color="auto" w:fill="FFFFFF"/>
        </w:rPr>
        <w:t xml:space="preserve"> chapter.</w:t>
      </w:r>
      <w:r>
        <w:rPr>
          <w:rStyle w:val="eop"/>
          <w:rFonts w:ascii="Calibri" w:hAnsi="Calibri" w:cs="Calibri"/>
          <w:color w:val="000000"/>
          <w:shd w:val="clear" w:color="auto" w:fill="FFFFFF"/>
        </w:rPr>
        <w:t> </w:t>
      </w:r>
      <w:r w:rsidR="00CC5948">
        <w:rPr>
          <w:rStyle w:val="normaltextrun"/>
          <w:rFonts w:ascii="Calibri" w:hAnsi="Calibri" w:cs="Calibri"/>
          <w:color w:val="000000"/>
          <w:shd w:val="clear" w:color="auto" w:fill="FFFFFF"/>
        </w:rPr>
        <w:t xml:space="preserve"> </w:t>
      </w:r>
      <w:r w:rsidR="00093C04">
        <w:rPr>
          <w:rStyle w:val="normaltextrun"/>
          <w:rFonts w:ascii="Calibri" w:hAnsi="Calibri" w:cs="Calibri"/>
          <w:color w:val="000000"/>
          <w:shd w:val="clear" w:color="auto" w:fill="FFFFFF"/>
        </w:rPr>
        <w:t>T</w:t>
      </w:r>
      <w:r w:rsidR="00F73640">
        <w:rPr>
          <w:rStyle w:val="normaltextrun"/>
          <w:rFonts w:ascii="Calibri" w:hAnsi="Calibri" w:cs="Calibri"/>
          <w:color w:val="000000"/>
          <w:shd w:val="clear" w:color="auto" w:fill="FFFFFF"/>
        </w:rPr>
        <w:t xml:space="preserve">he </w:t>
      </w:r>
      <w:r w:rsidR="00E840D9" w:rsidRPr="00E840D9">
        <w:rPr>
          <w:rStyle w:val="normaltextrun"/>
          <w:rFonts w:ascii="Calibri" w:hAnsi="Calibri" w:cs="Calibri"/>
          <w:i/>
          <w:iCs/>
          <w:color w:val="000000"/>
          <w:shd w:val="clear" w:color="auto" w:fill="FFFFFF"/>
        </w:rPr>
        <w:t>MW – Mana whenua</w:t>
      </w:r>
      <w:r w:rsidR="00E840D9">
        <w:rPr>
          <w:rStyle w:val="normaltextrun"/>
          <w:rFonts w:ascii="Calibri" w:hAnsi="Calibri" w:cs="Calibri"/>
          <w:color w:val="000000"/>
          <w:shd w:val="clear" w:color="auto" w:fill="FFFFFF"/>
        </w:rPr>
        <w:t xml:space="preserve"> </w:t>
      </w:r>
      <w:r w:rsidR="00F73640">
        <w:rPr>
          <w:rStyle w:val="normaltextrun"/>
          <w:rFonts w:ascii="Calibri" w:hAnsi="Calibri" w:cs="Calibri"/>
          <w:color w:val="000000"/>
          <w:shd w:val="clear" w:color="auto" w:fill="FFFFFF"/>
        </w:rPr>
        <w:t>chapter describes the integral relationship between Kāi </w:t>
      </w:r>
      <w:proofErr w:type="spellStart"/>
      <w:r w:rsidR="00F73640">
        <w:rPr>
          <w:rStyle w:val="normaltextrun"/>
          <w:rFonts w:ascii="Calibri" w:hAnsi="Calibri" w:cs="Calibri"/>
          <w:color w:val="000000"/>
          <w:shd w:val="clear" w:color="auto" w:fill="FFFFFF"/>
        </w:rPr>
        <w:t>Tahu</w:t>
      </w:r>
      <w:proofErr w:type="spellEnd"/>
      <w:r w:rsidR="00F73640">
        <w:rPr>
          <w:rStyle w:val="normaltextrun"/>
          <w:rFonts w:ascii="Calibri" w:hAnsi="Calibri" w:cs="Calibri"/>
          <w:color w:val="000000"/>
          <w:shd w:val="clear" w:color="auto" w:fill="FFFFFF"/>
        </w:rPr>
        <w:t xml:space="preserve"> and the natural world, including the relationship with </w:t>
      </w:r>
      <w:proofErr w:type="gramStart"/>
      <w:r w:rsidR="00F73640">
        <w:rPr>
          <w:rStyle w:val="normaltextrun"/>
          <w:rFonts w:ascii="Calibri" w:hAnsi="Calibri" w:cs="Calibri"/>
          <w:color w:val="000000"/>
          <w:shd w:val="clear" w:color="auto" w:fill="FFFFFF"/>
        </w:rPr>
        <w:t>particular resources</w:t>
      </w:r>
      <w:proofErr w:type="gramEnd"/>
      <w:r w:rsidR="00F73640" w:rsidRPr="00D278D4">
        <w:rPr>
          <w:rStyle w:val="normaltextrun"/>
          <w:rFonts w:ascii="Calibri" w:hAnsi="Calibri" w:cs="Calibri"/>
          <w:shd w:val="clear" w:color="auto" w:fill="FFFFFF"/>
        </w:rPr>
        <w:t>, </w:t>
      </w:r>
      <w:r w:rsidR="00F73640">
        <w:rPr>
          <w:rStyle w:val="normaltextrun"/>
          <w:rFonts w:ascii="Calibri" w:hAnsi="Calibri" w:cs="Calibri"/>
          <w:color w:val="000000"/>
          <w:shd w:val="clear" w:color="auto" w:fill="FFFFFF"/>
        </w:rPr>
        <w:t>and the values that influence the Kāi </w:t>
      </w:r>
      <w:proofErr w:type="spellStart"/>
      <w:r w:rsidR="00F73640">
        <w:rPr>
          <w:rStyle w:val="normaltextrun"/>
          <w:rFonts w:ascii="Calibri" w:hAnsi="Calibri" w:cs="Calibri"/>
          <w:color w:val="000000"/>
          <w:shd w:val="clear" w:color="auto" w:fill="FFFFFF"/>
        </w:rPr>
        <w:t>Tahu</w:t>
      </w:r>
      <w:proofErr w:type="spellEnd"/>
      <w:r w:rsidR="00F73640">
        <w:rPr>
          <w:rStyle w:val="normaltextrun"/>
          <w:rFonts w:ascii="Calibri" w:hAnsi="Calibri" w:cs="Calibri"/>
          <w:color w:val="000000"/>
          <w:shd w:val="clear" w:color="auto" w:fill="FFFFFF"/>
        </w:rPr>
        <w:t xml:space="preserve"> approach to resource management. </w:t>
      </w:r>
    </w:p>
    <w:p w14:paraId="38BB18B1" w14:textId="77777777" w:rsidR="0002540E" w:rsidRDefault="0002540E" w:rsidP="00A247C5">
      <w:pPr>
        <w:pStyle w:val="Normal2"/>
      </w:pPr>
      <w:r>
        <w:t>As the PORPS 2019 Chapter 2 provisions are largely procedural in nature, they align reasonably well with the requirements outlined in the National Planning Standards for the tangata whenua/mana whenua chapter.</w:t>
      </w:r>
    </w:p>
    <w:p w14:paraId="4BD08CA6" w14:textId="46262DC2" w:rsidR="00AF4CE5" w:rsidRPr="00AF4CE5" w:rsidRDefault="00AF4CE5" w:rsidP="00A247C5">
      <w:pPr>
        <w:pStyle w:val="Normal2"/>
      </w:pPr>
      <w:r>
        <w:t xml:space="preserve">This </w:t>
      </w:r>
      <w:r w:rsidR="0092314D">
        <w:t xml:space="preserve">option also </w:t>
      </w:r>
      <w:r w:rsidR="00E61B20">
        <w:t>incorporates</w:t>
      </w:r>
      <w:r w:rsidR="0092314D">
        <w:t xml:space="preserve"> </w:t>
      </w:r>
      <w:r w:rsidR="0078723A">
        <w:t>minor</w:t>
      </w:r>
      <w:r w:rsidR="00A804A6">
        <w:t xml:space="preserve"> changes or additions to ensure </w:t>
      </w:r>
      <w:r w:rsidR="0078723A">
        <w:t>consistency</w:t>
      </w:r>
      <w:r w:rsidR="00A804A6">
        <w:t xml:space="preserve"> with the style of the </w:t>
      </w:r>
      <w:r w:rsidR="49BAC3AB">
        <w:t>PO</w:t>
      </w:r>
      <w:r w:rsidR="31EBFD3B">
        <w:t>RPS</w:t>
      </w:r>
      <w:r w:rsidR="29656B8F">
        <w:t xml:space="preserve"> 2021</w:t>
      </w:r>
      <w:r w:rsidR="0078723A">
        <w:t>.</w:t>
      </w:r>
    </w:p>
    <w:p w14:paraId="32FE4E1D" w14:textId="77777777" w:rsidR="00AE7160" w:rsidRDefault="00AE7160" w:rsidP="0082271A">
      <w:pPr>
        <w:pStyle w:val="Heading3"/>
      </w:pPr>
      <w:r>
        <w:t>Consultation summary</w:t>
      </w:r>
    </w:p>
    <w:p w14:paraId="610779B0" w14:textId="77777777" w:rsidR="00AE7160" w:rsidRDefault="00AE7160" w:rsidP="00DE069C">
      <w:pPr>
        <w:pStyle w:val="Heading4"/>
      </w:pPr>
      <w:r>
        <w:t>Clause 3</w:t>
      </w:r>
    </w:p>
    <w:p w14:paraId="76D435E4" w14:textId="6D9A084B" w:rsidR="00D44B64" w:rsidRPr="00D44B64" w:rsidRDefault="00AE7160" w:rsidP="00A247C5">
      <w:pPr>
        <w:pStyle w:val="Normal2"/>
      </w:pPr>
      <w:r>
        <w:t xml:space="preserve">As outlined in section </w:t>
      </w:r>
      <w:r>
        <w:fldChar w:fldCharType="begin"/>
      </w:r>
      <w:r>
        <w:instrText xml:space="preserve"> REF _Ref68867783 \r \h </w:instrText>
      </w:r>
      <w:r>
        <w:fldChar w:fldCharType="separate"/>
      </w:r>
      <w:r w:rsidR="002A7A16">
        <w:t>2.5.1</w:t>
      </w:r>
      <w:r>
        <w:fldChar w:fldCharType="end"/>
      </w:r>
      <w:r>
        <w:t xml:space="preserve"> of this report, the PORPS 2021 provisions were provided to </w:t>
      </w:r>
      <w:proofErr w:type="gramStart"/>
      <w:r>
        <w:t>a number of</w:t>
      </w:r>
      <w:proofErr w:type="gramEnd"/>
      <w:r>
        <w:t xml:space="preserve"> parties for comment in accordance with Schedule 1 of the RMA. </w:t>
      </w:r>
      <w:r w:rsidR="004F2657">
        <w:t xml:space="preserve"> </w:t>
      </w:r>
      <w:r w:rsidR="0040554B">
        <w:t xml:space="preserve">Two parties responded to this part of the </w:t>
      </w:r>
      <w:r w:rsidR="0671D6B9">
        <w:t>PO</w:t>
      </w:r>
      <w:r w:rsidR="52F4DC36">
        <w:t>RPS</w:t>
      </w:r>
      <w:r w:rsidR="15BB032D">
        <w:t xml:space="preserve"> 2021</w:t>
      </w:r>
      <w:r w:rsidR="774ACA3D">
        <w:t>.</w:t>
      </w:r>
      <w:r w:rsidR="007D79FD">
        <w:t xml:space="preserve"> </w:t>
      </w:r>
      <w:r w:rsidR="00CA0559">
        <w:t>Most of the feedback that was given related to wording changes</w:t>
      </w:r>
      <w:r w:rsidR="00D77529">
        <w:t xml:space="preserve"> within the provisions</w:t>
      </w:r>
      <w:r w:rsidR="000C474E">
        <w:t xml:space="preserve">, mostly relating to Te </w:t>
      </w:r>
      <w:proofErr w:type="spellStart"/>
      <w:r w:rsidR="000C474E">
        <w:t>Reo</w:t>
      </w:r>
      <w:proofErr w:type="spellEnd"/>
      <w:r w:rsidR="000C474E">
        <w:t xml:space="preserve"> terms</w:t>
      </w:r>
      <w:r w:rsidR="00D77529">
        <w:t>.</w:t>
      </w:r>
    </w:p>
    <w:p w14:paraId="483323AC" w14:textId="531629A0" w:rsidR="0087755A" w:rsidRPr="0087755A" w:rsidRDefault="00D77529" w:rsidP="00A247C5">
      <w:pPr>
        <w:pStyle w:val="Normal2"/>
      </w:pPr>
      <w:r>
        <w:t>Some responses</w:t>
      </w:r>
      <w:r w:rsidR="006E796A">
        <w:t xml:space="preserve"> were looking to reduce the strength of </w:t>
      </w:r>
      <w:proofErr w:type="gramStart"/>
      <w:r w:rsidR="006E796A">
        <w:t>particular provisions</w:t>
      </w:r>
      <w:proofErr w:type="gramEnd"/>
      <w:r w:rsidR="006E796A">
        <w:t xml:space="preserve"> concerning protection of Kāi </w:t>
      </w:r>
      <w:proofErr w:type="spellStart"/>
      <w:r w:rsidR="006E796A">
        <w:t>Tahu</w:t>
      </w:r>
      <w:proofErr w:type="spellEnd"/>
      <w:r w:rsidR="006E796A">
        <w:t xml:space="preserve"> values, </w:t>
      </w:r>
      <w:r w:rsidR="00EB105B">
        <w:t xml:space="preserve">Kāi </w:t>
      </w:r>
      <w:proofErr w:type="spellStart"/>
      <w:r w:rsidR="00EB105B">
        <w:t>tahu</w:t>
      </w:r>
      <w:proofErr w:type="spellEnd"/>
      <w:r w:rsidR="00EB105B">
        <w:t xml:space="preserve"> </w:t>
      </w:r>
      <w:r w:rsidR="007B3D20">
        <w:t xml:space="preserve">capacity for </w:t>
      </w:r>
      <w:r w:rsidR="00EB105B">
        <w:t>involvement in consenting processes</w:t>
      </w:r>
      <w:r w:rsidR="00C45A64">
        <w:t xml:space="preserve"> (MW</w:t>
      </w:r>
      <w:r w:rsidR="00C32B6A">
        <w:t>–</w:t>
      </w:r>
      <w:r w:rsidR="00B06EC6">
        <w:t>M</w:t>
      </w:r>
      <w:r w:rsidR="000C2F82">
        <w:t>3</w:t>
      </w:r>
      <w:r w:rsidR="00B06EC6">
        <w:t>)</w:t>
      </w:r>
      <w:r w:rsidR="00EB105B">
        <w:t xml:space="preserve">, and </w:t>
      </w:r>
      <w:r w:rsidR="002163A9">
        <w:t xml:space="preserve">resourcing Kāi </w:t>
      </w:r>
      <w:proofErr w:type="spellStart"/>
      <w:r w:rsidR="002163A9">
        <w:t>Tahu</w:t>
      </w:r>
      <w:proofErr w:type="spellEnd"/>
      <w:r w:rsidR="002163A9">
        <w:t xml:space="preserve"> involvement in </w:t>
      </w:r>
      <w:r w:rsidR="00C45A64">
        <w:t>resource management processes (MW</w:t>
      </w:r>
      <w:r w:rsidR="00C32B6A">
        <w:t>–</w:t>
      </w:r>
      <w:r w:rsidR="00C45A64">
        <w:t>M</w:t>
      </w:r>
      <w:r w:rsidR="000C2F82">
        <w:t>4</w:t>
      </w:r>
      <w:r w:rsidR="00C45A64">
        <w:t>)</w:t>
      </w:r>
      <w:r w:rsidR="0040554B">
        <w:t>,</w:t>
      </w:r>
      <w:r w:rsidR="00EB105B">
        <w:t xml:space="preserve"> </w:t>
      </w:r>
      <w:r w:rsidR="006E796A">
        <w:t xml:space="preserve">seeing this section as </w:t>
      </w:r>
      <w:r w:rsidR="008E0114">
        <w:t xml:space="preserve">noticeably more strongly worded than the equivalent in the </w:t>
      </w:r>
      <w:r w:rsidR="000C2F82">
        <w:t>PO</w:t>
      </w:r>
      <w:r w:rsidR="008E0114">
        <w:t>RPS 2019</w:t>
      </w:r>
      <w:r w:rsidR="008540F1">
        <w:t>.</w:t>
      </w:r>
    </w:p>
    <w:p w14:paraId="6CABEB7E" w14:textId="484AC6DF" w:rsidR="00AA0FE5" w:rsidRPr="005B4492" w:rsidRDefault="00643936" w:rsidP="00A247C5">
      <w:pPr>
        <w:pStyle w:val="Normal2"/>
      </w:pPr>
      <w:r>
        <w:t xml:space="preserve">Given Kāi </w:t>
      </w:r>
      <w:proofErr w:type="spellStart"/>
      <w:r>
        <w:t>Tahu</w:t>
      </w:r>
      <w:proofErr w:type="spellEnd"/>
      <w:r w:rsidR="007B3D20">
        <w:t xml:space="preserve"> </w:t>
      </w:r>
      <w:r w:rsidR="00A710AD">
        <w:t>were</w:t>
      </w:r>
      <w:r w:rsidR="007B3D20">
        <w:t xml:space="preserve"> best placed to address these comments</w:t>
      </w:r>
      <w:r w:rsidR="00A710AD">
        <w:t xml:space="preserve"> due to </w:t>
      </w:r>
      <w:r w:rsidR="007B3D20">
        <w:t xml:space="preserve">their </w:t>
      </w:r>
      <w:r w:rsidR="00A710AD">
        <w:t>significant</w:t>
      </w:r>
      <w:r>
        <w:t xml:space="preserve"> involvement in drafting </w:t>
      </w:r>
      <w:r w:rsidR="00A710AD">
        <w:t>the provisions</w:t>
      </w:r>
      <w:r>
        <w:t xml:space="preserve">, </w:t>
      </w:r>
      <w:r w:rsidR="000C2F82">
        <w:t>c</w:t>
      </w:r>
      <w:r w:rsidR="7637D017">
        <w:t>lause</w:t>
      </w:r>
      <w:r w:rsidR="00A710AD">
        <w:t xml:space="preserve"> 3 feedback</w:t>
      </w:r>
      <w:r>
        <w:t xml:space="preserve"> w</w:t>
      </w:r>
      <w:r w:rsidR="00C7604E">
        <w:t>as</w:t>
      </w:r>
      <w:r>
        <w:t xml:space="preserve"> passed on </w:t>
      </w:r>
      <w:r w:rsidR="000C2F82">
        <w:t xml:space="preserve">to Kāi </w:t>
      </w:r>
      <w:proofErr w:type="spellStart"/>
      <w:r w:rsidR="000C2F82">
        <w:t>Tahu</w:t>
      </w:r>
      <w:proofErr w:type="spellEnd"/>
      <w:r w:rsidR="000C2F82">
        <w:t xml:space="preserve"> </w:t>
      </w:r>
      <w:r>
        <w:t xml:space="preserve">for consideration as part of </w:t>
      </w:r>
      <w:r w:rsidR="000C2F82">
        <w:t>c</w:t>
      </w:r>
      <w:r w:rsidR="04048074">
        <w:t>lause</w:t>
      </w:r>
      <w:r>
        <w:t xml:space="preserve"> 4A</w:t>
      </w:r>
      <w:r w:rsidR="5D58EF5A">
        <w:t xml:space="preserve"> consultation</w:t>
      </w:r>
      <w:r w:rsidR="3D5215D2">
        <w:t>.</w:t>
      </w:r>
      <w:r w:rsidR="00D97BA4">
        <w:t xml:space="preserve"> </w:t>
      </w:r>
      <w:r w:rsidR="001E069F">
        <w:t xml:space="preserve">On advice from Kāi </w:t>
      </w:r>
      <w:proofErr w:type="spellStart"/>
      <w:r w:rsidR="001E069F">
        <w:t>Tahu</w:t>
      </w:r>
      <w:proofErr w:type="spellEnd"/>
      <w:r w:rsidR="001E069F">
        <w:t xml:space="preserve">, </w:t>
      </w:r>
      <w:r w:rsidR="00D97BA4" w:rsidRPr="005B4492">
        <w:t xml:space="preserve">ORC </w:t>
      </w:r>
      <w:r w:rsidR="006B5AEA" w:rsidRPr="005B4492">
        <w:t>adopt</w:t>
      </w:r>
      <w:r w:rsidR="008E672D" w:rsidRPr="005B4492">
        <w:t>ed some minor changes in response to feedbac</w:t>
      </w:r>
      <w:r w:rsidR="005B4492">
        <w:t xml:space="preserve">k, </w:t>
      </w:r>
      <w:proofErr w:type="gramStart"/>
      <w:r w:rsidR="005B4492">
        <w:t>however</w:t>
      </w:r>
      <w:proofErr w:type="gramEnd"/>
      <w:r w:rsidR="005B4492">
        <w:t xml:space="preserve"> </w:t>
      </w:r>
      <w:r w:rsidR="00610581">
        <w:t xml:space="preserve">did not make any changes of significance, as </w:t>
      </w:r>
      <w:r w:rsidR="00471AC9" w:rsidRPr="005B4492">
        <w:t>it</w:t>
      </w:r>
      <w:r w:rsidR="7CE8BEDE" w:rsidRPr="005B4492">
        <w:t xml:space="preserve"> consider</w:t>
      </w:r>
      <w:r w:rsidR="00471AC9" w:rsidRPr="005B4492">
        <w:t>s</w:t>
      </w:r>
      <w:r w:rsidR="00D97BA4" w:rsidRPr="005B4492">
        <w:t xml:space="preserve"> the provisions to be pitched </w:t>
      </w:r>
      <w:r w:rsidR="0C89DD21" w:rsidRPr="005B4492">
        <w:t xml:space="preserve">at </w:t>
      </w:r>
      <w:r w:rsidR="00D97BA4" w:rsidRPr="005B4492">
        <w:t>an appropriate strength</w:t>
      </w:r>
      <w:r w:rsidR="0075450D" w:rsidRPr="005B4492">
        <w:t>.</w:t>
      </w:r>
    </w:p>
    <w:p w14:paraId="7E907DCE" w14:textId="77777777" w:rsidR="00AE7160" w:rsidRPr="00451B9B" w:rsidRDefault="00AE7160" w:rsidP="00DE069C">
      <w:pPr>
        <w:pStyle w:val="Heading4"/>
      </w:pPr>
      <w:r>
        <w:t>Clause 4A</w:t>
      </w:r>
    </w:p>
    <w:p w14:paraId="560419E1" w14:textId="3CA9955D" w:rsidR="00597301" w:rsidRDefault="00A46E88" w:rsidP="00A247C5">
      <w:pPr>
        <w:pStyle w:val="Normal2"/>
      </w:pPr>
      <w:r>
        <w:t>T</w:t>
      </w:r>
      <w:r w:rsidR="00597301">
        <w:t xml:space="preserve">he draft RPS was provided to Te </w:t>
      </w:r>
      <w:proofErr w:type="spellStart"/>
      <w:r w:rsidR="00597301">
        <w:t>Rūnanga</w:t>
      </w:r>
      <w:proofErr w:type="spellEnd"/>
      <w:r w:rsidR="00597301">
        <w:t xml:space="preserve"> o Ngāi </w:t>
      </w:r>
      <w:proofErr w:type="spellStart"/>
      <w:r w:rsidR="00597301">
        <w:t>Tahu</w:t>
      </w:r>
      <w:proofErr w:type="spellEnd"/>
      <w:r w:rsidR="00597301">
        <w:t xml:space="preserve">, </w:t>
      </w:r>
      <w:proofErr w:type="spellStart"/>
      <w:r w:rsidR="00597301">
        <w:t>Aukaha</w:t>
      </w:r>
      <w:proofErr w:type="spellEnd"/>
      <w:r w:rsidR="00597301">
        <w:t xml:space="preserve"> and Te Ao Marama on 6 April 2021. </w:t>
      </w:r>
      <w:r w:rsidR="00FF2D47">
        <w:t xml:space="preserve">Feedback on this </w:t>
      </w:r>
      <w:proofErr w:type="gramStart"/>
      <w:r w:rsidR="00FF2D47">
        <w:t>particular chapter</w:t>
      </w:r>
      <w:proofErr w:type="gramEnd"/>
      <w:r w:rsidR="00FF2D47">
        <w:t xml:space="preserve"> was provided in</w:t>
      </w:r>
      <w:r w:rsidR="00597301">
        <w:t xml:space="preserve"> writing, in the form of a table outlining amendments sought by Kāi </w:t>
      </w:r>
      <w:proofErr w:type="spellStart"/>
      <w:r w:rsidR="00597301">
        <w:t>Tahu</w:t>
      </w:r>
      <w:proofErr w:type="spellEnd"/>
      <w:r w:rsidR="00597301">
        <w:t xml:space="preserve"> and reasons</w:t>
      </w:r>
      <w:r w:rsidR="00D6163A">
        <w:t xml:space="preserve">, and in the form of a </w:t>
      </w:r>
      <w:r w:rsidR="00D51FD2">
        <w:t>revised</w:t>
      </w:r>
      <w:r w:rsidR="00D6163A">
        <w:t xml:space="preserve"> chapter</w:t>
      </w:r>
      <w:r w:rsidR="00A70B54">
        <w:t xml:space="preserve"> setting out correct use and spelling of te </w:t>
      </w:r>
      <w:proofErr w:type="spellStart"/>
      <w:r w:rsidR="00A70B54">
        <w:t>reo</w:t>
      </w:r>
      <w:proofErr w:type="spellEnd"/>
      <w:r w:rsidR="00A70B54">
        <w:t xml:space="preserve"> words and phrases</w:t>
      </w:r>
      <w:r w:rsidR="00597301">
        <w:t xml:space="preserve">. </w:t>
      </w:r>
    </w:p>
    <w:p w14:paraId="58193601" w14:textId="63B75090" w:rsidR="00AE7160" w:rsidRPr="00AF4CE5" w:rsidRDefault="00597301" w:rsidP="00A247C5">
      <w:pPr>
        <w:pStyle w:val="Normal2"/>
        <w:numPr>
          <w:ilvl w:val="0"/>
          <w:numId w:val="0"/>
        </w:numPr>
        <w:ind w:left="720"/>
      </w:pPr>
      <w:r>
        <w:t xml:space="preserve">As a result of the </w:t>
      </w:r>
      <w:r w:rsidR="00AF5F0D">
        <w:t>feedback and</w:t>
      </w:r>
      <w:r>
        <w:t xml:space="preserve"> coupled with further consideration of the </w:t>
      </w:r>
      <w:r w:rsidR="00AF5F0D" w:rsidRPr="005343E8">
        <w:rPr>
          <w:i/>
          <w:iCs/>
        </w:rPr>
        <w:t>MW</w:t>
      </w:r>
      <w:r w:rsidR="005343E8" w:rsidRPr="005343E8">
        <w:rPr>
          <w:i/>
          <w:iCs/>
        </w:rPr>
        <w:t xml:space="preserve"> – Mana whenua</w:t>
      </w:r>
      <w:r>
        <w:t xml:space="preserve"> chapter provisions, amendments have been made to the objective and policies.  </w:t>
      </w:r>
      <w:r w:rsidR="00AF5F0D">
        <w:t>Most</w:t>
      </w:r>
      <w:r>
        <w:t xml:space="preserve"> of the amendments concern correct</w:t>
      </w:r>
      <w:r w:rsidR="00D278D4">
        <w:t xml:space="preserve">ing </w:t>
      </w:r>
      <w:r w:rsidR="00AF5F0D">
        <w:t>the spelling</w:t>
      </w:r>
      <w:r>
        <w:t xml:space="preserve"> and expression of Te </w:t>
      </w:r>
      <w:proofErr w:type="spellStart"/>
      <w:r w:rsidR="005343E8">
        <w:t>R</w:t>
      </w:r>
      <w:r>
        <w:t>eo</w:t>
      </w:r>
      <w:proofErr w:type="spellEnd"/>
      <w:r>
        <w:t xml:space="preserve"> and require no further comment here. </w:t>
      </w:r>
      <w:r w:rsidR="00B62E4E">
        <w:t>In some other instances</w:t>
      </w:r>
      <w:r w:rsidR="005343E8">
        <w:t>,</w:t>
      </w:r>
      <w:r w:rsidR="00B62E4E">
        <w:t xml:space="preserve"> amendments have been made to clarify the intent of the provision, </w:t>
      </w:r>
      <w:r w:rsidR="00463F2E">
        <w:t xml:space="preserve">employ greater certainty of expression and </w:t>
      </w:r>
      <w:proofErr w:type="gramStart"/>
      <w:r w:rsidR="00463F2E">
        <w:t>outcome</w:t>
      </w:r>
      <w:proofErr w:type="gramEnd"/>
      <w:r w:rsidR="00415482">
        <w:t xml:space="preserve"> and improve the direction recorded in the provision.</w:t>
      </w:r>
      <w:r>
        <w:t xml:space="preserve"> </w:t>
      </w:r>
    </w:p>
    <w:p w14:paraId="45854878" w14:textId="77777777" w:rsidR="006F0A68" w:rsidRDefault="006F0A68" w:rsidP="0082271A">
      <w:pPr>
        <w:pStyle w:val="Heading3"/>
      </w:pPr>
      <w:r>
        <w:lastRenderedPageBreak/>
        <w:t>Efficiency and effectiveness evaluation</w:t>
      </w:r>
    </w:p>
    <w:p w14:paraId="2539EBE7" w14:textId="0A73CF2F" w:rsidR="006F0A68" w:rsidRDefault="00282795" w:rsidP="00A247C5">
      <w:pPr>
        <w:pStyle w:val="Normal2"/>
      </w:pPr>
      <w:r>
        <w:rPr>
          <w:highlight w:val="yellow"/>
        </w:rPr>
        <w:fldChar w:fldCharType="begin"/>
      </w:r>
      <w:r>
        <w:instrText xml:space="preserve"> REF _Ref72495958 \h </w:instrText>
      </w:r>
      <w:r>
        <w:rPr>
          <w:highlight w:val="yellow"/>
        </w:rPr>
      </w:r>
      <w:r>
        <w:rPr>
          <w:highlight w:val="yellow"/>
        </w:rPr>
        <w:fldChar w:fldCharType="separate"/>
      </w:r>
      <w:r w:rsidR="002A7A16">
        <w:t xml:space="preserve">Table </w:t>
      </w:r>
      <w:r w:rsidR="002A7A16">
        <w:rPr>
          <w:noProof/>
        </w:rPr>
        <w:t>23</w:t>
      </w:r>
      <w:r>
        <w:rPr>
          <w:highlight w:val="yellow"/>
        </w:rPr>
        <w:fldChar w:fldCharType="end"/>
      </w:r>
      <w:r>
        <w:t xml:space="preserve"> </w:t>
      </w:r>
      <w:r w:rsidR="006F0A68">
        <w:t xml:space="preserve">below identifies and assesses the benefits and costs of the environmental, cultural, </w:t>
      </w:r>
      <w:proofErr w:type="gramStart"/>
      <w:r w:rsidR="006F0A68">
        <w:t>social</w:t>
      </w:r>
      <w:proofErr w:type="gramEnd"/>
      <w:r w:rsidR="006F0A68">
        <w:t xml:space="preserve"> and economic effects that are anticipated from the implementation of the provisions proposed under Option 2 above.</w:t>
      </w:r>
    </w:p>
    <w:p w14:paraId="3A1BBB42" w14:textId="571543FB" w:rsidR="006F0A68" w:rsidRDefault="006F0A68" w:rsidP="006F0A68">
      <w:pPr>
        <w:pStyle w:val="Caption"/>
        <w:keepNext/>
      </w:pPr>
      <w:bookmarkStart w:id="59" w:name="_Ref72495958"/>
      <w:r>
        <w:t xml:space="preserve">Table </w:t>
      </w:r>
      <w:r>
        <w:fldChar w:fldCharType="begin"/>
      </w:r>
      <w:r>
        <w:instrText>SEQ Table \* ARABIC</w:instrText>
      </w:r>
      <w:r>
        <w:fldChar w:fldCharType="separate"/>
      </w:r>
      <w:r w:rsidR="002A7A16">
        <w:rPr>
          <w:noProof/>
        </w:rPr>
        <w:t>23</w:t>
      </w:r>
      <w:r>
        <w:fldChar w:fldCharType="end"/>
      </w:r>
      <w:bookmarkEnd w:id="59"/>
      <w:r>
        <w:t>:</w:t>
      </w:r>
      <w:r w:rsidRPr="00005F72">
        <w:t xml:space="preserve"> </w:t>
      </w:r>
      <w:r>
        <w:t xml:space="preserve">Benefits and costs for </w:t>
      </w:r>
      <w:r w:rsidR="00282795">
        <w:t xml:space="preserve">MW – Mana whenua </w:t>
      </w:r>
    </w:p>
    <w:tbl>
      <w:tblPr>
        <w:tblStyle w:val="ListTable1Light-Accent1"/>
        <w:tblW w:w="0" w:type="auto"/>
        <w:tblLook w:val="04A0" w:firstRow="1" w:lastRow="0" w:firstColumn="1" w:lastColumn="0" w:noHBand="0" w:noVBand="1"/>
      </w:tblPr>
      <w:tblGrid>
        <w:gridCol w:w="4508"/>
        <w:gridCol w:w="4508"/>
      </w:tblGrid>
      <w:tr w:rsidR="0002540E" w:rsidRPr="00AE42AF" w14:paraId="33DB47FF" w14:textId="77777777" w:rsidTr="005F48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001B87" w14:textId="77777777" w:rsidR="0002540E" w:rsidRPr="00AE42AF" w:rsidRDefault="0002540E" w:rsidP="005F4836">
            <w:pPr>
              <w:jc w:val="center"/>
              <w:rPr>
                <w:sz w:val="20"/>
              </w:rPr>
            </w:pPr>
            <w:r w:rsidRPr="00AE42AF">
              <w:rPr>
                <w:sz w:val="20"/>
              </w:rPr>
              <w:t>BENEFITS</w:t>
            </w:r>
          </w:p>
        </w:tc>
        <w:tc>
          <w:tcPr>
            <w:tcW w:w="4508" w:type="dxa"/>
          </w:tcPr>
          <w:p w14:paraId="0C2CF5B8" w14:textId="77777777" w:rsidR="0002540E" w:rsidRPr="00AE42AF" w:rsidRDefault="0002540E" w:rsidP="005F4836">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02540E" w:rsidRPr="00AE42AF" w14:paraId="214ECF46" w14:textId="77777777" w:rsidTr="005F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E65C54B" w14:textId="77777777" w:rsidR="0002540E" w:rsidRPr="00AE42AF" w:rsidRDefault="0002540E" w:rsidP="005F4836">
            <w:pPr>
              <w:jc w:val="center"/>
              <w:rPr>
                <w:sz w:val="20"/>
              </w:rPr>
            </w:pPr>
            <w:r w:rsidRPr="00AE42AF">
              <w:rPr>
                <w:sz w:val="20"/>
              </w:rPr>
              <w:t>Environmental</w:t>
            </w:r>
          </w:p>
        </w:tc>
      </w:tr>
      <w:tr w:rsidR="0002540E" w:rsidRPr="000136C1" w14:paraId="41BE182E" w14:textId="77777777" w:rsidTr="005F4836">
        <w:tc>
          <w:tcPr>
            <w:cnfStyle w:val="001000000000" w:firstRow="0" w:lastRow="0" w:firstColumn="1" w:lastColumn="0" w:oddVBand="0" w:evenVBand="0" w:oddHBand="0" w:evenHBand="0" w:firstRowFirstColumn="0" w:firstRowLastColumn="0" w:lastRowFirstColumn="0" w:lastRowLastColumn="0"/>
            <w:tcW w:w="4508" w:type="dxa"/>
          </w:tcPr>
          <w:p w14:paraId="6772822D" w14:textId="77777777" w:rsidR="0002540E"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Largely unchanged from those of the status quo.</w:t>
            </w:r>
          </w:p>
          <w:p w14:paraId="2EF8D8B5" w14:textId="77777777" w:rsidR="0002540E" w:rsidRPr="00790B77"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Kāi </w:t>
            </w:r>
            <w:proofErr w:type="spellStart"/>
            <w:r w:rsidRPr="634A1E48">
              <w:rPr>
                <w:b w:val="0"/>
                <w:sz w:val="20"/>
                <w:szCs w:val="20"/>
              </w:rPr>
              <w:t>Tahu</w:t>
            </w:r>
            <w:proofErr w:type="spellEnd"/>
            <w:r w:rsidRPr="634A1E48">
              <w:rPr>
                <w:b w:val="0"/>
                <w:sz w:val="20"/>
                <w:szCs w:val="20"/>
              </w:rPr>
              <w:t xml:space="preserve"> values tend to have a strong basis in ecosystem health, so better provision for such values may have wider environmental benefits.</w:t>
            </w:r>
          </w:p>
        </w:tc>
        <w:tc>
          <w:tcPr>
            <w:tcW w:w="4508" w:type="dxa"/>
          </w:tcPr>
          <w:p w14:paraId="1B9E61DC" w14:textId="77777777" w:rsidR="0002540E" w:rsidRPr="00282795" w:rsidRDefault="0002540E" w:rsidP="00282795">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bCs/>
                <w:sz w:val="20"/>
                <w:szCs w:val="20"/>
              </w:rPr>
            </w:pPr>
            <w:r w:rsidRPr="634A1E48">
              <w:rPr>
                <w:sz w:val="20"/>
                <w:szCs w:val="20"/>
              </w:rPr>
              <w:t xml:space="preserve">Largely </w:t>
            </w:r>
            <w:r w:rsidRPr="00282795">
              <w:rPr>
                <w:bCs/>
                <w:sz w:val="20"/>
                <w:szCs w:val="20"/>
              </w:rPr>
              <w:t>unchanged from those of the status quo.</w:t>
            </w:r>
          </w:p>
          <w:p w14:paraId="261D010D" w14:textId="0A9A8666" w:rsidR="0002540E" w:rsidRPr="000136C1" w:rsidRDefault="0002540E" w:rsidP="00282795">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282795">
              <w:rPr>
                <w:bCs/>
                <w:sz w:val="20"/>
                <w:szCs w:val="20"/>
              </w:rPr>
              <w:t xml:space="preserve">Kāi </w:t>
            </w:r>
            <w:proofErr w:type="spellStart"/>
            <w:r w:rsidRPr="00282795">
              <w:rPr>
                <w:bCs/>
                <w:sz w:val="20"/>
                <w:szCs w:val="20"/>
              </w:rPr>
              <w:t>Tahu</w:t>
            </w:r>
            <w:proofErr w:type="spellEnd"/>
            <w:r w:rsidRPr="00282795">
              <w:rPr>
                <w:bCs/>
                <w:sz w:val="20"/>
                <w:szCs w:val="20"/>
              </w:rPr>
              <w:t xml:space="preserve"> native</w:t>
            </w:r>
            <w:r w:rsidRPr="634A1E48">
              <w:rPr>
                <w:sz w:val="20"/>
                <w:szCs w:val="20"/>
              </w:rPr>
              <w:t xml:space="preserve"> reserve land tends to be in coastal or rural</w:t>
            </w:r>
            <w:r w:rsidRPr="00610581">
              <w:rPr>
                <w:sz w:val="20"/>
                <w:szCs w:val="20"/>
              </w:rPr>
              <w:t xml:space="preserve"> areas, where development may risk negatively impacting environmental values</w:t>
            </w:r>
            <w:r w:rsidR="00D278D4">
              <w:rPr>
                <w:sz w:val="20"/>
                <w:szCs w:val="20"/>
              </w:rPr>
              <w:t>.</w:t>
            </w:r>
          </w:p>
        </w:tc>
      </w:tr>
      <w:tr w:rsidR="0002540E" w:rsidRPr="00AE42AF" w14:paraId="3B72884E" w14:textId="77777777" w:rsidTr="005F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4B268FD" w14:textId="77777777" w:rsidR="0002540E" w:rsidRPr="00AE42AF" w:rsidRDefault="0002540E" w:rsidP="005F4836">
            <w:pPr>
              <w:jc w:val="center"/>
              <w:rPr>
                <w:sz w:val="20"/>
              </w:rPr>
            </w:pPr>
            <w:r>
              <w:rPr>
                <w:sz w:val="20"/>
              </w:rPr>
              <w:t>Cultural</w:t>
            </w:r>
          </w:p>
        </w:tc>
      </w:tr>
      <w:tr w:rsidR="0002540E" w:rsidRPr="000E2E23" w14:paraId="662BF379" w14:textId="77777777" w:rsidTr="005F4836">
        <w:tc>
          <w:tcPr>
            <w:cnfStyle w:val="001000000000" w:firstRow="0" w:lastRow="0" w:firstColumn="1" w:lastColumn="0" w:oddVBand="0" w:evenVBand="0" w:oddHBand="0" w:evenHBand="0" w:firstRowFirstColumn="0" w:firstRowLastColumn="0" w:lastRowFirstColumn="0" w:lastRowLastColumn="0"/>
            <w:tcW w:w="4508" w:type="dxa"/>
          </w:tcPr>
          <w:p w14:paraId="33E3DC5F" w14:textId="77777777" w:rsidR="0002540E" w:rsidRPr="00282795" w:rsidRDefault="0002540E" w:rsidP="005F4836">
            <w:pPr>
              <w:pStyle w:val="ListParagraph"/>
              <w:numPr>
                <w:ilvl w:val="0"/>
                <w:numId w:val="22"/>
              </w:numPr>
              <w:spacing w:before="60" w:after="60"/>
              <w:ind w:left="357" w:hanging="357"/>
              <w:contextualSpacing w:val="0"/>
              <w:jc w:val="both"/>
              <w:rPr>
                <w:b w:val="0"/>
                <w:bCs w:val="0"/>
                <w:sz w:val="20"/>
                <w:szCs w:val="20"/>
              </w:rPr>
            </w:pPr>
            <w:r w:rsidRPr="634A1E48">
              <w:rPr>
                <w:b w:val="0"/>
                <w:sz w:val="20"/>
                <w:szCs w:val="20"/>
              </w:rPr>
              <w:t xml:space="preserve">More clearly provides direction and information on how the </w:t>
            </w:r>
            <w:r w:rsidRPr="00282795">
              <w:rPr>
                <w:b w:val="0"/>
                <w:bCs w:val="0"/>
                <w:sz w:val="20"/>
                <w:szCs w:val="20"/>
              </w:rPr>
              <w:t>objective is to be achieved.</w:t>
            </w:r>
          </w:p>
          <w:p w14:paraId="4789FFA7" w14:textId="77777777" w:rsidR="0002540E" w:rsidRPr="00501014" w:rsidRDefault="0002540E" w:rsidP="005F4836">
            <w:pPr>
              <w:pStyle w:val="ListParagraph"/>
              <w:numPr>
                <w:ilvl w:val="0"/>
                <w:numId w:val="22"/>
              </w:numPr>
              <w:spacing w:before="60" w:after="60"/>
              <w:ind w:left="357" w:hanging="357"/>
              <w:contextualSpacing w:val="0"/>
              <w:jc w:val="both"/>
              <w:rPr>
                <w:b w:val="0"/>
                <w:sz w:val="20"/>
                <w:szCs w:val="20"/>
              </w:rPr>
            </w:pPr>
            <w:r w:rsidRPr="00282795">
              <w:rPr>
                <w:b w:val="0"/>
                <w:bCs w:val="0"/>
                <w:sz w:val="20"/>
                <w:szCs w:val="20"/>
              </w:rPr>
              <w:t>Cultural expression</w:t>
            </w:r>
            <w:r w:rsidRPr="634A1E48">
              <w:rPr>
                <w:b w:val="0"/>
                <w:sz w:val="20"/>
                <w:szCs w:val="20"/>
              </w:rPr>
              <w:t xml:space="preserve"> for Kāi </w:t>
            </w:r>
            <w:proofErr w:type="spellStart"/>
            <w:r w:rsidRPr="634A1E48">
              <w:rPr>
                <w:b w:val="0"/>
                <w:sz w:val="20"/>
                <w:szCs w:val="20"/>
              </w:rPr>
              <w:t>Tahu</w:t>
            </w:r>
            <w:proofErr w:type="spellEnd"/>
            <w:r w:rsidRPr="634A1E48">
              <w:rPr>
                <w:b w:val="0"/>
                <w:sz w:val="20"/>
                <w:szCs w:val="20"/>
              </w:rPr>
              <w:t xml:space="preserve"> is supported and enhanced.</w:t>
            </w:r>
          </w:p>
        </w:tc>
        <w:tc>
          <w:tcPr>
            <w:tcW w:w="4508" w:type="dxa"/>
          </w:tcPr>
          <w:p w14:paraId="14218D07" w14:textId="77777777" w:rsidR="0002540E" w:rsidRPr="00F5177D"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Largely unchanged from those of the status quo, however the provisions require local authorities to consider resourcing options for Kāi </w:t>
            </w:r>
            <w:proofErr w:type="spellStart"/>
            <w:r w:rsidRPr="634A1E48">
              <w:rPr>
                <w:sz w:val="20"/>
                <w:szCs w:val="20"/>
              </w:rPr>
              <w:t>Tahu</w:t>
            </w:r>
            <w:proofErr w:type="spellEnd"/>
            <w:r w:rsidRPr="634A1E48">
              <w:rPr>
                <w:sz w:val="20"/>
                <w:szCs w:val="20"/>
              </w:rPr>
              <w:t xml:space="preserve"> participation in resource management, which may offset some of the financial costs of participation. </w:t>
            </w:r>
          </w:p>
        </w:tc>
      </w:tr>
      <w:tr w:rsidR="0002540E" w:rsidRPr="00AE42AF" w14:paraId="089426E5" w14:textId="77777777" w:rsidTr="005F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F28500F" w14:textId="77777777" w:rsidR="0002540E" w:rsidRPr="00AE42AF" w:rsidRDefault="0002540E" w:rsidP="005F4836">
            <w:pPr>
              <w:jc w:val="center"/>
              <w:rPr>
                <w:sz w:val="20"/>
              </w:rPr>
            </w:pPr>
            <w:r w:rsidRPr="00AE42AF">
              <w:rPr>
                <w:sz w:val="20"/>
              </w:rPr>
              <w:t>Social</w:t>
            </w:r>
          </w:p>
        </w:tc>
      </w:tr>
      <w:tr w:rsidR="0002540E" w:rsidRPr="00FC5CD5" w14:paraId="280BDE4E" w14:textId="77777777" w:rsidTr="005F4836">
        <w:tc>
          <w:tcPr>
            <w:cnfStyle w:val="001000000000" w:firstRow="0" w:lastRow="0" w:firstColumn="1" w:lastColumn="0" w:oddVBand="0" w:evenVBand="0" w:oddHBand="0" w:evenHBand="0" w:firstRowFirstColumn="0" w:firstRowLastColumn="0" w:lastRowFirstColumn="0" w:lastRowLastColumn="0"/>
            <w:tcW w:w="4508" w:type="dxa"/>
          </w:tcPr>
          <w:p w14:paraId="36A4D1B2" w14:textId="77777777" w:rsidR="0002540E" w:rsidRPr="00282795" w:rsidRDefault="0002540E" w:rsidP="005F4836">
            <w:pPr>
              <w:pStyle w:val="ListParagraph"/>
              <w:numPr>
                <w:ilvl w:val="0"/>
                <w:numId w:val="22"/>
              </w:numPr>
              <w:spacing w:before="60" w:after="60"/>
              <w:ind w:left="357" w:hanging="357"/>
              <w:contextualSpacing w:val="0"/>
              <w:jc w:val="both"/>
              <w:rPr>
                <w:b w:val="0"/>
                <w:bCs w:val="0"/>
                <w:sz w:val="20"/>
                <w:szCs w:val="20"/>
              </w:rPr>
            </w:pPr>
            <w:r w:rsidRPr="00282795">
              <w:rPr>
                <w:b w:val="0"/>
                <w:bCs w:val="0"/>
                <w:sz w:val="20"/>
                <w:szCs w:val="20"/>
              </w:rPr>
              <w:t>Largely unchanged from those of the status quo.</w:t>
            </w:r>
          </w:p>
          <w:p w14:paraId="6C0D5D79" w14:textId="77777777" w:rsidR="0002540E" w:rsidRPr="00F5177D" w:rsidRDefault="0002540E" w:rsidP="005F4836">
            <w:pPr>
              <w:pStyle w:val="ListParagraph"/>
              <w:numPr>
                <w:ilvl w:val="0"/>
                <w:numId w:val="22"/>
              </w:numPr>
              <w:spacing w:before="60" w:after="60"/>
              <w:ind w:left="357" w:hanging="357"/>
              <w:contextualSpacing w:val="0"/>
              <w:jc w:val="both"/>
              <w:rPr>
                <w:b w:val="0"/>
                <w:sz w:val="20"/>
                <w:szCs w:val="20"/>
              </w:rPr>
            </w:pPr>
            <w:r w:rsidRPr="00282795">
              <w:rPr>
                <w:b w:val="0"/>
                <w:bCs w:val="0"/>
                <w:sz w:val="20"/>
                <w:szCs w:val="20"/>
              </w:rPr>
              <w:t xml:space="preserve">Policies may better facilitate Kāi </w:t>
            </w:r>
            <w:proofErr w:type="spellStart"/>
            <w:r w:rsidRPr="00282795">
              <w:rPr>
                <w:b w:val="0"/>
                <w:bCs w:val="0"/>
                <w:sz w:val="20"/>
                <w:szCs w:val="20"/>
              </w:rPr>
              <w:t>Tahu</w:t>
            </w:r>
            <w:proofErr w:type="spellEnd"/>
            <w:r w:rsidRPr="00282795">
              <w:rPr>
                <w:b w:val="0"/>
                <w:bCs w:val="0"/>
                <w:sz w:val="20"/>
                <w:szCs w:val="20"/>
              </w:rPr>
              <w:t xml:space="preserve"> involvement</w:t>
            </w:r>
            <w:r w:rsidRPr="634A1E48">
              <w:rPr>
                <w:b w:val="0"/>
                <w:sz w:val="20"/>
                <w:szCs w:val="20"/>
              </w:rPr>
              <w:t xml:space="preserve"> in resource management than the status quo.</w:t>
            </w:r>
          </w:p>
        </w:tc>
        <w:tc>
          <w:tcPr>
            <w:tcW w:w="4508" w:type="dxa"/>
          </w:tcPr>
          <w:p w14:paraId="57C7D38E" w14:textId="77777777" w:rsidR="0002540E" w:rsidRPr="00F5177D"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Largely unchanged from those of the status quo.</w:t>
            </w:r>
          </w:p>
        </w:tc>
      </w:tr>
      <w:tr w:rsidR="0002540E" w:rsidRPr="00AE42AF" w14:paraId="6CB12B87" w14:textId="77777777" w:rsidTr="005F48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A5C2981" w14:textId="77777777" w:rsidR="0002540E" w:rsidRPr="00AE42AF" w:rsidRDefault="0002540E" w:rsidP="005F4836">
            <w:pPr>
              <w:jc w:val="center"/>
              <w:rPr>
                <w:sz w:val="20"/>
              </w:rPr>
            </w:pPr>
            <w:r>
              <w:rPr>
                <w:sz w:val="20"/>
              </w:rPr>
              <w:t>Economic</w:t>
            </w:r>
          </w:p>
        </w:tc>
      </w:tr>
      <w:tr w:rsidR="0002540E" w:rsidRPr="000136C1" w14:paraId="0F227EE6" w14:textId="77777777" w:rsidTr="005F4836">
        <w:tc>
          <w:tcPr>
            <w:cnfStyle w:val="001000000000" w:firstRow="0" w:lastRow="0" w:firstColumn="1" w:lastColumn="0" w:oddVBand="0" w:evenVBand="0" w:oddHBand="0" w:evenHBand="0" w:firstRowFirstColumn="0" w:firstRowLastColumn="0" w:lastRowFirstColumn="0" w:lastRowLastColumn="0"/>
            <w:tcW w:w="4508" w:type="dxa"/>
          </w:tcPr>
          <w:p w14:paraId="63DFC8EF" w14:textId="77777777" w:rsidR="0002540E" w:rsidRPr="00282795" w:rsidRDefault="0002540E" w:rsidP="005F4836">
            <w:pPr>
              <w:pStyle w:val="ListParagraph"/>
              <w:numPr>
                <w:ilvl w:val="0"/>
                <w:numId w:val="22"/>
              </w:numPr>
              <w:spacing w:before="60" w:after="60"/>
              <w:ind w:left="357" w:hanging="357"/>
              <w:contextualSpacing w:val="0"/>
              <w:jc w:val="both"/>
              <w:rPr>
                <w:b w:val="0"/>
                <w:bCs w:val="0"/>
                <w:sz w:val="20"/>
                <w:szCs w:val="20"/>
              </w:rPr>
            </w:pPr>
            <w:r w:rsidRPr="634A1E48">
              <w:rPr>
                <w:b w:val="0"/>
                <w:sz w:val="20"/>
                <w:szCs w:val="20"/>
              </w:rPr>
              <w:t xml:space="preserve">Retains </w:t>
            </w:r>
            <w:r w:rsidRPr="00282795">
              <w:rPr>
                <w:b w:val="0"/>
                <w:bCs w:val="0"/>
                <w:sz w:val="20"/>
                <w:szCs w:val="20"/>
              </w:rPr>
              <w:t>status quo benefits.</w:t>
            </w:r>
          </w:p>
          <w:p w14:paraId="05616A0F" w14:textId="527CB1CA" w:rsidR="0002540E" w:rsidRPr="00282795" w:rsidRDefault="001836FB" w:rsidP="00D12A1A">
            <w:pPr>
              <w:pStyle w:val="ListParagraph"/>
              <w:numPr>
                <w:ilvl w:val="0"/>
                <w:numId w:val="22"/>
              </w:numPr>
              <w:spacing w:before="60" w:after="60"/>
              <w:ind w:left="357" w:hanging="357"/>
              <w:contextualSpacing w:val="0"/>
              <w:jc w:val="both"/>
              <w:rPr>
                <w:b w:val="0"/>
                <w:bCs w:val="0"/>
                <w:sz w:val="20"/>
                <w:szCs w:val="20"/>
              </w:rPr>
            </w:pPr>
            <w:r w:rsidRPr="00282795">
              <w:rPr>
                <w:b w:val="0"/>
                <w:bCs w:val="0"/>
                <w:sz w:val="20"/>
                <w:szCs w:val="20"/>
              </w:rPr>
              <w:t xml:space="preserve">Has the </w:t>
            </w:r>
            <w:r w:rsidR="00D12A1A" w:rsidRPr="00282795">
              <w:rPr>
                <w:b w:val="0"/>
                <w:bCs w:val="0"/>
                <w:sz w:val="20"/>
                <w:szCs w:val="20"/>
              </w:rPr>
              <w:t>potential</w:t>
            </w:r>
            <w:r w:rsidRPr="00282795">
              <w:rPr>
                <w:b w:val="0"/>
                <w:bCs w:val="0"/>
                <w:sz w:val="20"/>
                <w:szCs w:val="20"/>
              </w:rPr>
              <w:t xml:space="preserve"> benefit of improving economic outcomes through adopting a more holistic approach to the management and use of natural and physical resources</w:t>
            </w:r>
            <w:r w:rsidR="003341DF" w:rsidRPr="00282795">
              <w:rPr>
                <w:b w:val="0"/>
                <w:bCs w:val="0"/>
                <w:sz w:val="20"/>
                <w:szCs w:val="20"/>
              </w:rPr>
              <w:t>.</w:t>
            </w:r>
          </w:p>
          <w:p w14:paraId="1B2C726F" w14:textId="4C04E8A8" w:rsidR="0002540E" w:rsidRPr="000136C1" w:rsidRDefault="003341DF" w:rsidP="00D12A1A">
            <w:pPr>
              <w:pStyle w:val="ListParagraph"/>
              <w:numPr>
                <w:ilvl w:val="0"/>
                <w:numId w:val="22"/>
              </w:numPr>
              <w:spacing w:before="60" w:after="60"/>
              <w:ind w:left="357" w:hanging="357"/>
              <w:contextualSpacing w:val="0"/>
              <w:jc w:val="both"/>
              <w:rPr>
                <w:b w:val="0"/>
                <w:sz w:val="20"/>
                <w:szCs w:val="20"/>
              </w:rPr>
            </w:pPr>
            <w:r w:rsidRPr="00282795">
              <w:rPr>
                <w:b w:val="0"/>
                <w:bCs w:val="0"/>
                <w:sz w:val="20"/>
                <w:szCs w:val="20"/>
              </w:rPr>
              <w:t>A sustainable long-term approach to the use and management of natural and physical resources has the potential</w:t>
            </w:r>
            <w:r>
              <w:rPr>
                <w:b w:val="0"/>
                <w:sz w:val="20"/>
                <w:szCs w:val="20"/>
              </w:rPr>
              <w:t xml:space="preserve"> to improve</w:t>
            </w:r>
            <w:r w:rsidR="004A6B05">
              <w:rPr>
                <w:b w:val="0"/>
                <w:sz w:val="20"/>
                <w:szCs w:val="20"/>
              </w:rPr>
              <w:t xml:space="preserve"> economic growth and employment opportunities throughout the region.</w:t>
            </w:r>
          </w:p>
        </w:tc>
        <w:tc>
          <w:tcPr>
            <w:tcW w:w="4508" w:type="dxa"/>
          </w:tcPr>
          <w:p w14:paraId="132EDE99" w14:textId="77777777" w:rsidR="0002540E" w:rsidRPr="00F5177D"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Largely unchanged from those of the status quo.</w:t>
            </w:r>
          </w:p>
          <w:p w14:paraId="081E57FF" w14:textId="77777777" w:rsidR="0002540E" w:rsidRPr="00F5177D"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Recognising and providing for Kāi </w:t>
            </w:r>
            <w:proofErr w:type="spellStart"/>
            <w:r w:rsidRPr="634A1E48">
              <w:rPr>
                <w:sz w:val="20"/>
                <w:szCs w:val="20"/>
              </w:rPr>
              <w:t>Tahu</w:t>
            </w:r>
            <w:proofErr w:type="spellEnd"/>
            <w:r w:rsidRPr="634A1E48">
              <w:rPr>
                <w:sz w:val="20"/>
                <w:szCs w:val="20"/>
              </w:rPr>
              <w:t xml:space="preserve"> values and resource management issues in resource management decision-making processes may limit some economic </w:t>
            </w:r>
            <w:proofErr w:type="gramStart"/>
            <w:r w:rsidRPr="634A1E48">
              <w:rPr>
                <w:sz w:val="20"/>
                <w:szCs w:val="20"/>
              </w:rPr>
              <w:t>activities, or</w:t>
            </w:r>
            <w:proofErr w:type="gramEnd"/>
            <w:r w:rsidRPr="634A1E48">
              <w:rPr>
                <w:sz w:val="20"/>
                <w:szCs w:val="20"/>
              </w:rPr>
              <w:t xml:space="preserve"> result in additional compliance costs.</w:t>
            </w:r>
          </w:p>
        </w:tc>
      </w:tr>
    </w:tbl>
    <w:p w14:paraId="396AE5F1" w14:textId="77777777" w:rsidR="0002540E" w:rsidRDefault="0002540E" w:rsidP="0002540E"/>
    <w:p w14:paraId="550424B8" w14:textId="6309694B" w:rsidR="0002540E" w:rsidRDefault="00282795" w:rsidP="0002540E">
      <w:r>
        <w:rPr>
          <w:highlight w:val="yellow"/>
        </w:rPr>
        <w:fldChar w:fldCharType="begin"/>
      </w:r>
      <w:r>
        <w:instrText xml:space="preserve"> REF _Ref69038117 \h </w:instrText>
      </w:r>
      <w:r>
        <w:rPr>
          <w:highlight w:val="yellow"/>
        </w:rPr>
      </w:r>
      <w:r>
        <w:rPr>
          <w:highlight w:val="yellow"/>
        </w:rPr>
        <w:fldChar w:fldCharType="separate"/>
      </w:r>
      <w:r w:rsidR="002A7A16">
        <w:t xml:space="preserve">Table </w:t>
      </w:r>
      <w:r w:rsidR="002A7A16">
        <w:rPr>
          <w:noProof/>
        </w:rPr>
        <w:t>24</w:t>
      </w:r>
      <w:r>
        <w:rPr>
          <w:highlight w:val="yellow"/>
        </w:rPr>
        <w:fldChar w:fldCharType="end"/>
      </w:r>
      <w:r w:rsidR="0002540E">
        <w:t xml:space="preserve"> below assesses the effectiveness and efficiency of the proposed provisions in achieving the objectives.</w:t>
      </w:r>
    </w:p>
    <w:p w14:paraId="1B017C57" w14:textId="425985B3" w:rsidR="0002540E" w:rsidRDefault="0002540E" w:rsidP="0002540E">
      <w:pPr>
        <w:pStyle w:val="Caption"/>
        <w:keepNext/>
      </w:pPr>
      <w:bookmarkStart w:id="60" w:name="_Ref69038117"/>
      <w:r>
        <w:t xml:space="preserve">Table </w:t>
      </w:r>
      <w:r>
        <w:fldChar w:fldCharType="begin"/>
      </w:r>
      <w:r>
        <w:instrText>SEQ Table \* ARABIC</w:instrText>
      </w:r>
      <w:r>
        <w:fldChar w:fldCharType="separate"/>
      </w:r>
      <w:r w:rsidR="002A7A16">
        <w:rPr>
          <w:noProof/>
        </w:rPr>
        <w:t>24</w:t>
      </w:r>
      <w:r>
        <w:fldChar w:fldCharType="end"/>
      </w:r>
      <w:bookmarkEnd w:id="60"/>
      <w:r>
        <w:t>: Efficiency and effectiveness evaluation for MW – Mana whenua</w:t>
      </w:r>
    </w:p>
    <w:tbl>
      <w:tblPr>
        <w:tblW w:w="0" w:type="auto"/>
        <w:tblLook w:val="04A0" w:firstRow="1" w:lastRow="0" w:firstColumn="1" w:lastColumn="0" w:noHBand="0" w:noVBand="1"/>
      </w:tblPr>
      <w:tblGrid>
        <w:gridCol w:w="1413"/>
        <w:gridCol w:w="7603"/>
      </w:tblGrid>
      <w:tr w:rsidR="0002540E" w:rsidRPr="00C767B5" w14:paraId="0EB04B43" w14:textId="77777777" w:rsidTr="005F4836">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230BD2C0" w14:textId="77777777" w:rsidR="0002540E" w:rsidRPr="00C767B5" w:rsidRDefault="0002540E" w:rsidP="005F4836">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17A0CB9F" w14:textId="77777777" w:rsidR="0002540E" w:rsidRPr="00F5177D" w:rsidRDefault="0002540E" w:rsidP="005F4836">
            <w:pPr>
              <w:jc w:val="both"/>
              <w:rPr>
                <w:sz w:val="20"/>
              </w:rPr>
            </w:pPr>
            <w:r w:rsidRPr="00F5177D">
              <w:rPr>
                <w:sz w:val="20"/>
              </w:rPr>
              <w:t>The provisions are more efficient at achieving the objective sought as they are contained in one place</w:t>
            </w:r>
            <w:r>
              <w:rPr>
                <w:sz w:val="20"/>
              </w:rPr>
              <w:t xml:space="preserve"> and comply with the National Planning Standards</w:t>
            </w:r>
            <w:r w:rsidRPr="00F5177D">
              <w:rPr>
                <w:sz w:val="20"/>
              </w:rPr>
              <w:t xml:space="preserve">. </w:t>
            </w:r>
          </w:p>
        </w:tc>
      </w:tr>
      <w:tr w:rsidR="0002540E" w:rsidRPr="00C767B5" w14:paraId="73BE4060" w14:textId="77777777" w:rsidTr="005F4836">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1C43FB2B" w14:textId="77777777" w:rsidR="0002540E" w:rsidRPr="00C767B5" w:rsidRDefault="0002540E" w:rsidP="005F4836">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77077271" w14:textId="1B2C3478" w:rsidR="0002540E" w:rsidRPr="00F5177D" w:rsidRDefault="0002540E" w:rsidP="005F4836">
            <w:pPr>
              <w:jc w:val="both"/>
              <w:rPr>
                <w:sz w:val="20"/>
              </w:rPr>
            </w:pPr>
            <w:r w:rsidRPr="00F5177D">
              <w:rPr>
                <w:sz w:val="20"/>
              </w:rPr>
              <w:t xml:space="preserve">Including the provisions in one chapter more effectively sets out how the outcome will be achieved. This option is also effective at meeting the direction in the National Planning Standards. More generally, additional context surrounding the </w:t>
            </w:r>
            <w:proofErr w:type="spellStart"/>
            <w:r w:rsidRPr="00F5177D">
              <w:rPr>
                <w:sz w:val="20"/>
              </w:rPr>
              <w:t>Ngā</w:t>
            </w:r>
            <w:proofErr w:type="spellEnd"/>
            <w:r w:rsidRPr="00F5177D">
              <w:rPr>
                <w:sz w:val="20"/>
              </w:rPr>
              <w:t xml:space="preserve"> </w:t>
            </w:r>
            <w:proofErr w:type="spellStart"/>
            <w:r w:rsidRPr="00F5177D">
              <w:rPr>
                <w:sz w:val="20"/>
              </w:rPr>
              <w:t>Tahu</w:t>
            </w:r>
            <w:proofErr w:type="spellEnd"/>
            <w:r w:rsidRPr="00F5177D">
              <w:rPr>
                <w:sz w:val="20"/>
              </w:rPr>
              <w:t xml:space="preserve"> Claims Settlement Act</w:t>
            </w:r>
            <w:r w:rsidR="00780B77">
              <w:rPr>
                <w:sz w:val="20"/>
              </w:rPr>
              <w:t xml:space="preserve"> 1998</w:t>
            </w:r>
            <w:r w:rsidRPr="00F5177D">
              <w:rPr>
                <w:sz w:val="20"/>
              </w:rPr>
              <w:t xml:space="preserve"> and Kāi </w:t>
            </w:r>
            <w:proofErr w:type="spellStart"/>
            <w:r w:rsidRPr="00F5177D">
              <w:rPr>
                <w:sz w:val="20"/>
              </w:rPr>
              <w:t>Tahu</w:t>
            </w:r>
            <w:proofErr w:type="spellEnd"/>
            <w:r w:rsidRPr="00F5177D">
              <w:rPr>
                <w:sz w:val="20"/>
              </w:rPr>
              <w:t xml:space="preserve"> values improves understanding and may facilitate better implementation in </w:t>
            </w:r>
            <w:r w:rsidRPr="00780B77">
              <w:rPr>
                <w:sz w:val="20"/>
              </w:rPr>
              <w:t>resource management decision-making processes</w:t>
            </w:r>
            <w:r w:rsidRPr="00F5177D">
              <w:rPr>
                <w:sz w:val="20"/>
              </w:rPr>
              <w:t>.</w:t>
            </w:r>
          </w:p>
        </w:tc>
      </w:tr>
    </w:tbl>
    <w:p w14:paraId="0693B551" w14:textId="77777777" w:rsidR="006F0A68" w:rsidRDefault="006F0A68" w:rsidP="0082271A">
      <w:pPr>
        <w:pStyle w:val="Heading3"/>
      </w:pPr>
      <w:r>
        <w:lastRenderedPageBreak/>
        <w:t>Risk of acting or not acting</w:t>
      </w:r>
    </w:p>
    <w:p w14:paraId="637F5701" w14:textId="53BF5832" w:rsidR="006F0A68" w:rsidRDefault="006F0A68"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6C443A">
        <w:t xml:space="preserve"> As noted above, limited changes are proposed to the content of what is contained in the </w:t>
      </w:r>
      <w:r w:rsidR="00653A95">
        <w:rPr>
          <w:i/>
          <w:iCs/>
        </w:rPr>
        <w:t>MW – Mana whenua</w:t>
      </w:r>
      <w:r w:rsidR="006C443A">
        <w:t xml:space="preserve"> chapter, from the status quo. The risk of not </w:t>
      </w:r>
      <w:r w:rsidR="002B6732">
        <w:t xml:space="preserve">changing the location of this content is that the National Planning Standards would not be complied with. </w:t>
      </w:r>
    </w:p>
    <w:p w14:paraId="2739A6E5" w14:textId="77777777" w:rsidR="006F0A68" w:rsidRDefault="006F0A68" w:rsidP="0082271A">
      <w:pPr>
        <w:pStyle w:val="Heading3"/>
      </w:pPr>
      <w:r>
        <w:t>Conclusion</w:t>
      </w:r>
    </w:p>
    <w:p w14:paraId="531FFE70" w14:textId="33C7AA9D" w:rsidR="006F0A68" w:rsidRDefault="002B6732" w:rsidP="00A247C5">
      <w:pPr>
        <w:pStyle w:val="Normal2"/>
      </w:pPr>
      <w:r>
        <w:t xml:space="preserve">The proposed </w:t>
      </w:r>
      <w:r w:rsidR="00653A95">
        <w:rPr>
          <w:i/>
          <w:iCs/>
        </w:rPr>
        <w:t>MW – Mana whenua</w:t>
      </w:r>
      <w:r>
        <w:t xml:space="preserve"> chapter brings together </w:t>
      </w:r>
      <w:r w:rsidR="0040468B">
        <w:t xml:space="preserve">information and direction contained in </w:t>
      </w:r>
      <w:proofErr w:type="gramStart"/>
      <w:r w:rsidR="00A46DB4">
        <w:t>various different</w:t>
      </w:r>
      <w:proofErr w:type="gramEnd"/>
      <w:r w:rsidR="00A46DB4">
        <w:t xml:space="preserve"> parts of </w:t>
      </w:r>
      <w:r w:rsidR="0040468B">
        <w:t>the PORPS 2019</w:t>
      </w:r>
      <w:r w:rsidR="00A46DB4">
        <w:t xml:space="preserve">. </w:t>
      </w:r>
      <w:r w:rsidR="0090796F">
        <w:t xml:space="preserve">This structural change is directed by the National Planning Standards. </w:t>
      </w:r>
      <w:r w:rsidR="002626CA">
        <w:t xml:space="preserve">Bringing these provisions into a single chapter </w:t>
      </w:r>
      <w:r w:rsidR="005B3BA6">
        <w:t>more effectively links context</w:t>
      </w:r>
      <w:r w:rsidR="00BA1277">
        <w:t xml:space="preserve"> with issues with outcomes sought and consequently improves </w:t>
      </w:r>
      <w:r w:rsidR="007C3F56">
        <w:t>understanding</w:t>
      </w:r>
      <w:r w:rsidR="006676E8">
        <w:t xml:space="preserve"> of this part of the PORPS 2021</w:t>
      </w:r>
      <w:r w:rsidR="00B624A5">
        <w:t>, and its contribution to attainment of the single purpose of the RMA 1991.</w:t>
      </w:r>
    </w:p>
    <w:p w14:paraId="43F73C88" w14:textId="77777777" w:rsidR="00653A95" w:rsidRDefault="00653A95">
      <w:pPr>
        <w:rPr>
          <w:rFonts w:asciiTheme="majorHAnsi" w:eastAsiaTheme="majorEastAsia" w:hAnsiTheme="majorHAnsi" w:cstheme="majorBidi"/>
          <w:color w:val="2F5496" w:themeColor="accent1" w:themeShade="BF"/>
          <w:sz w:val="26"/>
          <w:szCs w:val="26"/>
        </w:rPr>
      </w:pPr>
      <w:r>
        <w:br w:type="page"/>
      </w:r>
    </w:p>
    <w:p w14:paraId="4FEF256D" w14:textId="0DE9232D" w:rsidR="008E7322" w:rsidRDefault="00C102B1" w:rsidP="00CB405E">
      <w:pPr>
        <w:pStyle w:val="Heading2"/>
      </w:pPr>
      <w:bookmarkStart w:id="61" w:name="_Toc72507637"/>
      <w:bookmarkStart w:id="62" w:name="_Ref72669271"/>
      <w:bookmarkStart w:id="63" w:name="_Ref72669335"/>
      <w:r>
        <w:lastRenderedPageBreak/>
        <w:t xml:space="preserve">IM – </w:t>
      </w:r>
      <w:r w:rsidR="008E7322">
        <w:t>Integrated management</w:t>
      </w:r>
      <w:bookmarkEnd w:id="61"/>
      <w:bookmarkEnd w:id="62"/>
      <w:bookmarkEnd w:id="63"/>
      <w:r w:rsidR="008E7322">
        <w:t xml:space="preserve"> </w:t>
      </w:r>
    </w:p>
    <w:p w14:paraId="247BB38C" w14:textId="77777777" w:rsidR="008E7322" w:rsidRDefault="008E7322" w:rsidP="0082271A">
      <w:pPr>
        <w:pStyle w:val="Heading3"/>
      </w:pPr>
      <w:r>
        <w:t>Introduction</w:t>
      </w:r>
    </w:p>
    <w:p w14:paraId="0F75C32F" w14:textId="6BCEC2C3" w:rsidR="006900AE" w:rsidRDefault="00C06E21" w:rsidP="00A247C5">
      <w:pPr>
        <w:pStyle w:val="Normal2"/>
      </w:pPr>
      <w:r>
        <w:t>The purpose of a regional policy statement is to provide an overview of the resource management issues of the region and the policies and methods to achieve integrated management of the natural and physical resources of the region.</w:t>
      </w:r>
      <w:r>
        <w:rPr>
          <w:rStyle w:val="FootnoteReference"/>
        </w:rPr>
        <w:footnoteReference w:id="21"/>
      </w:r>
      <w:r>
        <w:t xml:space="preserve"> </w:t>
      </w:r>
      <w:r w:rsidR="004B2078">
        <w:t>Integrated management is an approach to environmental management t</w:t>
      </w:r>
      <w:r w:rsidR="006900AE">
        <w:t>h</w:t>
      </w:r>
      <w:r w:rsidR="004B2078">
        <w:t xml:space="preserve">at seeks to </w:t>
      </w:r>
      <w:r w:rsidR="00C84486">
        <w:t xml:space="preserve">manage resources together under one regime rather than </w:t>
      </w:r>
      <w:r w:rsidR="006900AE">
        <w:t xml:space="preserve">creating </w:t>
      </w:r>
      <w:r w:rsidR="0002540E">
        <w:t>silos</w:t>
      </w:r>
      <w:r w:rsidR="006900AE">
        <w:t xml:space="preserve"> by managing different areas</w:t>
      </w:r>
      <w:r w:rsidR="6B4BA8D0">
        <w:t>,</w:t>
      </w:r>
      <w:r w:rsidR="006900AE">
        <w:t xml:space="preserve"> resources</w:t>
      </w:r>
      <w:r w:rsidR="344101C8">
        <w:t>, or effects</w:t>
      </w:r>
      <w:r w:rsidR="006900AE">
        <w:t xml:space="preserve"> separately.</w:t>
      </w:r>
    </w:p>
    <w:p w14:paraId="58FEA60A" w14:textId="0C14113A" w:rsidR="0002540E" w:rsidRDefault="0002540E" w:rsidP="00A247C5">
      <w:pPr>
        <w:pStyle w:val="Normal2"/>
        <w:rPr>
          <w:rFonts w:eastAsiaTheme="minorEastAsia"/>
        </w:rPr>
      </w:pPr>
      <w:r>
        <w:t xml:space="preserve">The National Planning Standards provide for (but do not require) an RPS to include a chapter on integrated management, within Part 2 – Resource Management Overview. This allows for provisions to be included that address integrated management of resources across </w:t>
      </w:r>
      <w:r w:rsidR="2FD1E2D7">
        <w:t xml:space="preserve">domains and </w:t>
      </w:r>
      <w:r>
        <w:t xml:space="preserve">topics, and as such ORC has incorporated such a chapter. </w:t>
      </w:r>
    </w:p>
    <w:p w14:paraId="6742C17E" w14:textId="0B48400F" w:rsidR="008E7322" w:rsidRDefault="008E7322" w:rsidP="00A247C5">
      <w:pPr>
        <w:pStyle w:val="Normal2"/>
      </w:pPr>
      <w:r>
        <w:t>The relevant provisions for this section are:</w:t>
      </w:r>
    </w:p>
    <w:p w14:paraId="727D7527" w14:textId="3858D914" w:rsidR="00287C82" w:rsidRPr="00386D45" w:rsidRDefault="7DDE6F2E" w:rsidP="00A247C5">
      <w:pPr>
        <w:pStyle w:val="Normal3"/>
      </w:pPr>
      <w:r w:rsidRPr="00386D45">
        <w:t>IM</w:t>
      </w:r>
      <w:r w:rsidR="00A174F8">
        <w:t>–</w:t>
      </w:r>
      <w:r w:rsidRPr="00386D45">
        <w:t>P1 – Integrated approach</w:t>
      </w:r>
    </w:p>
    <w:p w14:paraId="52043D45" w14:textId="0708B319" w:rsidR="00287C82" w:rsidRPr="00386D45" w:rsidRDefault="7DDE6F2E" w:rsidP="00A247C5">
      <w:pPr>
        <w:pStyle w:val="Normal3"/>
      </w:pPr>
      <w:r w:rsidRPr="00386D45">
        <w:t>IM</w:t>
      </w:r>
      <w:r w:rsidR="00A174F8">
        <w:t>–</w:t>
      </w:r>
      <w:r w:rsidRPr="00386D45">
        <w:t>P2 – Decision priorities</w:t>
      </w:r>
    </w:p>
    <w:p w14:paraId="07AF73AF" w14:textId="5E17AABC" w:rsidR="00287C82" w:rsidRPr="00386D45" w:rsidRDefault="7DDE6F2E" w:rsidP="00A247C5">
      <w:pPr>
        <w:pStyle w:val="Normal3"/>
      </w:pPr>
      <w:r w:rsidRPr="00386D45">
        <w:t>IM</w:t>
      </w:r>
      <w:r w:rsidR="00A174F8">
        <w:t>–</w:t>
      </w:r>
      <w:r w:rsidRPr="00386D45">
        <w:t xml:space="preserve">P3 – Providing for </w:t>
      </w:r>
      <w:r w:rsidR="00386D45">
        <w:t>mana whenua</w:t>
      </w:r>
      <w:r w:rsidRPr="00386D45">
        <w:t xml:space="preserve"> values in achieving integrated management</w:t>
      </w:r>
    </w:p>
    <w:p w14:paraId="70F5BE76" w14:textId="27E03722" w:rsidR="00287C82" w:rsidRPr="00386D45" w:rsidRDefault="7DDE6F2E" w:rsidP="00A247C5">
      <w:pPr>
        <w:pStyle w:val="Normal3"/>
      </w:pPr>
      <w:r w:rsidRPr="00386D45">
        <w:t>IM</w:t>
      </w:r>
      <w:r w:rsidR="00A174F8">
        <w:t>–</w:t>
      </w:r>
      <w:r w:rsidRPr="00386D45">
        <w:t>P4 – Setting a strategic approach to ecosystem health</w:t>
      </w:r>
    </w:p>
    <w:p w14:paraId="1E98B66C" w14:textId="79B87327" w:rsidR="00287C82" w:rsidRPr="00386D45" w:rsidRDefault="7DDE6F2E" w:rsidP="00A247C5">
      <w:pPr>
        <w:pStyle w:val="Normal3"/>
      </w:pPr>
      <w:r w:rsidRPr="00386D45">
        <w:t>IM</w:t>
      </w:r>
      <w:r w:rsidR="00A174F8">
        <w:t>–</w:t>
      </w:r>
      <w:r w:rsidRPr="00386D45">
        <w:t>P5 – Managing environmental interconnections</w:t>
      </w:r>
    </w:p>
    <w:p w14:paraId="639B02F5" w14:textId="47D9BB66" w:rsidR="00287C82" w:rsidRPr="00386D45" w:rsidRDefault="7DDE6F2E" w:rsidP="00A247C5">
      <w:pPr>
        <w:pStyle w:val="Normal3"/>
      </w:pPr>
      <w:r w:rsidRPr="00386D45">
        <w:t>IM</w:t>
      </w:r>
      <w:r w:rsidR="00A174F8">
        <w:t>–</w:t>
      </w:r>
      <w:r w:rsidRPr="00386D45">
        <w:t>P6 – Acting on best available information</w:t>
      </w:r>
    </w:p>
    <w:p w14:paraId="4CCD53E9" w14:textId="5230D070" w:rsidR="00287C82" w:rsidRPr="00386D45" w:rsidRDefault="7DDE6F2E" w:rsidP="00A247C5">
      <w:pPr>
        <w:pStyle w:val="Normal3"/>
      </w:pPr>
      <w:r w:rsidRPr="00386D45">
        <w:t>IM</w:t>
      </w:r>
      <w:r w:rsidR="00A174F8">
        <w:t>–</w:t>
      </w:r>
      <w:r w:rsidRPr="00386D45">
        <w:t>P7 – Cross boundary management</w:t>
      </w:r>
    </w:p>
    <w:p w14:paraId="7C18E27D" w14:textId="1C2A9E59" w:rsidR="00287C82" w:rsidRPr="00386D45" w:rsidRDefault="7DDE6F2E" w:rsidP="00A247C5">
      <w:pPr>
        <w:pStyle w:val="Normal3"/>
      </w:pPr>
      <w:r w:rsidRPr="00386D45">
        <w:t>IM</w:t>
      </w:r>
      <w:r w:rsidR="00A174F8">
        <w:t>–</w:t>
      </w:r>
      <w:r w:rsidRPr="00386D45">
        <w:t>P8 – Climate change impacts</w:t>
      </w:r>
    </w:p>
    <w:p w14:paraId="61B5D53C" w14:textId="48F33446" w:rsidR="00287C82" w:rsidRPr="00386D45" w:rsidRDefault="7DDE6F2E" w:rsidP="00A247C5">
      <w:pPr>
        <w:pStyle w:val="Normal3"/>
      </w:pPr>
      <w:r w:rsidRPr="00386D45">
        <w:t>IM</w:t>
      </w:r>
      <w:r w:rsidR="00A174F8">
        <w:t>–</w:t>
      </w:r>
      <w:r w:rsidRPr="00386D45">
        <w:t xml:space="preserve">P9 – </w:t>
      </w:r>
      <w:r>
        <w:t>Community response to climate change impacts</w:t>
      </w:r>
    </w:p>
    <w:p w14:paraId="17C25A82" w14:textId="0A1B7482" w:rsidR="00287C82" w:rsidRPr="00386D45" w:rsidRDefault="7DDE6F2E" w:rsidP="00A247C5">
      <w:pPr>
        <w:pStyle w:val="Normal3"/>
      </w:pPr>
      <w:r w:rsidRPr="00386D45">
        <w:t>IM</w:t>
      </w:r>
      <w:r w:rsidR="00A174F8">
        <w:t>–</w:t>
      </w:r>
      <w:r w:rsidRPr="00386D45">
        <w:t>P10 – Climate change adaptation and mitigation</w:t>
      </w:r>
    </w:p>
    <w:p w14:paraId="1616DC6F" w14:textId="7E9C2103" w:rsidR="00287C82" w:rsidRPr="00386D45" w:rsidRDefault="7DDE6F2E" w:rsidP="00A247C5">
      <w:pPr>
        <w:pStyle w:val="Normal3"/>
      </w:pPr>
      <w:r w:rsidRPr="00386D45">
        <w:t>IM</w:t>
      </w:r>
      <w:r w:rsidR="00A174F8">
        <w:t>–</w:t>
      </w:r>
      <w:r w:rsidRPr="00386D45">
        <w:t>P11 – Enhancing environmental resilience to effects of climate change</w:t>
      </w:r>
    </w:p>
    <w:p w14:paraId="06135270" w14:textId="3BF1088C" w:rsidR="00287C82" w:rsidRPr="00386D45" w:rsidRDefault="7DDE6F2E" w:rsidP="00A247C5">
      <w:pPr>
        <w:pStyle w:val="Normal3"/>
      </w:pPr>
      <w:r w:rsidRPr="00386D45">
        <w:t>IM</w:t>
      </w:r>
      <w:r w:rsidR="00A174F8">
        <w:t>–</w:t>
      </w:r>
      <w:r w:rsidRPr="00386D45">
        <w:t>P12 – Contravening environmental bottom lines for climate change mitigation</w:t>
      </w:r>
    </w:p>
    <w:p w14:paraId="2E4E4A70" w14:textId="73A43824" w:rsidR="00287C82" w:rsidRPr="00386D45" w:rsidRDefault="7DDE6F2E" w:rsidP="00A247C5">
      <w:pPr>
        <w:pStyle w:val="Normal3"/>
      </w:pPr>
      <w:r w:rsidRPr="00386D45">
        <w:t>IM</w:t>
      </w:r>
      <w:r w:rsidR="00A174F8">
        <w:t>–</w:t>
      </w:r>
      <w:r w:rsidRPr="00386D45">
        <w:t>P13 – Managing cumulative effects</w:t>
      </w:r>
    </w:p>
    <w:p w14:paraId="0C8A6390" w14:textId="7B9F3540" w:rsidR="00287C82" w:rsidRPr="00386D45" w:rsidRDefault="7DDE6F2E" w:rsidP="00A247C5">
      <w:pPr>
        <w:pStyle w:val="Normal3"/>
      </w:pPr>
      <w:r w:rsidRPr="00386D45">
        <w:t>IM</w:t>
      </w:r>
      <w:r w:rsidR="00A174F8">
        <w:t>–</w:t>
      </w:r>
      <w:r w:rsidRPr="00386D45">
        <w:t>P14 – Human impact</w:t>
      </w:r>
    </w:p>
    <w:p w14:paraId="341A399F" w14:textId="6FC24433" w:rsidR="00287C82" w:rsidRPr="00386D45" w:rsidRDefault="7DDE6F2E" w:rsidP="00A247C5">
      <w:pPr>
        <w:pStyle w:val="Normal3"/>
      </w:pPr>
      <w:r w:rsidRPr="00386D45">
        <w:t>IM</w:t>
      </w:r>
      <w:r w:rsidR="00A174F8">
        <w:t>–</w:t>
      </w:r>
      <w:r w:rsidRPr="00386D45">
        <w:t>P15 – Precautionary approach</w:t>
      </w:r>
    </w:p>
    <w:p w14:paraId="6D2145FA" w14:textId="661599C9" w:rsidR="00287C82" w:rsidRPr="00386D45" w:rsidRDefault="7DDE6F2E" w:rsidP="00A247C5">
      <w:pPr>
        <w:pStyle w:val="Normal3"/>
      </w:pPr>
      <w:r w:rsidRPr="00386D45">
        <w:t>IM</w:t>
      </w:r>
      <w:r w:rsidR="00A174F8">
        <w:t>–</w:t>
      </w:r>
      <w:r w:rsidRPr="00386D45">
        <w:t>M1 – Regional and district plans</w:t>
      </w:r>
    </w:p>
    <w:p w14:paraId="30867105" w14:textId="1C081123" w:rsidR="00287C82" w:rsidRPr="00386D45" w:rsidRDefault="7DDE6F2E" w:rsidP="00A247C5">
      <w:pPr>
        <w:pStyle w:val="Normal3"/>
      </w:pPr>
      <w:r w:rsidRPr="00386D45">
        <w:t>IM</w:t>
      </w:r>
      <w:r w:rsidR="00A174F8">
        <w:t>–</w:t>
      </w:r>
      <w:r w:rsidRPr="00386D45">
        <w:t>M2 – Relationships</w:t>
      </w:r>
    </w:p>
    <w:p w14:paraId="30AAA78E" w14:textId="43332C45" w:rsidR="00287C82" w:rsidRPr="00386D45" w:rsidRDefault="7DDE6F2E" w:rsidP="00A247C5">
      <w:pPr>
        <w:pStyle w:val="Normal3"/>
      </w:pPr>
      <w:r w:rsidRPr="00386D45">
        <w:t>IM</w:t>
      </w:r>
      <w:r w:rsidR="00A174F8">
        <w:t>–</w:t>
      </w:r>
      <w:r w:rsidRPr="00386D45">
        <w:t>M3 – Identification of climate change impacts and community guidance</w:t>
      </w:r>
    </w:p>
    <w:p w14:paraId="1DEACB27" w14:textId="43CA01EB" w:rsidR="00287C82" w:rsidRPr="00386D45" w:rsidRDefault="7DDE6F2E" w:rsidP="00A247C5">
      <w:pPr>
        <w:pStyle w:val="Normal3"/>
      </w:pPr>
      <w:r w:rsidRPr="00386D45">
        <w:t>IM</w:t>
      </w:r>
      <w:r w:rsidR="00A174F8">
        <w:t>–</w:t>
      </w:r>
      <w:r w:rsidRPr="00386D45">
        <w:t>M4 – Climate change response</w:t>
      </w:r>
    </w:p>
    <w:p w14:paraId="53806578" w14:textId="37803546" w:rsidR="00287C82" w:rsidRPr="00386D45" w:rsidRDefault="7DDE6F2E" w:rsidP="00A247C5">
      <w:pPr>
        <w:pStyle w:val="Normal3"/>
      </w:pPr>
      <w:r w:rsidRPr="00386D45">
        <w:t>IM</w:t>
      </w:r>
      <w:r w:rsidR="00A174F8">
        <w:t>–</w:t>
      </w:r>
      <w:r w:rsidRPr="00386D45">
        <w:t>M5 – Other methods</w:t>
      </w:r>
    </w:p>
    <w:p w14:paraId="07A141B5" w14:textId="77777777" w:rsidR="008E7322" w:rsidRDefault="008E7322" w:rsidP="0082271A">
      <w:pPr>
        <w:pStyle w:val="Heading3"/>
      </w:pPr>
      <w:bookmarkStart w:id="64" w:name="_Ref72496589"/>
      <w:r>
        <w:t>Current issues</w:t>
      </w:r>
      <w:bookmarkEnd w:id="64"/>
    </w:p>
    <w:p w14:paraId="6E80762F" w14:textId="30B65030" w:rsidR="008E7322" w:rsidRDefault="0056544E" w:rsidP="00A247C5">
      <w:pPr>
        <w:pStyle w:val="Normal2"/>
        <w:rPr>
          <w:rFonts w:eastAsiaTheme="minorEastAsia"/>
        </w:rPr>
      </w:pPr>
      <w:r>
        <w:t xml:space="preserve">The PORPS </w:t>
      </w:r>
      <w:r w:rsidR="00915162">
        <w:t>2019</w:t>
      </w:r>
      <w:r w:rsidR="00BA2285">
        <w:t xml:space="preserve"> provides limited direction on how integrated management is to be achieved, particularly in relation to </w:t>
      </w:r>
      <w:r w:rsidR="00C4167F">
        <w:t xml:space="preserve">providing </w:t>
      </w:r>
      <w:r w:rsidR="00FB12C0">
        <w:t>specific</w:t>
      </w:r>
      <w:r w:rsidR="00C4167F">
        <w:t xml:space="preserve"> direction on matters that cross</w:t>
      </w:r>
      <w:r w:rsidR="5466D8AF">
        <w:t xml:space="preserve"> domains</w:t>
      </w:r>
      <w:r w:rsidR="00C4167F">
        <w:t xml:space="preserve"> </w:t>
      </w:r>
      <w:r w:rsidR="31D62DE0">
        <w:t xml:space="preserve">and </w:t>
      </w:r>
      <w:r w:rsidR="00C4167F">
        <w:t>topics.</w:t>
      </w:r>
      <w:r w:rsidR="0045190E">
        <w:t xml:space="preserve"> In some cases</w:t>
      </w:r>
      <w:r w:rsidR="008230C6">
        <w:t>,</w:t>
      </w:r>
      <w:r w:rsidR="0045190E">
        <w:t xml:space="preserve"> the provisions restate </w:t>
      </w:r>
      <w:r w:rsidR="00A32BAB">
        <w:t>statutory matters, for example, the requirement for managing effects of activities to give effect to the RPS.</w:t>
      </w:r>
    </w:p>
    <w:p w14:paraId="7F6AD7FD" w14:textId="68C7F4DB" w:rsidR="0094339F" w:rsidRDefault="006A359F" w:rsidP="00A247C5">
      <w:pPr>
        <w:pStyle w:val="Normal2"/>
        <w:rPr>
          <w:rFonts w:eastAsiaTheme="minorEastAsia"/>
        </w:rPr>
      </w:pPr>
      <w:r>
        <w:t>Objective 1.1</w:t>
      </w:r>
      <w:r w:rsidR="00707001">
        <w:t xml:space="preserve"> </w:t>
      </w:r>
      <w:r w:rsidR="6B6F0FC5">
        <w:t xml:space="preserve">of the PORPS 2019 </w:t>
      </w:r>
      <w:r w:rsidR="00CA5FBF">
        <w:t xml:space="preserve">requires Otago’s resources to be used sustainably to promote economic, social, and cultural wellbeing for its people and communities. Objective 2.1 </w:t>
      </w:r>
      <w:r w:rsidR="4124C1EF" w:rsidRPr="00A174F8">
        <w:t>of the PORPS 2019</w:t>
      </w:r>
      <w:r w:rsidR="4124C1EF">
        <w:t xml:space="preserve"> </w:t>
      </w:r>
      <w:r w:rsidR="00B90BA7">
        <w:t xml:space="preserve">seeks to recognise and provide for the integrated management of natural and </w:t>
      </w:r>
      <w:r w:rsidR="00B90BA7">
        <w:lastRenderedPageBreak/>
        <w:t>physical resources to support the wellbeing of people and communities in Otago</w:t>
      </w:r>
      <w:r w:rsidR="00832DB1">
        <w:t xml:space="preserve">. </w:t>
      </w:r>
      <w:r w:rsidR="0002540E">
        <w:t>These</w:t>
      </w:r>
      <w:r w:rsidR="0094339F">
        <w:t xml:space="preserve"> objectives </w:t>
      </w:r>
      <w:r w:rsidR="0036750A">
        <w:t>are similar, and</w:t>
      </w:r>
      <w:r w:rsidR="0094339F">
        <w:t xml:space="preserve"> do not go much further than re-stating the purpose of the RMA set out in section 5(2).</w:t>
      </w:r>
    </w:p>
    <w:p w14:paraId="40ED0E07" w14:textId="5CA7BEB0" w:rsidR="0094339F" w:rsidRDefault="0094339F" w:rsidP="00A247C5">
      <w:pPr>
        <w:pStyle w:val="Normal2"/>
        <w:rPr>
          <w:rFonts w:eastAsiaTheme="minorEastAsia"/>
        </w:rPr>
      </w:pPr>
      <w:r>
        <w:t xml:space="preserve">Policy 1.1.1 </w:t>
      </w:r>
      <w:r w:rsidR="07812B4E" w:rsidRPr="00A174F8">
        <w:t>of the PORPS 2019</w:t>
      </w:r>
      <w:r w:rsidR="07812B4E">
        <w:t xml:space="preserve"> </w:t>
      </w:r>
      <w:r>
        <w:t xml:space="preserve">directs that provision is made for economic wellbeing by enabling the resilient and sustainable use and development of natural and physical resources; and Policy 1.1.2 directs that provision is made for social and cultural wellbeing and health and safety when undertaking subdivision, use, </w:t>
      </w:r>
      <w:proofErr w:type="gramStart"/>
      <w:r>
        <w:t>development</w:t>
      </w:r>
      <w:proofErr w:type="gramEnd"/>
      <w:r>
        <w:t xml:space="preserve"> and protection of resources, by the following measures:</w:t>
      </w:r>
    </w:p>
    <w:p w14:paraId="61400BF7" w14:textId="77777777" w:rsidR="0094339F" w:rsidRPr="0094339F" w:rsidRDefault="0094339F" w:rsidP="00A247C5">
      <w:pPr>
        <w:pStyle w:val="Normal3"/>
      </w:pPr>
      <w:r>
        <w:t xml:space="preserve">Recognising and providing for Kāi </w:t>
      </w:r>
      <w:proofErr w:type="spellStart"/>
      <w:r>
        <w:t>Tahu</w:t>
      </w:r>
      <w:proofErr w:type="spellEnd"/>
      <w:r>
        <w:t xml:space="preserve"> values</w:t>
      </w:r>
    </w:p>
    <w:p w14:paraId="7117F25F" w14:textId="77777777" w:rsidR="0094339F" w:rsidRPr="0094339F" w:rsidRDefault="0094339F" w:rsidP="00A247C5">
      <w:pPr>
        <w:pStyle w:val="Normal3"/>
      </w:pPr>
      <w:r>
        <w:t xml:space="preserve">Taking into account the values of other </w:t>
      </w:r>
      <w:proofErr w:type="gramStart"/>
      <w:r>
        <w:t>cultures;</w:t>
      </w:r>
      <w:proofErr w:type="gramEnd"/>
      <w:r>
        <w:t xml:space="preserve"> </w:t>
      </w:r>
    </w:p>
    <w:p w14:paraId="3EBA1914" w14:textId="77777777" w:rsidR="0094339F" w:rsidRPr="0094339F" w:rsidRDefault="0094339F" w:rsidP="00A247C5">
      <w:pPr>
        <w:pStyle w:val="Normal3"/>
      </w:pPr>
      <w:r>
        <w:t xml:space="preserve">Taking into account the diverse needs of Otago’s people and </w:t>
      </w:r>
      <w:proofErr w:type="gramStart"/>
      <w:r>
        <w:t>communities;</w:t>
      </w:r>
      <w:proofErr w:type="gramEnd"/>
      <w:r>
        <w:t xml:space="preserve"> </w:t>
      </w:r>
    </w:p>
    <w:p w14:paraId="0460E3C5" w14:textId="77777777" w:rsidR="0094339F" w:rsidRPr="0094339F" w:rsidRDefault="0094339F" w:rsidP="00A247C5">
      <w:pPr>
        <w:pStyle w:val="Normal3"/>
      </w:pPr>
      <w:r>
        <w:t xml:space="preserve">Avoiding significant adverse effects of activities on human </w:t>
      </w:r>
      <w:proofErr w:type="gramStart"/>
      <w:r>
        <w:t>health;</w:t>
      </w:r>
      <w:proofErr w:type="gramEnd"/>
      <w:r>
        <w:t xml:space="preserve"> </w:t>
      </w:r>
    </w:p>
    <w:p w14:paraId="140EA555" w14:textId="77777777" w:rsidR="0094339F" w:rsidRPr="0094339F" w:rsidRDefault="0094339F" w:rsidP="00A247C5">
      <w:pPr>
        <w:pStyle w:val="Normal3"/>
      </w:pPr>
      <w:r>
        <w:t xml:space="preserve">Promoting community resilience and the need to secure resources for the reasonable needs for human </w:t>
      </w:r>
      <w:proofErr w:type="gramStart"/>
      <w:r>
        <w:t>wellbeing;</w:t>
      </w:r>
      <w:proofErr w:type="gramEnd"/>
    </w:p>
    <w:p w14:paraId="10E95A2A" w14:textId="77777777" w:rsidR="0094339F" w:rsidRDefault="0094339F" w:rsidP="00A247C5">
      <w:pPr>
        <w:pStyle w:val="Normal3"/>
      </w:pPr>
      <w:r>
        <w:t>Promoting good quality and accessible infrastructure and public services.</w:t>
      </w:r>
    </w:p>
    <w:p w14:paraId="6334BE25" w14:textId="70E903EE" w:rsidR="0094339F" w:rsidRDefault="0094339F" w:rsidP="00A247C5">
      <w:pPr>
        <w:pStyle w:val="Normal2"/>
        <w:rPr>
          <w:rFonts w:eastAsiaTheme="minorEastAsia"/>
        </w:rPr>
      </w:pPr>
      <w:r>
        <w:t>Policy 1.2.1</w:t>
      </w:r>
      <w:r w:rsidR="2D2EF7D8" w:rsidRPr="00A174F8">
        <w:t xml:space="preserve"> of the PORPS 2019</w:t>
      </w:r>
      <w:r>
        <w:t xml:space="preserve"> directs achievement of integrated management of resources, by:</w:t>
      </w:r>
    </w:p>
    <w:p w14:paraId="796F76D1" w14:textId="77777777" w:rsidR="0094339F" w:rsidRPr="0094339F" w:rsidRDefault="0094339F" w:rsidP="00A247C5">
      <w:pPr>
        <w:pStyle w:val="Normal3"/>
      </w:pPr>
      <w:r>
        <w:t xml:space="preserve">Coordinating the management of interconnected natural and physical </w:t>
      </w:r>
      <w:proofErr w:type="gramStart"/>
      <w:r>
        <w:t>resources;</w:t>
      </w:r>
      <w:proofErr w:type="gramEnd"/>
      <w:r>
        <w:t xml:space="preserve"> </w:t>
      </w:r>
    </w:p>
    <w:p w14:paraId="442E26E9" w14:textId="77777777" w:rsidR="0094339F" w:rsidRPr="0094339F" w:rsidRDefault="0094339F" w:rsidP="00A247C5">
      <w:pPr>
        <w:pStyle w:val="Normal3"/>
      </w:pPr>
      <w:r>
        <w:t xml:space="preserve">Taking into account the impacts of management of one natural or physical resource on the values of another, or on the </w:t>
      </w:r>
      <w:proofErr w:type="gramStart"/>
      <w:r>
        <w:t>environment;</w:t>
      </w:r>
      <w:proofErr w:type="gramEnd"/>
      <w:r>
        <w:t xml:space="preserve"> </w:t>
      </w:r>
    </w:p>
    <w:p w14:paraId="3997A391" w14:textId="77777777" w:rsidR="0094339F" w:rsidRPr="0094339F" w:rsidRDefault="0094339F" w:rsidP="00A247C5">
      <w:pPr>
        <w:pStyle w:val="Normal3"/>
      </w:pPr>
      <w:r>
        <w:t xml:space="preserve">Recognising that the value and function of a natural or physical resource may extend beyond the immediate, or directly adjacent, area of </w:t>
      </w:r>
      <w:proofErr w:type="gramStart"/>
      <w:r>
        <w:t>interest;</w:t>
      </w:r>
      <w:proofErr w:type="gramEnd"/>
      <w:r>
        <w:t xml:space="preserve"> </w:t>
      </w:r>
    </w:p>
    <w:p w14:paraId="096AD33C" w14:textId="77777777" w:rsidR="0094339F" w:rsidRPr="0094339F" w:rsidRDefault="0094339F" w:rsidP="00A247C5">
      <w:pPr>
        <w:pStyle w:val="Normal3"/>
      </w:pPr>
      <w:r>
        <w:t xml:space="preserve">Ensuring that resource management approaches across administrative boundaries are consistent and </w:t>
      </w:r>
      <w:proofErr w:type="gramStart"/>
      <w:r>
        <w:t>complementary;</w:t>
      </w:r>
      <w:proofErr w:type="gramEnd"/>
      <w:r>
        <w:t xml:space="preserve"> </w:t>
      </w:r>
    </w:p>
    <w:p w14:paraId="62366B4D" w14:textId="77777777" w:rsidR="0094339F" w:rsidRPr="0094339F" w:rsidRDefault="0094339F" w:rsidP="00A247C5">
      <w:pPr>
        <w:pStyle w:val="Normal3"/>
      </w:pPr>
      <w:r>
        <w:t xml:space="preserve">Ensuring that effects of activities on the whole of a natural or physical resource are considered when that resource is managed as subunits. </w:t>
      </w:r>
    </w:p>
    <w:p w14:paraId="5CBF6640" w14:textId="77777777" w:rsidR="0094339F" w:rsidRPr="0094339F" w:rsidRDefault="0094339F" w:rsidP="00A247C5">
      <w:pPr>
        <w:pStyle w:val="Normal3"/>
      </w:pPr>
      <w:r>
        <w:t xml:space="preserve">Managing adverse effects of activities to give effect to the objectives and policies of the Regional Policy Statement. </w:t>
      </w:r>
    </w:p>
    <w:p w14:paraId="35C29A10" w14:textId="77777777" w:rsidR="0094339F" w:rsidRPr="0094339F" w:rsidRDefault="0094339F" w:rsidP="00A247C5">
      <w:pPr>
        <w:pStyle w:val="Normal3"/>
      </w:pPr>
      <w:r>
        <w:t xml:space="preserve">Promoting healthy ecosystems and </w:t>
      </w:r>
      <w:proofErr w:type="gramStart"/>
      <w:r>
        <w:t>ecosystem</w:t>
      </w:r>
      <w:proofErr w:type="gramEnd"/>
      <w:r>
        <w:t xml:space="preserve"> services; </w:t>
      </w:r>
    </w:p>
    <w:p w14:paraId="059D3879" w14:textId="77777777" w:rsidR="0094339F" w:rsidRDefault="0094339F" w:rsidP="00A247C5">
      <w:pPr>
        <w:pStyle w:val="Normal3"/>
      </w:pPr>
      <w:r>
        <w:t>Promoting methods that reduce or negate the risk of exceeding sustainable resource limits</w:t>
      </w:r>
    </w:p>
    <w:p w14:paraId="6001886D" w14:textId="0725FA72" w:rsidR="69E60AE5" w:rsidRDefault="0094339F" w:rsidP="00A247C5">
      <w:pPr>
        <w:pStyle w:val="Normal2"/>
      </w:pPr>
      <w:r>
        <w:t xml:space="preserve">As with the other chapters in the </w:t>
      </w:r>
      <w:r w:rsidR="00D1745D">
        <w:t>PO</w:t>
      </w:r>
      <w:r>
        <w:t>RPS</w:t>
      </w:r>
      <w:r w:rsidR="00A174F8">
        <w:t xml:space="preserve"> 2019</w:t>
      </w:r>
      <w:r>
        <w:t>, the methods to implement these are generic (through relationships, plans</w:t>
      </w:r>
      <w:r w:rsidR="6C54E0E4">
        <w:t>,</w:t>
      </w:r>
      <w:r>
        <w:t xml:space="preserve"> </w:t>
      </w:r>
      <w:proofErr w:type="gramStart"/>
      <w:r>
        <w:t>advocacy</w:t>
      </w:r>
      <w:proofErr w:type="gramEnd"/>
      <w:r>
        <w:t xml:space="preserve"> and facilitation).</w:t>
      </w:r>
      <w:r w:rsidR="5186C32E">
        <w:t xml:space="preserve">  </w:t>
      </w:r>
      <w:r w:rsidR="69E60AE5">
        <w:t>Additionally, these provisions are pitched at a high level; are insufficiently directive of either outcome or implementation method to secure the desired outcomes;</w:t>
      </w:r>
      <w:r w:rsidR="3525C37A">
        <w:t xml:space="preserve"> do little more than repeat or paraphrase a higher order instrument; and are not well aligned with current significant resource management issues.</w:t>
      </w:r>
    </w:p>
    <w:p w14:paraId="5142E8AD" w14:textId="77777777" w:rsidR="008E7322" w:rsidRDefault="008E7322" w:rsidP="0082271A">
      <w:pPr>
        <w:pStyle w:val="Heading3"/>
      </w:pPr>
      <w:r>
        <w:t>Objectives</w:t>
      </w:r>
    </w:p>
    <w:p w14:paraId="065FB15E" w14:textId="6DCB3E13" w:rsidR="008E7322" w:rsidRDefault="008E7322" w:rsidP="00A247C5">
      <w:pPr>
        <w:pStyle w:val="Normal2"/>
      </w:pPr>
      <w:r>
        <w:t xml:space="preserve">Section 32(1)(b) requires an examination of whether the provisions in a proposal </w:t>
      </w:r>
      <w:proofErr w:type="gramStart"/>
      <w:r>
        <w:t>are the most appropriate way</w:t>
      </w:r>
      <w:proofErr w:type="gramEnd"/>
      <w:r>
        <w:t xml:space="preserve"> to achieve the objectives. The objectives relevant for this topic are</w:t>
      </w:r>
      <w:r w:rsidR="002363B9">
        <w:t xml:space="preserve"> included in </w:t>
      </w:r>
      <w:r w:rsidR="003D16B3">
        <w:fldChar w:fldCharType="begin"/>
      </w:r>
      <w:r w:rsidR="003D16B3">
        <w:instrText xml:space="preserve"> REF _Ref72496529 \h </w:instrText>
      </w:r>
      <w:r w:rsidR="003D16B3">
        <w:fldChar w:fldCharType="separate"/>
      </w:r>
      <w:r w:rsidR="002A7A16">
        <w:t xml:space="preserve">Table </w:t>
      </w:r>
      <w:r w:rsidR="002A7A16">
        <w:rPr>
          <w:noProof/>
        </w:rPr>
        <w:t>25</w:t>
      </w:r>
      <w:r w:rsidR="003D16B3">
        <w:fldChar w:fldCharType="end"/>
      </w:r>
      <w:r w:rsidR="00DB5E65">
        <w:t xml:space="preserve"> below.</w:t>
      </w:r>
    </w:p>
    <w:p w14:paraId="7757F9B3" w14:textId="7371D191" w:rsidR="00627FFE" w:rsidRDefault="00627FFE" w:rsidP="00627FFE">
      <w:pPr>
        <w:pStyle w:val="Caption"/>
        <w:keepNext/>
        <w:ind w:left="709"/>
      </w:pPr>
      <w:bookmarkStart w:id="65" w:name="_Ref72496529"/>
      <w:r>
        <w:lastRenderedPageBreak/>
        <w:t xml:space="preserve">Table </w:t>
      </w:r>
      <w:r>
        <w:fldChar w:fldCharType="begin"/>
      </w:r>
      <w:r>
        <w:instrText>SEQ Table \* ARABIC</w:instrText>
      </w:r>
      <w:r>
        <w:fldChar w:fldCharType="separate"/>
      </w:r>
      <w:r w:rsidR="002A7A16">
        <w:rPr>
          <w:noProof/>
        </w:rPr>
        <w:t>25</w:t>
      </w:r>
      <w:r>
        <w:fldChar w:fldCharType="end"/>
      </w:r>
      <w:bookmarkEnd w:id="65"/>
      <w:r>
        <w:t>: Integrated management objectives</w:t>
      </w:r>
    </w:p>
    <w:tbl>
      <w:tblPr>
        <w:tblStyle w:val="TableGrid"/>
        <w:tblW w:w="8347" w:type="dxa"/>
        <w:tblInd w:w="720" w:type="dxa"/>
        <w:tblLook w:val="04A0" w:firstRow="1" w:lastRow="0" w:firstColumn="1" w:lastColumn="0" w:noHBand="0" w:noVBand="1"/>
      </w:tblPr>
      <w:tblGrid>
        <w:gridCol w:w="1545"/>
        <w:gridCol w:w="6802"/>
      </w:tblGrid>
      <w:tr w:rsidR="003D16B3" w:rsidRPr="003D16B3" w14:paraId="1A5B0138" w14:textId="77777777" w:rsidTr="0038199C">
        <w:tc>
          <w:tcPr>
            <w:tcW w:w="1545" w:type="dxa"/>
          </w:tcPr>
          <w:p w14:paraId="5CA28CE1" w14:textId="77777777" w:rsidR="0002540E" w:rsidRPr="003D16B3" w:rsidRDefault="0002540E" w:rsidP="00A247C5">
            <w:pPr>
              <w:pStyle w:val="Table1"/>
            </w:pPr>
            <w:r w:rsidRPr="003D16B3">
              <w:t>IM–O1 – Long term vision</w:t>
            </w:r>
          </w:p>
        </w:tc>
        <w:tc>
          <w:tcPr>
            <w:tcW w:w="6802" w:type="dxa"/>
          </w:tcPr>
          <w:p w14:paraId="63038D92" w14:textId="6FC5DE2E" w:rsidR="0002540E" w:rsidRPr="003D16B3" w:rsidRDefault="00895BE7" w:rsidP="00A247C5">
            <w:pPr>
              <w:pStyle w:val="Table1"/>
            </w:pPr>
            <w:r w:rsidRPr="003D16B3">
              <w:t>The management of natural and physical resources in Otago, by and for the people of Otago, including K</w:t>
            </w:r>
            <w:r w:rsidRPr="003D16B3">
              <w:rPr>
                <w:rFonts w:eastAsia="Times New Roman"/>
              </w:rPr>
              <w:t>ā</w:t>
            </w:r>
            <w:r w:rsidRPr="003D16B3">
              <w:t xml:space="preserve">i </w:t>
            </w:r>
            <w:proofErr w:type="spellStart"/>
            <w:r w:rsidRPr="003D16B3">
              <w:t>Tahu</w:t>
            </w:r>
            <w:proofErr w:type="spellEnd"/>
            <w:r w:rsidRPr="003D16B3">
              <w:t xml:space="preserve">, and as expressed in all resource management plans and decision-making, achieves healthy, resilient, and safeguarded natural systems, and the ecosystem services they offer, and supports the well-being of present and future generations, </w:t>
            </w:r>
            <w:proofErr w:type="spellStart"/>
            <w:r w:rsidRPr="003D16B3">
              <w:t>mō</w:t>
            </w:r>
            <w:proofErr w:type="spellEnd"/>
            <w:r w:rsidRPr="003D16B3">
              <w:t xml:space="preserve"> </w:t>
            </w:r>
            <w:proofErr w:type="spellStart"/>
            <w:r w:rsidRPr="003D16B3">
              <w:t>tātou</w:t>
            </w:r>
            <w:proofErr w:type="spellEnd"/>
            <w:r w:rsidRPr="003D16B3">
              <w:t xml:space="preserve">, ā, </w:t>
            </w:r>
            <w:proofErr w:type="spellStart"/>
            <w:r w:rsidRPr="003D16B3">
              <w:t>mō</w:t>
            </w:r>
            <w:proofErr w:type="spellEnd"/>
            <w:r w:rsidRPr="003D16B3">
              <w:t xml:space="preserve"> </w:t>
            </w:r>
            <w:proofErr w:type="spellStart"/>
            <w:r w:rsidRPr="003D16B3">
              <w:t>kā</w:t>
            </w:r>
            <w:proofErr w:type="spellEnd"/>
            <w:r w:rsidRPr="003D16B3">
              <w:t xml:space="preserve"> </w:t>
            </w:r>
            <w:proofErr w:type="spellStart"/>
            <w:r w:rsidRPr="003D16B3">
              <w:t>uri</w:t>
            </w:r>
            <w:proofErr w:type="spellEnd"/>
            <w:r w:rsidRPr="003D16B3">
              <w:t xml:space="preserve"> ā muri </w:t>
            </w:r>
            <w:proofErr w:type="spellStart"/>
            <w:r w:rsidRPr="003D16B3">
              <w:t>ake</w:t>
            </w:r>
            <w:proofErr w:type="spellEnd"/>
            <w:r w:rsidRPr="003D16B3">
              <w:t xml:space="preserve"> </w:t>
            </w:r>
            <w:proofErr w:type="spellStart"/>
            <w:r w:rsidRPr="003D16B3">
              <w:t>nei</w:t>
            </w:r>
            <w:proofErr w:type="spellEnd"/>
            <w:r w:rsidRPr="003D16B3">
              <w:t>.</w:t>
            </w:r>
          </w:p>
        </w:tc>
      </w:tr>
      <w:tr w:rsidR="003D16B3" w:rsidRPr="003D16B3" w14:paraId="41FE8B16" w14:textId="77777777" w:rsidTr="0038199C">
        <w:tc>
          <w:tcPr>
            <w:tcW w:w="1545" w:type="dxa"/>
          </w:tcPr>
          <w:p w14:paraId="304A7964" w14:textId="77777777" w:rsidR="0002540E" w:rsidRPr="003D16B3" w:rsidRDefault="0002540E" w:rsidP="00A247C5">
            <w:pPr>
              <w:pStyle w:val="Table1"/>
            </w:pPr>
            <w:r w:rsidRPr="003D16B3">
              <w:t>IM–O2 – Ki Uta Ki Tai</w:t>
            </w:r>
          </w:p>
        </w:tc>
        <w:tc>
          <w:tcPr>
            <w:tcW w:w="6802" w:type="dxa"/>
          </w:tcPr>
          <w:p w14:paraId="341FC613" w14:textId="77777777" w:rsidR="0002540E" w:rsidRPr="003D16B3" w:rsidRDefault="0002540E" w:rsidP="00A247C5">
            <w:pPr>
              <w:pStyle w:val="Table1"/>
            </w:pPr>
            <w:r w:rsidRPr="003D16B3">
              <w:t>Natural and physical resource management and decision-making in Otago embraces ki uta ki tai, recognising that the environment is an interconnected system, which depends on its connections to flourish, and must be considered as an interdependent whole.</w:t>
            </w:r>
          </w:p>
        </w:tc>
      </w:tr>
      <w:tr w:rsidR="003D16B3" w:rsidRPr="003D16B3" w14:paraId="392E44B6" w14:textId="77777777" w:rsidTr="0038199C">
        <w:tc>
          <w:tcPr>
            <w:tcW w:w="1545" w:type="dxa"/>
          </w:tcPr>
          <w:p w14:paraId="5D2AB012" w14:textId="77777777" w:rsidR="0002540E" w:rsidRPr="003D16B3" w:rsidRDefault="0002540E" w:rsidP="00A247C5">
            <w:pPr>
              <w:pStyle w:val="Table1"/>
            </w:pPr>
            <w:r w:rsidRPr="003D16B3">
              <w:t>IM–O3 – Environmentally sustainable impact</w:t>
            </w:r>
          </w:p>
        </w:tc>
        <w:tc>
          <w:tcPr>
            <w:tcW w:w="6802" w:type="dxa"/>
          </w:tcPr>
          <w:p w14:paraId="49B17DA7" w14:textId="59DCF859" w:rsidR="0002540E" w:rsidRPr="003D16B3" w:rsidRDefault="0002540E" w:rsidP="00A247C5">
            <w:pPr>
              <w:pStyle w:val="Table1"/>
            </w:pPr>
            <w:r w:rsidRPr="003D16B3">
              <w:t>Otago’s communities carry out their activities in a way that preserves environmental integrity, form, function, and resilience, so that the life-supporting capacities of air, water, soil, ecosystems, and indigenous biodiversity endure for future generations.</w:t>
            </w:r>
          </w:p>
        </w:tc>
      </w:tr>
      <w:tr w:rsidR="003D16B3" w:rsidRPr="003D16B3" w14:paraId="78942E29" w14:textId="77777777" w:rsidTr="0038199C">
        <w:tc>
          <w:tcPr>
            <w:tcW w:w="1545" w:type="dxa"/>
          </w:tcPr>
          <w:p w14:paraId="3F0EDA2D" w14:textId="77777777" w:rsidR="0002540E" w:rsidRPr="003D16B3" w:rsidRDefault="0002540E" w:rsidP="00A247C5">
            <w:pPr>
              <w:pStyle w:val="Table1"/>
            </w:pPr>
            <w:r w:rsidRPr="003D16B3">
              <w:t>IM-O4 – Climate change</w:t>
            </w:r>
          </w:p>
        </w:tc>
        <w:tc>
          <w:tcPr>
            <w:tcW w:w="6802" w:type="dxa"/>
          </w:tcPr>
          <w:p w14:paraId="23203AA7" w14:textId="243073BE" w:rsidR="003F1D66" w:rsidRPr="003D16B3" w:rsidRDefault="003F1D66" w:rsidP="00A247C5">
            <w:pPr>
              <w:pStyle w:val="Table1"/>
            </w:pPr>
            <w:r w:rsidRPr="003D16B3">
              <w:t xml:space="preserve">Otago’s communities, including Kāi </w:t>
            </w:r>
            <w:proofErr w:type="spellStart"/>
            <w:r w:rsidRPr="003D16B3">
              <w:t>Tahu</w:t>
            </w:r>
            <w:proofErr w:type="spellEnd"/>
            <w:r w:rsidRPr="003D16B3">
              <w:t xml:space="preserve">, understand what </w:t>
            </w:r>
            <w:r w:rsidRPr="003D16B3">
              <w:rPr>
                <w:i/>
                <w:iCs/>
              </w:rPr>
              <w:t>climate change</w:t>
            </w:r>
            <w:r w:rsidRPr="003D16B3">
              <w:t xml:space="preserve"> means for their future, and climate change responses in the region, including adaptation and mitigation actions, are aligned with national level climate change </w:t>
            </w:r>
            <w:proofErr w:type="gramStart"/>
            <w:r w:rsidRPr="003D16B3">
              <w:t>responses</w:t>
            </w:r>
            <w:proofErr w:type="gramEnd"/>
            <w:r w:rsidRPr="003D16B3">
              <w:t xml:space="preserve"> and are recognised as integral to achieving the outcomes sought by this RPS.</w:t>
            </w:r>
          </w:p>
          <w:p w14:paraId="37D4C4F1" w14:textId="06D31455" w:rsidR="0002540E" w:rsidRPr="003D16B3" w:rsidRDefault="0002540E" w:rsidP="00A247C5">
            <w:pPr>
              <w:pStyle w:val="Table1"/>
            </w:pPr>
          </w:p>
        </w:tc>
      </w:tr>
    </w:tbl>
    <w:p w14:paraId="2675E7EA" w14:textId="48098E38" w:rsidR="008E7322" w:rsidRDefault="008E7322" w:rsidP="0082271A">
      <w:pPr>
        <w:pStyle w:val="Heading3"/>
      </w:pPr>
      <w:r>
        <w:t>Reasonably practicable options</w:t>
      </w:r>
    </w:p>
    <w:p w14:paraId="144ECFDB" w14:textId="47C5FBE2" w:rsidR="008E7322" w:rsidRDefault="00BA5AAF" w:rsidP="00A247C5">
      <w:pPr>
        <w:pStyle w:val="Normal2"/>
      </w:pPr>
      <w:r>
        <w:t>Three</w:t>
      </w:r>
      <w:r w:rsidR="008E7322">
        <w:t xml:space="preserve"> reasonably practicable options were identified to achieve the objectives:</w:t>
      </w:r>
    </w:p>
    <w:p w14:paraId="2E88C1DA" w14:textId="3E1903EA" w:rsidR="008E7322" w:rsidRDefault="008E7322" w:rsidP="00A247C5">
      <w:pPr>
        <w:pStyle w:val="Normal3"/>
        <w:numPr>
          <w:ilvl w:val="1"/>
          <w:numId w:val="70"/>
        </w:numPr>
      </w:pPr>
      <w:r w:rsidRPr="00A247C5">
        <w:rPr>
          <w:b/>
          <w:bCs/>
        </w:rPr>
        <w:t>Option 1:</w:t>
      </w:r>
      <w:r>
        <w:t xml:space="preserve"> Status quo (PORPS 2019)</w:t>
      </w:r>
    </w:p>
    <w:p w14:paraId="285300E1" w14:textId="76B495BE" w:rsidR="00C7035B" w:rsidRDefault="008E7322" w:rsidP="00A247C5">
      <w:pPr>
        <w:pStyle w:val="Normal3"/>
        <w:numPr>
          <w:ilvl w:val="1"/>
          <w:numId w:val="70"/>
        </w:numPr>
      </w:pPr>
      <w:r w:rsidRPr="00A247C5">
        <w:rPr>
          <w:b/>
          <w:bCs/>
        </w:rPr>
        <w:t>Option 2:</w:t>
      </w:r>
      <w:r>
        <w:t xml:space="preserve"> </w:t>
      </w:r>
      <w:r w:rsidR="00C7035B" w:rsidRPr="00C7035B">
        <w:t>No integrated management chapter</w:t>
      </w:r>
    </w:p>
    <w:p w14:paraId="2A718C53" w14:textId="0CC3A838" w:rsidR="0002540E" w:rsidRDefault="0002540E" w:rsidP="00A247C5">
      <w:pPr>
        <w:pStyle w:val="Normal3"/>
        <w:numPr>
          <w:ilvl w:val="1"/>
          <w:numId w:val="70"/>
        </w:numPr>
      </w:pPr>
      <w:r w:rsidRPr="00A247C5">
        <w:rPr>
          <w:b/>
          <w:bCs/>
        </w:rPr>
        <w:t>Option 3:</w:t>
      </w:r>
      <w:r>
        <w:t xml:space="preserve"> PORPS 2021</w:t>
      </w:r>
      <w:r w:rsidR="007A4326">
        <w:t xml:space="preserve"> – </w:t>
      </w:r>
      <w:r w:rsidR="007A4326">
        <w:rPr>
          <w:i/>
          <w:iCs/>
        </w:rPr>
        <w:t xml:space="preserve">preferred </w:t>
      </w:r>
    </w:p>
    <w:p w14:paraId="38CAE09E" w14:textId="77777777" w:rsidR="008E7322" w:rsidRDefault="008E7322" w:rsidP="00DE069C">
      <w:pPr>
        <w:pStyle w:val="Heading4"/>
      </w:pPr>
      <w:r>
        <w:t>Option 1: Status quo</w:t>
      </w:r>
    </w:p>
    <w:p w14:paraId="62F86C42" w14:textId="15611952" w:rsidR="00F81AFB" w:rsidRPr="00F81AFB" w:rsidRDefault="008E7322" w:rsidP="00A247C5">
      <w:pPr>
        <w:pStyle w:val="Normal2"/>
      </w:pPr>
      <w:r>
        <w:t xml:space="preserve">The status quo and associated issues are outlined in section </w:t>
      </w:r>
      <w:r w:rsidR="003D16B3" w:rsidRPr="003D16B3">
        <w:rPr>
          <w:highlight w:val="yellow"/>
        </w:rPr>
        <w:fldChar w:fldCharType="begin"/>
      </w:r>
      <w:r w:rsidR="003D16B3">
        <w:instrText xml:space="preserve"> REF _Ref72496589 \r \h </w:instrText>
      </w:r>
      <w:r w:rsidR="003D16B3" w:rsidRPr="003D16B3">
        <w:rPr>
          <w:highlight w:val="yellow"/>
        </w:rPr>
      </w:r>
      <w:r w:rsidR="003D16B3" w:rsidRPr="003D16B3">
        <w:rPr>
          <w:highlight w:val="yellow"/>
        </w:rPr>
        <w:fldChar w:fldCharType="separate"/>
      </w:r>
      <w:r w:rsidR="002A7A16">
        <w:t>5.4.2</w:t>
      </w:r>
      <w:r w:rsidR="003D16B3" w:rsidRPr="003D16B3">
        <w:rPr>
          <w:highlight w:val="yellow"/>
        </w:rPr>
        <w:fldChar w:fldCharType="end"/>
      </w:r>
      <w:r w:rsidR="0002540E">
        <w:t>. As outlined in that section, the status quo is not considered to be effective or efficient.</w:t>
      </w:r>
      <w:r w:rsidR="003D16B3">
        <w:t xml:space="preserve"> </w:t>
      </w:r>
      <w:r w:rsidR="00A068FB">
        <w:t xml:space="preserve">The </w:t>
      </w:r>
      <w:r w:rsidR="00CC7AED">
        <w:t>P</w:t>
      </w:r>
      <w:r w:rsidR="0058140B">
        <w:t>ORPS</w:t>
      </w:r>
      <w:r w:rsidR="00C11694">
        <w:t xml:space="preserve"> </w:t>
      </w:r>
      <w:r w:rsidR="1EF5DB01">
        <w:t>2019</w:t>
      </w:r>
      <w:r w:rsidR="32AA6785">
        <w:t xml:space="preserve"> </w:t>
      </w:r>
      <w:r w:rsidR="00C11694">
        <w:t>present</w:t>
      </w:r>
      <w:r w:rsidR="008F3134">
        <w:t>s</w:t>
      </w:r>
      <w:r w:rsidR="00C11694">
        <w:t xml:space="preserve"> </w:t>
      </w:r>
      <w:r w:rsidR="0002540E">
        <w:t>several</w:t>
      </w:r>
      <w:r w:rsidR="00C11694">
        <w:t xml:space="preserve"> considerations for </w:t>
      </w:r>
      <w:r w:rsidR="008F3134">
        <w:t xml:space="preserve">undertaking </w:t>
      </w:r>
      <w:r w:rsidR="00C11694">
        <w:t>integrat</w:t>
      </w:r>
      <w:r w:rsidR="008F3134">
        <w:t xml:space="preserve">ed </w:t>
      </w:r>
      <w:r w:rsidR="0002540E">
        <w:t xml:space="preserve">management </w:t>
      </w:r>
      <w:r w:rsidR="00C11694">
        <w:t>but gives</w:t>
      </w:r>
      <w:r w:rsidR="00B86C03">
        <w:t xml:space="preserve"> little indication of how </w:t>
      </w:r>
      <w:r w:rsidR="008F3134">
        <w:t xml:space="preserve">to apply </w:t>
      </w:r>
      <w:r w:rsidR="0002540E">
        <w:t>them</w:t>
      </w:r>
      <w:r w:rsidR="00B86C03">
        <w:t xml:space="preserve"> or </w:t>
      </w:r>
      <w:r w:rsidR="0002540E">
        <w:t>weigh</w:t>
      </w:r>
      <w:r w:rsidR="00B86C03">
        <w:t xml:space="preserve"> </w:t>
      </w:r>
      <w:r w:rsidR="008F3134">
        <w:t>them</w:t>
      </w:r>
      <w:r w:rsidR="00B86C03">
        <w:t xml:space="preserve"> against each other.</w:t>
      </w:r>
      <w:r w:rsidR="00F05A83">
        <w:t xml:space="preserve"> </w:t>
      </w:r>
      <w:r w:rsidR="0002540E">
        <w:t>The</w:t>
      </w:r>
      <w:r w:rsidR="00F05A83">
        <w:t xml:space="preserve"> detail is left to lower order plans, </w:t>
      </w:r>
      <w:r w:rsidR="0002540E">
        <w:t>providing</w:t>
      </w:r>
      <w:r w:rsidR="00F05A83">
        <w:t xml:space="preserve"> little further guidance than the</w:t>
      </w:r>
      <w:r w:rsidR="00CB2A20">
        <w:t xml:space="preserve"> RMA.</w:t>
      </w:r>
      <w:r w:rsidR="00C5089A">
        <w:t xml:space="preserve"> This approach is unlikely to result in</w:t>
      </w:r>
      <w:r w:rsidR="008F31A2">
        <w:t xml:space="preserve"> consistent </w:t>
      </w:r>
      <w:r w:rsidR="00B62CF2">
        <w:t xml:space="preserve">application of those </w:t>
      </w:r>
      <w:r w:rsidR="008F31A2">
        <w:t>approaches across Otago</w:t>
      </w:r>
      <w:r w:rsidR="005F6969">
        <w:t>.</w:t>
      </w:r>
    </w:p>
    <w:p w14:paraId="61BBDADE" w14:textId="1FE94C47" w:rsidR="00CB2A20" w:rsidRDefault="00592B50" w:rsidP="00A247C5">
      <w:pPr>
        <w:pStyle w:val="Normal2"/>
      </w:pPr>
      <w:r>
        <w:t>Further, t</w:t>
      </w:r>
      <w:r w:rsidR="00FA47DC">
        <w:t xml:space="preserve">his approach does not </w:t>
      </w:r>
      <w:r>
        <w:t xml:space="preserve">help </w:t>
      </w:r>
      <w:r w:rsidR="00FA47DC">
        <w:t>resolve an</w:t>
      </w:r>
      <w:r>
        <w:t>y</w:t>
      </w:r>
      <w:r w:rsidR="00FA47DC">
        <w:t xml:space="preserve"> </w:t>
      </w:r>
      <w:r w:rsidR="00BA14F3">
        <w:t xml:space="preserve">tensions </w:t>
      </w:r>
      <w:r>
        <w:t>that may</w:t>
      </w:r>
      <w:r w:rsidR="00FA47DC">
        <w:t xml:space="preserve"> </w:t>
      </w:r>
      <w:r>
        <w:t xml:space="preserve">exist between </w:t>
      </w:r>
      <w:r w:rsidR="00FA47DC">
        <w:t>RPS</w:t>
      </w:r>
      <w:r>
        <w:t xml:space="preserve"> </w:t>
      </w:r>
      <w:proofErr w:type="gramStart"/>
      <w:r>
        <w:t>policies</w:t>
      </w:r>
      <w:r w:rsidR="00FA47DC">
        <w:t>, or</w:t>
      </w:r>
      <w:proofErr w:type="gramEnd"/>
      <w:r w:rsidR="00FA47DC">
        <w:t xml:space="preserve"> present a clear vision for integrated management outcomes in Otago.</w:t>
      </w:r>
    </w:p>
    <w:p w14:paraId="78C1C5E0" w14:textId="03EE6DAA" w:rsidR="0002540E" w:rsidRDefault="0002540E" w:rsidP="00DE069C">
      <w:pPr>
        <w:pStyle w:val="Heading4"/>
      </w:pPr>
      <w:r>
        <w:t xml:space="preserve">Option </w:t>
      </w:r>
      <w:r w:rsidR="64552949">
        <w:t>2</w:t>
      </w:r>
      <w:r>
        <w:t>: No integrated management chapter</w:t>
      </w:r>
    </w:p>
    <w:p w14:paraId="3D8BD1DB" w14:textId="086B70C0" w:rsidR="0002540E" w:rsidRDefault="0002540E" w:rsidP="00A247C5">
      <w:pPr>
        <w:pStyle w:val="Normal2"/>
        <w:rPr>
          <w:rFonts w:eastAsiaTheme="minorEastAsia"/>
        </w:rPr>
      </w:pPr>
      <w:r>
        <w:t xml:space="preserve">This option would rely on integration being achieved through a </w:t>
      </w:r>
      <w:r w:rsidR="1F22C261">
        <w:t xml:space="preserve">level of understanding of how a regional policy statement is packaged and to be read, an understanding of how to relate the </w:t>
      </w:r>
      <w:r>
        <w:t xml:space="preserve">range of provisions spread across different domain </w:t>
      </w:r>
      <w:r w:rsidR="02AF8595">
        <w:t xml:space="preserve">and </w:t>
      </w:r>
      <w:r w:rsidR="0E33A120">
        <w:t xml:space="preserve">topic </w:t>
      </w:r>
      <w:r>
        <w:t xml:space="preserve">chapters, </w:t>
      </w:r>
      <w:r w:rsidR="66137A38">
        <w:t xml:space="preserve">and how to resolve conflicts or tensions between them, </w:t>
      </w:r>
      <w:r>
        <w:t xml:space="preserve">rather than having an integration focussed chapter including integrated provisions spanning different domains and topics. </w:t>
      </w:r>
    </w:p>
    <w:p w14:paraId="3CD11205" w14:textId="58888CAE" w:rsidR="0002540E" w:rsidRDefault="0002540E" w:rsidP="00A247C5">
      <w:pPr>
        <w:pStyle w:val="Normal2"/>
      </w:pPr>
      <w:r>
        <w:t xml:space="preserve">This is considered unlikely to be effective at achieving the </w:t>
      </w:r>
      <w:r w:rsidR="7D3CF969">
        <w:t xml:space="preserve">various domain and topic </w:t>
      </w:r>
      <w:r>
        <w:t xml:space="preserve">objectives, as it is less likely to enable consideration of how resources are to be managed across different domains and topics and would not provide overarching guidance on how provisions work </w:t>
      </w:r>
      <w:r>
        <w:lastRenderedPageBreak/>
        <w:t>together. It would also not address the issues identified by mana whenua that relate to a fragmented or siloed approach to managing natural and physical resources, or the complex and all-encompassing effects of climate change, which are pertinent to environmental management at every level.</w:t>
      </w:r>
    </w:p>
    <w:p w14:paraId="3BAD162B" w14:textId="70B8868C" w:rsidR="0002540E" w:rsidRDefault="0002540E" w:rsidP="00DE069C">
      <w:pPr>
        <w:pStyle w:val="Heading4"/>
      </w:pPr>
      <w:r>
        <w:t>Option 3: PORPS 2021</w:t>
      </w:r>
      <w:r w:rsidR="00AE24E9">
        <w:t xml:space="preserve"> </w:t>
      </w:r>
      <w:r w:rsidR="00CF7910">
        <w:t>–</w:t>
      </w:r>
      <w:r w:rsidR="00AE24E9">
        <w:t xml:space="preserve"> </w:t>
      </w:r>
      <w:r w:rsidR="00CF7910">
        <w:rPr>
          <w:i/>
          <w:iCs/>
        </w:rPr>
        <w:t xml:space="preserve">preferred </w:t>
      </w:r>
    </w:p>
    <w:p w14:paraId="7A384CFB" w14:textId="2E55CCA0" w:rsidR="0002540E" w:rsidRDefault="0002540E" w:rsidP="00A247C5">
      <w:pPr>
        <w:pStyle w:val="Normal2"/>
      </w:pPr>
      <w:r>
        <w:t>The issues of significance for Otago that have been identified through the development of the PORPS 2021 will not be solved by addressing one resource or one part of the environment</w:t>
      </w:r>
      <w:r w:rsidR="2B71DDF8">
        <w:t xml:space="preserve"> in isolation of the others</w:t>
      </w:r>
      <w:r>
        <w:t xml:space="preserve">. There are connections between the issues that require an integrated approach to addressing them. For example, SRMR–I8 highlights the threats to Otago’s coastal environment, however addressing that issue will require other actions, such as addressing declining water quality (SRMR–I6). In addition to these interconnections, climate change is an issue that will affect all of Otago, although likely in quite different ways. It is therefore important for the PORPS 2021 to state how the effects of climate change will be managed and how planning for climate change should occur. </w:t>
      </w:r>
    </w:p>
    <w:p w14:paraId="5CEE1F76" w14:textId="3FA5F9E9" w:rsidR="0002540E" w:rsidRDefault="0002540E" w:rsidP="00A247C5">
      <w:pPr>
        <w:pStyle w:val="Normal2"/>
      </w:pPr>
      <w:r>
        <w:t xml:space="preserve">Lack of </w:t>
      </w:r>
      <w:proofErr w:type="gramStart"/>
      <w:r>
        <w:t>a</w:t>
      </w:r>
      <w:r w:rsidR="5ED35497">
        <w:t>n</w:t>
      </w:r>
      <w:proofErr w:type="gramEnd"/>
      <w:r>
        <w:t xml:space="preserve"> holistic and integrated approach to managing the environment is also a key theme in the issues of significance to iwi. This is particularly apparent in relation to freshwater management (see, for example, RMIA–WAI–I5) but is raised in relation to </w:t>
      </w:r>
      <w:proofErr w:type="gramStart"/>
      <w:r>
        <w:t>a number of</w:t>
      </w:r>
      <w:proofErr w:type="gramEnd"/>
      <w:r>
        <w:t xml:space="preserve"> topics (see, for example, RMIA–MKB–I2, RMIA–CE–I1). Fragmented management does not provide for Kāi </w:t>
      </w:r>
      <w:proofErr w:type="spellStart"/>
      <w:r>
        <w:t>Tahu</w:t>
      </w:r>
      <w:proofErr w:type="spellEnd"/>
      <w:r>
        <w:t xml:space="preserve"> cultural values, particularly the philosophy of holistic resource management (or ki uta ki tai) which recognises that all environmental elements are interconnected and must be </w:t>
      </w:r>
      <w:proofErr w:type="gramStart"/>
      <w:r>
        <w:t>managed as a whole</w:t>
      </w:r>
      <w:proofErr w:type="gramEnd"/>
      <w:r>
        <w:t xml:space="preserve">. </w:t>
      </w:r>
    </w:p>
    <w:p w14:paraId="3639C976" w14:textId="37DB3EA3" w:rsidR="0002540E" w:rsidRDefault="0002540E" w:rsidP="00A247C5">
      <w:pPr>
        <w:pStyle w:val="Normal2"/>
      </w:pPr>
      <w:r>
        <w:t xml:space="preserve">The provisions proposed in Option 3 provide more direction for how integrated outcomes are to be achieved. </w:t>
      </w:r>
      <w:proofErr w:type="gramStart"/>
      <w:r>
        <w:t>In particular, they</w:t>
      </w:r>
      <w:proofErr w:type="gramEnd"/>
      <w:r>
        <w:t xml:space="preserve"> set out how the chapter is to be applied alongside the rest of the PORPS</w:t>
      </w:r>
      <w:r w:rsidR="0038199C">
        <w:t xml:space="preserve"> 2021</w:t>
      </w:r>
      <w:r>
        <w:t>, the interconnections and interdependencies within the environment, involvement of mana whenua in resource management, the fundamental importance of environmental health to human wellbeing, and holistic assessment of human effects on the environment. They also address climate change as the key threat to environmental stability. The provisions seek to ensure explicit recognition and implementation of these facets into decision making.</w:t>
      </w:r>
    </w:p>
    <w:p w14:paraId="61F2744E" w14:textId="77777777" w:rsidR="0002540E" w:rsidRDefault="0002540E" w:rsidP="00A247C5">
      <w:pPr>
        <w:pStyle w:val="Normal2"/>
      </w:pPr>
      <w:r>
        <w:t>IM–P1 sets out how the provisions in the RPS work together, requiring all RPS provisions relevant to a particular issue or decision to be considered together according to the terms in which they are expressed, and to achieve IM–O1 to IM–O4. This establishes a hierarchy, with the IM objectives forming what are commonly considered “strategic objectives” sitting at the forefront of the document and all subsequent provisions working together to achieve them.</w:t>
      </w:r>
    </w:p>
    <w:p w14:paraId="2D64B645" w14:textId="10D1D376" w:rsidR="0002540E" w:rsidRDefault="0002540E" w:rsidP="00A247C5">
      <w:pPr>
        <w:pStyle w:val="Normal2"/>
      </w:pPr>
      <w:r>
        <w:t>If tensions arise between provisions</w:t>
      </w:r>
      <w:r w:rsidR="2EDEB996">
        <w:t xml:space="preserve"> in other domains or topics</w:t>
      </w:r>
      <w:r>
        <w:t>, IM–P2 provides a pathway for resolving them. This approach is based on the management hierarchy laid out in the NPSFM</w:t>
      </w:r>
      <w:r w:rsidR="2D6A64D8">
        <w:t xml:space="preserve"> 2020</w:t>
      </w:r>
      <w:r>
        <w:t xml:space="preserve">, reflecting the fundamental importance of environmental health, considering first the long-term life-supporting capacity of the environment, second people’s health, and third other facets of wellbeing. </w:t>
      </w:r>
    </w:p>
    <w:p w14:paraId="0BB1380E" w14:textId="77777777" w:rsidR="0002540E" w:rsidRDefault="0002540E" w:rsidP="00A247C5">
      <w:pPr>
        <w:pStyle w:val="Normal2"/>
      </w:pPr>
      <w:proofErr w:type="gramStart"/>
      <w:r>
        <w:t>In order to</w:t>
      </w:r>
      <w:proofErr w:type="gramEnd"/>
      <w:r>
        <w:t xml:space="preserve"> achieve integrated management, Policy IM–P3 sets out how the relationship of Kāi </w:t>
      </w:r>
      <w:proofErr w:type="spellStart"/>
      <w:r>
        <w:t>Tahu</w:t>
      </w:r>
      <w:proofErr w:type="spellEnd"/>
      <w:r>
        <w:t xml:space="preserve"> ki Otago with all natural resources is to be recognised and provided for, outlining the pathway to achieving IM–O2. IM–P4 directs the requirements for planning frameworks to be used to promote healthy ecosystems and ecosystem services, requiring protection of their intrinsic values and a long-term strategic and responsive approach. Recognising that </w:t>
      </w:r>
      <w:r>
        <w:lastRenderedPageBreak/>
        <w:t xml:space="preserve">management of different resources cannot be segregated from each other, IM–P5 sets out the matters that must be </w:t>
      </w:r>
      <w:proofErr w:type="gramStart"/>
      <w:r>
        <w:t>taken into account</w:t>
      </w:r>
      <w:proofErr w:type="gramEnd"/>
      <w:r>
        <w:t xml:space="preserve"> when managing interconnected resources. </w:t>
      </w:r>
    </w:p>
    <w:p w14:paraId="28C03366" w14:textId="77777777" w:rsidR="0002540E" w:rsidRDefault="0002540E" w:rsidP="00A247C5">
      <w:pPr>
        <w:pStyle w:val="Normal2"/>
      </w:pPr>
      <w:r>
        <w:t>Perfect information is never available when making resource management decisions, however there can be considerable risks in choosing not to act due to a lack of information. IM–P6 requires the avoidance of unreasonable delay in decision-making by using the best information available at the time. In a similar practical vein, IM–P7 requires coordinating management across jurisdictional boundaries and, whenever possible, between overlapping or related agency responsibilities. Collectively, IM–P3 to IM–P7 are the steps to achieving objectives IM–O1 and IM–O3.</w:t>
      </w:r>
    </w:p>
    <w:p w14:paraId="6E9A4110" w14:textId="7FC733C9" w:rsidR="006E7497" w:rsidRDefault="006E7497" w:rsidP="00A247C5">
      <w:pPr>
        <w:pStyle w:val="Normal2"/>
      </w:pPr>
      <w:r>
        <w:t>IM</w:t>
      </w:r>
      <w:r w:rsidR="0002540E">
        <w:t>–</w:t>
      </w:r>
      <w:r>
        <w:t>P8, IM</w:t>
      </w:r>
      <w:r w:rsidR="0002540E">
        <w:t>–</w:t>
      </w:r>
      <w:r>
        <w:t>P9, IM</w:t>
      </w:r>
      <w:r w:rsidR="0002540E">
        <w:t>–</w:t>
      </w:r>
      <w:r>
        <w:t>P10 and IM</w:t>
      </w:r>
      <w:r w:rsidR="0002540E">
        <w:t>–</w:t>
      </w:r>
      <w:r>
        <w:t>P11 address IM</w:t>
      </w:r>
      <w:r w:rsidR="0002540E">
        <w:t>–</w:t>
      </w:r>
      <w:r>
        <w:t>O4 by directing how the effects of climate change</w:t>
      </w:r>
      <w:r w:rsidR="5EE31AD7">
        <w:t xml:space="preserve"> are to be identified</w:t>
      </w:r>
      <w:r>
        <w:t xml:space="preserve"> </w:t>
      </w:r>
      <w:r w:rsidR="00B15384">
        <w:t xml:space="preserve">and </w:t>
      </w:r>
      <w:r w:rsidR="19564550">
        <w:t xml:space="preserve">how the </w:t>
      </w:r>
      <w:r w:rsidR="00B15384">
        <w:t xml:space="preserve">planning </w:t>
      </w:r>
      <w:r w:rsidR="6901EE8E">
        <w:t xml:space="preserve">response to </w:t>
      </w:r>
      <w:r w:rsidR="00B15384">
        <w:t xml:space="preserve">climate change will occur. </w:t>
      </w:r>
      <w:r w:rsidR="00F15AF7">
        <w:t>IM</w:t>
      </w:r>
      <w:r w:rsidR="0002540E">
        <w:t>–</w:t>
      </w:r>
      <w:r w:rsidR="00F15AF7">
        <w:t xml:space="preserve">P8 requires identifying climate change impacts, </w:t>
      </w:r>
      <w:r w:rsidR="00224F97">
        <w:t xml:space="preserve">including from a </w:t>
      </w:r>
      <w:r w:rsidR="000613DF">
        <w:t xml:space="preserve">te </w:t>
      </w:r>
      <w:proofErr w:type="spellStart"/>
      <w:r w:rsidR="000613DF">
        <w:t>ao</w:t>
      </w:r>
      <w:proofErr w:type="spellEnd"/>
      <w:r w:rsidR="000613DF">
        <w:t xml:space="preserve"> Māori</w:t>
      </w:r>
      <w:r w:rsidR="005F61E7">
        <w:t xml:space="preserve"> perspective, </w:t>
      </w:r>
      <w:r w:rsidR="00F15AF7">
        <w:t xml:space="preserve">assessing how those impacts may change over time and anticipating those changes in resource management processes and decisions. </w:t>
      </w:r>
      <w:r w:rsidR="0044546F">
        <w:t xml:space="preserve"> The community’s </w:t>
      </w:r>
      <w:r w:rsidR="00193844">
        <w:t xml:space="preserve">response to climate change impacts </w:t>
      </w:r>
      <w:r w:rsidR="00CF3C8A">
        <w:t>is further elaborated in IM</w:t>
      </w:r>
      <w:r w:rsidR="00D21700">
        <w:t>–</w:t>
      </w:r>
      <w:r w:rsidR="00F15AF7">
        <w:t>P9</w:t>
      </w:r>
      <w:r w:rsidR="00CF3C8A">
        <w:t xml:space="preserve">.  In addition, the response is </w:t>
      </w:r>
      <w:r w:rsidR="003B4FBE">
        <w:t>timebound</w:t>
      </w:r>
      <w:r w:rsidR="00CF3C8A">
        <w:t xml:space="preserve">, at least in </w:t>
      </w:r>
      <w:r w:rsidR="003B4FBE">
        <w:t>respect</w:t>
      </w:r>
      <w:r w:rsidR="00CF3C8A">
        <w:t xml:space="preserve"> of when</w:t>
      </w:r>
      <w:r w:rsidR="003B4FBE">
        <w:t xml:space="preserve"> that response is occurring</w:t>
      </w:r>
      <w:r w:rsidR="00AE55C4">
        <w:t>, with a clear link to Otago’s contribution</w:t>
      </w:r>
      <w:r w:rsidR="00225094">
        <w:t xml:space="preserve"> </w:t>
      </w:r>
      <w:r w:rsidR="00FF7A90">
        <w:t xml:space="preserve">to assist with the attainment of </w:t>
      </w:r>
      <w:r w:rsidR="001D4883">
        <w:t>central government clim</w:t>
      </w:r>
      <w:r w:rsidR="00B1445B">
        <w:t>a</w:t>
      </w:r>
      <w:r w:rsidR="001D4883">
        <w:t>te change response outcomes</w:t>
      </w:r>
      <w:r w:rsidR="003B4FBE">
        <w:t>.</w:t>
      </w:r>
      <w:r w:rsidR="753478FD">
        <w:t xml:space="preserve"> </w:t>
      </w:r>
      <w:r w:rsidR="00F15AF7">
        <w:t>IM</w:t>
      </w:r>
      <w:r w:rsidR="0002540E">
        <w:t>–</w:t>
      </w:r>
      <w:r w:rsidR="00F15AF7">
        <w:t>P</w:t>
      </w:r>
      <w:r w:rsidR="000356E1">
        <w:t>10</w:t>
      </w:r>
      <w:r w:rsidR="00F15AF7">
        <w:t xml:space="preserve"> </w:t>
      </w:r>
      <w:r w:rsidR="00070803">
        <w:t>requires implementing adaptation and mitigation methods that achieve specified results, including minimising the effects of climate change processes or risks to existing activities.</w:t>
      </w:r>
      <w:r w:rsidR="00603ACC">
        <w:t xml:space="preserve"> IM</w:t>
      </w:r>
      <w:r w:rsidR="0002540E">
        <w:t>–</w:t>
      </w:r>
      <w:r w:rsidR="00603ACC">
        <w:t>P1</w:t>
      </w:r>
      <w:r w:rsidR="000356E1">
        <w:t>1</w:t>
      </w:r>
      <w:r w:rsidR="00603ACC">
        <w:t xml:space="preserve"> seeks to enhance resilience by providing </w:t>
      </w:r>
      <w:r w:rsidR="005F23C9">
        <w:t>for activities that reduce human impacts on the environment.</w:t>
      </w:r>
    </w:p>
    <w:p w14:paraId="306EABF9" w14:textId="181A9EE2" w:rsidR="002A28C8" w:rsidRDefault="005F23C9" w:rsidP="00A247C5">
      <w:pPr>
        <w:pStyle w:val="Normal2"/>
      </w:pPr>
      <w:r>
        <w:t xml:space="preserve">There are many </w:t>
      </w:r>
      <w:r w:rsidR="000F2EFF">
        <w:t>provisions</w:t>
      </w:r>
      <w:r>
        <w:t xml:space="preserve"> in the PORPS 2021 that establish ‘bottom lines’ for management of resources. </w:t>
      </w:r>
      <w:r w:rsidR="00DF4BE9">
        <w:t>IM</w:t>
      </w:r>
      <w:r w:rsidR="0002540E">
        <w:t>–</w:t>
      </w:r>
      <w:r w:rsidR="00DF4BE9">
        <w:t>P1</w:t>
      </w:r>
      <w:r w:rsidR="008D320D">
        <w:t>2</w:t>
      </w:r>
      <w:r w:rsidR="00DF4BE9">
        <w:t xml:space="preserve"> allows </w:t>
      </w:r>
      <w:r w:rsidR="00CC502D">
        <w:t xml:space="preserve">decision makers to consider allowing </w:t>
      </w:r>
      <w:r w:rsidR="00DF4BE9">
        <w:t xml:space="preserve">activities to </w:t>
      </w:r>
      <w:r w:rsidR="00A973E5">
        <w:t xml:space="preserve">not comply with </w:t>
      </w:r>
      <w:r w:rsidR="00DF4BE9">
        <w:t>those bottom lines</w:t>
      </w:r>
      <w:r w:rsidR="000F2EFF">
        <w:t xml:space="preserve"> </w:t>
      </w:r>
      <w:proofErr w:type="gramStart"/>
      <w:r w:rsidR="000F2EFF">
        <w:t>in order to</w:t>
      </w:r>
      <w:proofErr w:type="gramEnd"/>
      <w:r w:rsidR="000F2EFF">
        <w:t xml:space="preserve"> provide enduring regionally or nationally significant mitigation of climate change impacts</w:t>
      </w:r>
      <w:r w:rsidR="00510C1A">
        <w:t>. This policy can only be applied if the four criteria in the policy are met</w:t>
      </w:r>
      <w:r w:rsidR="00650D3F">
        <w:t>,</w:t>
      </w:r>
      <w:r w:rsidR="00510C1A">
        <w:t xml:space="preserve"> which are intended</w:t>
      </w:r>
      <w:r w:rsidR="00650D3F">
        <w:t xml:space="preserve"> </w:t>
      </w:r>
      <w:r w:rsidR="00510C1A">
        <w:t>to ensure that the effects are minimised and the activity</w:t>
      </w:r>
      <w:r w:rsidR="00F97552">
        <w:t xml:space="preserve"> does not impede the achievement </w:t>
      </w:r>
      <w:proofErr w:type="gramStart"/>
      <w:r w:rsidR="00F97552">
        <w:t>of  other</w:t>
      </w:r>
      <w:proofErr w:type="gramEnd"/>
      <w:r w:rsidR="00F97552">
        <w:t xml:space="preserve"> objectives in the PORPS 2021</w:t>
      </w:r>
      <w:r w:rsidR="001C7AA9">
        <w:t xml:space="preserve">, neighbouring regions’ objectives, or national </w:t>
      </w:r>
      <w:r w:rsidR="00B05DFD">
        <w:t>or</w:t>
      </w:r>
      <w:r w:rsidR="0002326E">
        <w:t xml:space="preserve"> regional</w:t>
      </w:r>
      <w:r w:rsidR="0005686A">
        <w:t xml:space="preserve"> climate change mitigation</w:t>
      </w:r>
      <w:r w:rsidR="00B05DFD">
        <w:t xml:space="preserve"> activities</w:t>
      </w:r>
      <w:r w:rsidR="00F97552">
        <w:t xml:space="preserve">. </w:t>
      </w:r>
      <w:r w:rsidR="00B36335">
        <w:t xml:space="preserve">In any case, bottom lines </w:t>
      </w:r>
      <w:r w:rsidR="0002540E">
        <w:t>contained</w:t>
      </w:r>
      <w:r w:rsidR="00EE3C8A">
        <w:t xml:space="preserve"> in</w:t>
      </w:r>
      <w:r w:rsidR="00B36335">
        <w:t xml:space="preserve"> </w:t>
      </w:r>
      <w:r w:rsidR="007305BB">
        <w:t xml:space="preserve">a higher order document may not be contravened. </w:t>
      </w:r>
    </w:p>
    <w:p w14:paraId="2E347AA3" w14:textId="7B3580AB" w:rsidR="0002540E" w:rsidRDefault="0002540E" w:rsidP="00A247C5">
      <w:pPr>
        <w:pStyle w:val="Normal2"/>
      </w:pPr>
      <w:r>
        <w:t>Environmental bottom lines must be taken seriously. IM–P1</w:t>
      </w:r>
      <w:r w:rsidR="00480681">
        <w:t>2</w:t>
      </w:r>
      <w:r>
        <w:t xml:space="preserve"> deliberately sets a very high bar for any activity to access it. Very few activities should be eligible for this pathway, and it may be that it remains unused. It has been included to recognise that </w:t>
      </w:r>
      <w:r w:rsidR="2FC48AB5">
        <w:t xml:space="preserve">the effects of </w:t>
      </w:r>
      <w:r>
        <w:t xml:space="preserve">climate change </w:t>
      </w:r>
      <w:r w:rsidR="526BAE69">
        <w:t xml:space="preserve">are </w:t>
      </w:r>
      <w:r>
        <w:t>a key threat to</w:t>
      </w:r>
      <w:r w:rsidR="281034CF">
        <w:t xml:space="preserve"> Otago and New Zealand’s</w:t>
      </w:r>
      <w:r>
        <w:t xml:space="preserve"> long-term environmental, social, cultural, and economic wellbeing that will be difficult to respond to through traditional planning frameworks. Significant long-term mitigation of climate change effects may be worth localised adverse environmental effects. </w:t>
      </w:r>
    </w:p>
    <w:p w14:paraId="2E518B32" w14:textId="704C10BB" w:rsidR="0002540E" w:rsidRDefault="0002540E" w:rsidP="00A247C5">
      <w:pPr>
        <w:pStyle w:val="Normal2"/>
      </w:pPr>
      <w:r>
        <w:t>IM–P1</w:t>
      </w:r>
      <w:r w:rsidR="00480681">
        <w:t>3</w:t>
      </w:r>
      <w:r>
        <w:t xml:space="preserve"> supports achieving IM–O1 to IM–O3. Integrated management is particularly important for dealing with effects that accumulate over time and across space. This policy </w:t>
      </w:r>
      <w:r w:rsidR="17B7D6F8">
        <w:t>directs</w:t>
      </w:r>
      <w:r>
        <w:t xml:space="preserve"> </w:t>
      </w:r>
      <w:proofErr w:type="gramStart"/>
      <w:r>
        <w:t>that cumulative effects</w:t>
      </w:r>
      <w:proofErr w:type="gramEnd"/>
      <w:r>
        <w:t>, which can be difficult to identify and assess, are properly recognised and managed.</w:t>
      </w:r>
    </w:p>
    <w:p w14:paraId="0955B7B0" w14:textId="4B638F64" w:rsidR="0002540E" w:rsidRDefault="0002540E" w:rsidP="00A247C5">
      <w:pPr>
        <w:pStyle w:val="Normal2"/>
      </w:pPr>
      <w:r>
        <w:t>To support achieving IM–O3, IM</w:t>
      </w:r>
      <w:r w:rsidR="00BB38F3">
        <w:t>–</w:t>
      </w:r>
      <w:r>
        <w:t>P1</w:t>
      </w:r>
      <w:r w:rsidR="006831A1">
        <w:t>4</w:t>
      </w:r>
      <w:r>
        <w:t xml:space="preserve"> identifies measures to be undertaken to minimise human impacts on Otago’s ecosystems and preserve opportunities for future generations. Finally, IM</w:t>
      </w:r>
      <w:r w:rsidR="00BB38F3">
        <w:t>–</w:t>
      </w:r>
      <w:r>
        <w:t>P1</w:t>
      </w:r>
      <w:r w:rsidR="006831A1">
        <w:t>5</w:t>
      </w:r>
      <w:r>
        <w:t xml:space="preserve"> requires a precautionary approach where it is unclear what the effects of activities might be.</w:t>
      </w:r>
    </w:p>
    <w:p w14:paraId="38748918" w14:textId="77E91158" w:rsidR="0002540E" w:rsidRDefault="0002540E" w:rsidP="00A247C5">
      <w:pPr>
        <w:pStyle w:val="Normal2"/>
      </w:pPr>
      <w:r>
        <w:lastRenderedPageBreak/>
        <w:t>There are five methods to implement the policies. IM–M1 sets out the requirements of regional and district plans</w:t>
      </w:r>
      <w:r w:rsidR="00BB38F3">
        <w:t>.</w:t>
      </w:r>
      <w:r>
        <w:t xml:space="preserve">  </w:t>
      </w:r>
      <w:r w:rsidR="0A0DD232">
        <w:t>T</w:t>
      </w:r>
      <w:r>
        <w:t>hese requirements address integrated management as a whole and would therefore underpin the more detailed or resource-specific components of plans.</w:t>
      </w:r>
    </w:p>
    <w:p w14:paraId="69BC335C" w14:textId="3555B4AF" w:rsidR="0002540E" w:rsidRDefault="0002540E" w:rsidP="00A247C5">
      <w:pPr>
        <w:pStyle w:val="Normal2"/>
      </w:pPr>
      <w:r>
        <w:t>To implement IM–P2, IM–P4 and IM–P7</w:t>
      </w:r>
      <w:r w:rsidR="00BB38F3">
        <w:t>,</w:t>
      </w:r>
      <w:r>
        <w:t xml:space="preserve"> and achieve IM–O2, </w:t>
      </w:r>
      <w:r w:rsidR="47149F22">
        <w:t xml:space="preserve">Method </w:t>
      </w:r>
      <w:r>
        <w:t xml:space="preserve">IM–M2 requires partnership with Kāi </w:t>
      </w:r>
      <w:proofErr w:type="spellStart"/>
      <w:r>
        <w:t>Tahu</w:t>
      </w:r>
      <w:proofErr w:type="spellEnd"/>
      <w:r>
        <w:t>, working together with other agencies to implement the PORPS 2021 consistently</w:t>
      </w:r>
      <w:r w:rsidR="01F7A1B2">
        <w:t>,</w:t>
      </w:r>
      <w:r>
        <w:t xml:space="preserve"> and collaboration with Otago’s communities. Responding to climate change specifically, method IM–M3 requires ORC to identify the types and locations of climate change impacts through a climate change risk assessment and </w:t>
      </w:r>
      <w:r w:rsidR="63845790">
        <w:t xml:space="preserve">to </w:t>
      </w:r>
      <w:r>
        <w:t xml:space="preserve">develop guidance for </w:t>
      </w:r>
      <w:r w:rsidR="2A9AEB4E">
        <w:t xml:space="preserve">the </w:t>
      </w:r>
      <w:r>
        <w:t xml:space="preserve">communities </w:t>
      </w:r>
      <w:r w:rsidR="509528FA">
        <w:t xml:space="preserve">of the Region </w:t>
      </w:r>
      <w:r>
        <w:t xml:space="preserve">by 2025. More broadly, IM–M4 requires all councils (led by ORC), in partnership with Kāi </w:t>
      </w:r>
      <w:proofErr w:type="spellStart"/>
      <w:r>
        <w:t>Tahu</w:t>
      </w:r>
      <w:proofErr w:type="spellEnd"/>
      <w:r>
        <w:t xml:space="preserve"> and </w:t>
      </w:r>
      <w:r w:rsidR="21BB8385">
        <w:t xml:space="preserve">in </w:t>
      </w:r>
      <w:r>
        <w:t xml:space="preserve">consultation with Otago’s communities, to develop climate change responses </w:t>
      </w:r>
      <w:r w:rsidR="1E68698D">
        <w:t xml:space="preserve">that can </w:t>
      </w:r>
      <w:r>
        <w:t>guide adaptation and mitigation. Responses must identify resources vital to resilience and wellbeing as well as vulnerable resources and communities (and adapt</w:t>
      </w:r>
      <w:r w:rsidR="007A4326">
        <w:t>at</w:t>
      </w:r>
      <w:r>
        <w:t xml:space="preserve">ion pathways for them where possible) and require development of plans and agreements for implementation. This is the primary tool for achieving IM–O4. </w:t>
      </w:r>
    </w:p>
    <w:p w14:paraId="740B41DC" w14:textId="77777777" w:rsidR="0002540E" w:rsidRDefault="0002540E" w:rsidP="00A247C5">
      <w:pPr>
        <w:pStyle w:val="Normal2"/>
      </w:pPr>
      <w:r>
        <w:t xml:space="preserve">Method IM–M5 is not mandatory; it includes provisions that are non-regulatory or that it would not be practicable for ORC to enforce but that would nonetheless contribute to achieving the integrated management objectives. It states that local authorities should align their plans and strategies to achieve objective IM–O1 and facilitate community involvement in achieving this objective through non-regulatory means. It also says local authorities should encourage changes to business practice that will enable them to function in a zero-carbon economy, and advocate for activities that </w:t>
      </w:r>
      <w:r>
        <w:rPr>
          <w:rStyle w:val="normaltextrun"/>
          <w:rFonts w:ascii="Calibri" w:hAnsi="Calibri" w:cs="Calibri"/>
          <w:color w:val="000000"/>
          <w:shd w:val="clear" w:color="auto" w:fill="FFFFFF"/>
        </w:rPr>
        <w:t>reduce, mitigate, or eliminate risk of environmental degradation. These actions will assist with achieving IM</w:t>
      </w:r>
      <w:r>
        <w:t>–</w:t>
      </w:r>
      <w:r>
        <w:rPr>
          <w:rStyle w:val="normaltextrun"/>
          <w:rFonts w:ascii="Calibri" w:hAnsi="Calibri" w:cs="Calibri"/>
          <w:color w:val="000000"/>
          <w:shd w:val="clear" w:color="auto" w:fill="FFFFFF"/>
        </w:rPr>
        <w:t>O1 to IM</w:t>
      </w:r>
      <w:r>
        <w:t>–</w:t>
      </w:r>
      <w:r>
        <w:rPr>
          <w:rStyle w:val="normaltextrun"/>
          <w:rFonts w:ascii="Calibri" w:hAnsi="Calibri" w:cs="Calibri"/>
          <w:color w:val="000000"/>
          <w:shd w:val="clear" w:color="auto" w:fill="FFFFFF"/>
        </w:rPr>
        <w:t xml:space="preserve">O4. </w:t>
      </w:r>
    </w:p>
    <w:p w14:paraId="6EEA9546" w14:textId="0EEE8D7F" w:rsidR="0002540E" w:rsidRDefault="0002540E" w:rsidP="00A247C5">
      <w:pPr>
        <w:pStyle w:val="Normal2"/>
      </w:pPr>
      <w:r>
        <w:t xml:space="preserve">As stated in IM–P1, ORC expects that implementing all PORPS 2021 provisions collectively </w:t>
      </w:r>
      <w:r w:rsidR="5C352505">
        <w:t xml:space="preserve">and in an integrated manner </w:t>
      </w:r>
      <w:r>
        <w:t>will be required to achieve objective IM–O1.</w:t>
      </w:r>
    </w:p>
    <w:p w14:paraId="3C2FD2A6" w14:textId="499916F3" w:rsidR="00DD6BDC" w:rsidRPr="00DD6BDC" w:rsidRDefault="005034D7" w:rsidP="0082271A">
      <w:pPr>
        <w:pStyle w:val="Heading3"/>
      </w:pPr>
      <w:r>
        <w:t>Consultation summary</w:t>
      </w:r>
    </w:p>
    <w:p w14:paraId="032C19D6" w14:textId="598DF39C" w:rsidR="000D18E7" w:rsidRPr="000D18E7" w:rsidRDefault="00451B9B" w:rsidP="00DE069C">
      <w:pPr>
        <w:pStyle w:val="Heading4"/>
      </w:pPr>
      <w:r>
        <w:t>Clause 3</w:t>
      </w:r>
    </w:p>
    <w:p w14:paraId="55B896CF" w14:textId="486D6C3F" w:rsidR="00913CB5" w:rsidRPr="00913CB5" w:rsidRDefault="00793605" w:rsidP="00A247C5">
      <w:pPr>
        <w:pStyle w:val="Normal2"/>
      </w:pPr>
      <w:r>
        <w:t xml:space="preserve">As outlined in section </w:t>
      </w:r>
      <w:r>
        <w:fldChar w:fldCharType="begin"/>
      </w:r>
      <w:r>
        <w:instrText xml:space="preserve"> REF _Ref68867783 \r \h </w:instrText>
      </w:r>
      <w:r>
        <w:fldChar w:fldCharType="separate"/>
      </w:r>
      <w:r w:rsidR="002A7A16">
        <w:t>2.5.1</w:t>
      </w:r>
      <w:r>
        <w:fldChar w:fldCharType="end"/>
      </w:r>
      <w:r>
        <w:t xml:space="preserve"> of this report, the PORPS 2021 provisions were provided to </w:t>
      </w:r>
      <w:proofErr w:type="gramStart"/>
      <w:r>
        <w:t>a number of</w:t>
      </w:r>
      <w:proofErr w:type="gramEnd"/>
      <w:r>
        <w:t xml:space="preserve"> parties for comment in accordance with Schedule 1 of the RMA. </w:t>
      </w:r>
      <w:r w:rsidR="00DA1F6B">
        <w:t xml:space="preserve"> The </w:t>
      </w:r>
      <w:r w:rsidR="00D679A4" w:rsidRPr="00D679A4">
        <w:rPr>
          <w:i/>
          <w:iCs/>
        </w:rPr>
        <w:t xml:space="preserve">IM – </w:t>
      </w:r>
      <w:r w:rsidR="00DA1F6B" w:rsidRPr="00D679A4">
        <w:rPr>
          <w:i/>
          <w:iCs/>
        </w:rPr>
        <w:t xml:space="preserve">Integrated </w:t>
      </w:r>
      <w:r w:rsidR="00D679A4" w:rsidRPr="00D679A4">
        <w:rPr>
          <w:i/>
          <w:iCs/>
        </w:rPr>
        <w:t>m</w:t>
      </w:r>
      <w:r w:rsidR="00DA1F6B" w:rsidRPr="00D679A4">
        <w:rPr>
          <w:i/>
          <w:iCs/>
        </w:rPr>
        <w:t>anagement</w:t>
      </w:r>
      <w:r w:rsidR="00DA1F6B">
        <w:t xml:space="preserve"> chapter received a significant </w:t>
      </w:r>
      <w:r w:rsidR="00F82EB7">
        <w:t xml:space="preserve">amount of feedback from </w:t>
      </w:r>
      <w:r w:rsidR="005378A6">
        <w:t xml:space="preserve">15 parties, including the </w:t>
      </w:r>
      <w:r w:rsidR="2C07206D">
        <w:t>R</w:t>
      </w:r>
      <w:r w:rsidR="005378A6">
        <w:t xml:space="preserve">eference </w:t>
      </w:r>
      <w:r w:rsidR="1BEB5A74">
        <w:t>G</w:t>
      </w:r>
      <w:r w:rsidR="005378A6">
        <w:t>roup</w:t>
      </w:r>
      <w:r w:rsidR="00D679A4">
        <w:t xml:space="preserve"> (Integrated management)</w:t>
      </w:r>
      <w:r w:rsidR="00EE5822">
        <w:t xml:space="preserve">. Much of this </w:t>
      </w:r>
      <w:r w:rsidR="3A0F052C">
        <w:t xml:space="preserve">feedback concerned </w:t>
      </w:r>
      <w:r w:rsidR="00EE5822">
        <w:t>minor wording and editing remarks</w:t>
      </w:r>
      <w:r w:rsidR="00DF5067">
        <w:t xml:space="preserve"> </w:t>
      </w:r>
      <w:r w:rsidR="36BBEB34">
        <w:t xml:space="preserve">which sought </w:t>
      </w:r>
      <w:r w:rsidR="00DF5067">
        <w:t>to add clarity</w:t>
      </w:r>
      <w:r w:rsidR="00EC3DE8">
        <w:t>,</w:t>
      </w:r>
      <w:r w:rsidR="00EE5822">
        <w:t xml:space="preserve"> </w:t>
      </w:r>
      <w:r w:rsidR="00FF3EAA">
        <w:t xml:space="preserve">or </w:t>
      </w:r>
      <w:r w:rsidR="006A23FE">
        <w:t xml:space="preserve">additional content in keeping with the </w:t>
      </w:r>
      <w:r w:rsidR="10D71700">
        <w:t xml:space="preserve">overall drafting </w:t>
      </w:r>
      <w:r w:rsidR="006A23FE">
        <w:t>approach</w:t>
      </w:r>
      <w:r w:rsidR="27EF6A6D">
        <w:t xml:space="preserve"> these have been</w:t>
      </w:r>
      <w:r w:rsidR="42658C8E">
        <w:t xml:space="preserve"> </w:t>
      </w:r>
      <w:r w:rsidR="00514746">
        <w:t>included as appropriate.</w:t>
      </w:r>
    </w:p>
    <w:p w14:paraId="61DBA9E1" w14:textId="6D362C2F" w:rsidR="00D82026" w:rsidRDefault="00D82026" w:rsidP="00A247C5">
      <w:pPr>
        <w:pStyle w:val="Normal2"/>
      </w:pPr>
      <w:r>
        <w:t>Among these changes were</w:t>
      </w:r>
      <w:r w:rsidR="00FF3EAA">
        <w:t xml:space="preserve"> recognising and providing for ecosystem</w:t>
      </w:r>
      <w:r w:rsidR="00DD559F">
        <w:t xml:space="preserve"> </w:t>
      </w:r>
      <w:r w:rsidR="000E7C13">
        <w:t>complexity and connections</w:t>
      </w:r>
      <w:r w:rsidR="006777AB">
        <w:t xml:space="preserve"> in IM</w:t>
      </w:r>
      <w:r w:rsidR="00D679A4">
        <w:t>–</w:t>
      </w:r>
      <w:r w:rsidR="006777AB">
        <w:t>P4</w:t>
      </w:r>
      <w:r w:rsidR="009539C8">
        <w:t xml:space="preserve">, </w:t>
      </w:r>
      <w:r w:rsidR="00B60779">
        <w:t>making provision for</w:t>
      </w:r>
      <w:r w:rsidR="00985872">
        <w:t xml:space="preserve"> activities that are resi</w:t>
      </w:r>
      <w:r w:rsidR="00735FB4">
        <w:t>lient to</w:t>
      </w:r>
      <w:r w:rsidR="00B60779">
        <w:t xml:space="preserve"> or reduce climate change risk in IM</w:t>
      </w:r>
      <w:r w:rsidR="00D679A4">
        <w:t>–</w:t>
      </w:r>
      <w:r w:rsidR="00B60779">
        <w:t>P9</w:t>
      </w:r>
      <w:r w:rsidR="004D43D7">
        <w:t>,</w:t>
      </w:r>
      <w:r w:rsidR="006777AB">
        <w:t xml:space="preserve"> and </w:t>
      </w:r>
      <w:r w:rsidR="00DD559F">
        <w:t>making explicit provision for neighbouring regions</w:t>
      </w:r>
      <w:r w:rsidR="004D43D7">
        <w:t>’ objectives</w:t>
      </w:r>
      <w:r w:rsidR="00DD559F">
        <w:t xml:space="preserve"> </w:t>
      </w:r>
      <w:r w:rsidR="00E3794F">
        <w:t>in IM</w:t>
      </w:r>
      <w:r w:rsidR="00D679A4">
        <w:t>–</w:t>
      </w:r>
      <w:r w:rsidR="00E3794F">
        <w:t>P11</w:t>
      </w:r>
      <w:r w:rsidR="006777AB">
        <w:t>.</w:t>
      </w:r>
    </w:p>
    <w:p w14:paraId="3F58ABF9" w14:textId="30E4CFD0" w:rsidR="004D43D7" w:rsidRDefault="6982463B" w:rsidP="00A247C5">
      <w:pPr>
        <w:pStyle w:val="Normal2"/>
      </w:pPr>
      <w:r>
        <w:t xml:space="preserve">Some feedback sought </w:t>
      </w:r>
      <w:r w:rsidR="47B01DF9">
        <w:t>s</w:t>
      </w:r>
      <w:r w:rsidR="00514746">
        <w:t xml:space="preserve">ignificant changes to the chapter </w:t>
      </w:r>
      <w:r w:rsidR="7E94314F">
        <w:t xml:space="preserve">including </w:t>
      </w:r>
      <w:r w:rsidR="00514746">
        <w:t xml:space="preserve">the redrafting of the </w:t>
      </w:r>
      <w:r w:rsidR="00F7528A">
        <w:t>long</w:t>
      </w:r>
      <w:r w:rsidR="004D43D7">
        <w:t>-</w:t>
      </w:r>
      <w:r w:rsidR="00F7528A">
        <w:t>term vision (IM</w:t>
      </w:r>
      <w:r w:rsidR="00D679A4">
        <w:t>–</w:t>
      </w:r>
      <w:r w:rsidR="00EC4D29">
        <w:t>O1) and a r</w:t>
      </w:r>
      <w:r w:rsidR="00891D30">
        <w:t>e</w:t>
      </w:r>
      <w:r w:rsidR="00275E04">
        <w:t xml:space="preserve">write of </w:t>
      </w:r>
      <w:r w:rsidR="00EC4D29">
        <w:t>IM</w:t>
      </w:r>
      <w:r w:rsidR="00D679A4">
        <w:t>–</w:t>
      </w:r>
      <w:r w:rsidR="00275E04">
        <w:t xml:space="preserve">P1 and </w:t>
      </w:r>
      <w:r w:rsidR="00E54C73">
        <w:t>IM</w:t>
      </w:r>
      <w:r w:rsidR="00D679A4">
        <w:t>–</w:t>
      </w:r>
      <w:r w:rsidR="00275E04">
        <w:t>P</w:t>
      </w:r>
      <w:r w:rsidR="001F7A72">
        <w:t>2 (formerly IM</w:t>
      </w:r>
      <w:r w:rsidR="00D679A4">
        <w:t>–</w:t>
      </w:r>
      <w:r w:rsidR="001F7A72">
        <w:t>P5)</w:t>
      </w:r>
      <w:r w:rsidR="008C659F">
        <w:t>,</w:t>
      </w:r>
      <w:r w:rsidR="00891D30">
        <w:t xml:space="preserve"> </w:t>
      </w:r>
      <w:r w:rsidR="008C659F">
        <w:t xml:space="preserve">provisions which determine how the </w:t>
      </w:r>
      <w:r w:rsidR="00D679A4">
        <w:t>PO</w:t>
      </w:r>
      <w:r w:rsidR="008C659F">
        <w:t>RPS</w:t>
      </w:r>
      <w:r w:rsidR="00D679A4">
        <w:t xml:space="preserve"> 2021</w:t>
      </w:r>
      <w:r w:rsidR="008C659F">
        <w:t xml:space="preserve"> should work together as a whole.</w:t>
      </w:r>
      <w:r w:rsidR="004C7CFD">
        <w:t xml:space="preserve"> </w:t>
      </w:r>
      <w:r w:rsidR="004D43D7">
        <w:t xml:space="preserve">The long-term vision was redrafted to </w:t>
      </w:r>
      <w:r w:rsidR="008B484A">
        <w:t xml:space="preserve">better clarify the </w:t>
      </w:r>
      <w:r w:rsidR="00CB1738">
        <w:t xml:space="preserve">premium put on </w:t>
      </w:r>
      <w:r w:rsidR="00B72EBE">
        <w:t>natural systems’</w:t>
      </w:r>
      <w:r w:rsidR="006D687C">
        <w:t xml:space="preserve"> </w:t>
      </w:r>
      <w:r w:rsidR="00534CC4">
        <w:t>long-term</w:t>
      </w:r>
      <w:r w:rsidR="006D687C">
        <w:t xml:space="preserve"> health</w:t>
      </w:r>
      <w:r w:rsidR="00F35815">
        <w:t>, avoid</w:t>
      </w:r>
      <w:r w:rsidR="00534CC4">
        <w:t>ing</w:t>
      </w:r>
      <w:r w:rsidR="00F35815">
        <w:t xml:space="preserve"> ambiguity around the term “environment”</w:t>
      </w:r>
      <w:r w:rsidR="00896AB1">
        <w:t xml:space="preserve"> and mak</w:t>
      </w:r>
      <w:r w:rsidR="00534CC4">
        <w:t>ing</w:t>
      </w:r>
      <w:r w:rsidR="00896AB1">
        <w:t xml:space="preserve"> the link between environmental health and human wellbeing clearer.</w:t>
      </w:r>
    </w:p>
    <w:p w14:paraId="40E6157F" w14:textId="7942B61E" w:rsidR="00275E04" w:rsidRDefault="00B74B41" w:rsidP="00A247C5">
      <w:pPr>
        <w:pStyle w:val="Normal2"/>
      </w:pPr>
      <w:r>
        <w:lastRenderedPageBreak/>
        <w:t xml:space="preserve"> Respondents had been uncertain about how </w:t>
      </w:r>
      <w:r w:rsidR="00534CC4">
        <w:t>IM</w:t>
      </w:r>
      <w:r w:rsidR="00D679A4">
        <w:t>–</w:t>
      </w:r>
      <w:r w:rsidR="00534CC4">
        <w:t>P1 and IM</w:t>
      </w:r>
      <w:r w:rsidR="00D679A4">
        <w:t>–</w:t>
      </w:r>
      <w:r w:rsidR="00534CC4">
        <w:t xml:space="preserve">P5 </w:t>
      </w:r>
      <w:r w:rsidR="001F7A72">
        <w:t>(now IM</w:t>
      </w:r>
      <w:r w:rsidR="00D679A4">
        <w:t>–</w:t>
      </w:r>
      <w:r w:rsidR="001F7A72">
        <w:t>P2)</w:t>
      </w:r>
      <w:r w:rsidR="00534CC4">
        <w:t xml:space="preserve"> </w:t>
      </w:r>
      <w:r>
        <w:t xml:space="preserve">interacted, </w:t>
      </w:r>
      <w:proofErr w:type="gramStart"/>
      <w:r>
        <w:t>in</w:t>
      </w:r>
      <w:r w:rsidR="0D0064F5">
        <w:t xml:space="preserve"> </w:t>
      </w:r>
      <w:r>
        <w:t>particular how</w:t>
      </w:r>
      <w:proofErr w:type="gramEnd"/>
      <w:r>
        <w:t xml:space="preserve"> provisions should be treated as “equal” under </w:t>
      </w:r>
      <w:r w:rsidR="463BC93B">
        <w:t>IM</w:t>
      </w:r>
      <w:r w:rsidR="00D679A4">
        <w:t>–</w:t>
      </w:r>
      <w:r>
        <w:t>P1</w:t>
      </w:r>
      <w:r w:rsidR="00E867BA">
        <w:t xml:space="preserve">, but tensions should be resolved by the priorities under </w:t>
      </w:r>
      <w:r w:rsidR="00555B92">
        <w:t>IM–</w:t>
      </w:r>
      <w:r w:rsidR="00E867BA">
        <w:t>P5.</w:t>
      </w:r>
      <w:r>
        <w:t xml:space="preserve"> </w:t>
      </w:r>
      <w:r w:rsidR="00E867BA">
        <w:t>The policies</w:t>
      </w:r>
      <w:r>
        <w:t xml:space="preserve"> </w:t>
      </w:r>
      <w:r w:rsidR="00534CC4">
        <w:t>we</w:t>
      </w:r>
      <w:r w:rsidR="00816F16">
        <w:t>re repositioned to sit next to each other, clarifying their relationship</w:t>
      </w:r>
      <w:r w:rsidR="00A472E7">
        <w:t xml:space="preserve">. </w:t>
      </w:r>
      <w:r w:rsidR="00555B92">
        <w:t>IM–</w:t>
      </w:r>
      <w:r w:rsidR="00A472E7">
        <w:t>P1 was</w:t>
      </w:r>
      <w:r w:rsidR="0083775C">
        <w:t xml:space="preserve"> redrafted to clarify </w:t>
      </w:r>
      <w:r w:rsidR="00E867BA">
        <w:t xml:space="preserve">that all provisions in the </w:t>
      </w:r>
      <w:r w:rsidR="00555B92">
        <w:t>PO</w:t>
      </w:r>
      <w:r w:rsidR="00E867BA">
        <w:t>RPS</w:t>
      </w:r>
      <w:r w:rsidR="00555B92">
        <w:t xml:space="preserve"> 2021</w:t>
      </w:r>
      <w:r w:rsidR="00E867BA">
        <w:t xml:space="preserve"> needed to </w:t>
      </w:r>
      <w:r w:rsidR="00867BE4">
        <w:t xml:space="preserve">be considered together according to the terms used, </w:t>
      </w:r>
      <w:r w:rsidR="00156E8A">
        <w:t xml:space="preserve">and that the </w:t>
      </w:r>
      <w:r w:rsidR="00555B92" w:rsidRPr="00555B92">
        <w:rPr>
          <w:i/>
          <w:iCs/>
        </w:rPr>
        <w:t xml:space="preserve">IM – </w:t>
      </w:r>
      <w:r w:rsidR="00156E8A" w:rsidRPr="00555B92">
        <w:rPr>
          <w:i/>
          <w:iCs/>
        </w:rPr>
        <w:t xml:space="preserve">Integrated </w:t>
      </w:r>
      <w:r w:rsidR="00555B92">
        <w:rPr>
          <w:i/>
          <w:iCs/>
        </w:rPr>
        <w:t>m</w:t>
      </w:r>
      <w:r w:rsidR="00156E8A" w:rsidRPr="00555B92">
        <w:rPr>
          <w:i/>
          <w:iCs/>
        </w:rPr>
        <w:t>anagement</w:t>
      </w:r>
      <w:r w:rsidR="00EF16D2">
        <w:t xml:space="preserve"> objectives</w:t>
      </w:r>
      <w:r w:rsidR="00156E8A">
        <w:t xml:space="preserve"> have</w:t>
      </w:r>
      <w:r w:rsidR="00EF16D2">
        <w:t xml:space="preserve"> universal relevance throughout the RPS</w:t>
      </w:r>
      <w:r w:rsidR="00BE5974">
        <w:t xml:space="preserve">. </w:t>
      </w:r>
      <w:r w:rsidR="002B7039">
        <w:t>IM–</w:t>
      </w:r>
      <w:r w:rsidR="00A472E7">
        <w:t>P</w:t>
      </w:r>
      <w:r w:rsidR="001F7A72">
        <w:t xml:space="preserve">5 (now </w:t>
      </w:r>
      <w:r w:rsidR="002B7039">
        <w:t>IM–</w:t>
      </w:r>
      <w:r w:rsidR="001F7A72">
        <w:t xml:space="preserve">P2) </w:t>
      </w:r>
      <w:r w:rsidR="00FF5831">
        <w:t xml:space="preserve">was redrafted to </w:t>
      </w:r>
      <w:proofErr w:type="gramStart"/>
      <w:r w:rsidR="00FF5831">
        <w:t>more closely align with the Te Mana o te Wai hierarchy</w:t>
      </w:r>
      <w:proofErr w:type="gramEnd"/>
      <w:r w:rsidR="00FF5831">
        <w:t xml:space="preserve"> in the NPSFM 2020.</w:t>
      </w:r>
    </w:p>
    <w:p w14:paraId="55D38EAA" w14:textId="0A39E9E1" w:rsidR="00370DC0" w:rsidRPr="00370DC0" w:rsidRDefault="00FF5831" w:rsidP="00A247C5">
      <w:pPr>
        <w:pStyle w:val="Normal2"/>
      </w:pPr>
      <w:r>
        <w:t>Some suggestions for</w:t>
      </w:r>
      <w:r w:rsidR="00E50A4E">
        <w:t xml:space="preserve"> changes in approach were not </w:t>
      </w:r>
      <w:r w:rsidR="2BE1879A">
        <w:t>adopted</w:t>
      </w:r>
      <w:r w:rsidR="43B40566">
        <w:t>.</w:t>
      </w:r>
      <w:r w:rsidR="00E50A4E">
        <w:t xml:space="preserve"> </w:t>
      </w:r>
      <w:r w:rsidR="009F402E">
        <w:t xml:space="preserve">Some respondents were concerned that there should be </w:t>
      </w:r>
      <w:r w:rsidR="00275E04">
        <w:t>explicit provision for existing use rights</w:t>
      </w:r>
      <w:r w:rsidR="00ED27F4">
        <w:t xml:space="preserve">. ORC considered that these rights are adequately provided for under the RMA and did not need </w:t>
      </w:r>
      <w:r w:rsidR="007A4326">
        <w:t>to be repeated</w:t>
      </w:r>
      <w:r w:rsidR="00ED27F4">
        <w:t xml:space="preserve"> here.</w:t>
      </w:r>
    </w:p>
    <w:p w14:paraId="53CF5367" w14:textId="15118343" w:rsidR="00ED27F4" w:rsidRDefault="00C04B03" w:rsidP="00A247C5">
      <w:pPr>
        <w:pStyle w:val="Normal2"/>
      </w:pPr>
      <w:r>
        <w:t>There was also concern that community well</w:t>
      </w:r>
      <w:r w:rsidR="002B7039">
        <w:t>-</w:t>
      </w:r>
      <w:r>
        <w:t>being was not well enough represented</w:t>
      </w:r>
      <w:r w:rsidR="00733CF3">
        <w:t xml:space="preserve"> and</w:t>
      </w:r>
      <w:r>
        <w:t xml:space="preserve"> should</w:t>
      </w:r>
      <w:r w:rsidR="00745F44">
        <w:t xml:space="preserve"> be recognised through a specific objective. ORC considered that well</w:t>
      </w:r>
      <w:r w:rsidR="002B7039">
        <w:t>-</w:t>
      </w:r>
      <w:r w:rsidR="00745F44">
        <w:t xml:space="preserve">being is well addressed throughout the </w:t>
      </w:r>
      <w:r w:rsidR="009D126B">
        <w:t>PO</w:t>
      </w:r>
      <w:r w:rsidR="00745F44">
        <w:t>RPS</w:t>
      </w:r>
      <w:r w:rsidR="009D126B">
        <w:t xml:space="preserve"> 2021</w:t>
      </w:r>
      <w:r w:rsidR="00745F44">
        <w:t xml:space="preserve"> and</w:t>
      </w:r>
      <w:r w:rsidR="00794AF4">
        <w:t xml:space="preserve"> integrated as a part of other </w:t>
      </w:r>
      <w:r w:rsidR="009D126B">
        <w:rPr>
          <w:i/>
          <w:iCs/>
        </w:rPr>
        <w:t xml:space="preserve">IM – Integrated management </w:t>
      </w:r>
      <w:r w:rsidR="00794AF4">
        <w:t xml:space="preserve">objectives. A key philosophy of </w:t>
      </w:r>
      <w:r w:rsidR="009D126B">
        <w:t>this</w:t>
      </w:r>
      <w:r w:rsidR="00794AF4">
        <w:t xml:space="preserve"> section is that long</w:t>
      </w:r>
      <w:r w:rsidR="00767FDB">
        <w:t>-</w:t>
      </w:r>
      <w:r w:rsidR="00794AF4">
        <w:t>term health of natural systems is a fundamental requirement for all other well</w:t>
      </w:r>
      <w:r w:rsidR="009D126B">
        <w:t>-</w:t>
      </w:r>
      <w:r w:rsidR="00794AF4">
        <w:t xml:space="preserve">beings. </w:t>
      </w:r>
      <w:r w:rsidR="00952F22">
        <w:t>The objectives</w:t>
      </w:r>
      <w:r w:rsidR="001F7FFA">
        <w:t>’</w:t>
      </w:r>
      <w:r w:rsidR="00952F22">
        <w:t xml:space="preserve"> wording and approach is intended to recognise this.</w:t>
      </w:r>
    </w:p>
    <w:p w14:paraId="43F696C9" w14:textId="0F28BCB5" w:rsidR="00CF6371" w:rsidRPr="00CF6371" w:rsidRDefault="001F23B7" w:rsidP="00A247C5">
      <w:pPr>
        <w:pStyle w:val="Normal2"/>
      </w:pPr>
      <w:r>
        <w:t>Some respondents also considered that the climate change provisions needed to be aligned with the recent Climate Change Commission</w:t>
      </w:r>
      <w:r w:rsidR="007214A8">
        <w:t xml:space="preserve"> report recommendations</w:t>
      </w:r>
      <w:r w:rsidR="00BF1E19">
        <w:t xml:space="preserve"> (Climate Change Commission 2021)</w:t>
      </w:r>
      <w:r w:rsidR="00FA13AA">
        <w:t xml:space="preserve">, or </w:t>
      </w:r>
      <w:r w:rsidR="00A82116">
        <w:t>significantly broadened</w:t>
      </w:r>
      <w:r w:rsidR="00FA13AA">
        <w:t xml:space="preserve"> in anticipation of future change. ORC considered that, in the absence of an </w:t>
      </w:r>
      <w:r w:rsidR="0033380E">
        <w:t>explicit</w:t>
      </w:r>
      <w:r w:rsidR="00FA13AA">
        <w:t xml:space="preserve"> policy direction from central </w:t>
      </w:r>
      <w:r w:rsidR="0033380E">
        <w:t>government</w:t>
      </w:r>
      <w:r w:rsidR="00155680">
        <w:t xml:space="preserve"> and</w:t>
      </w:r>
      <w:r w:rsidR="005E07D3">
        <w:t xml:space="preserve"> given the importance of </w:t>
      </w:r>
      <w:r w:rsidR="00CB0680">
        <w:t>c</w:t>
      </w:r>
      <w:r w:rsidR="005E07D3">
        <w:t>limate change as an issue for Otago’s future, the</w:t>
      </w:r>
      <w:r w:rsidR="00CB0680">
        <w:t xml:space="preserve"> thrust of the policies was appropriate as drafted</w:t>
      </w:r>
      <w:r w:rsidR="005E524F">
        <w:t>, though some minor changes were made as described above</w:t>
      </w:r>
      <w:r w:rsidR="00CB0680">
        <w:t>.</w:t>
      </w:r>
    </w:p>
    <w:p w14:paraId="7C65130F" w14:textId="78A17759" w:rsidR="00793605" w:rsidRPr="00451B9B" w:rsidRDefault="00793605" w:rsidP="00DE069C">
      <w:pPr>
        <w:pStyle w:val="Heading4"/>
      </w:pPr>
      <w:r>
        <w:t>Clause 4A</w:t>
      </w:r>
    </w:p>
    <w:p w14:paraId="485FB5B4" w14:textId="37017324" w:rsidR="00551F90" w:rsidRPr="00BE4A65" w:rsidRDefault="5FE5F4F9" w:rsidP="00A247C5">
      <w:pPr>
        <w:pStyle w:val="Normal2"/>
      </w:pPr>
      <w:r>
        <w:t xml:space="preserve">As has been previously noted, </w:t>
      </w:r>
      <w:r w:rsidR="361AAB16">
        <w:t>t</w:t>
      </w:r>
      <w:r w:rsidR="6B326ABD">
        <w:t xml:space="preserve">he draft RPS was provided to Te </w:t>
      </w:r>
      <w:proofErr w:type="spellStart"/>
      <w:r w:rsidR="6B326ABD">
        <w:t>Rūnanga</w:t>
      </w:r>
      <w:proofErr w:type="spellEnd"/>
      <w:r w:rsidR="6B326ABD">
        <w:t xml:space="preserve"> o Ngāi </w:t>
      </w:r>
      <w:proofErr w:type="spellStart"/>
      <w:r w:rsidR="6B326ABD">
        <w:t>Tahu</w:t>
      </w:r>
      <w:proofErr w:type="spellEnd"/>
      <w:r w:rsidR="6B326ABD">
        <w:t xml:space="preserve">, </w:t>
      </w:r>
      <w:proofErr w:type="spellStart"/>
      <w:r w:rsidR="6B326ABD">
        <w:t>Aukaha</w:t>
      </w:r>
      <w:proofErr w:type="spellEnd"/>
      <w:r w:rsidR="6B326ABD">
        <w:t xml:space="preserve"> and Te Ao Marama on 6 April 2021. A hui was held on 21 April 2021 and attended by representatives from Kāi </w:t>
      </w:r>
      <w:proofErr w:type="spellStart"/>
      <w:r w:rsidR="6B326ABD">
        <w:t>Tahu</w:t>
      </w:r>
      <w:proofErr w:type="spellEnd"/>
      <w:r w:rsidR="6B326ABD">
        <w:t xml:space="preserve"> ki Otago, Ngāi </w:t>
      </w:r>
      <w:proofErr w:type="spellStart"/>
      <w:r w:rsidR="6B326ABD">
        <w:t>Tahu</w:t>
      </w:r>
      <w:proofErr w:type="spellEnd"/>
      <w:r w:rsidR="6B326ABD">
        <w:t xml:space="preserve"> ki Murihiku and ORC. The focus of the hui was providing iwi views on </w:t>
      </w:r>
      <w:proofErr w:type="gramStart"/>
      <w:r w:rsidR="6B326ABD">
        <w:t>particular chapters</w:t>
      </w:r>
      <w:proofErr w:type="gramEnd"/>
      <w:r w:rsidR="361AAB16">
        <w:t>, including the</w:t>
      </w:r>
      <w:r w:rsidR="276CF2F6">
        <w:t xml:space="preserve"> </w:t>
      </w:r>
      <w:r w:rsidR="008176E2">
        <w:rPr>
          <w:i/>
          <w:iCs/>
        </w:rPr>
        <w:t>IM – Integrated management</w:t>
      </w:r>
      <w:r w:rsidR="5E8617F7">
        <w:t xml:space="preserve"> </w:t>
      </w:r>
      <w:r w:rsidR="276CF2F6">
        <w:t>chapter</w:t>
      </w:r>
      <w:r w:rsidR="5E8617F7">
        <w:t>.</w:t>
      </w:r>
      <w:r w:rsidR="5D4F0BDA">
        <w:t xml:space="preserve">  </w:t>
      </w:r>
      <w:r w:rsidR="568BA79B">
        <w:t xml:space="preserve">Further feedback, in writing, was </w:t>
      </w:r>
      <w:r w:rsidR="6B326ABD">
        <w:t xml:space="preserve">provided outlining amendments sought by Kāi </w:t>
      </w:r>
      <w:proofErr w:type="spellStart"/>
      <w:r w:rsidR="6B326ABD">
        <w:t>Tahu</w:t>
      </w:r>
      <w:proofErr w:type="spellEnd"/>
      <w:r w:rsidR="6B326ABD">
        <w:t xml:space="preserve"> and reasons</w:t>
      </w:r>
      <w:r w:rsidR="008176E2">
        <w:t xml:space="preserve"> for thos</w:t>
      </w:r>
      <w:r w:rsidR="004F7F16">
        <w:t>e</w:t>
      </w:r>
      <w:r w:rsidR="008176E2">
        <w:t xml:space="preserve"> </w:t>
      </w:r>
      <w:r w:rsidR="004F7F16">
        <w:t>requests</w:t>
      </w:r>
      <w:r w:rsidR="6B326ABD">
        <w:t xml:space="preserve">. </w:t>
      </w:r>
    </w:p>
    <w:p w14:paraId="13E813BF" w14:textId="66D9DABD" w:rsidR="00622BE0" w:rsidRPr="00AC4E95" w:rsidRDefault="6A60B22B" w:rsidP="00A247C5">
      <w:pPr>
        <w:pStyle w:val="Normal2"/>
        <w:rPr>
          <w:rStyle w:val="normaltextrun"/>
        </w:rPr>
      </w:pPr>
      <w:r>
        <w:t xml:space="preserve">As a result of the </w:t>
      </w:r>
      <w:proofErr w:type="gramStart"/>
      <w:r>
        <w:t>feedback</w:t>
      </w:r>
      <w:r w:rsidR="2784D5E2">
        <w:t>, and</w:t>
      </w:r>
      <w:proofErr w:type="gramEnd"/>
      <w:r w:rsidR="2784D5E2">
        <w:t xml:space="preserve"> coupled with further consideration of the </w:t>
      </w:r>
      <w:r w:rsidR="004F7F16">
        <w:rPr>
          <w:i/>
          <w:iCs/>
        </w:rPr>
        <w:t xml:space="preserve">IM – Integrated management </w:t>
      </w:r>
      <w:r w:rsidR="2784D5E2">
        <w:t>chapter provisions, amendments have been made to the objectives</w:t>
      </w:r>
      <w:r w:rsidR="02F9FB25">
        <w:t xml:space="preserve"> and policies.</w:t>
      </w:r>
      <w:r w:rsidR="6114E256">
        <w:t xml:space="preserve">  Many of the amendments concern</w:t>
      </w:r>
      <w:r w:rsidR="72D73949">
        <w:t xml:space="preserve"> correct </w:t>
      </w:r>
      <w:r w:rsidR="3F1D7B23">
        <w:t xml:space="preserve">use and </w:t>
      </w:r>
      <w:r w:rsidR="72D73949">
        <w:t xml:space="preserve">expression of </w:t>
      </w:r>
      <w:r w:rsidR="61A9D09A">
        <w:t xml:space="preserve">Te </w:t>
      </w:r>
      <w:proofErr w:type="spellStart"/>
      <w:r w:rsidR="004F7F16">
        <w:t>R</w:t>
      </w:r>
      <w:r w:rsidR="61A9D09A">
        <w:t>eo</w:t>
      </w:r>
      <w:proofErr w:type="spellEnd"/>
      <w:r w:rsidR="3F1D7B23">
        <w:t>.</w:t>
      </w:r>
      <w:r w:rsidR="2ED2C633">
        <w:t xml:space="preserve">  Others</w:t>
      </w:r>
      <w:r w:rsidR="58428B9A">
        <w:t xml:space="preserve"> have been made to </w:t>
      </w:r>
      <w:proofErr w:type="gramStart"/>
      <w:r w:rsidR="58428B9A">
        <w:t>more completely</w:t>
      </w:r>
      <w:r w:rsidR="01DEE880">
        <w:t xml:space="preserve"> reflect</w:t>
      </w:r>
      <w:r w:rsidR="062D7ECE">
        <w:t xml:space="preserve"> </w:t>
      </w:r>
      <w:r w:rsidR="6F9BFEEF">
        <w:t>the partnership</w:t>
      </w:r>
      <w:proofErr w:type="gramEnd"/>
      <w:r w:rsidR="6F9BFEEF">
        <w:t xml:space="preserve"> between</w:t>
      </w:r>
      <w:r w:rsidR="7BB5FBBC">
        <w:t xml:space="preserve"> Kāi </w:t>
      </w:r>
      <w:proofErr w:type="spellStart"/>
      <w:r w:rsidR="7BB5FBBC">
        <w:t>Tahu</w:t>
      </w:r>
      <w:proofErr w:type="spellEnd"/>
      <w:r w:rsidR="7BB5FBBC">
        <w:t xml:space="preserve"> and Council</w:t>
      </w:r>
      <w:r w:rsidR="6280ED11">
        <w:t>,</w:t>
      </w:r>
      <w:r w:rsidR="25BA7EF7">
        <w:t xml:space="preserve"> the involvement of Kāi </w:t>
      </w:r>
      <w:proofErr w:type="spellStart"/>
      <w:r w:rsidR="25BA7EF7">
        <w:t>Tahu</w:t>
      </w:r>
      <w:proofErr w:type="spellEnd"/>
      <w:r w:rsidR="25BA7EF7">
        <w:t xml:space="preserve"> in the management of the natural and physical resources of the region</w:t>
      </w:r>
      <w:r w:rsidR="6280ED11" w:rsidRPr="00AC4E95">
        <w:t>, and</w:t>
      </w:r>
      <w:r w:rsidR="08917650" w:rsidRPr="00AC4E95">
        <w:t xml:space="preserve"> the underpinning approach </w:t>
      </w:r>
      <w:r w:rsidR="56024EB9" w:rsidRPr="00AC4E95">
        <w:t xml:space="preserve">to resource management embodied in </w:t>
      </w:r>
      <w:r w:rsidR="72F334FE" w:rsidRPr="00AC4E95">
        <w:rPr>
          <w:rStyle w:val="normaltextrun"/>
          <w:rFonts w:ascii="Calibri" w:hAnsi="Calibri" w:cs="Calibri"/>
          <w:shd w:val="clear" w:color="auto" w:fill="FFFFFF"/>
        </w:rPr>
        <w:t>mātauraka.</w:t>
      </w:r>
    </w:p>
    <w:p w14:paraId="205D0039" w14:textId="5B3C86D5" w:rsidR="00382B26" w:rsidRPr="00AC4E95" w:rsidRDefault="1D36E4D8" w:rsidP="00A247C5">
      <w:pPr>
        <w:pStyle w:val="Normal2"/>
        <w:rPr>
          <w:rStyle w:val="normaltextrun"/>
        </w:rPr>
      </w:pPr>
      <w:r w:rsidRPr="00AC4E95">
        <w:rPr>
          <w:rStyle w:val="normaltextrun"/>
          <w:rFonts w:ascii="Calibri" w:hAnsi="Calibri" w:cs="Calibri"/>
          <w:shd w:val="clear" w:color="auto" w:fill="FFFFFF"/>
        </w:rPr>
        <w:t>Objective IM</w:t>
      </w:r>
      <w:r w:rsidR="00AC4E95">
        <w:t>–</w:t>
      </w:r>
      <w:r w:rsidRPr="00AC4E95">
        <w:rPr>
          <w:rStyle w:val="normaltextrun"/>
          <w:rFonts w:ascii="Calibri" w:hAnsi="Calibri" w:cs="Calibri"/>
          <w:shd w:val="clear" w:color="auto" w:fill="FFFFFF"/>
        </w:rPr>
        <w:t xml:space="preserve">O1 </w:t>
      </w:r>
      <w:r w:rsidR="239E738F" w:rsidRPr="00AC4E95">
        <w:rPr>
          <w:rStyle w:val="normaltextrun"/>
          <w:rFonts w:ascii="Calibri" w:hAnsi="Calibri" w:cs="Calibri"/>
          <w:shd w:val="clear" w:color="auto" w:fill="FFFFFF"/>
        </w:rPr>
        <w:t xml:space="preserve">caused some concern </w:t>
      </w:r>
      <w:r w:rsidR="008224F0" w:rsidRPr="00AC4E95">
        <w:rPr>
          <w:rStyle w:val="normaltextrun"/>
          <w:rFonts w:ascii="Calibri" w:hAnsi="Calibri" w:cs="Calibri"/>
          <w:shd w:val="clear" w:color="auto" w:fill="FFFFFF"/>
        </w:rPr>
        <w:t>because in the M</w:t>
      </w:r>
      <w:r w:rsidR="00B128EE" w:rsidRPr="00AC4E95">
        <w:t>ā</w:t>
      </w:r>
      <w:r w:rsidR="008224F0" w:rsidRPr="00AC4E95">
        <w:rPr>
          <w:rStyle w:val="normaltextrun"/>
          <w:rFonts w:ascii="Calibri" w:hAnsi="Calibri" w:cs="Calibri"/>
          <w:shd w:val="clear" w:color="auto" w:fill="FFFFFF"/>
        </w:rPr>
        <w:t>ori world view</w:t>
      </w:r>
      <w:r w:rsidR="00B128EE" w:rsidRPr="00AC4E95">
        <w:rPr>
          <w:rStyle w:val="normaltextrun"/>
          <w:rFonts w:ascii="Calibri" w:hAnsi="Calibri" w:cs="Calibri"/>
          <w:shd w:val="clear" w:color="auto" w:fill="FFFFFF"/>
        </w:rPr>
        <w:t xml:space="preserve"> </w:t>
      </w:r>
      <w:r w:rsidR="4F83FC5D" w:rsidRPr="00AC4E95">
        <w:rPr>
          <w:rStyle w:val="normaltextrun"/>
          <w:rFonts w:ascii="Calibri" w:hAnsi="Calibri" w:cs="Calibri"/>
          <w:shd w:val="clear" w:color="auto" w:fill="FFFFFF"/>
        </w:rPr>
        <w:t>there is no</w:t>
      </w:r>
      <w:r w:rsidR="22DF06EF" w:rsidRPr="00AC4E95">
        <w:rPr>
          <w:rStyle w:val="normaltextrun"/>
          <w:rFonts w:ascii="Calibri" w:hAnsi="Calibri" w:cs="Calibri"/>
          <w:shd w:val="clear" w:color="auto" w:fill="FFFFFF"/>
        </w:rPr>
        <w:t xml:space="preserve"> separation between people and the environment.</w:t>
      </w:r>
      <w:r w:rsidR="63ED2F7C" w:rsidRPr="00AC4E95">
        <w:rPr>
          <w:rStyle w:val="normaltextrun"/>
          <w:rFonts w:ascii="Calibri" w:hAnsi="Calibri" w:cs="Calibri"/>
          <w:shd w:val="clear" w:color="auto" w:fill="FFFFFF"/>
        </w:rPr>
        <w:t xml:space="preserve">  </w:t>
      </w:r>
      <w:r w:rsidR="6C1226EC" w:rsidRPr="00AC4E95">
        <w:rPr>
          <w:rStyle w:val="normaltextrun"/>
          <w:rFonts w:ascii="Calibri" w:hAnsi="Calibri" w:cs="Calibri"/>
          <w:shd w:val="clear" w:color="auto" w:fill="FFFFFF"/>
        </w:rPr>
        <w:t>This objective has been recast</w:t>
      </w:r>
      <w:r w:rsidR="6E5B3AB0" w:rsidRPr="00AC4E95">
        <w:rPr>
          <w:rStyle w:val="normaltextrun"/>
          <w:rFonts w:ascii="Calibri" w:hAnsi="Calibri" w:cs="Calibri"/>
          <w:shd w:val="clear" w:color="auto" w:fill="FFFFFF"/>
        </w:rPr>
        <w:t xml:space="preserve"> </w:t>
      </w:r>
      <w:r w:rsidR="48871FFD" w:rsidRPr="00AC4E95">
        <w:rPr>
          <w:rStyle w:val="normaltextrun"/>
          <w:rFonts w:ascii="Calibri" w:hAnsi="Calibri" w:cs="Calibri"/>
          <w:shd w:val="clear" w:color="auto" w:fill="FFFFFF"/>
        </w:rPr>
        <w:t>to better align it with its role within the PORPS</w:t>
      </w:r>
      <w:r w:rsidR="00AC4E95">
        <w:rPr>
          <w:rStyle w:val="normaltextrun"/>
          <w:rFonts w:ascii="Calibri" w:hAnsi="Calibri" w:cs="Calibri"/>
          <w:shd w:val="clear" w:color="auto" w:fill="FFFFFF"/>
        </w:rPr>
        <w:t xml:space="preserve"> 2021</w:t>
      </w:r>
      <w:r w:rsidR="35CD41E3" w:rsidRPr="00AC4E95">
        <w:rPr>
          <w:rStyle w:val="normaltextrun"/>
          <w:rFonts w:ascii="Calibri" w:hAnsi="Calibri" w:cs="Calibri"/>
          <w:shd w:val="clear" w:color="auto" w:fill="FFFFFF"/>
        </w:rPr>
        <w:t xml:space="preserve">, and in doing so attention has been paid to </w:t>
      </w:r>
      <w:r w:rsidR="62ACAD95" w:rsidRPr="00AC4E95">
        <w:rPr>
          <w:rStyle w:val="normaltextrun"/>
          <w:rFonts w:ascii="Calibri" w:hAnsi="Calibri" w:cs="Calibri"/>
          <w:shd w:val="clear" w:color="auto" w:fill="FFFFFF"/>
        </w:rPr>
        <w:t>the concept of whakapapa</w:t>
      </w:r>
      <w:r w:rsidR="4226191F" w:rsidRPr="00AC4E95">
        <w:rPr>
          <w:rStyle w:val="normaltextrun"/>
          <w:rFonts w:ascii="Calibri" w:hAnsi="Calibri" w:cs="Calibri"/>
          <w:shd w:val="clear" w:color="auto" w:fill="FFFFFF"/>
        </w:rPr>
        <w:t>, to the extent that this can be achieved in this context.</w:t>
      </w:r>
    </w:p>
    <w:p w14:paraId="2A12FFA2" w14:textId="58378B60" w:rsidR="00EE6E58" w:rsidRPr="00AC4E95" w:rsidRDefault="08FB8C97" w:rsidP="00A247C5">
      <w:pPr>
        <w:pStyle w:val="Normal2"/>
        <w:rPr>
          <w:rStyle w:val="eop"/>
        </w:rPr>
      </w:pPr>
      <w:r w:rsidRPr="00AC4E95">
        <w:rPr>
          <w:rStyle w:val="normaltextrun"/>
          <w:rFonts w:ascii="Calibri" w:hAnsi="Calibri" w:cs="Calibri"/>
          <w:shd w:val="clear" w:color="auto" w:fill="FFFFFF"/>
        </w:rPr>
        <w:t>Policy IM</w:t>
      </w:r>
      <w:r w:rsidR="00AC4E95">
        <w:t>–</w:t>
      </w:r>
      <w:r w:rsidR="00AC4E95">
        <w:rPr>
          <w:rStyle w:val="normaltextrun"/>
          <w:rFonts w:ascii="Calibri" w:hAnsi="Calibri" w:cs="Calibri"/>
          <w:shd w:val="clear" w:color="auto" w:fill="FFFFFF"/>
        </w:rPr>
        <w:t>P</w:t>
      </w:r>
      <w:r w:rsidRPr="00AC4E95">
        <w:rPr>
          <w:rStyle w:val="normaltextrun"/>
          <w:rFonts w:ascii="Calibri" w:hAnsi="Calibri" w:cs="Calibri"/>
          <w:shd w:val="clear" w:color="auto" w:fill="FFFFFF"/>
        </w:rPr>
        <w:t>1 has been amended</w:t>
      </w:r>
      <w:r w:rsidR="1C46AADD" w:rsidRPr="00AC4E95">
        <w:rPr>
          <w:rStyle w:val="normaltextrun"/>
          <w:rFonts w:ascii="Calibri" w:hAnsi="Calibri" w:cs="Calibri"/>
          <w:shd w:val="clear" w:color="auto" w:fill="FFFFFF"/>
        </w:rPr>
        <w:t xml:space="preserve"> </w:t>
      </w:r>
      <w:r w:rsidR="5FF1AE6E" w:rsidRPr="00AC4E95">
        <w:rPr>
          <w:rStyle w:val="normaltextrun"/>
          <w:rFonts w:ascii="Calibri" w:hAnsi="Calibri" w:cs="Calibri"/>
          <w:shd w:val="clear" w:color="auto" w:fill="FFFFFF"/>
        </w:rPr>
        <w:t>to better express its fundamental role which is one of linking</w:t>
      </w:r>
      <w:r w:rsidR="57D0A358" w:rsidRPr="00AC4E95">
        <w:rPr>
          <w:rStyle w:val="normaltextrun"/>
          <w:rFonts w:ascii="Calibri" w:hAnsi="Calibri" w:cs="Calibri"/>
          <w:shd w:val="clear" w:color="auto" w:fill="FFFFFF"/>
        </w:rPr>
        <w:t xml:space="preserve"> together the various components of the PORPS</w:t>
      </w:r>
      <w:r w:rsidR="00AD2947">
        <w:rPr>
          <w:rStyle w:val="normaltextrun"/>
          <w:rFonts w:ascii="Calibri" w:hAnsi="Calibri" w:cs="Calibri"/>
          <w:shd w:val="clear" w:color="auto" w:fill="FFFFFF"/>
        </w:rPr>
        <w:t xml:space="preserve"> 2021</w:t>
      </w:r>
      <w:r w:rsidR="57D0A358" w:rsidRPr="00AC4E95">
        <w:rPr>
          <w:rStyle w:val="normaltextrun"/>
          <w:rFonts w:ascii="Calibri" w:hAnsi="Calibri" w:cs="Calibri"/>
          <w:shd w:val="clear" w:color="auto" w:fill="FFFFFF"/>
        </w:rPr>
        <w:t>.</w:t>
      </w:r>
      <w:r w:rsidR="66C2273E" w:rsidRPr="00AC4E95">
        <w:rPr>
          <w:rStyle w:val="normaltextrun"/>
          <w:rFonts w:ascii="Calibri" w:hAnsi="Calibri" w:cs="Calibri"/>
          <w:shd w:val="clear" w:color="auto" w:fill="FFFFFF"/>
        </w:rPr>
        <w:t xml:space="preserve">  </w:t>
      </w:r>
      <w:r w:rsidR="04C26840" w:rsidRPr="00AC4E95">
        <w:rPr>
          <w:rStyle w:val="normaltextrun"/>
          <w:rFonts w:ascii="Calibri" w:hAnsi="Calibri" w:cs="Calibri"/>
          <w:shd w:val="clear" w:color="auto" w:fill="FFFFFF"/>
        </w:rPr>
        <w:t xml:space="preserve">As a </w:t>
      </w:r>
      <w:r w:rsidR="6A326323" w:rsidRPr="00AC4E95">
        <w:rPr>
          <w:rStyle w:val="normaltextrun"/>
          <w:rFonts w:ascii="Calibri" w:hAnsi="Calibri" w:cs="Calibri"/>
          <w:shd w:val="clear" w:color="auto" w:fill="FFFFFF"/>
        </w:rPr>
        <w:t>rule,</w:t>
      </w:r>
      <w:r w:rsidR="66C2273E" w:rsidRPr="00AC4E95">
        <w:rPr>
          <w:rStyle w:val="normaltextrun"/>
          <w:rFonts w:ascii="Calibri" w:hAnsi="Calibri" w:cs="Calibri"/>
          <w:shd w:val="clear" w:color="auto" w:fill="FFFFFF"/>
        </w:rPr>
        <w:t xml:space="preserve"> such ‘linking’ policies tend to </w:t>
      </w:r>
      <w:r w:rsidR="7B51E75D" w:rsidRPr="00AC4E95">
        <w:rPr>
          <w:rStyle w:val="normaltextrun"/>
          <w:rFonts w:ascii="Calibri" w:hAnsi="Calibri" w:cs="Calibri"/>
          <w:shd w:val="clear" w:color="auto" w:fill="FFFFFF"/>
        </w:rPr>
        <w:t>lack clarity and purpose</w:t>
      </w:r>
      <w:r w:rsidR="63DB6E95" w:rsidRPr="00AC4E95">
        <w:rPr>
          <w:rStyle w:val="normaltextrun"/>
          <w:rFonts w:ascii="Calibri" w:hAnsi="Calibri" w:cs="Calibri"/>
          <w:shd w:val="clear" w:color="auto" w:fill="FFFFFF"/>
        </w:rPr>
        <w:t xml:space="preserve"> when it comes to addressing specific resource management </w:t>
      </w:r>
      <w:r w:rsidR="63DB6E95" w:rsidRPr="00AC4E95">
        <w:rPr>
          <w:rStyle w:val="normaltextrun"/>
          <w:rFonts w:ascii="Calibri" w:hAnsi="Calibri" w:cs="Calibri"/>
          <w:shd w:val="clear" w:color="auto" w:fill="FFFFFF"/>
        </w:rPr>
        <w:lastRenderedPageBreak/>
        <w:t>issues.  The addition</w:t>
      </w:r>
      <w:r w:rsidR="63DB6E95" w:rsidRPr="00AC4E95">
        <w:rPr>
          <w:rStyle w:val="eop"/>
          <w:rFonts w:ascii="Calibri" w:hAnsi="Calibri" w:cs="Calibri"/>
          <w:shd w:val="clear" w:color="auto" w:fill="FFFFFF"/>
        </w:rPr>
        <w:t> </w:t>
      </w:r>
      <w:r w:rsidR="6B93E4F3" w:rsidRPr="00AC4E95">
        <w:rPr>
          <w:rStyle w:val="eop"/>
          <w:rFonts w:ascii="Calibri" w:hAnsi="Calibri" w:cs="Calibri"/>
          <w:shd w:val="clear" w:color="auto" w:fill="FFFFFF"/>
        </w:rPr>
        <w:t xml:space="preserve">of </w:t>
      </w:r>
      <w:r w:rsidR="7FA33A5D" w:rsidRPr="00AC4E95">
        <w:rPr>
          <w:rStyle w:val="eop"/>
          <w:rFonts w:ascii="Calibri" w:hAnsi="Calibri" w:cs="Calibri"/>
          <w:shd w:val="clear" w:color="auto" w:fill="FFFFFF"/>
        </w:rPr>
        <w:t xml:space="preserve">subclause (1) </w:t>
      </w:r>
      <w:r w:rsidR="0C7950F7" w:rsidRPr="00AC4E95">
        <w:rPr>
          <w:rStyle w:val="eop"/>
          <w:rFonts w:ascii="Calibri" w:hAnsi="Calibri" w:cs="Calibri"/>
          <w:shd w:val="clear" w:color="auto" w:fill="FFFFFF"/>
        </w:rPr>
        <w:t>satisfies this concern</w:t>
      </w:r>
      <w:r w:rsidR="5431A7F3" w:rsidRPr="00AC4E95">
        <w:rPr>
          <w:rStyle w:val="eop"/>
          <w:rFonts w:ascii="Calibri" w:hAnsi="Calibri" w:cs="Calibri"/>
          <w:shd w:val="clear" w:color="auto" w:fill="FFFFFF"/>
        </w:rPr>
        <w:t xml:space="preserve"> and gives </w:t>
      </w:r>
      <w:r w:rsidR="0C65F9DF" w:rsidRPr="00AC4E95">
        <w:rPr>
          <w:rStyle w:val="eop"/>
          <w:rFonts w:ascii="Calibri" w:hAnsi="Calibri" w:cs="Calibri"/>
          <w:shd w:val="clear" w:color="auto" w:fill="FFFFFF"/>
        </w:rPr>
        <w:t>clarity</w:t>
      </w:r>
      <w:r w:rsidR="3A2B7602" w:rsidRPr="00AC4E95">
        <w:rPr>
          <w:rStyle w:val="eop"/>
          <w:rFonts w:ascii="Calibri" w:hAnsi="Calibri" w:cs="Calibri"/>
          <w:shd w:val="clear" w:color="auto" w:fill="FFFFFF"/>
        </w:rPr>
        <w:t xml:space="preserve"> to the outcome sought.</w:t>
      </w:r>
    </w:p>
    <w:p w14:paraId="2BEAB31F" w14:textId="488B65C9" w:rsidR="0089084B" w:rsidRPr="00F21BBA" w:rsidRDefault="2D8934C6" w:rsidP="00A247C5">
      <w:pPr>
        <w:pStyle w:val="Normal2"/>
        <w:rPr>
          <w:rStyle w:val="normaltextrun"/>
        </w:rPr>
      </w:pPr>
      <w:r w:rsidRPr="00AC4E95">
        <w:rPr>
          <w:rStyle w:val="normaltextrun"/>
          <w:rFonts w:ascii="Calibri" w:hAnsi="Calibri" w:cs="Calibri"/>
          <w:shd w:val="clear" w:color="auto" w:fill="FFFFFF"/>
        </w:rPr>
        <w:t xml:space="preserve">During discussions </w:t>
      </w:r>
      <w:r w:rsidR="15301C04" w:rsidRPr="00AC4E95">
        <w:rPr>
          <w:rStyle w:val="normaltextrun"/>
          <w:rFonts w:ascii="Calibri" w:hAnsi="Calibri" w:cs="Calibri"/>
          <w:shd w:val="clear" w:color="auto" w:fill="FFFFFF"/>
        </w:rPr>
        <w:t>at the hui</w:t>
      </w:r>
      <w:r w:rsidR="3479BDF7" w:rsidRPr="00AC4E95">
        <w:t xml:space="preserve"> the inclusion of both</w:t>
      </w:r>
      <w:r w:rsidR="5ADD5EAE" w:rsidRPr="00AC4E95">
        <w:rPr>
          <w:rStyle w:val="normaltextrun"/>
          <w:rFonts w:ascii="Calibri" w:hAnsi="Calibri" w:cs="Calibri"/>
          <w:shd w:val="clear" w:color="auto" w:fill="FFFFFF"/>
        </w:rPr>
        <w:t> </w:t>
      </w:r>
      <w:proofErr w:type="spellStart"/>
      <w:r w:rsidR="5ADD5EAE" w:rsidRPr="00AC4E95">
        <w:rPr>
          <w:rStyle w:val="normaltextrun"/>
          <w:rFonts w:ascii="Calibri" w:hAnsi="Calibri" w:cs="Calibri"/>
          <w:shd w:val="clear" w:color="auto" w:fill="FFFFFF"/>
        </w:rPr>
        <w:t>rakatirataka</w:t>
      </w:r>
      <w:proofErr w:type="spellEnd"/>
      <w:r w:rsidR="5ADD5EAE" w:rsidRPr="00AC4E95">
        <w:rPr>
          <w:rStyle w:val="normaltextrun"/>
          <w:rFonts w:ascii="Calibri" w:hAnsi="Calibri" w:cs="Calibri"/>
          <w:shd w:val="clear" w:color="auto" w:fill="FFFFFF"/>
        </w:rPr>
        <w:t> and </w:t>
      </w:r>
      <w:proofErr w:type="spellStart"/>
      <w:r w:rsidR="5ADD5EAE" w:rsidRPr="00AC4E95">
        <w:rPr>
          <w:rStyle w:val="normaltextrun"/>
          <w:rFonts w:ascii="Calibri" w:hAnsi="Calibri" w:cs="Calibri"/>
          <w:shd w:val="clear" w:color="auto" w:fill="FFFFFF"/>
        </w:rPr>
        <w:t>kaitiakitaka</w:t>
      </w:r>
      <w:proofErr w:type="spellEnd"/>
      <w:r w:rsidR="3E253F1F" w:rsidRPr="00AC4E95">
        <w:rPr>
          <w:rStyle w:val="normaltextrun"/>
          <w:rFonts w:ascii="Calibri" w:hAnsi="Calibri" w:cs="Calibri"/>
          <w:shd w:val="clear" w:color="auto" w:fill="FFFFFF"/>
        </w:rPr>
        <w:t xml:space="preserve"> in </w:t>
      </w:r>
      <w:r w:rsidR="00AD2947">
        <w:rPr>
          <w:rStyle w:val="normaltextrun"/>
          <w:rFonts w:ascii="Calibri" w:hAnsi="Calibri" w:cs="Calibri"/>
          <w:color w:val="000000"/>
          <w:shd w:val="clear" w:color="auto" w:fill="FFFFFF"/>
        </w:rPr>
        <w:t>P</w:t>
      </w:r>
      <w:r w:rsidR="3E253F1F">
        <w:rPr>
          <w:rStyle w:val="normaltextrun"/>
          <w:rFonts w:ascii="Calibri" w:hAnsi="Calibri" w:cs="Calibri"/>
          <w:color w:val="000000"/>
          <w:shd w:val="clear" w:color="auto" w:fill="FFFFFF"/>
        </w:rPr>
        <w:t>olicy IM</w:t>
      </w:r>
      <w:r w:rsidR="00AD2947">
        <w:t>–</w:t>
      </w:r>
      <w:r w:rsidR="5D734303">
        <w:rPr>
          <w:rStyle w:val="normaltextrun"/>
          <w:rFonts w:ascii="Calibri" w:hAnsi="Calibri" w:cs="Calibri"/>
          <w:color w:val="000000"/>
          <w:shd w:val="clear" w:color="auto" w:fill="FFFFFF"/>
        </w:rPr>
        <w:t>P3</w:t>
      </w:r>
      <w:r w:rsidR="5528B0E9">
        <w:rPr>
          <w:rStyle w:val="normaltextrun"/>
          <w:rFonts w:ascii="Calibri" w:hAnsi="Calibri" w:cs="Calibri"/>
          <w:color w:val="000000"/>
          <w:shd w:val="clear" w:color="auto" w:fill="FFFFFF"/>
        </w:rPr>
        <w:t>(1) was questioned.</w:t>
      </w:r>
      <w:r w:rsidR="0A4DF10A">
        <w:rPr>
          <w:rStyle w:val="normaltextrun"/>
          <w:rFonts w:ascii="Calibri" w:hAnsi="Calibri" w:cs="Calibri"/>
          <w:color w:val="000000"/>
          <w:shd w:val="clear" w:color="auto" w:fill="FFFFFF"/>
        </w:rPr>
        <w:t xml:space="preserve">  </w:t>
      </w:r>
      <w:r w:rsidR="5F5B8795">
        <w:rPr>
          <w:rStyle w:val="normaltextrun"/>
          <w:rFonts w:ascii="Calibri" w:hAnsi="Calibri" w:cs="Calibri"/>
          <w:color w:val="000000"/>
          <w:shd w:val="clear" w:color="auto" w:fill="FFFFFF"/>
        </w:rPr>
        <w:t>Given that the former</w:t>
      </w:r>
      <w:r w:rsidR="1D370EC6">
        <w:rPr>
          <w:rStyle w:val="normaltextrun"/>
          <w:rFonts w:ascii="Calibri" w:hAnsi="Calibri" w:cs="Calibri"/>
          <w:color w:val="000000"/>
          <w:shd w:val="clear" w:color="auto" w:fill="FFFFFF"/>
        </w:rPr>
        <w:t xml:space="preserve"> is concerned with </w:t>
      </w:r>
      <w:proofErr w:type="gramStart"/>
      <w:r w:rsidR="1D370EC6">
        <w:rPr>
          <w:rStyle w:val="normaltextrun"/>
          <w:rFonts w:ascii="Calibri" w:hAnsi="Calibri" w:cs="Calibri"/>
          <w:color w:val="000000"/>
          <w:shd w:val="clear" w:color="auto" w:fill="FFFFFF"/>
        </w:rPr>
        <w:t>decision-making</w:t>
      </w:r>
      <w:proofErr w:type="gramEnd"/>
      <w:r w:rsidR="1D370EC6">
        <w:rPr>
          <w:rStyle w:val="normaltextrun"/>
          <w:rFonts w:ascii="Calibri" w:hAnsi="Calibri" w:cs="Calibri"/>
          <w:color w:val="000000"/>
          <w:shd w:val="clear" w:color="auto" w:fill="FFFFFF"/>
        </w:rPr>
        <w:t xml:space="preserve"> and the latter is concerned with implementing those decisions, </w:t>
      </w:r>
      <w:r w:rsidR="23533CEC">
        <w:rPr>
          <w:rStyle w:val="normaltextrun"/>
          <w:rFonts w:ascii="Calibri" w:hAnsi="Calibri" w:cs="Calibri"/>
          <w:color w:val="000000"/>
          <w:shd w:val="clear" w:color="auto" w:fill="FFFFFF"/>
        </w:rPr>
        <w:t>it was concluded that retaining both is appropriate.</w:t>
      </w:r>
    </w:p>
    <w:p w14:paraId="7B92DC45" w14:textId="6ACE06EC" w:rsidR="00EA42C7" w:rsidRPr="00AD2947" w:rsidRDefault="1C3E7434" w:rsidP="00A247C5">
      <w:pPr>
        <w:pStyle w:val="Normal2"/>
        <w:rPr>
          <w:rStyle w:val="normaltextrun"/>
        </w:rPr>
      </w:pPr>
      <w:r w:rsidRPr="00AD2947">
        <w:rPr>
          <w:rStyle w:val="normaltextrun"/>
          <w:rFonts w:ascii="Calibri" w:hAnsi="Calibri" w:cs="Calibri"/>
          <w:shd w:val="clear" w:color="auto" w:fill="FFFFFF"/>
        </w:rPr>
        <w:t>A question was raised concerning</w:t>
      </w:r>
      <w:r w:rsidR="7DBCA11D" w:rsidRPr="00AD2947">
        <w:rPr>
          <w:rStyle w:val="normaltextrun"/>
          <w:rFonts w:ascii="Calibri" w:hAnsi="Calibri" w:cs="Calibri"/>
          <w:shd w:val="clear" w:color="auto" w:fill="FFFFFF"/>
        </w:rPr>
        <w:t xml:space="preserve"> the inclusion of ‘non-local’ knowledge</w:t>
      </w:r>
      <w:r w:rsidR="42C09F46" w:rsidRPr="00AD2947">
        <w:rPr>
          <w:rStyle w:val="normaltextrun"/>
          <w:rFonts w:ascii="Calibri" w:hAnsi="Calibri" w:cs="Calibri"/>
          <w:shd w:val="clear" w:color="auto" w:fill="FFFFFF"/>
        </w:rPr>
        <w:t xml:space="preserve"> in IM</w:t>
      </w:r>
      <w:r w:rsidR="00AD2947">
        <w:t>–</w:t>
      </w:r>
      <w:r w:rsidR="42C09F46" w:rsidRPr="00AD2947">
        <w:rPr>
          <w:rStyle w:val="normaltextrun"/>
          <w:rFonts w:ascii="Calibri" w:hAnsi="Calibri" w:cs="Calibri"/>
          <w:shd w:val="clear" w:color="auto" w:fill="FFFFFF"/>
        </w:rPr>
        <w:t>P</w:t>
      </w:r>
      <w:r w:rsidR="69E750E9" w:rsidRPr="00AD2947">
        <w:rPr>
          <w:rStyle w:val="normaltextrun"/>
          <w:rFonts w:ascii="Calibri" w:hAnsi="Calibri" w:cs="Calibri"/>
          <w:shd w:val="clear" w:color="auto" w:fill="FFFFFF"/>
        </w:rPr>
        <w:t>6</w:t>
      </w:r>
      <w:r w:rsidR="3957C882" w:rsidRPr="00AD2947">
        <w:rPr>
          <w:rStyle w:val="normaltextrun"/>
          <w:rFonts w:ascii="Calibri" w:hAnsi="Calibri" w:cs="Calibri"/>
          <w:shd w:val="clear" w:color="auto" w:fill="FFFFFF"/>
        </w:rPr>
        <w:t>.</w:t>
      </w:r>
      <w:r w:rsidR="50603CEA" w:rsidRPr="00AD2947">
        <w:rPr>
          <w:rStyle w:val="normaltextrun"/>
          <w:rFonts w:ascii="Calibri" w:hAnsi="Calibri" w:cs="Calibri"/>
          <w:shd w:val="clear" w:color="auto" w:fill="FFFFFF"/>
        </w:rPr>
        <w:t xml:space="preserve">  The phrasing of this policy is not exclusive but rather is inclusive</w:t>
      </w:r>
      <w:r w:rsidR="0CEF515A" w:rsidRPr="00AD2947">
        <w:rPr>
          <w:rStyle w:val="normaltextrun"/>
          <w:rFonts w:ascii="Calibri" w:hAnsi="Calibri" w:cs="Calibri"/>
          <w:shd w:val="clear" w:color="auto" w:fill="FFFFFF"/>
        </w:rPr>
        <w:t xml:space="preserve"> of the types of knowledge identified.</w:t>
      </w:r>
      <w:r w:rsidR="398FE29D" w:rsidRPr="00AD2947">
        <w:rPr>
          <w:rStyle w:val="normaltextrun"/>
          <w:rFonts w:ascii="Calibri" w:hAnsi="Calibri" w:cs="Calibri"/>
          <w:shd w:val="clear" w:color="auto" w:fill="FFFFFF"/>
        </w:rPr>
        <w:t xml:space="preserve">  Given this, there is no limit placed on </w:t>
      </w:r>
      <w:r w:rsidR="0973D41A" w:rsidRPr="00AD2947">
        <w:rPr>
          <w:rStyle w:val="normaltextrun"/>
          <w:rFonts w:ascii="Calibri" w:hAnsi="Calibri" w:cs="Calibri"/>
          <w:shd w:val="clear" w:color="auto" w:fill="FFFFFF"/>
        </w:rPr>
        <w:t>where</w:t>
      </w:r>
      <w:r w:rsidR="289FC7E1" w:rsidRPr="00AD2947">
        <w:rPr>
          <w:rStyle w:val="normaltextrun"/>
          <w:rFonts w:ascii="Calibri" w:hAnsi="Calibri" w:cs="Calibri"/>
          <w:shd w:val="clear" w:color="auto" w:fill="FFFFFF"/>
        </w:rPr>
        <w:t xml:space="preserve"> knowledge to inform decision making might be sourced</w:t>
      </w:r>
      <w:r w:rsidR="7E31AB60" w:rsidRPr="00AD2947">
        <w:rPr>
          <w:rStyle w:val="normaltextrun"/>
          <w:rFonts w:ascii="Calibri" w:hAnsi="Calibri" w:cs="Calibri"/>
          <w:shd w:val="clear" w:color="auto" w:fill="FFFFFF"/>
        </w:rPr>
        <w:t>.</w:t>
      </w:r>
      <w:r w:rsidR="0C310DC0" w:rsidRPr="00AD2947">
        <w:rPr>
          <w:rStyle w:val="normaltextrun"/>
          <w:rFonts w:ascii="Calibri" w:hAnsi="Calibri" w:cs="Calibri"/>
          <w:shd w:val="clear" w:color="auto" w:fill="FFFFFF"/>
        </w:rPr>
        <w:t xml:space="preserve">  Following further </w:t>
      </w:r>
      <w:r w:rsidR="7EE65108" w:rsidRPr="00AD2947">
        <w:rPr>
          <w:rStyle w:val="normaltextrun"/>
          <w:rFonts w:ascii="Calibri" w:hAnsi="Calibri" w:cs="Calibri"/>
          <w:shd w:val="clear" w:color="auto" w:fill="FFFFFF"/>
        </w:rPr>
        <w:t>consideration,</w:t>
      </w:r>
      <w:r w:rsidR="34F76997" w:rsidRPr="00AD2947">
        <w:rPr>
          <w:rStyle w:val="normaltextrun"/>
          <w:rFonts w:ascii="Calibri" w:hAnsi="Calibri" w:cs="Calibri"/>
          <w:shd w:val="clear" w:color="auto" w:fill="FFFFFF"/>
        </w:rPr>
        <w:t xml:space="preserve"> </w:t>
      </w:r>
      <w:r w:rsidR="7DC67D39" w:rsidRPr="00AD2947">
        <w:rPr>
          <w:rStyle w:val="normaltextrun"/>
          <w:rFonts w:ascii="Calibri" w:hAnsi="Calibri" w:cs="Calibri"/>
          <w:shd w:val="clear" w:color="auto" w:fill="FFFFFF"/>
        </w:rPr>
        <w:t xml:space="preserve">it has been decided to retain the </w:t>
      </w:r>
      <w:r w:rsidR="315C92AC" w:rsidRPr="00AD2947">
        <w:rPr>
          <w:rStyle w:val="normaltextrun"/>
          <w:rFonts w:ascii="Calibri" w:hAnsi="Calibri" w:cs="Calibri"/>
          <w:shd w:val="clear" w:color="auto" w:fill="FFFFFF"/>
        </w:rPr>
        <w:t>wording without amendment</w:t>
      </w:r>
      <w:r w:rsidR="31A2FFE4" w:rsidRPr="00AD2947">
        <w:rPr>
          <w:rStyle w:val="normaltextrun"/>
          <w:rFonts w:ascii="Calibri" w:hAnsi="Calibri" w:cs="Calibri"/>
          <w:shd w:val="clear" w:color="auto" w:fill="FFFFFF"/>
        </w:rPr>
        <w:t>.</w:t>
      </w:r>
    </w:p>
    <w:p w14:paraId="35FD9FF8" w14:textId="4A36B347" w:rsidR="00F21BBA" w:rsidRPr="00AD2947" w:rsidRDefault="23FB3931" w:rsidP="00A247C5">
      <w:pPr>
        <w:pStyle w:val="Normal2"/>
        <w:rPr>
          <w:rStyle w:val="normaltextrun"/>
        </w:rPr>
      </w:pPr>
      <w:r w:rsidRPr="00AD2947">
        <w:rPr>
          <w:rStyle w:val="normaltextrun"/>
          <w:rFonts w:ascii="Calibri" w:hAnsi="Calibri" w:cs="Calibri"/>
          <w:shd w:val="clear" w:color="auto" w:fill="FFFFFF"/>
        </w:rPr>
        <w:t>At the hui</w:t>
      </w:r>
      <w:r w:rsidR="37648299" w:rsidRPr="00AD2947">
        <w:rPr>
          <w:rStyle w:val="normaltextrun"/>
          <w:rFonts w:ascii="Calibri" w:hAnsi="Calibri" w:cs="Calibri"/>
          <w:shd w:val="clear" w:color="auto" w:fill="FFFFFF"/>
        </w:rPr>
        <w:t xml:space="preserve"> </w:t>
      </w:r>
      <w:r w:rsidR="7EE65108" w:rsidRPr="00AD2947">
        <w:rPr>
          <w:rStyle w:val="normaltextrun"/>
          <w:rFonts w:ascii="Calibri" w:hAnsi="Calibri" w:cs="Calibri"/>
          <w:shd w:val="clear" w:color="auto" w:fill="FFFFFF"/>
        </w:rPr>
        <w:t>concern was raised</w:t>
      </w:r>
      <w:r w:rsidR="7B525469" w:rsidRPr="00AD2947">
        <w:rPr>
          <w:rStyle w:val="normaltextrun"/>
          <w:rFonts w:ascii="Calibri" w:hAnsi="Calibri" w:cs="Calibri"/>
          <w:shd w:val="clear" w:color="auto" w:fill="FFFFFF"/>
        </w:rPr>
        <w:t xml:space="preserve"> about </w:t>
      </w:r>
      <w:r w:rsidR="16790D10" w:rsidRPr="00AD2947">
        <w:rPr>
          <w:rStyle w:val="normaltextrun"/>
          <w:rFonts w:ascii="Calibri" w:hAnsi="Calibri" w:cs="Calibri"/>
          <w:shd w:val="clear" w:color="auto" w:fill="FFFFFF"/>
        </w:rPr>
        <w:t xml:space="preserve">the openness of </w:t>
      </w:r>
      <w:r w:rsidR="7B525469" w:rsidRPr="00AD2947">
        <w:rPr>
          <w:rStyle w:val="normaltextrun"/>
          <w:rFonts w:ascii="Calibri" w:hAnsi="Calibri" w:cs="Calibri"/>
          <w:shd w:val="clear" w:color="auto" w:fill="FFFFFF"/>
        </w:rPr>
        <w:t>IM</w:t>
      </w:r>
      <w:r w:rsidR="00AD2947">
        <w:t>–</w:t>
      </w:r>
      <w:r w:rsidR="7B525469" w:rsidRPr="00AD2947">
        <w:rPr>
          <w:rStyle w:val="normaltextrun"/>
          <w:rFonts w:ascii="Calibri" w:hAnsi="Calibri" w:cs="Calibri"/>
          <w:shd w:val="clear" w:color="auto" w:fill="FFFFFF"/>
        </w:rPr>
        <w:t>P12</w:t>
      </w:r>
      <w:r w:rsidR="29C1B97A" w:rsidRPr="00AD2947">
        <w:rPr>
          <w:rStyle w:val="normaltextrun"/>
          <w:rFonts w:ascii="Calibri" w:hAnsi="Calibri" w:cs="Calibri"/>
          <w:shd w:val="clear" w:color="auto" w:fill="FFFFFF"/>
        </w:rPr>
        <w:t xml:space="preserve"> to an interpretation that</w:t>
      </w:r>
      <w:r w:rsidR="3E88F226" w:rsidRPr="00AD2947">
        <w:rPr>
          <w:rStyle w:val="normaltextrun"/>
          <w:rFonts w:ascii="Calibri" w:hAnsi="Calibri" w:cs="Calibri"/>
          <w:shd w:val="clear" w:color="auto" w:fill="FFFFFF"/>
        </w:rPr>
        <w:t xml:space="preserve"> </w:t>
      </w:r>
      <w:r w:rsidR="592B1EAC" w:rsidRPr="00AD2947">
        <w:rPr>
          <w:rStyle w:val="normaltextrun"/>
          <w:rFonts w:ascii="Calibri" w:hAnsi="Calibri" w:cs="Calibri"/>
          <w:shd w:val="clear" w:color="auto" w:fill="FFFFFF"/>
        </w:rPr>
        <w:t>off-setting</w:t>
      </w:r>
      <w:r w:rsidR="140D6206" w:rsidRPr="00AD2947">
        <w:rPr>
          <w:rStyle w:val="normaltextrun"/>
          <w:rFonts w:ascii="Calibri" w:hAnsi="Calibri" w:cs="Calibri"/>
          <w:shd w:val="clear" w:color="auto" w:fill="FFFFFF"/>
        </w:rPr>
        <w:t xml:space="preserve"> need not be local when</w:t>
      </w:r>
      <w:r w:rsidR="5AEFE334" w:rsidRPr="00AD2947">
        <w:rPr>
          <w:rStyle w:val="normaltextrun"/>
          <w:rFonts w:ascii="Calibri" w:hAnsi="Calibri" w:cs="Calibri"/>
          <w:shd w:val="clear" w:color="auto" w:fill="FFFFFF"/>
        </w:rPr>
        <w:t xml:space="preserve"> proposals that have national </w:t>
      </w:r>
      <w:r w:rsidR="24876E76" w:rsidRPr="00AD2947">
        <w:rPr>
          <w:rStyle w:val="normaltextrun"/>
          <w:rFonts w:ascii="Calibri" w:hAnsi="Calibri" w:cs="Calibri"/>
          <w:shd w:val="clear" w:color="auto" w:fill="FFFFFF"/>
        </w:rPr>
        <w:t>benefits,</w:t>
      </w:r>
      <w:r w:rsidR="5AEFE334" w:rsidRPr="00AD2947">
        <w:rPr>
          <w:rStyle w:val="normaltextrun"/>
          <w:rFonts w:ascii="Calibri" w:hAnsi="Calibri" w:cs="Calibri"/>
          <w:shd w:val="clear" w:color="auto" w:fill="FFFFFF"/>
        </w:rPr>
        <w:t xml:space="preserve"> but local costs</w:t>
      </w:r>
      <w:r w:rsidR="24876E76" w:rsidRPr="00AD2947">
        <w:rPr>
          <w:rStyle w:val="normaltextrun"/>
          <w:rFonts w:ascii="Calibri" w:hAnsi="Calibri" w:cs="Calibri"/>
          <w:shd w:val="clear" w:color="auto" w:fill="FFFFFF"/>
        </w:rPr>
        <w:t>,</w:t>
      </w:r>
      <w:r w:rsidR="5AEFE334" w:rsidRPr="00AD2947">
        <w:rPr>
          <w:rStyle w:val="normaltextrun"/>
          <w:rFonts w:ascii="Calibri" w:hAnsi="Calibri" w:cs="Calibri"/>
          <w:shd w:val="clear" w:color="auto" w:fill="FFFFFF"/>
        </w:rPr>
        <w:t xml:space="preserve"> are being evaluated.</w:t>
      </w:r>
      <w:r w:rsidR="64B2D61B" w:rsidRPr="00AD2947">
        <w:rPr>
          <w:rStyle w:val="normaltextrun"/>
          <w:rFonts w:ascii="Calibri" w:hAnsi="Calibri" w:cs="Calibri"/>
          <w:shd w:val="clear" w:color="auto" w:fill="FFFFFF"/>
        </w:rPr>
        <w:t xml:space="preserve">  Clause (3) </w:t>
      </w:r>
      <w:r w:rsidR="33D2DBAD" w:rsidRPr="00AD2947">
        <w:rPr>
          <w:rStyle w:val="normaltextrun"/>
          <w:rFonts w:ascii="Calibri" w:hAnsi="Calibri" w:cs="Calibri"/>
          <w:shd w:val="clear" w:color="auto" w:fill="FFFFFF"/>
        </w:rPr>
        <w:t xml:space="preserve">has been amended </w:t>
      </w:r>
      <w:r w:rsidR="11F8B9D3" w:rsidRPr="00AD2947">
        <w:rPr>
          <w:rStyle w:val="normaltextrun"/>
          <w:rFonts w:ascii="Calibri" w:hAnsi="Calibri" w:cs="Calibri"/>
          <w:shd w:val="clear" w:color="auto" w:fill="FFFFFF"/>
        </w:rPr>
        <w:t>to</w:t>
      </w:r>
      <w:r w:rsidR="009626D9" w:rsidRPr="00AD2947">
        <w:rPr>
          <w:rStyle w:val="normaltextrun"/>
          <w:rFonts w:ascii="Calibri" w:hAnsi="Calibri" w:cs="Calibri"/>
          <w:shd w:val="clear" w:color="auto" w:fill="FFFFFF"/>
        </w:rPr>
        <w:t xml:space="preserve"> make clear</w:t>
      </w:r>
      <w:r w:rsidR="3A999492" w:rsidRPr="00AD2947">
        <w:rPr>
          <w:rStyle w:val="normaltextrun"/>
          <w:rFonts w:ascii="Calibri" w:hAnsi="Calibri" w:cs="Calibri"/>
          <w:shd w:val="clear" w:color="auto" w:fill="FFFFFF"/>
        </w:rPr>
        <w:t xml:space="preserve"> the outcome sought</w:t>
      </w:r>
      <w:r w:rsidR="436EEA52" w:rsidRPr="00AD2947">
        <w:rPr>
          <w:rStyle w:val="normaltextrun"/>
          <w:rFonts w:ascii="Calibri" w:hAnsi="Calibri" w:cs="Calibri"/>
          <w:shd w:val="clear" w:color="auto" w:fill="FFFFFF"/>
        </w:rPr>
        <w:t xml:space="preserve">, as </w:t>
      </w:r>
      <w:proofErr w:type="gramStart"/>
      <w:r w:rsidR="436EEA52" w:rsidRPr="00AD2947">
        <w:rPr>
          <w:rStyle w:val="normaltextrun"/>
          <w:rFonts w:ascii="Calibri" w:hAnsi="Calibri" w:cs="Calibri"/>
          <w:shd w:val="clear" w:color="auto" w:fill="FFFFFF"/>
        </w:rPr>
        <w:t>a first priority</w:t>
      </w:r>
      <w:proofErr w:type="gramEnd"/>
      <w:r w:rsidR="436EEA52" w:rsidRPr="00AD2947">
        <w:rPr>
          <w:rStyle w:val="normaltextrun"/>
          <w:rFonts w:ascii="Calibri" w:hAnsi="Calibri" w:cs="Calibri"/>
          <w:shd w:val="clear" w:color="auto" w:fill="FFFFFF"/>
        </w:rPr>
        <w:t>, is local offsetting</w:t>
      </w:r>
      <w:r w:rsidR="6883F40B" w:rsidRPr="00AD2947">
        <w:rPr>
          <w:rStyle w:val="normaltextrun"/>
          <w:rFonts w:ascii="Calibri" w:hAnsi="Calibri" w:cs="Calibri"/>
          <w:shd w:val="clear" w:color="auto" w:fill="FFFFFF"/>
        </w:rPr>
        <w:t>.</w:t>
      </w:r>
    </w:p>
    <w:p w14:paraId="5B220729" w14:textId="2C1D0E80" w:rsidR="00F93B33" w:rsidRPr="00BE4A65" w:rsidRDefault="00F93B33" w:rsidP="00A247C5">
      <w:pPr>
        <w:pStyle w:val="Normal2"/>
      </w:pPr>
      <w:r w:rsidRPr="00AD2947">
        <w:rPr>
          <w:rStyle w:val="normaltextrun"/>
          <w:rFonts w:ascii="Calibri" w:hAnsi="Calibri" w:cs="Calibri"/>
          <w:shd w:val="clear" w:color="auto" w:fill="FFFFFF"/>
        </w:rPr>
        <w:t xml:space="preserve">Finally, and </w:t>
      </w:r>
      <w:proofErr w:type="gramStart"/>
      <w:r w:rsidRPr="00AD2947">
        <w:rPr>
          <w:rStyle w:val="normaltextrun"/>
          <w:rFonts w:ascii="Calibri" w:hAnsi="Calibri" w:cs="Calibri"/>
          <w:shd w:val="clear" w:color="auto" w:fill="FFFFFF"/>
        </w:rPr>
        <w:t>with regard to</w:t>
      </w:r>
      <w:proofErr w:type="gramEnd"/>
      <w:r w:rsidRPr="00AD2947">
        <w:rPr>
          <w:rStyle w:val="normaltextrun"/>
          <w:rFonts w:ascii="Calibri" w:hAnsi="Calibri" w:cs="Calibri"/>
          <w:shd w:val="clear" w:color="auto" w:fill="FFFFFF"/>
        </w:rPr>
        <w:t xml:space="preserve"> IM</w:t>
      </w:r>
      <w:r w:rsidR="00CC041A">
        <w:t>–</w:t>
      </w:r>
      <w:r w:rsidRPr="00AD2947">
        <w:rPr>
          <w:rStyle w:val="normaltextrun"/>
          <w:rFonts w:ascii="Calibri" w:hAnsi="Calibri" w:cs="Calibri"/>
          <w:shd w:val="clear" w:color="auto" w:fill="FFFFFF"/>
        </w:rPr>
        <w:t>M</w:t>
      </w:r>
      <w:r w:rsidR="007A4326">
        <w:rPr>
          <w:rStyle w:val="normaltextrun"/>
          <w:rFonts w:ascii="Calibri" w:hAnsi="Calibri" w:cs="Calibri"/>
          <w:shd w:val="clear" w:color="auto" w:fill="FFFFFF"/>
        </w:rPr>
        <w:t>4</w:t>
      </w:r>
      <w:r w:rsidR="00274229" w:rsidRPr="00AD2947">
        <w:rPr>
          <w:rStyle w:val="normaltextrun"/>
          <w:rFonts w:ascii="Calibri" w:hAnsi="Calibri" w:cs="Calibri"/>
          <w:shd w:val="clear" w:color="auto" w:fill="FFFFFF"/>
        </w:rPr>
        <w:t xml:space="preserve">, which concerns the identification of climate change impacts and community guidance, </w:t>
      </w:r>
      <w:r w:rsidR="009612B2" w:rsidRPr="00AD2947">
        <w:t xml:space="preserve">Kāi </w:t>
      </w:r>
      <w:proofErr w:type="spellStart"/>
      <w:r w:rsidR="009612B2" w:rsidRPr="00AD2947">
        <w:t>Tahu</w:t>
      </w:r>
      <w:proofErr w:type="spellEnd"/>
      <w:r w:rsidR="009612B2" w:rsidRPr="00AD2947">
        <w:t xml:space="preserve"> sought</w:t>
      </w:r>
      <w:r w:rsidR="007175AB" w:rsidRPr="00AD2947">
        <w:t xml:space="preserve"> </w:t>
      </w:r>
      <w:r w:rsidR="00AE1A14" w:rsidRPr="00AD2947">
        <w:t xml:space="preserve">specific </w:t>
      </w:r>
      <w:r w:rsidR="00413AD4" w:rsidRPr="00AD2947">
        <w:t>recognition</w:t>
      </w:r>
      <w:r w:rsidR="00462CC2" w:rsidRPr="00AD2947">
        <w:t xml:space="preserve"> that risk assessment through a te</w:t>
      </w:r>
      <w:r w:rsidR="007A4326">
        <w:t xml:space="preserve"> </w:t>
      </w:r>
      <w:proofErr w:type="spellStart"/>
      <w:r w:rsidR="00462CC2" w:rsidRPr="00AD2947">
        <w:t>ao</w:t>
      </w:r>
      <w:proofErr w:type="spellEnd"/>
      <w:r w:rsidR="00462CC2" w:rsidRPr="00AD2947">
        <w:t xml:space="preserve"> </w:t>
      </w:r>
      <w:r w:rsidR="00872C83" w:rsidRPr="00AD2947">
        <w:t>M</w:t>
      </w:r>
      <w:r w:rsidR="00CE56E5" w:rsidRPr="00AD2947">
        <w:t>ā</w:t>
      </w:r>
      <w:r w:rsidR="00872C83" w:rsidRPr="00AD2947">
        <w:t>ori lens may require a different methodology.</w:t>
      </w:r>
      <w:r w:rsidR="00BD3B22" w:rsidRPr="00AD2947">
        <w:t xml:space="preserve">  </w:t>
      </w:r>
      <w:r w:rsidR="00CA44BA" w:rsidRPr="00AD2947">
        <w:t xml:space="preserve">Broadening of the approach in this manner is </w:t>
      </w:r>
      <w:r w:rsidR="00F13EB0" w:rsidRPr="00AD2947">
        <w:t xml:space="preserve">appropriate and </w:t>
      </w:r>
      <w:r w:rsidR="00590E8A" w:rsidRPr="00AD2947">
        <w:t>t</w:t>
      </w:r>
      <w:r w:rsidR="00BD3B22" w:rsidRPr="00AD2947">
        <w:t>he method has been amended to reflect this</w:t>
      </w:r>
      <w:r w:rsidR="00A9123A">
        <w:t>.</w:t>
      </w:r>
      <w:r w:rsidR="00AE1A14">
        <w:t xml:space="preserve"> </w:t>
      </w:r>
    </w:p>
    <w:p w14:paraId="3A778A12" w14:textId="5D5D2936" w:rsidR="008E7322" w:rsidRDefault="008E7322" w:rsidP="0082271A">
      <w:pPr>
        <w:pStyle w:val="Heading3"/>
      </w:pPr>
      <w:r>
        <w:t>Efficiency and effectiveness evaluation</w:t>
      </w:r>
    </w:p>
    <w:p w14:paraId="16F8B19A" w14:textId="78CA4E23" w:rsidR="008E7322" w:rsidRDefault="00CB73AD" w:rsidP="00A247C5">
      <w:pPr>
        <w:pStyle w:val="Normal2"/>
      </w:pPr>
      <w:r>
        <w:fldChar w:fldCharType="begin"/>
      </w:r>
      <w:r>
        <w:instrText xml:space="preserve"> REF _Ref72498090 \h </w:instrText>
      </w:r>
      <w:r>
        <w:fldChar w:fldCharType="separate"/>
      </w:r>
      <w:r w:rsidR="002A7A16">
        <w:t xml:space="preserve">Table </w:t>
      </w:r>
      <w:r w:rsidR="002A7A16">
        <w:rPr>
          <w:noProof/>
        </w:rPr>
        <w:t>26</w:t>
      </w:r>
      <w:r>
        <w:fldChar w:fldCharType="end"/>
      </w:r>
      <w:r>
        <w:t xml:space="preserve"> </w:t>
      </w:r>
      <w:r w:rsidR="008E7322">
        <w:t xml:space="preserve">below identifies and assesses the benefits and costs of the environmental, cultural, </w:t>
      </w:r>
      <w:proofErr w:type="gramStart"/>
      <w:r w:rsidR="008E7322">
        <w:t>social</w:t>
      </w:r>
      <w:proofErr w:type="gramEnd"/>
      <w:r w:rsidR="008E7322">
        <w:t xml:space="preserve"> and economic effects that are anticipated from the implementation of the provisions proposed under Option </w:t>
      </w:r>
      <w:r w:rsidR="0002540E">
        <w:t>3</w:t>
      </w:r>
      <w:r w:rsidR="008E7322">
        <w:t xml:space="preserve"> above.</w:t>
      </w:r>
    </w:p>
    <w:p w14:paraId="23850F65" w14:textId="75E610DC" w:rsidR="0002540E" w:rsidRDefault="008E7322" w:rsidP="0002540E">
      <w:pPr>
        <w:pStyle w:val="Caption"/>
        <w:keepNext/>
      </w:pPr>
      <w:bookmarkStart w:id="66" w:name="_Ref72498090"/>
      <w:r>
        <w:t xml:space="preserve">Table </w:t>
      </w:r>
      <w:r>
        <w:fldChar w:fldCharType="begin"/>
      </w:r>
      <w:r>
        <w:instrText>SEQ Table \* ARABIC</w:instrText>
      </w:r>
      <w:r>
        <w:fldChar w:fldCharType="separate"/>
      </w:r>
      <w:r w:rsidR="002A7A16">
        <w:rPr>
          <w:noProof/>
        </w:rPr>
        <w:t>26</w:t>
      </w:r>
      <w:r>
        <w:fldChar w:fldCharType="end"/>
      </w:r>
      <w:bookmarkEnd w:id="66"/>
      <w:r w:rsidR="0002540E">
        <w:t>:</w:t>
      </w:r>
      <w:r w:rsidR="0002540E" w:rsidRPr="00005F72">
        <w:t xml:space="preserve"> </w:t>
      </w:r>
      <w:r w:rsidR="0002540E">
        <w:t>Benefits and costs for IM – Integrated management</w:t>
      </w:r>
    </w:p>
    <w:tbl>
      <w:tblPr>
        <w:tblStyle w:val="ListTable1Light-Accent1"/>
        <w:tblW w:w="0" w:type="auto"/>
        <w:tblLook w:val="04A0" w:firstRow="1" w:lastRow="0" w:firstColumn="1" w:lastColumn="0" w:noHBand="0" w:noVBand="1"/>
      </w:tblPr>
      <w:tblGrid>
        <w:gridCol w:w="4508"/>
        <w:gridCol w:w="4508"/>
      </w:tblGrid>
      <w:tr w:rsidR="0002540E" w:rsidRPr="00AE42AF" w14:paraId="58B632F4" w14:textId="77777777" w:rsidTr="29589E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AC56A8" w14:textId="77777777" w:rsidR="0002540E" w:rsidRPr="00AE42AF" w:rsidRDefault="0002540E" w:rsidP="005F4836">
            <w:pPr>
              <w:jc w:val="center"/>
              <w:rPr>
                <w:sz w:val="20"/>
              </w:rPr>
            </w:pPr>
            <w:r w:rsidRPr="00AE42AF">
              <w:rPr>
                <w:sz w:val="20"/>
              </w:rPr>
              <w:t>BENEFITS</w:t>
            </w:r>
          </w:p>
        </w:tc>
        <w:tc>
          <w:tcPr>
            <w:tcW w:w="4508" w:type="dxa"/>
          </w:tcPr>
          <w:p w14:paraId="68853103" w14:textId="77777777" w:rsidR="0002540E" w:rsidRPr="00AE42AF" w:rsidRDefault="0002540E" w:rsidP="005F4836">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02540E" w:rsidRPr="00AE42AF" w14:paraId="4C63C639" w14:textId="77777777" w:rsidTr="29589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0CDA5F0" w14:textId="77777777" w:rsidR="0002540E" w:rsidRPr="00AE42AF" w:rsidRDefault="0002540E" w:rsidP="005F4836">
            <w:pPr>
              <w:jc w:val="center"/>
              <w:rPr>
                <w:sz w:val="20"/>
              </w:rPr>
            </w:pPr>
            <w:r w:rsidRPr="00AE42AF">
              <w:rPr>
                <w:sz w:val="20"/>
              </w:rPr>
              <w:t>Environmental</w:t>
            </w:r>
          </w:p>
        </w:tc>
      </w:tr>
      <w:tr w:rsidR="0002540E" w:rsidRPr="000136C1" w14:paraId="74ED230F" w14:textId="77777777" w:rsidTr="29589E8D">
        <w:tc>
          <w:tcPr>
            <w:cnfStyle w:val="001000000000" w:firstRow="0" w:lastRow="0" w:firstColumn="1" w:lastColumn="0" w:oddVBand="0" w:evenVBand="0" w:oddHBand="0" w:evenHBand="0" w:firstRowFirstColumn="0" w:firstRowLastColumn="0" w:lastRowFirstColumn="0" w:lastRowLastColumn="0"/>
            <w:tcW w:w="4508" w:type="dxa"/>
          </w:tcPr>
          <w:p w14:paraId="2AB850F9" w14:textId="4BEAC3C3" w:rsidR="0002540E" w:rsidRPr="00A24BF2"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Option 3 is expected to result in a more integrated approach to resource management across Otago, which will have a range of environmental benefits as interconnections </w:t>
            </w:r>
            <w:r w:rsidR="3721C7E5" w:rsidRPr="29589E8D">
              <w:rPr>
                <w:b w:val="0"/>
                <w:bCs w:val="0"/>
                <w:sz w:val="20"/>
                <w:szCs w:val="20"/>
              </w:rPr>
              <w:t xml:space="preserve">and interdependencies </w:t>
            </w:r>
            <w:r w:rsidRPr="634A1E48">
              <w:rPr>
                <w:b w:val="0"/>
                <w:sz w:val="20"/>
                <w:szCs w:val="20"/>
              </w:rPr>
              <w:t>are better recognised.</w:t>
            </w:r>
          </w:p>
          <w:p w14:paraId="7C07393E" w14:textId="3F2197F5" w:rsidR="0002540E" w:rsidRPr="007464C6"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IM</w:t>
            </w:r>
            <w:r>
              <w:rPr>
                <w:b w:val="0"/>
                <w:bCs w:val="0"/>
              </w:rPr>
              <w:t>–</w:t>
            </w:r>
            <w:r w:rsidRPr="29589E8D">
              <w:rPr>
                <w:b w:val="0"/>
                <w:bCs w:val="0"/>
                <w:sz w:val="20"/>
                <w:szCs w:val="20"/>
              </w:rPr>
              <w:t>P</w:t>
            </w:r>
            <w:r w:rsidR="7A1F5322" w:rsidRPr="29589E8D">
              <w:rPr>
                <w:b w:val="0"/>
                <w:bCs w:val="0"/>
                <w:sz w:val="20"/>
                <w:szCs w:val="20"/>
              </w:rPr>
              <w:t>2</w:t>
            </w:r>
            <w:r w:rsidRPr="634A1E48">
              <w:rPr>
                <w:b w:val="0"/>
                <w:sz w:val="20"/>
                <w:szCs w:val="20"/>
              </w:rPr>
              <w:t xml:space="preserve"> prioritises the </w:t>
            </w:r>
            <w:r w:rsidR="0AE8987E" w:rsidRPr="29589E8D">
              <w:rPr>
                <w:b w:val="0"/>
                <w:bCs w:val="0"/>
                <w:sz w:val="20"/>
                <w:szCs w:val="20"/>
              </w:rPr>
              <w:t>life supporting capacity</w:t>
            </w:r>
            <w:r w:rsidRPr="634A1E48">
              <w:rPr>
                <w:b w:val="0"/>
                <w:sz w:val="20"/>
                <w:szCs w:val="20"/>
              </w:rPr>
              <w:t xml:space="preserve"> of the environment above human needs in decision-making. This will support the health of the environment by ensuring it is provided for first, before human uses.</w:t>
            </w:r>
          </w:p>
          <w:p w14:paraId="3C2C0918" w14:textId="77777777" w:rsidR="0002540E" w:rsidRPr="00BE42BC" w:rsidRDefault="0002540E" w:rsidP="005F4836">
            <w:pPr>
              <w:pStyle w:val="ListParagraph"/>
              <w:numPr>
                <w:ilvl w:val="0"/>
                <w:numId w:val="22"/>
              </w:numPr>
              <w:spacing w:before="60" w:after="60"/>
              <w:contextualSpacing w:val="0"/>
              <w:jc w:val="both"/>
              <w:rPr>
                <w:b w:val="0"/>
                <w:sz w:val="20"/>
                <w:szCs w:val="20"/>
              </w:rPr>
            </w:pPr>
            <w:r w:rsidRPr="634A1E48">
              <w:rPr>
                <w:b w:val="0"/>
                <w:sz w:val="20"/>
                <w:szCs w:val="20"/>
              </w:rPr>
              <w:t>Clearer guidance around management of cumulative effects, interconnectedness of resources and use of imperfect information is also expected to ensure a more straightforward, transparent planning system and better environmental outcomes.</w:t>
            </w:r>
          </w:p>
          <w:p w14:paraId="0065A415" w14:textId="77777777" w:rsidR="0002540E" w:rsidRPr="008F6CB6"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Option 3 is likely to result in a more focused and proactive approach to addressing the effects of climate change, including adaptation and mitigation.</w:t>
            </w:r>
          </w:p>
          <w:p w14:paraId="56545C3F" w14:textId="77777777" w:rsidR="0002540E" w:rsidRPr="00790B77"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lastRenderedPageBreak/>
              <w:t>Option 3 should result in a reduction in human impacts on the environment.</w:t>
            </w:r>
          </w:p>
        </w:tc>
        <w:tc>
          <w:tcPr>
            <w:tcW w:w="4508" w:type="dxa"/>
          </w:tcPr>
          <w:p w14:paraId="7D63B394" w14:textId="77777777" w:rsidR="0002540E" w:rsidRPr="00A81A61"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IM</w:t>
            </w:r>
            <w:r>
              <w:t>–</w:t>
            </w:r>
            <w:r w:rsidRPr="634A1E48">
              <w:rPr>
                <w:sz w:val="20"/>
                <w:szCs w:val="20"/>
              </w:rPr>
              <w:t>P11 allows for non-compliance with an environmental baseline set out in the RPS, in specified circumstances, for activities that will provide enduring regionally or nationally significant mitigation of climate change impacts. The potential environmental effects of this are, however, expected to be balanced with the activity’s anticipated benefits for human and environmental wellbeing.</w:t>
            </w:r>
          </w:p>
        </w:tc>
      </w:tr>
      <w:tr w:rsidR="0002540E" w:rsidRPr="00AE42AF" w14:paraId="2D795FCD" w14:textId="77777777" w:rsidTr="29589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866DEAD" w14:textId="77777777" w:rsidR="0002540E" w:rsidRPr="00AE42AF" w:rsidRDefault="0002540E" w:rsidP="005F4836">
            <w:pPr>
              <w:jc w:val="center"/>
              <w:rPr>
                <w:sz w:val="20"/>
              </w:rPr>
            </w:pPr>
            <w:r>
              <w:rPr>
                <w:sz w:val="20"/>
              </w:rPr>
              <w:t>Cultural</w:t>
            </w:r>
          </w:p>
        </w:tc>
      </w:tr>
      <w:tr w:rsidR="0002540E" w:rsidRPr="000E2E23" w14:paraId="4A7C8ADE" w14:textId="77777777" w:rsidTr="29589E8D">
        <w:tc>
          <w:tcPr>
            <w:cnfStyle w:val="001000000000" w:firstRow="0" w:lastRow="0" w:firstColumn="1" w:lastColumn="0" w:oddVBand="0" w:evenVBand="0" w:oddHBand="0" w:evenHBand="0" w:firstRowFirstColumn="0" w:firstRowLastColumn="0" w:lastRowFirstColumn="0" w:lastRowLastColumn="0"/>
            <w:tcW w:w="4508" w:type="dxa"/>
          </w:tcPr>
          <w:p w14:paraId="245D03DB" w14:textId="77777777"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Managing resources in a holistic, integrated way, consistent with ki uta ki tai, will better recognise Kāi </w:t>
            </w:r>
            <w:proofErr w:type="spellStart"/>
            <w:r w:rsidRPr="634A1E48">
              <w:rPr>
                <w:b w:val="0"/>
                <w:sz w:val="20"/>
                <w:szCs w:val="20"/>
              </w:rPr>
              <w:t>Tahu</w:t>
            </w:r>
            <w:proofErr w:type="spellEnd"/>
            <w:r w:rsidRPr="634A1E48">
              <w:rPr>
                <w:b w:val="0"/>
                <w:sz w:val="20"/>
                <w:szCs w:val="20"/>
              </w:rPr>
              <w:t xml:space="preserve"> cultural values and assist with protecting </w:t>
            </w:r>
            <w:proofErr w:type="spellStart"/>
            <w:r w:rsidRPr="634A1E48">
              <w:rPr>
                <w:b w:val="0"/>
                <w:sz w:val="20"/>
                <w:szCs w:val="20"/>
              </w:rPr>
              <w:t>taoka</w:t>
            </w:r>
            <w:proofErr w:type="spellEnd"/>
            <w:r w:rsidRPr="634A1E48">
              <w:rPr>
                <w:b w:val="0"/>
                <w:sz w:val="20"/>
                <w:szCs w:val="20"/>
              </w:rPr>
              <w:t xml:space="preserve"> and providing for customary use.</w:t>
            </w:r>
          </w:p>
          <w:p w14:paraId="1F69ADDF" w14:textId="63318F83"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Provisions are expected to better recognise and provide for the relationship of Kāi </w:t>
            </w:r>
            <w:proofErr w:type="spellStart"/>
            <w:r w:rsidRPr="634A1E48">
              <w:rPr>
                <w:b w:val="0"/>
                <w:sz w:val="20"/>
                <w:szCs w:val="20"/>
              </w:rPr>
              <w:t>Tahu</w:t>
            </w:r>
            <w:proofErr w:type="spellEnd"/>
            <w:r w:rsidRPr="634A1E48">
              <w:rPr>
                <w:b w:val="0"/>
                <w:sz w:val="20"/>
                <w:szCs w:val="20"/>
              </w:rPr>
              <w:t xml:space="preserve"> with natural resources.</w:t>
            </w:r>
          </w:p>
          <w:p w14:paraId="343FF82A" w14:textId="3A333968"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Requiring partnership with Kāi </w:t>
            </w:r>
            <w:proofErr w:type="spellStart"/>
            <w:r w:rsidRPr="634A1E48">
              <w:rPr>
                <w:b w:val="0"/>
                <w:sz w:val="20"/>
                <w:szCs w:val="20"/>
              </w:rPr>
              <w:t>Tahu</w:t>
            </w:r>
            <w:proofErr w:type="spellEnd"/>
            <w:r w:rsidRPr="634A1E48">
              <w:rPr>
                <w:b w:val="0"/>
                <w:sz w:val="20"/>
                <w:szCs w:val="20"/>
              </w:rPr>
              <w:t xml:space="preserve"> to implement Option </w:t>
            </w:r>
            <w:r w:rsidR="007A4326">
              <w:rPr>
                <w:b w:val="0"/>
                <w:sz w:val="20"/>
                <w:szCs w:val="20"/>
              </w:rPr>
              <w:t>3</w:t>
            </w:r>
            <w:r w:rsidRPr="634A1E48">
              <w:rPr>
                <w:b w:val="0"/>
                <w:sz w:val="20"/>
                <w:szCs w:val="20"/>
              </w:rPr>
              <w:t xml:space="preserve"> will improve Kāi </w:t>
            </w:r>
            <w:proofErr w:type="spellStart"/>
            <w:r w:rsidRPr="634A1E48">
              <w:rPr>
                <w:b w:val="0"/>
                <w:sz w:val="20"/>
                <w:szCs w:val="20"/>
              </w:rPr>
              <w:t>Tahu’s</w:t>
            </w:r>
            <w:proofErr w:type="spellEnd"/>
            <w:r w:rsidRPr="634A1E48">
              <w:rPr>
                <w:b w:val="0"/>
                <w:sz w:val="20"/>
                <w:szCs w:val="20"/>
              </w:rPr>
              <w:t xml:space="preserve"> level of engagement </w:t>
            </w:r>
            <w:r w:rsidR="3038C822" w:rsidRPr="29589E8D">
              <w:rPr>
                <w:b w:val="0"/>
                <w:bCs w:val="0"/>
                <w:sz w:val="20"/>
                <w:szCs w:val="20"/>
              </w:rPr>
              <w:t xml:space="preserve">with </w:t>
            </w:r>
            <w:r w:rsidRPr="634A1E48">
              <w:rPr>
                <w:b w:val="0"/>
                <w:sz w:val="20"/>
                <w:szCs w:val="20"/>
              </w:rPr>
              <w:t xml:space="preserve">and involvement in decision-making, helping to achieve better outcomes for Kāi </w:t>
            </w:r>
            <w:proofErr w:type="spellStart"/>
            <w:r w:rsidRPr="634A1E48">
              <w:rPr>
                <w:b w:val="0"/>
                <w:sz w:val="20"/>
                <w:szCs w:val="20"/>
              </w:rPr>
              <w:t>Tahu</w:t>
            </w:r>
            <w:proofErr w:type="spellEnd"/>
            <w:r w:rsidRPr="634A1E48">
              <w:rPr>
                <w:b w:val="0"/>
                <w:sz w:val="20"/>
                <w:szCs w:val="20"/>
              </w:rPr>
              <w:t>.</w:t>
            </w:r>
          </w:p>
        </w:tc>
        <w:tc>
          <w:tcPr>
            <w:tcW w:w="4508" w:type="dxa"/>
          </w:tcPr>
          <w:p w14:paraId="152026EC" w14:textId="77777777" w:rsidR="0002540E" w:rsidRPr="00A81A61"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Allowing for contraventions of bottom lines may adversely affect the environment, including cultural values and </w:t>
            </w:r>
            <w:proofErr w:type="spellStart"/>
            <w:r w:rsidRPr="634A1E48">
              <w:rPr>
                <w:sz w:val="20"/>
                <w:szCs w:val="20"/>
              </w:rPr>
              <w:t>taoka</w:t>
            </w:r>
            <w:proofErr w:type="spellEnd"/>
            <w:r w:rsidRPr="634A1E48">
              <w:rPr>
                <w:sz w:val="20"/>
                <w:szCs w:val="20"/>
              </w:rPr>
              <w:t xml:space="preserve">. This is mitigated somewhat by not allowing contravention of bottom lines set in a higher order document, such as the NPSFM. </w:t>
            </w:r>
          </w:p>
          <w:p w14:paraId="5DC4A23B" w14:textId="77777777" w:rsidR="0002540E"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Engaging in a partnership relationship is likely to result in additional resourcing costs for Kāi </w:t>
            </w:r>
            <w:proofErr w:type="spellStart"/>
            <w:r w:rsidRPr="634A1E48">
              <w:rPr>
                <w:sz w:val="20"/>
                <w:szCs w:val="20"/>
              </w:rPr>
              <w:t>Tahu</w:t>
            </w:r>
            <w:proofErr w:type="spellEnd"/>
            <w:r w:rsidRPr="634A1E48">
              <w:rPr>
                <w:sz w:val="20"/>
                <w:szCs w:val="20"/>
              </w:rPr>
              <w:t>.</w:t>
            </w:r>
          </w:p>
          <w:p w14:paraId="0D81E00A" w14:textId="6A57EBD6" w:rsidR="00A9196B" w:rsidRPr="00731A1A" w:rsidRDefault="00A9196B"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731A1A">
              <w:rPr>
                <w:sz w:val="20"/>
                <w:szCs w:val="20"/>
              </w:rPr>
              <w:t xml:space="preserve">The decision-making priorities outlined in </w:t>
            </w:r>
            <w:r w:rsidR="000F43F8" w:rsidRPr="00731A1A">
              <w:rPr>
                <w:sz w:val="20"/>
                <w:szCs w:val="20"/>
              </w:rPr>
              <w:t>IM–P2</w:t>
            </w:r>
            <w:r w:rsidR="00731A1A" w:rsidRPr="00731A1A">
              <w:rPr>
                <w:sz w:val="20"/>
                <w:szCs w:val="20"/>
              </w:rPr>
              <w:t xml:space="preserve"> may restrict opportunities to </w:t>
            </w:r>
            <w:r w:rsidR="0022275B">
              <w:rPr>
                <w:sz w:val="20"/>
                <w:szCs w:val="20"/>
              </w:rPr>
              <w:t>develop Māori land</w:t>
            </w:r>
            <w:r w:rsidR="00A14172">
              <w:rPr>
                <w:sz w:val="20"/>
                <w:szCs w:val="20"/>
              </w:rPr>
              <w:t>.</w:t>
            </w:r>
          </w:p>
        </w:tc>
      </w:tr>
      <w:tr w:rsidR="0002540E" w:rsidRPr="00AE42AF" w14:paraId="35E239E3" w14:textId="77777777" w:rsidTr="29589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6E83912" w14:textId="77777777" w:rsidR="0002540E" w:rsidRPr="00AE42AF" w:rsidRDefault="0002540E" w:rsidP="005F4836">
            <w:pPr>
              <w:jc w:val="center"/>
              <w:rPr>
                <w:sz w:val="20"/>
              </w:rPr>
            </w:pPr>
            <w:r w:rsidRPr="00AE42AF">
              <w:rPr>
                <w:sz w:val="20"/>
              </w:rPr>
              <w:t>Social</w:t>
            </w:r>
          </w:p>
        </w:tc>
      </w:tr>
      <w:tr w:rsidR="0002540E" w:rsidRPr="00FC5CD5" w14:paraId="73542B45" w14:textId="77777777" w:rsidTr="29589E8D">
        <w:tc>
          <w:tcPr>
            <w:cnfStyle w:val="001000000000" w:firstRow="0" w:lastRow="0" w:firstColumn="1" w:lastColumn="0" w:oddVBand="0" w:evenVBand="0" w:oddHBand="0" w:evenHBand="0" w:firstRowFirstColumn="0" w:firstRowLastColumn="0" w:lastRowFirstColumn="0" w:lastRowLastColumn="0"/>
            <w:tcW w:w="4508" w:type="dxa"/>
          </w:tcPr>
          <w:p w14:paraId="42D384D8" w14:textId="77777777"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Improved cross-boundary and inter-agency management is expected to improve confidence in these organisations and how they are viewed by the public. </w:t>
            </w:r>
          </w:p>
          <w:p w14:paraId="479C21F8" w14:textId="77777777"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Clear direction on identification of climate change risks and their management is expected to ensure communities are informed and resilient.</w:t>
            </w:r>
          </w:p>
          <w:p w14:paraId="4BCFF638" w14:textId="77777777" w:rsidR="0002540E" w:rsidRPr="00A81A61"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Improved environmental health and prioritising the long-term health of the environment over human needs is likely to support recreational activities that rely on the natural environment, for example kayaking or fishing.</w:t>
            </w:r>
          </w:p>
        </w:tc>
        <w:tc>
          <w:tcPr>
            <w:tcW w:w="4508" w:type="dxa"/>
          </w:tcPr>
          <w:p w14:paraId="042594FE" w14:textId="62DB553A" w:rsidR="0002540E" w:rsidRDefault="0002540E" w:rsidP="29589E8D">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29589E8D">
              <w:rPr>
                <w:sz w:val="20"/>
                <w:szCs w:val="20"/>
              </w:rPr>
              <w:t xml:space="preserve">Climate change adaptation and mitigation may have significant impacts on the way communities in Otago </w:t>
            </w:r>
            <w:r w:rsidR="6692EA1A" w:rsidRPr="29589E8D">
              <w:rPr>
                <w:sz w:val="20"/>
                <w:szCs w:val="20"/>
              </w:rPr>
              <w:t xml:space="preserve">currently </w:t>
            </w:r>
            <w:r w:rsidRPr="29589E8D">
              <w:rPr>
                <w:sz w:val="20"/>
                <w:szCs w:val="20"/>
              </w:rPr>
              <w:t>live their lives. For some, these may be negative effects on their social wellbeing as a result</w:t>
            </w:r>
            <w:r w:rsidR="4C2F032A" w:rsidRPr="29589E8D">
              <w:rPr>
                <w:sz w:val="20"/>
                <w:szCs w:val="20"/>
              </w:rPr>
              <w:t>,</w:t>
            </w:r>
            <w:r w:rsidRPr="29589E8D">
              <w:rPr>
                <w:sz w:val="20"/>
                <w:szCs w:val="20"/>
              </w:rPr>
              <w:t xml:space="preserve"> for example, </w:t>
            </w:r>
            <w:r w:rsidR="1E74AB6F" w:rsidRPr="29589E8D">
              <w:rPr>
                <w:sz w:val="20"/>
                <w:szCs w:val="20"/>
              </w:rPr>
              <w:t>of having</w:t>
            </w:r>
            <w:r w:rsidRPr="29589E8D">
              <w:rPr>
                <w:sz w:val="20"/>
                <w:szCs w:val="20"/>
              </w:rPr>
              <w:t xml:space="preserve"> to relocate or incur costs in mitigating impacts.</w:t>
            </w:r>
          </w:p>
          <w:p w14:paraId="30D1952A" w14:textId="4CEAD4E0" w:rsidR="0002540E" w:rsidRPr="00FC5CD5" w:rsidRDefault="0002540E" w:rsidP="005F483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29589E8D">
              <w:rPr>
                <w:sz w:val="20"/>
                <w:szCs w:val="20"/>
              </w:rPr>
              <w:t>IM</w:t>
            </w:r>
            <w:r>
              <w:t>–</w:t>
            </w:r>
            <w:r w:rsidRPr="29589E8D">
              <w:rPr>
                <w:sz w:val="20"/>
                <w:szCs w:val="20"/>
              </w:rPr>
              <w:t xml:space="preserve">P2 requires prioritising the long-term </w:t>
            </w:r>
            <w:r w:rsidR="4F9CEE35" w:rsidRPr="29589E8D">
              <w:rPr>
                <w:sz w:val="20"/>
                <w:szCs w:val="20"/>
              </w:rPr>
              <w:t xml:space="preserve">life supporting capacity </w:t>
            </w:r>
            <w:r w:rsidRPr="29589E8D">
              <w:rPr>
                <w:sz w:val="20"/>
                <w:szCs w:val="20"/>
              </w:rPr>
              <w:t>of the natural environment above human needs. This may prevent or otherwise restrict activities which are important for social wellbeing, with associated adverse effects on people and communities</w:t>
            </w:r>
            <w:r w:rsidR="000B0769">
              <w:rPr>
                <w:sz w:val="20"/>
                <w:szCs w:val="20"/>
              </w:rPr>
              <w:t>, particularly in urban environments.</w:t>
            </w:r>
          </w:p>
        </w:tc>
      </w:tr>
      <w:tr w:rsidR="0002540E" w:rsidRPr="00AE42AF" w14:paraId="2DEEF6A6" w14:textId="77777777" w:rsidTr="29589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F0CED0D" w14:textId="77777777" w:rsidR="0002540E" w:rsidRPr="00AE42AF" w:rsidRDefault="0002540E" w:rsidP="005F4836">
            <w:pPr>
              <w:jc w:val="center"/>
              <w:rPr>
                <w:sz w:val="20"/>
              </w:rPr>
            </w:pPr>
            <w:r>
              <w:rPr>
                <w:sz w:val="20"/>
              </w:rPr>
              <w:t>Economic</w:t>
            </w:r>
          </w:p>
        </w:tc>
      </w:tr>
      <w:tr w:rsidR="0002540E" w:rsidRPr="000136C1" w14:paraId="1FDCBA8F" w14:textId="77777777" w:rsidTr="29589E8D">
        <w:tc>
          <w:tcPr>
            <w:cnfStyle w:val="001000000000" w:firstRow="0" w:lastRow="0" w:firstColumn="1" w:lastColumn="0" w:oddVBand="0" w:evenVBand="0" w:oddHBand="0" w:evenHBand="0" w:firstRowFirstColumn="0" w:firstRowLastColumn="0" w:lastRowFirstColumn="0" w:lastRowLastColumn="0"/>
            <w:tcW w:w="4508" w:type="dxa"/>
          </w:tcPr>
          <w:p w14:paraId="4378F993" w14:textId="4DBE2265" w:rsidR="0002540E" w:rsidRPr="00EC17D3" w:rsidRDefault="0002540E" w:rsidP="005F4836">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A strategic approach to managing the effects of climate change </w:t>
            </w:r>
            <w:r w:rsidRPr="000B0769">
              <w:rPr>
                <w:b w:val="0"/>
                <w:sz w:val="20"/>
                <w:szCs w:val="20"/>
              </w:rPr>
              <w:t>provide</w:t>
            </w:r>
            <w:r w:rsidR="6D404E68" w:rsidRPr="000B0769">
              <w:rPr>
                <w:b w:val="0"/>
                <w:sz w:val="20"/>
                <w:szCs w:val="20"/>
              </w:rPr>
              <w:t>s</w:t>
            </w:r>
            <w:r w:rsidRPr="634A1E48">
              <w:rPr>
                <w:b w:val="0"/>
                <w:sz w:val="20"/>
                <w:szCs w:val="20"/>
              </w:rPr>
              <w:t xml:space="preserve"> more certainty to businesses and communities, supporting investment and economic decision-making.</w:t>
            </w:r>
          </w:p>
          <w:p w14:paraId="130B49E2" w14:textId="77777777" w:rsidR="0002540E" w:rsidRPr="0030138C" w:rsidRDefault="0002540E" w:rsidP="000B0769">
            <w:pPr>
              <w:pStyle w:val="ListParagraph"/>
              <w:numPr>
                <w:ilvl w:val="0"/>
                <w:numId w:val="22"/>
              </w:numPr>
              <w:spacing w:before="60" w:after="60"/>
              <w:ind w:left="357" w:hanging="357"/>
              <w:contextualSpacing w:val="0"/>
              <w:jc w:val="both"/>
              <w:rPr>
                <w:b w:val="0"/>
                <w:sz w:val="20"/>
                <w:szCs w:val="20"/>
              </w:rPr>
            </w:pPr>
            <w:r w:rsidRPr="634A1E48">
              <w:rPr>
                <w:b w:val="0"/>
                <w:sz w:val="20"/>
                <w:szCs w:val="20"/>
              </w:rPr>
              <w:t>The requirement to avoid undue delays in decision-making may reduce the costs of decision-making by reducing uncertainty and the length of processes.</w:t>
            </w:r>
          </w:p>
          <w:p w14:paraId="37EA22E2" w14:textId="7714EA56" w:rsidR="00677E48" w:rsidRPr="000B0769" w:rsidRDefault="0002540E" w:rsidP="000B0769">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The requirement to prioritise </w:t>
            </w:r>
            <w:r w:rsidR="6E99D213" w:rsidRPr="000B0769">
              <w:rPr>
                <w:b w:val="0"/>
                <w:sz w:val="20"/>
                <w:szCs w:val="20"/>
              </w:rPr>
              <w:t>the life supporting capacity of the environment</w:t>
            </w:r>
            <w:r w:rsidRPr="634A1E48">
              <w:rPr>
                <w:b w:val="0"/>
                <w:sz w:val="20"/>
                <w:szCs w:val="20"/>
              </w:rPr>
              <w:t xml:space="preserve"> may help maintain natural resources in a state that enables key economic activities to persist into the future, particularly agriculture and tourism.</w:t>
            </w:r>
          </w:p>
          <w:p w14:paraId="331E0F89" w14:textId="717A12B0" w:rsidR="0002540E" w:rsidRPr="00002FA3" w:rsidRDefault="00EA076B" w:rsidP="00002FA3">
            <w:pPr>
              <w:pStyle w:val="ListParagraph"/>
              <w:numPr>
                <w:ilvl w:val="0"/>
                <w:numId w:val="22"/>
              </w:numPr>
              <w:spacing w:before="60" w:after="60"/>
              <w:ind w:left="357" w:hanging="357"/>
              <w:contextualSpacing w:val="0"/>
              <w:jc w:val="both"/>
              <w:rPr>
                <w:b w:val="0"/>
                <w:sz w:val="20"/>
                <w:szCs w:val="20"/>
              </w:rPr>
            </w:pPr>
            <w:r w:rsidRPr="000B0769">
              <w:rPr>
                <w:b w:val="0"/>
                <w:sz w:val="20"/>
                <w:szCs w:val="20"/>
              </w:rPr>
              <w:t xml:space="preserve">It should also </w:t>
            </w:r>
            <w:r w:rsidR="000B0769" w:rsidRPr="000B0769">
              <w:rPr>
                <w:b w:val="0"/>
                <w:sz w:val="20"/>
                <w:szCs w:val="20"/>
              </w:rPr>
              <w:t>b</w:t>
            </w:r>
            <w:r w:rsidRPr="000B0769">
              <w:rPr>
                <w:b w:val="0"/>
                <w:sz w:val="20"/>
                <w:szCs w:val="20"/>
              </w:rPr>
              <w:t xml:space="preserve">e noted that </w:t>
            </w:r>
            <w:r w:rsidR="00677E48" w:rsidRPr="000B0769">
              <w:rPr>
                <w:b w:val="0"/>
                <w:sz w:val="20"/>
                <w:szCs w:val="20"/>
              </w:rPr>
              <w:t xml:space="preserve">the impacts of climate change, if not planned for and managed, are potentially catastrophic. </w:t>
            </w:r>
            <w:r w:rsidR="00677E48" w:rsidRPr="00002FA3">
              <w:rPr>
                <w:b w:val="0"/>
                <w:bCs w:val="0"/>
                <w:sz w:val="20"/>
                <w:szCs w:val="20"/>
              </w:rPr>
              <w:t>Similarly, failing to preserve the life supporting capacity of the environment would have dire consequences</w:t>
            </w:r>
            <w:r w:rsidR="00A94BE6" w:rsidRPr="00002FA3">
              <w:rPr>
                <w:b w:val="0"/>
                <w:bCs w:val="0"/>
                <w:sz w:val="20"/>
                <w:szCs w:val="20"/>
              </w:rPr>
              <w:t>.</w:t>
            </w:r>
          </w:p>
        </w:tc>
        <w:tc>
          <w:tcPr>
            <w:tcW w:w="4508" w:type="dxa"/>
          </w:tcPr>
          <w:p w14:paraId="2346C999" w14:textId="34A0C4D9" w:rsidR="0002540E" w:rsidRPr="00A81A61" w:rsidRDefault="0002540E" w:rsidP="005F4836">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29589E8D">
              <w:rPr>
                <w:sz w:val="20"/>
                <w:szCs w:val="20"/>
              </w:rPr>
              <w:t xml:space="preserve">There may be significant economic impacts arising from the requirement to prioritise the long-term </w:t>
            </w:r>
            <w:r w:rsidR="01621557" w:rsidRPr="29589E8D">
              <w:rPr>
                <w:sz w:val="20"/>
                <w:szCs w:val="20"/>
              </w:rPr>
              <w:t xml:space="preserve">life supporting capacity </w:t>
            </w:r>
            <w:r w:rsidRPr="29589E8D">
              <w:rPr>
                <w:sz w:val="20"/>
                <w:szCs w:val="20"/>
              </w:rPr>
              <w:t>of the environment over human needs. Industries that extract natural resource</w:t>
            </w:r>
            <w:r w:rsidR="00176D13">
              <w:rPr>
                <w:sz w:val="20"/>
                <w:szCs w:val="20"/>
              </w:rPr>
              <w:t>s</w:t>
            </w:r>
            <w:r w:rsidRPr="29589E8D">
              <w:rPr>
                <w:sz w:val="20"/>
                <w:szCs w:val="20"/>
              </w:rPr>
              <w:t xml:space="preserve"> (e.g., animal husbandry) </w:t>
            </w:r>
            <w:r w:rsidR="00176D13">
              <w:rPr>
                <w:sz w:val="20"/>
                <w:szCs w:val="20"/>
              </w:rPr>
              <w:t>will</w:t>
            </w:r>
            <w:r w:rsidRPr="29589E8D">
              <w:rPr>
                <w:sz w:val="20"/>
                <w:szCs w:val="20"/>
              </w:rPr>
              <w:t xml:space="preserve"> incur higher cost</w:t>
            </w:r>
            <w:r w:rsidR="00176D13">
              <w:rPr>
                <w:sz w:val="20"/>
                <w:szCs w:val="20"/>
              </w:rPr>
              <w:t>s</w:t>
            </w:r>
            <w:r w:rsidRPr="29589E8D">
              <w:rPr>
                <w:sz w:val="20"/>
                <w:szCs w:val="20"/>
              </w:rPr>
              <w:t xml:space="preserve">. </w:t>
            </w:r>
            <w:r w:rsidR="00176D13">
              <w:rPr>
                <w:sz w:val="20"/>
                <w:szCs w:val="20"/>
              </w:rPr>
              <w:t>H</w:t>
            </w:r>
            <w:r w:rsidRPr="29589E8D">
              <w:rPr>
                <w:sz w:val="20"/>
                <w:szCs w:val="20"/>
              </w:rPr>
              <w:t xml:space="preserve">owever, this is ultimately subject to higher order legislation or direction, much of which supports a range of uses of resources for economic and other purposes (for example, renewable electricity generation). </w:t>
            </w:r>
          </w:p>
          <w:p w14:paraId="1A8E267B" w14:textId="539B05C2" w:rsidR="002D2D63" w:rsidRPr="00A81A61" w:rsidRDefault="002D2D63" w:rsidP="000B0769">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It is anticipated that any response to the effects of climate change, other than a ‘do nothing’ response, will result in</w:t>
            </w:r>
            <w:r w:rsidRPr="000B0769">
              <w:rPr>
                <w:sz w:val="20"/>
                <w:szCs w:val="20"/>
              </w:rPr>
              <w:t xml:space="preserve"> increased costs for </w:t>
            </w:r>
            <w:r>
              <w:rPr>
                <w:sz w:val="20"/>
                <w:szCs w:val="20"/>
              </w:rPr>
              <w:t>councils</w:t>
            </w:r>
            <w:r w:rsidRPr="000B0769">
              <w:rPr>
                <w:sz w:val="20"/>
                <w:szCs w:val="20"/>
              </w:rPr>
              <w:t xml:space="preserve"> and the community (in that there is the need to navigate new regulation, including assessing impact and applying for consents where necessary)</w:t>
            </w:r>
            <w:r w:rsidR="00016D11">
              <w:rPr>
                <w:sz w:val="20"/>
                <w:szCs w:val="20"/>
              </w:rPr>
              <w:t>.  These costs can, however, be moderated by adopting an integrated approach</w:t>
            </w:r>
            <w:r w:rsidR="00964DD6">
              <w:rPr>
                <w:sz w:val="20"/>
                <w:szCs w:val="20"/>
              </w:rPr>
              <w:t>.</w:t>
            </w:r>
          </w:p>
          <w:p w14:paraId="2D5DD96F" w14:textId="3BB83FF9" w:rsidR="0002540E" w:rsidRPr="00A81A61" w:rsidRDefault="0002540E" w:rsidP="005F4836">
            <w:pPr>
              <w:pStyle w:val="ListParagraph"/>
              <w:numPr>
                <w:ilvl w:val="0"/>
                <w:numId w:val="22"/>
              </w:numPr>
              <w:spacing w:before="6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will be costs associated with preparing climate change responses, which are currently not required, though this may well be trumped by coming national level policy changes based on </w:t>
            </w:r>
            <w:r w:rsidRPr="634A1E48">
              <w:rPr>
                <w:sz w:val="20"/>
                <w:szCs w:val="20"/>
              </w:rPr>
              <w:lastRenderedPageBreak/>
              <w:t xml:space="preserve">the Climate Change Commission’s recent report </w:t>
            </w:r>
            <w:sdt>
              <w:sdtPr>
                <w:rPr>
                  <w:sz w:val="20"/>
                  <w:szCs w:val="20"/>
                </w:rPr>
                <w:id w:val="444665635"/>
                <w:placeholder>
                  <w:docPart w:val="88D265A415914D6082B57FA7F5DBD1D2"/>
                </w:placeholder>
                <w:citation/>
              </w:sdtPr>
              <w:sdtContent>
                <w:r w:rsidRPr="634A1E48">
                  <w:rPr>
                    <w:sz w:val="20"/>
                    <w:szCs w:val="20"/>
                  </w:rPr>
                  <w:fldChar w:fldCharType="begin"/>
                </w:r>
                <w:r w:rsidRPr="634A1E48">
                  <w:rPr>
                    <w:sz w:val="20"/>
                    <w:szCs w:val="20"/>
                  </w:rPr>
                  <w:instrText xml:space="preserve"> CITATION Cli21 \l 5129 </w:instrText>
                </w:r>
                <w:r w:rsidRPr="634A1E48">
                  <w:rPr>
                    <w:sz w:val="20"/>
                    <w:szCs w:val="20"/>
                  </w:rPr>
                  <w:fldChar w:fldCharType="separate"/>
                </w:r>
                <w:r w:rsidR="00246D02" w:rsidRPr="634A1E48">
                  <w:rPr>
                    <w:sz w:val="20"/>
                    <w:szCs w:val="20"/>
                  </w:rPr>
                  <w:t>(Climate Change Commission, 2021)</w:t>
                </w:r>
                <w:r w:rsidRPr="634A1E48">
                  <w:rPr>
                    <w:sz w:val="20"/>
                    <w:szCs w:val="20"/>
                  </w:rPr>
                  <w:fldChar w:fldCharType="end"/>
                </w:r>
              </w:sdtContent>
            </w:sdt>
            <w:r w:rsidRPr="634A1E48">
              <w:rPr>
                <w:sz w:val="20"/>
                <w:szCs w:val="20"/>
              </w:rPr>
              <w:t>.</w:t>
            </w:r>
          </w:p>
          <w:p w14:paraId="046B34FF" w14:textId="77777777" w:rsidR="0002540E" w:rsidRPr="00A81A61" w:rsidRDefault="0002540E" w:rsidP="005F4836">
            <w:pPr>
              <w:pStyle w:val="ListParagraph"/>
              <w:spacing w:before="60"/>
              <w:ind w:left="360"/>
              <w:jc w:val="both"/>
              <w:cnfStyle w:val="000000000000" w:firstRow="0" w:lastRow="0" w:firstColumn="0" w:lastColumn="0" w:oddVBand="0" w:evenVBand="0" w:oddHBand="0" w:evenHBand="0" w:firstRowFirstColumn="0" w:firstRowLastColumn="0" w:lastRowFirstColumn="0" w:lastRowLastColumn="0"/>
              <w:rPr>
                <w:bCs/>
                <w:sz w:val="20"/>
              </w:rPr>
            </w:pPr>
          </w:p>
        </w:tc>
      </w:tr>
    </w:tbl>
    <w:p w14:paraId="2592BA7B" w14:textId="50158DCE" w:rsidR="008E7322" w:rsidRDefault="006F66AC" w:rsidP="008E7322">
      <w:r>
        <w:lastRenderedPageBreak/>
        <w:fldChar w:fldCharType="begin"/>
      </w:r>
      <w:r>
        <w:instrText xml:space="preserve"> REF _Ref72498782 \h </w:instrText>
      </w:r>
      <w:r>
        <w:fldChar w:fldCharType="separate"/>
      </w:r>
      <w:r w:rsidR="002A7A16">
        <w:t xml:space="preserve">Table </w:t>
      </w:r>
      <w:r w:rsidR="002A7A16">
        <w:rPr>
          <w:noProof/>
        </w:rPr>
        <w:t>27</w:t>
      </w:r>
      <w:r>
        <w:fldChar w:fldCharType="end"/>
      </w:r>
      <w:r>
        <w:t xml:space="preserve"> </w:t>
      </w:r>
      <w:r w:rsidR="008E7322">
        <w:t>below assesses the effectiveness and efficiency of the proposed provisions in achieving the objectives.</w:t>
      </w:r>
    </w:p>
    <w:p w14:paraId="0908DA74" w14:textId="54B86C2F" w:rsidR="008E7322" w:rsidRDefault="008E7322" w:rsidP="008E7322">
      <w:pPr>
        <w:pStyle w:val="Caption"/>
        <w:keepNext/>
      </w:pPr>
      <w:bookmarkStart w:id="67" w:name="_Ref72498782"/>
      <w:r>
        <w:t xml:space="preserve">Table </w:t>
      </w:r>
      <w:r>
        <w:fldChar w:fldCharType="begin"/>
      </w:r>
      <w:r>
        <w:instrText>SEQ Table \* ARABIC</w:instrText>
      </w:r>
      <w:r>
        <w:fldChar w:fldCharType="separate"/>
      </w:r>
      <w:r w:rsidR="002A7A16">
        <w:rPr>
          <w:noProof/>
        </w:rPr>
        <w:t>27</w:t>
      </w:r>
      <w:r>
        <w:fldChar w:fldCharType="end"/>
      </w:r>
      <w:bookmarkEnd w:id="67"/>
      <w:r>
        <w:t xml:space="preserve">: Efficiency and effectiveness evaluation for </w:t>
      </w:r>
      <w:r w:rsidR="0002540E">
        <w:t>IM – Integrated</w:t>
      </w:r>
      <w:r>
        <w:t xml:space="preserve"> management</w:t>
      </w:r>
    </w:p>
    <w:tbl>
      <w:tblPr>
        <w:tblW w:w="0" w:type="auto"/>
        <w:tblLook w:val="04A0" w:firstRow="1" w:lastRow="0" w:firstColumn="1" w:lastColumn="0" w:noHBand="0" w:noVBand="1"/>
      </w:tblPr>
      <w:tblGrid>
        <w:gridCol w:w="1413"/>
        <w:gridCol w:w="7603"/>
      </w:tblGrid>
      <w:tr w:rsidR="0002540E" w:rsidRPr="00C767B5" w14:paraId="64C3D0C3" w14:textId="77777777" w:rsidTr="005F4836">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42AAAC11" w14:textId="77777777" w:rsidR="0002540E" w:rsidRPr="00C767B5" w:rsidRDefault="0002540E" w:rsidP="005F4836">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2897DB46" w14:textId="78222832" w:rsidR="0002540E" w:rsidRPr="00D114BC" w:rsidRDefault="0002540E" w:rsidP="00A118D3">
            <w:pPr>
              <w:pStyle w:val="Table1"/>
            </w:pPr>
            <w:r>
              <w:t xml:space="preserve">Managing resources in an integrated way and proactively addressing the impacts of climate change has potentially significant environmental and cultural benefits, with indirect social </w:t>
            </w:r>
            <w:r w:rsidR="00D47B7F">
              <w:t xml:space="preserve">and economic </w:t>
            </w:r>
            <w:r>
              <w:t>benefits. However, there will be costs arising from implementing Option 3, which may also be significant. These are largely in the form of restrictions on the types of activities that can occur, opportunity costs, and administrative costs of implementation. The benefits of implementing Option 3 are considered to outweigh the costs.</w:t>
            </w:r>
          </w:p>
        </w:tc>
      </w:tr>
      <w:tr w:rsidR="0002540E" w:rsidRPr="00C767B5" w14:paraId="2E37B8C1" w14:textId="77777777" w:rsidTr="005F4836">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472CBBDB" w14:textId="77777777" w:rsidR="0002540E" w:rsidRPr="00C767B5" w:rsidRDefault="0002540E" w:rsidP="005F4836">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1A2F936F" w14:textId="20EA00E8" w:rsidR="0002540E" w:rsidRPr="009003F6" w:rsidRDefault="0002540E" w:rsidP="00A118D3">
            <w:pPr>
              <w:pStyle w:val="Table1"/>
            </w:pPr>
            <w:r>
              <w:t xml:space="preserve">The policies and methods in Option 3 outline the specific actions to be taken to achieve the objectives. Taking a strategic approach to ecosystem health, managing </w:t>
            </w:r>
            <w:proofErr w:type="gramStart"/>
            <w:r>
              <w:t>interconnections</w:t>
            </w:r>
            <w:proofErr w:type="gramEnd"/>
            <w:r>
              <w:t xml:space="preserve"> and implementing a prioritisation in decision-making is expected to be effective in achieving IM–O1 and IM–O3 as the outcomes will largely be positive for Otago’s environment. Providing for cultural values and working in partnership with Kāi </w:t>
            </w:r>
            <w:proofErr w:type="spellStart"/>
            <w:r>
              <w:t>Tahu</w:t>
            </w:r>
            <w:proofErr w:type="spellEnd"/>
            <w:r>
              <w:t xml:space="preserve"> alongside the more environmental-focused provisions will assist with embracing ki uta ki tai as required by IM–O2. Achieving IM</w:t>
            </w:r>
            <w:r w:rsidR="00160B96">
              <w:t>–</w:t>
            </w:r>
            <w:r>
              <w:t xml:space="preserve">O4 requires </w:t>
            </w:r>
            <w:proofErr w:type="gramStart"/>
            <w:r>
              <w:t>fairly fast</w:t>
            </w:r>
            <w:proofErr w:type="gramEnd"/>
            <w:r>
              <w:t xml:space="preserve"> action which is set out in the relevant policies and methods and the clarity about what is required from local authorities will assist with implementing these provisions. Collectively, the provisions </w:t>
            </w:r>
            <w:proofErr w:type="gramStart"/>
            <w:r>
              <w:t>are considered to be</w:t>
            </w:r>
            <w:proofErr w:type="gramEnd"/>
            <w:r>
              <w:t xml:space="preserve"> effective in achieving the objectives.</w:t>
            </w:r>
          </w:p>
        </w:tc>
      </w:tr>
    </w:tbl>
    <w:p w14:paraId="5396CBA1" w14:textId="77777777" w:rsidR="008E7322" w:rsidRDefault="008E7322" w:rsidP="008E7322"/>
    <w:p w14:paraId="5B0EC4CA" w14:textId="77777777" w:rsidR="008E7322" w:rsidRDefault="008E7322" w:rsidP="0082271A">
      <w:pPr>
        <w:pStyle w:val="Heading3"/>
      </w:pPr>
      <w:r>
        <w:t>Risk of acting or not acting</w:t>
      </w:r>
    </w:p>
    <w:p w14:paraId="60A06966" w14:textId="2C90E25F" w:rsidR="008E7322" w:rsidRPr="00D017D6" w:rsidRDefault="00AC4EBD"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 In this case, </w:t>
      </w:r>
      <w:r w:rsidR="009E633F">
        <w:t xml:space="preserve">and in the knowledge that </w:t>
      </w:r>
      <w:r w:rsidR="00741C0B">
        <w:t>there is not</w:t>
      </w:r>
      <w:r w:rsidR="009E633F">
        <w:t xml:space="preserve"> full and fully certain information on the matters in this </w:t>
      </w:r>
      <w:r w:rsidR="00741C0B">
        <w:t>c</w:t>
      </w:r>
      <w:r w:rsidR="009E633F">
        <w:t xml:space="preserve">hapter, </w:t>
      </w:r>
      <w:r>
        <w:t>t</w:t>
      </w:r>
      <w:r w:rsidR="0086294B">
        <w:t xml:space="preserve">here is sufficient and </w:t>
      </w:r>
      <w:r w:rsidR="009E633F">
        <w:t xml:space="preserve">sufficiently </w:t>
      </w:r>
      <w:r w:rsidR="0086294B">
        <w:t xml:space="preserve">certain information on which to </w:t>
      </w:r>
      <w:r w:rsidR="00536A5C">
        <w:t xml:space="preserve">decide on the proposed provisions. </w:t>
      </w:r>
      <w:r w:rsidR="000F7E4D">
        <w:t xml:space="preserve">The </w:t>
      </w:r>
      <w:r w:rsidR="00147D30">
        <w:t>provisions</w:t>
      </w:r>
      <w:r w:rsidR="000F7E4D">
        <w:t xml:space="preserve"> in the </w:t>
      </w:r>
      <w:r w:rsidR="00741C0B">
        <w:rPr>
          <w:i/>
          <w:iCs/>
        </w:rPr>
        <w:t>IM – Integrated management</w:t>
      </w:r>
      <w:r w:rsidR="000F7E4D">
        <w:t xml:space="preserve"> chapter are </w:t>
      </w:r>
      <w:r w:rsidR="00147D30">
        <w:t xml:space="preserve">intentionally pitched at a high level. In some </w:t>
      </w:r>
      <w:r w:rsidR="0086294B">
        <w:t>cases,</w:t>
      </w:r>
      <w:r w:rsidR="00147D30">
        <w:t xml:space="preserve"> the provisions direct what </w:t>
      </w:r>
      <w:r w:rsidR="001E771F">
        <w:t xml:space="preserve">information should be considered in certain circumstances and require identification of specified matters. These </w:t>
      </w:r>
      <w:r w:rsidR="0086294B">
        <w:t>directions</w:t>
      </w:r>
      <w:r w:rsidR="001E771F">
        <w:t xml:space="preserve"> will in turn </w:t>
      </w:r>
      <w:r w:rsidR="0086294B">
        <w:t>improve</w:t>
      </w:r>
      <w:r w:rsidR="001E771F">
        <w:t xml:space="preserve"> the </w:t>
      </w:r>
      <w:r w:rsidR="0086294B">
        <w:t>information</w:t>
      </w:r>
      <w:r w:rsidR="001E771F">
        <w:t xml:space="preserve"> on which future resource management decisions are based. </w:t>
      </w:r>
      <w:r w:rsidR="00152C40">
        <w:t>The risks associated with not acting in the manner proposed is that there is limited specific guidance on how integrated management is to be achieved</w:t>
      </w:r>
      <w:r w:rsidR="0075487F">
        <w:t xml:space="preserve">, which undermines the </w:t>
      </w:r>
      <w:r w:rsidR="008720D9">
        <w:t xml:space="preserve">entire </w:t>
      </w:r>
      <w:r w:rsidR="008E5E1C">
        <w:t xml:space="preserve">regional </w:t>
      </w:r>
      <w:r w:rsidR="008720D9">
        <w:t>policy statement’s cohesion</w:t>
      </w:r>
      <w:r w:rsidR="00152C40">
        <w:t xml:space="preserve">. </w:t>
      </w:r>
    </w:p>
    <w:p w14:paraId="6EADB3AD" w14:textId="733023F4" w:rsidR="008E5E1C" w:rsidRPr="00D017D6" w:rsidRDefault="008E5E1C" w:rsidP="00A247C5">
      <w:pPr>
        <w:pStyle w:val="Normal2"/>
      </w:pPr>
      <w:r>
        <w:t>Further, there are unquantified costs associated with climate change response and prioritising the life supporting capacity of the environment</w:t>
      </w:r>
      <w:r w:rsidR="00124EF0">
        <w:t>.</w:t>
      </w:r>
      <w:r w:rsidR="008D75D0">
        <w:t xml:space="preserve"> </w:t>
      </w:r>
      <w:proofErr w:type="gramStart"/>
      <w:r w:rsidR="008E4CB6">
        <w:t>Taking action</w:t>
      </w:r>
      <w:proofErr w:type="gramEnd"/>
      <w:r w:rsidR="008E4CB6">
        <w:t xml:space="preserve"> on these fronts is considered</w:t>
      </w:r>
      <w:r>
        <w:t xml:space="preserve"> </w:t>
      </w:r>
      <w:r w:rsidR="008E4CB6">
        <w:t xml:space="preserve">necessary </w:t>
      </w:r>
      <w:r>
        <w:t xml:space="preserve">to give effect to the purpose of the </w:t>
      </w:r>
      <w:r w:rsidR="00BE074B">
        <w:t>RMA 1991</w:t>
      </w:r>
      <w:r w:rsidR="00543D58">
        <w:t xml:space="preserve">, including </w:t>
      </w:r>
      <w:r>
        <w:t>having particular regard to the effects of climate change</w:t>
      </w:r>
      <w:r w:rsidR="00831AE4">
        <w:t>. F</w:t>
      </w:r>
      <w:r>
        <w:t>ailure to either preserve the life supporting capacity of the environment or to plan for and manage the effects of climate has potentially catastrophic effects</w:t>
      </w:r>
    </w:p>
    <w:p w14:paraId="47186944" w14:textId="77777777" w:rsidR="008E7322" w:rsidRDefault="008E7322" w:rsidP="0082271A">
      <w:pPr>
        <w:pStyle w:val="Heading3"/>
      </w:pPr>
      <w:r>
        <w:t>Conclusion</w:t>
      </w:r>
    </w:p>
    <w:p w14:paraId="00E6C190" w14:textId="5C52B727" w:rsidR="000969DA" w:rsidRPr="007A087D" w:rsidRDefault="007A087D" w:rsidP="00A247C5">
      <w:pPr>
        <w:pStyle w:val="Normal2"/>
      </w:pPr>
      <w:r>
        <w:t xml:space="preserve">The cost-benefit and effectiveness and efficiency assessments have shown that overall, the </w:t>
      </w:r>
      <w:r w:rsidR="00E81F7F">
        <w:t>PORPS 2021</w:t>
      </w:r>
      <w:r>
        <w:t xml:space="preserve"> provisions are expected to be more efficient and effective than the status quo at achieving the objectives of the </w:t>
      </w:r>
      <w:r w:rsidR="00E81F7F">
        <w:t>PORPS 2021</w:t>
      </w:r>
      <w:r>
        <w:t xml:space="preserve">. </w:t>
      </w:r>
      <w:r w:rsidR="2547F434">
        <w:t>T</w:t>
      </w:r>
      <w:r>
        <w:t xml:space="preserve">he proposed provisions provide more specific </w:t>
      </w:r>
      <w:r>
        <w:lastRenderedPageBreak/>
        <w:t xml:space="preserve">guidance on how integrated management is to be achieved through the other provisions in the RPS and in future resource management </w:t>
      </w:r>
      <w:proofErr w:type="gramStart"/>
      <w:r>
        <w:t>decisions</w:t>
      </w:r>
      <w:r w:rsidR="231F5E2F">
        <w:t>, and</w:t>
      </w:r>
      <w:proofErr w:type="gramEnd"/>
      <w:r w:rsidR="231F5E2F">
        <w:t xml:space="preserve"> ensure that the life supporting capacity of the environment is preserved and the impact of climate change is p</w:t>
      </w:r>
      <w:r w:rsidR="7D8A6677">
        <w:t>lanned for and managed</w:t>
      </w:r>
      <w:r>
        <w:t xml:space="preserve">. </w:t>
      </w:r>
      <w:r w:rsidR="00543D58">
        <w:t xml:space="preserve">While there are likely to be significant costs, these </w:t>
      </w:r>
      <w:proofErr w:type="gramStart"/>
      <w:r w:rsidR="00543D58">
        <w:t>are considered to be</w:t>
      </w:r>
      <w:proofErr w:type="gramEnd"/>
      <w:r w:rsidR="00543D58">
        <w:t xml:space="preserve"> </w:t>
      </w:r>
      <w:r w:rsidR="00410D56">
        <w:t>justified given the need to preserve life-supporting capacity and prepare for the impacts of climate change</w:t>
      </w:r>
      <w:r w:rsidR="001C1090">
        <w:t>.</w:t>
      </w:r>
      <w:r w:rsidR="000A7429">
        <w:t xml:space="preserve"> Absence of an integrated management chapter </w:t>
      </w:r>
      <w:r w:rsidR="00D0211C">
        <w:t>may result in higher costs if there is uncertainty about how the provisions of the PORPS 2021 apply.</w:t>
      </w:r>
      <w:r w:rsidR="000A7429">
        <w:t xml:space="preserve"> </w:t>
      </w:r>
      <w:r w:rsidR="000969DA">
        <w:br w:type="page"/>
      </w:r>
    </w:p>
    <w:p w14:paraId="0500A284" w14:textId="4A724ADD" w:rsidR="00965D74" w:rsidRDefault="00A97861" w:rsidP="00CB405E">
      <w:pPr>
        <w:pStyle w:val="Heading2"/>
      </w:pPr>
      <w:bookmarkStart w:id="68" w:name="_Toc72507638"/>
      <w:r>
        <w:lastRenderedPageBreak/>
        <w:t xml:space="preserve">AIR – </w:t>
      </w:r>
      <w:r w:rsidR="00965D74">
        <w:t>Air</w:t>
      </w:r>
      <w:bookmarkEnd w:id="68"/>
    </w:p>
    <w:p w14:paraId="2B2E9498" w14:textId="3A4C9A4D" w:rsidR="006D3C31" w:rsidRDefault="006D3C31" w:rsidP="0082271A">
      <w:pPr>
        <w:pStyle w:val="Heading3"/>
      </w:pPr>
      <w:r>
        <w:t>Introduction</w:t>
      </w:r>
    </w:p>
    <w:p w14:paraId="7C58CC1A" w14:textId="7BD58D1B" w:rsidR="00EC51B0" w:rsidRPr="003F3DAD" w:rsidRDefault="00260BD7" w:rsidP="00A247C5">
      <w:pPr>
        <w:pStyle w:val="Normal2"/>
      </w:pPr>
      <w:r>
        <w:t xml:space="preserve">This section of the report </w:t>
      </w:r>
      <w:r w:rsidR="00A32343">
        <w:t>assesses</w:t>
      </w:r>
      <w:r>
        <w:t xml:space="preserve"> the provisions in the </w:t>
      </w:r>
      <w:r w:rsidR="00E81F7F">
        <w:t>PORPS 2021</w:t>
      </w:r>
      <w:r>
        <w:t xml:space="preserve"> to manage air</w:t>
      </w:r>
      <w:r w:rsidR="00D96871">
        <w:t>.</w:t>
      </w:r>
      <w:r w:rsidR="00427B21">
        <w:t xml:space="preserve"> </w:t>
      </w:r>
      <w:r w:rsidR="00EC51B0">
        <w:t>Air pollution resulting from particulate matter</w:t>
      </w:r>
      <w:r w:rsidR="003431CA">
        <w:t xml:space="preserve">, particularly fine </w:t>
      </w:r>
      <w:proofErr w:type="gramStart"/>
      <w:r w:rsidR="003431CA">
        <w:t>partic</w:t>
      </w:r>
      <w:r w:rsidR="0023276C">
        <w:t>les</w:t>
      </w:r>
      <w:proofErr w:type="gramEnd"/>
      <w:r w:rsidR="006D26CB">
        <w:t xml:space="preserve"> </w:t>
      </w:r>
      <w:r w:rsidR="00EC51B0">
        <w:t>and odour</w:t>
      </w:r>
      <w:r w:rsidR="006D26CB">
        <w:t xml:space="preserve">, </w:t>
      </w:r>
      <w:r w:rsidR="00EC51B0">
        <w:t>can affect human health and wellbeing</w:t>
      </w:r>
      <w:r w:rsidR="00341FBE">
        <w:t xml:space="preserve"> and </w:t>
      </w:r>
      <w:r w:rsidR="00EC51B0">
        <w:t>cause nuisance and amenity effects including poor visibility or soiling of surfaces</w:t>
      </w:r>
      <w:r w:rsidR="00341FBE">
        <w:t xml:space="preserve">. </w:t>
      </w:r>
      <w:r w:rsidR="00EC51B0">
        <w:t xml:space="preserve">Fine particles are typically a result of human activities such as the combustion of solid fuel (wood or coal) for home heating, </w:t>
      </w:r>
      <w:r w:rsidR="00D96871">
        <w:t>industrial</w:t>
      </w:r>
      <w:r w:rsidR="00EC51B0">
        <w:t xml:space="preserve"> and motor </w:t>
      </w:r>
      <w:r w:rsidR="00D96871">
        <w:t>vehicle</w:t>
      </w:r>
      <w:r w:rsidR="008A1E12">
        <w:t xml:space="preserve"> discharges</w:t>
      </w:r>
      <w:r w:rsidR="00EC51B0">
        <w:t xml:space="preserve">. Some natural processes such as meteorology </w:t>
      </w:r>
      <w:r w:rsidR="008A1E12">
        <w:t xml:space="preserve">and topography </w:t>
      </w:r>
      <w:r w:rsidR="00EC51B0">
        <w:t>can further exacerbate or contribute to poor air quality. Human exposure to particulate matter, such as PM</w:t>
      </w:r>
      <w:r w:rsidR="00EC51B0">
        <w:rPr>
          <w:vertAlign w:val="subscript"/>
        </w:rPr>
        <w:t>10</w:t>
      </w:r>
      <w:r w:rsidR="00EC51B0">
        <w:t>, PM</w:t>
      </w:r>
      <w:r w:rsidR="00EC51B0">
        <w:rPr>
          <w:vertAlign w:val="subscript"/>
        </w:rPr>
        <w:t>2.5</w:t>
      </w:r>
      <w:r w:rsidR="00EC51B0">
        <w:t>, sulphur and nitrogen oxides can cause respiratory and cardiovascular disease and premature death</w:t>
      </w:r>
      <w:r w:rsidR="00536FB9">
        <w:t xml:space="preserve"> </w:t>
      </w:r>
      <w:sdt>
        <w:sdtPr>
          <w:id w:val="880215453"/>
          <w:placeholder>
            <w:docPart w:val="DefaultPlaceholder_1081868574"/>
          </w:placeholder>
          <w:citation/>
        </w:sdtPr>
        <w:sdtContent>
          <w:r w:rsidR="00536FB9">
            <w:fldChar w:fldCharType="begin"/>
          </w:r>
          <w:r w:rsidR="00536FB9">
            <w:instrText xml:space="preserve"> CITATION Min18 \l 5129 </w:instrText>
          </w:r>
          <w:r w:rsidR="00536FB9">
            <w:fldChar w:fldCharType="separate"/>
          </w:r>
          <w:r w:rsidR="00246D02">
            <w:rPr>
              <w:noProof/>
            </w:rPr>
            <w:t>(Ministry for the Environment &amp; Stats NZ, 2018)</w:t>
          </w:r>
          <w:r w:rsidR="00536FB9">
            <w:fldChar w:fldCharType="end"/>
          </w:r>
        </w:sdtContent>
      </w:sdt>
      <w:r w:rsidR="00EC51B0">
        <w:t xml:space="preserve">. </w:t>
      </w:r>
    </w:p>
    <w:p w14:paraId="49EF4552" w14:textId="31658690" w:rsidR="00341FBE" w:rsidRDefault="007B5825" w:rsidP="00A247C5">
      <w:pPr>
        <w:pStyle w:val="Normal2"/>
      </w:pPr>
      <w:r>
        <w:t xml:space="preserve">For </w:t>
      </w:r>
      <w:r w:rsidR="00536FB9">
        <w:t>K</w:t>
      </w:r>
      <w:r w:rsidR="00F7285A">
        <w:t xml:space="preserve">āi </w:t>
      </w:r>
      <w:proofErr w:type="spellStart"/>
      <w:r w:rsidR="00536FB9">
        <w:t>T</w:t>
      </w:r>
      <w:r w:rsidR="00F7285A">
        <w:t>ahu</w:t>
      </w:r>
      <w:proofErr w:type="spellEnd"/>
      <w:r w:rsidR="00830F7F">
        <w:t xml:space="preserve">, air is </w:t>
      </w:r>
      <w:r w:rsidR="00FF264A">
        <w:t xml:space="preserve">a </w:t>
      </w:r>
      <w:proofErr w:type="spellStart"/>
      <w:r w:rsidR="00FF264A">
        <w:t>tao</w:t>
      </w:r>
      <w:r w:rsidR="008C1EF7">
        <w:t>k</w:t>
      </w:r>
      <w:r w:rsidR="00FF264A">
        <w:t>a</w:t>
      </w:r>
      <w:proofErr w:type="spellEnd"/>
      <w:r w:rsidR="00FF264A">
        <w:t xml:space="preserve"> (treasure) </w:t>
      </w:r>
      <w:r w:rsidR="00D53E66">
        <w:t xml:space="preserve">because of the relationship of air to other resources such as water, flora and fauna, and its life supporting capacity. </w:t>
      </w:r>
      <w:r w:rsidR="00B4371E">
        <w:t xml:space="preserve">Pollution of the air and atmosphere adversely affects the mauri of </w:t>
      </w:r>
      <w:r w:rsidR="00BD7648">
        <w:t xml:space="preserve">this </w:t>
      </w:r>
      <w:proofErr w:type="spellStart"/>
      <w:r w:rsidR="00B4371E">
        <w:t>taoka</w:t>
      </w:r>
      <w:proofErr w:type="spellEnd"/>
      <w:r w:rsidR="00B4371E">
        <w:t xml:space="preserve"> and other </w:t>
      </w:r>
      <w:proofErr w:type="spellStart"/>
      <w:r w:rsidR="00B4371E">
        <w:t>taoka</w:t>
      </w:r>
      <w:proofErr w:type="spellEnd"/>
      <w:r w:rsidR="00B4371E">
        <w:t xml:space="preserve"> such as plants and animals. </w:t>
      </w:r>
      <w:r w:rsidR="006855B7">
        <w:t xml:space="preserve">Kāi </w:t>
      </w:r>
      <w:proofErr w:type="spellStart"/>
      <w:r w:rsidR="006855B7">
        <w:t>Tahu</w:t>
      </w:r>
      <w:proofErr w:type="spellEnd"/>
      <w:r w:rsidR="006855B7">
        <w:t xml:space="preserve"> consider that air and atmosphere is an integral part of the environment that must be valued</w:t>
      </w:r>
      <w:r w:rsidR="007A4326">
        <w:t>,</w:t>
      </w:r>
      <w:r w:rsidR="006855B7">
        <w:t xml:space="preserve"> used with </w:t>
      </w:r>
      <w:proofErr w:type="gramStart"/>
      <w:r w:rsidR="006855B7">
        <w:t>respect</w:t>
      </w:r>
      <w:proofErr w:type="gramEnd"/>
      <w:r w:rsidR="006855B7">
        <w:t xml:space="preserve"> and passed on intact to the next generation. </w:t>
      </w:r>
      <w:r w:rsidR="00D53E66">
        <w:t xml:space="preserve">Discharges to air can also reduce the visibility of cultural landscape features and the ability to have undisturbed celestial darkness. Offensive discharges to air (such as odour) can affect </w:t>
      </w:r>
      <w:proofErr w:type="spellStart"/>
      <w:r w:rsidR="00D53E66">
        <w:t>wāhi</w:t>
      </w:r>
      <w:proofErr w:type="spellEnd"/>
      <w:r w:rsidR="00D53E66">
        <w:t xml:space="preserve"> </w:t>
      </w:r>
      <w:proofErr w:type="spellStart"/>
      <w:r w:rsidR="00D53E66">
        <w:t>tapu</w:t>
      </w:r>
      <w:proofErr w:type="spellEnd"/>
      <w:r w:rsidR="00D53E66">
        <w:t xml:space="preserve"> and discharge of dust can adversely affect </w:t>
      </w:r>
      <w:proofErr w:type="spellStart"/>
      <w:r w:rsidR="00D53E66">
        <w:t>mahika</w:t>
      </w:r>
      <w:proofErr w:type="spellEnd"/>
      <w:r w:rsidR="00D53E66">
        <w:t xml:space="preserve"> kai sites.</w:t>
      </w:r>
      <w:r w:rsidR="009F4F97">
        <w:t xml:space="preserve"> It is important that the physical, amenity, </w:t>
      </w:r>
      <w:proofErr w:type="gramStart"/>
      <w:r w:rsidR="009F4F97">
        <w:t>aesthetic</w:t>
      </w:r>
      <w:proofErr w:type="gramEnd"/>
      <w:r w:rsidR="009F4F97">
        <w:t xml:space="preserve"> and life-supporting qualities of taonga are maintained.</w:t>
      </w:r>
    </w:p>
    <w:p w14:paraId="7BBE69E6" w14:textId="295D01C7" w:rsidR="006C558D" w:rsidRDefault="004E2120" w:rsidP="00A247C5">
      <w:pPr>
        <w:pStyle w:val="Normal2"/>
      </w:pPr>
      <w:r>
        <w:t>In Otago, a</w:t>
      </w:r>
      <w:r w:rsidR="00457747">
        <w:t>ir quality monitoring shows that for most of the year air quality is very good. During winter months however, temperatures drop and emissions from home heating increase. This coupled with</w:t>
      </w:r>
      <w:r w:rsidR="00447262">
        <w:t xml:space="preserve"> the</w:t>
      </w:r>
      <w:r w:rsidR="00457747">
        <w:t xml:space="preserve"> topography of some areas and cold, calm conditions leads to poor </w:t>
      </w:r>
      <w:r w:rsidR="00706587">
        <w:t>winter</w:t>
      </w:r>
      <w:r w:rsidR="00457747">
        <w:t xml:space="preserve"> air quality in many towns and cities across the region.</w:t>
      </w:r>
      <w:r w:rsidR="00332EE3">
        <w:t xml:space="preserve"> </w:t>
      </w:r>
      <w:bookmarkStart w:id="69" w:name="_Hlk71186556"/>
      <w:r w:rsidR="006D3C31">
        <w:t xml:space="preserve">The relevant provisions for this </w:t>
      </w:r>
      <w:r w:rsidR="004D5874">
        <w:t>chapter</w:t>
      </w:r>
      <w:r w:rsidR="006D3C31">
        <w:t xml:space="preserve"> are:</w:t>
      </w:r>
    </w:p>
    <w:p w14:paraId="06785DF7" w14:textId="77777777" w:rsidR="00D96871" w:rsidRPr="000969DA" w:rsidRDefault="00D96871" w:rsidP="00A247C5">
      <w:pPr>
        <w:pStyle w:val="Normal3"/>
      </w:pPr>
      <w:r>
        <w:t xml:space="preserve">AIR–P1 – Maintain good ambient air quality </w:t>
      </w:r>
    </w:p>
    <w:p w14:paraId="52B98D65" w14:textId="77777777" w:rsidR="00D96871" w:rsidRPr="000969DA" w:rsidRDefault="00D96871" w:rsidP="00A247C5">
      <w:pPr>
        <w:pStyle w:val="Normal3"/>
      </w:pPr>
      <w:r>
        <w:t>AIR–P2 – Improve poor ambient air quality</w:t>
      </w:r>
    </w:p>
    <w:p w14:paraId="33722C2A" w14:textId="77777777" w:rsidR="00C56504" w:rsidRPr="000969DA" w:rsidRDefault="00D96871" w:rsidP="00A247C5">
      <w:pPr>
        <w:pStyle w:val="Normal3"/>
      </w:pPr>
      <w:r>
        <w:t xml:space="preserve">AIR–P3 – </w:t>
      </w:r>
      <w:r w:rsidR="422CAE09">
        <w:t>Providing for discharges to a</w:t>
      </w:r>
      <w:r w:rsidR="6BC4B1CE">
        <w:t>ir</w:t>
      </w:r>
    </w:p>
    <w:p w14:paraId="3E15243F" w14:textId="77777777" w:rsidR="00D96871" w:rsidRDefault="65D28C2C" w:rsidP="00A247C5">
      <w:pPr>
        <w:pStyle w:val="Normal3"/>
      </w:pPr>
      <w:r>
        <w:t>AIR–P</w:t>
      </w:r>
      <w:r w:rsidR="6BC4B1CE">
        <w:t>4</w:t>
      </w:r>
      <w:r>
        <w:t xml:space="preserve"> – </w:t>
      </w:r>
      <w:r w:rsidR="00D96871">
        <w:t>Avoiding certain discharges</w:t>
      </w:r>
    </w:p>
    <w:p w14:paraId="4C1C4852" w14:textId="77777777" w:rsidR="00A06E02" w:rsidRDefault="00D96871" w:rsidP="00A247C5">
      <w:pPr>
        <w:pStyle w:val="Normal3"/>
      </w:pPr>
      <w:r>
        <w:t>AIR–</w:t>
      </w:r>
      <w:r w:rsidR="7EF8D58E">
        <w:t>P5 – Managing certain discharges</w:t>
      </w:r>
    </w:p>
    <w:p w14:paraId="740F5DE8" w14:textId="736525C8" w:rsidR="00D96871" w:rsidRPr="000969DA" w:rsidRDefault="65D28C2C" w:rsidP="00A247C5">
      <w:pPr>
        <w:pStyle w:val="Normal3"/>
      </w:pPr>
      <w:r>
        <w:t>AIR–P</w:t>
      </w:r>
      <w:r w:rsidR="7EF8D58E">
        <w:t>6</w:t>
      </w:r>
      <w:r w:rsidR="00D96871">
        <w:t xml:space="preserve"> – Impacts on </w:t>
      </w:r>
      <w:r w:rsidR="00070147">
        <w:t xml:space="preserve">mana whenua </w:t>
      </w:r>
      <w:r w:rsidR="00BE4502">
        <w:t>values</w:t>
      </w:r>
    </w:p>
    <w:p w14:paraId="0C92919C" w14:textId="77777777" w:rsidR="00D96871" w:rsidRPr="000969DA" w:rsidRDefault="00D96871" w:rsidP="00A247C5">
      <w:pPr>
        <w:pStyle w:val="Normal3"/>
      </w:pPr>
      <w:r>
        <w:t xml:space="preserve">AIR–M1 – Review airshed boundaries </w:t>
      </w:r>
    </w:p>
    <w:p w14:paraId="6DE8B8C1" w14:textId="77777777" w:rsidR="00D96871" w:rsidRPr="000969DA" w:rsidRDefault="00D96871" w:rsidP="00A247C5">
      <w:pPr>
        <w:pStyle w:val="Normal3"/>
      </w:pPr>
      <w:r>
        <w:t>AIR–M2 – Regional plans</w:t>
      </w:r>
    </w:p>
    <w:p w14:paraId="1404AEF7" w14:textId="77777777" w:rsidR="00D96871" w:rsidRPr="000969DA" w:rsidRDefault="00D96871" w:rsidP="00A247C5">
      <w:pPr>
        <w:pStyle w:val="Normal3"/>
      </w:pPr>
      <w:r>
        <w:t xml:space="preserve">AIR–M3 – Territorial authorities </w:t>
      </w:r>
    </w:p>
    <w:p w14:paraId="12B8EE1C" w14:textId="77777777" w:rsidR="00D96871" w:rsidRPr="000969DA" w:rsidRDefault="00D96871" w:rsidP="00A247C5">
      <w:pPr>
        <w:pStyle w:val="Normal3"/>
      </w:pPr>
      <w:r>
        <w:t>AIR–M4 – Monitoring and reporting</w:t>
      </w:r>
    </w:p>
    <w:p w14:paraId="4F4BA223" w14:textId="00310E9E" w:rsidR="00D96871" w:rsidRPr="000969DA" w:rsidRDefault="00D96871" w:rsidP="00A247C5">
      <w:pPr>
        <w:pStyle w:val="Normal3"/>
      </w:pPr>
      <w:r>
        <w:t>AIR–M5 – Incentives and other mechanisms</w:t>
      </w:r>
    </w:p>
    <w:bookmarkEnd w:id="69"/>
    <w:p w14:paraId="3ED7D108" w14:textId="77777777" w:rsidR="006D3C31" w:rsidRDefault="006D3C31" w:rsidP="0082271A">
      <w:pPr>
        <w:pStyle w:val="Heading3"/>
      </w:pPr>
      <w:r>
        <w:t>Current issues</w:t>
      </w:r>
    </w:p>
    <w:p w14:paraId="787AF82B" w14:textId="181EB00F" w:rsidR="00D96871" w:rsidRDefault="00EE3E8A" w:rsidP="00A247C5">
      <w:pPr>
        <w:pStyle w:val="Normal2"/>
      </w:pPr>
      <w:r>
        <w:t xml:space="preserve">Air pollution can </w:t>
      </w:r>
      <w:r w:rsidR="00313FC9">
        <w:t>cause impacts on human health</w:t>
      </w:r>
      <w:r w:rsidR="00D4736E">
        <w:t xml:space="preserve">, natural ecosystems and biodiversity, visibility, </w:t>
      </w:r>
      <w:r w:rsidR="005A78EC">
        <w:t xml:space="preserve">amenity, </w:t>
      </w:r>
      <w:proofErr w:type="gramStart"/>
      <w:r w:rsidR="00D4736E">
        <w:t>recreation</w:t>
      </w:r>
      <w:proofErr w:type="gramEnd"/>
      <w:r w:rsidR="00D4736E">
        <w:t xml:space="preserve"> and cultural values. </w:t>
      </w:r>
      <w:r w:rsidR="00D96871">
        <w:t xml:space="preserve">While it is generally accepted that a reduction in particulate matter discharged to air results in benefits for human health (including a reduction in premature mortality and restricted activity days) there is limited data and few studies available to quantify human health impacts of poor air quality for Otago specifically or New Zealand </w:t>
      </w:r>
      <w:sdt>
        <w:sdtPr>
          <w:id w:val="-1434587307"/>
          <w:placeholder>
            <w:docPart w:val="DefaultPlaceholder_1081868574"/>
          </w:placeholder>
          <w:citation/>
        </w:sdtPr>
        <w:sdtContent>
          <w:r w:rsidR="00EB64B4">
            <w:fldChar w:fldCharType="begin"/>
          </w:r>
          <w:r w:rsidR="00EB64B4">
            <w:instrText xml:space="preserve"> CITATION Kus12 \l 5129 </w:instrText>
          </w:r>
          <w:r w:rsidR="00EB64B4">
            <w:fldChar w:fldCharType="separate"/>
          </w:r>
          <w:r w:rsidR="00EB64B4">
            <w:rPr>
              <w:noProof/>
            </w:rPr>
            <w:t>(Kuschel &amp; al., March 2012)</w:t>
          </w:r>
          <w:r w:rsidR="00EB64B4">
            <w:fldChar w:fldCharType="end"/>
          </w:r>
        </w:sdtContent>
      </w:sdt>
      <w:r w:rsidR="00EB64B4">
        <w:t>.</w:t>
      </w:r>
      <w:r w:rsidR="00D96871">
        <w:t xml:space="preserve"> A study undertaken in 2012 found </w:t>
      </w:r>
      <w:r w:rsidR="00D96871">
        <w:lastRenderedPageBreak/>
        <w:t xml:space="preserve">that the total costs associated with anthropogenic air pollution in New Zealand is estimated to be $4.28 billion per year or $1,061 per person, with the following overall contributions attributed to each source: </w:t>
      </w:r>
    </w:p>
    <w:p w14:paraId="208F88C7" w14:textId="77777777" w:rsidR="00D96871" w:rsidRDefault="00D96871" w:rsidP="00A247C5">
      <w:pPr>
        <w:pStyle w:val="Normal3"/>
      </w:pPr>
      <w:r>
        <w:t>56% due to domestic fires,</w:t>
      </w:r>
    </w:p>
    <w:p w14:paraId="3D7EF736" w14:textId="77777777" w:rsidR="00D96871" w:rsidRDefault="00D96871" w:rsidP="00A247C5">
      <w:pPr>
        <w:pStyle w:val="Normal3"/>
      </w:pPr>
      <w:r>
        <w:t>22% due to motor vehicles,</w:t>
      </w:r>
    </w:p>
    <w:p w14:paraId="3D993F5D" w14:textId="0564C66D" w:rsidR="008D21BA" w:rsidRDefault="008D21BA" w:rsidP="00A247C5">
      <w:pPr>
        <w:pStyle w:val="Normal3"/>
      </w:pPr>
      <w:r>
        <w:t xml:space="preserve">12% due to open </w:t>
      </w:r>
      <w:r w:rsidR="00D96871">
        <w:t>burning,</w:t>
      </w:r>
      <w:r>
        <w:t xml:space="preserve"> and </w:t>
      </w:r>
    </w:p>
    <w:p w14:paraId="3B209B8B" w14:textId="4B18545D" w:rsidR="008D21BA" w:rsidRDefault="008D21BA" w:rsidP="00A247C5">
      <w:pPr>
        <w:pStyle w:val="Normal3"/>
      </w:pPr>
      <w:r>
        <w:t>10% due to industry</w:t>
      </w:r>
      <w:r w:rsidR="00EB64B4">
        <w:t xml:space="preserve"> </w:t>
      </w:r>
      <w:sdt>
        <w:sdtPr>
          <w:id w:val="1264886030"/>
          <w:placeholder>
            <w:docPart w:val="DefaultPlaceholder_1081868574"/>
          </w:placeholder>
          <w:citation/>
        </w:sdtPr>
        <w:sdtContent>
          <w:r>
            <w:fldChar w:fldCharType="begin"/>
          </w:r>
          <w:r>
            <w:instrText xml:space="preserve"> CITATION Kus12 \l 5129 </w:instrText>
          </w:r>
          <w:r>
            <w:fldChar w:fldCharType="separate"/>
          </w:r>
          <w:r w:rsidR="00F214F1">
            <w:rPr>
              <w:noProof/>
            </w:rPr>
            <w:t>(Kuschel &amp; al., March 2012)</w:t>
          </w:r>
          <w:r>
            <w:fldChar w:fldCharType="end"/>
          </w:r>
        </w:sdtContent>
      </w:sdt>
      <w:r w:rsidR="00D96871">
        <w:t>.</w:t>
      </w:r>
    </w:p>
    <w:p w14:paraId="3177B78F" w14:textId="5FB36D03" w:rsidR="00C800B0" w:rsidRDefault="00E01295" w:rsidP="00A247C5">
      <w:pPr>
        <w:pStyle w:val="Normal2"/>
      </w:pPr>
      <w:r>
        <w:t xml:space="preserve">Research based on data for the </w:t>
      </w:r>
      <w:r w:rsidRPr="29589E8D">
        <w:rPr>
          <w:i/>
          <w:iCs/>
        </w:rPr>
        <w:t xml:space="preserve">Growing up in New </w:t>
      </w:r>
      <w:r w:rsidR="00D96871" w:rsidRPr="29589E8D">
        <w:rPr>
          <w:i/>
          <w:iCs/>
        </w:rPr>
        <w:t>Zealand</w:t>
      </w:r>
      <w:r>
        <w:t xml:space="preserve"> child cohort s</w:t>
      </w:r>
      <w:r w:rsidR="00CF6643">
        <w:t xml:space="preserve">tudy found that living in a neighbourhood with a higher </w:t>
      </w:r>
      <w:r w:rsidR="00F12F3C">
        <w:t>density</w:t>
      </w:r>
      <w:r w:rsidR="00CF6643">
        <w:t xml:space="preserve"> of wood burners was associated with the increased risk of non-</w:t>
      </w:r>
      <w:r w:rsidR="00151180">
        <w:t>accidental</w:t>
      </w:r>
      <w:r w:rsidR="00CF6643">
        <w:t xml:space="preserve"> emergency department visits before the age of three by 28</w:t>
      </w:r>
      <w:r w:rsidR="00250B47">
        <w:t xml:space="preserve">% </w:t>
      </w:r>
      <w:sdt>
        <w:sdtPr>
          <w:id w:val="1004093891"/>
          <w:placeholder>
            <w:docPart w:val="DefaultPlaceholder_1081868574"/>
          </w:placeholder>
          <w:citation/>
        </w:sdtPr>
        <w:sdtContent>
          <w:r w:rsidR="00131E83">
            <w:fldChar w:fldCharType="begin"/>
          </w:r>
          <w:r w:rsidR="00131E83">
            <w:instrText xml:space="preserve"> CITATION Min18 \l 5129 </w:instrText>
          </w:r>
          <w:r w:rsidR="00131E83">
            <w:fldChar w:fldCharType="separate"/>
          </w:r>
          <w:r w:rsidR="00246D02">
            <w:rPr>
              <w:noProof/>
            </w:rPr>
            <w:t>(Ministry for the Environment &amp; Stats NZ, 2018)</w:t>
          </w:r>
          <w:r w:rsidR="00131E83">
            <w:fldChar w:fldCharType="end"/>
          </w:r>
        </w:sdtContent>
      </w:sdt>
      <w:r w:rsidR="00CF6643">
        <w:t>.</w:t>
      </w:r>
    </w:p>
    <w:p w14:paraId="44D39ACC" w14:textId="6BB49425" w:rsidR="007F098D" w:rsidRDefault="00301A19" w:rsidP="00A247C5">
      <w:pPr>
        <w:pStyle w:val="Normal2"/>
      </w:pPr>
      <w:r>
        <w:t xml:space="preserve">For natural ecosystems and biodiversity, particulate matter </w:t>
      </w:r>
      <w:r w:rsidR="000B4BF7">
        <w:t>settles from air onto water</w:t>
      </w:r>
      <w:r w:rsidR="00FF45E3">
        <w:t xml:space="preserve">, </w:t>
      </w:r>
      <w:proofErr w:type="gramStart"/>
      <w:r w:rsidR="00FF45E3">
        <w:t>land</w:t>
      </w:r>
      <w:proofErr w:type="gramEnd"/>
      <w:r w:rsidR="00FF45E3">
        <w:t xml:space="preserve"> and other surfaces such as vegetation, </w:t>
      </w:r>
      <w:r w:rsidR="00EA390D">
        <w:t xml:space="preserve">reducing the amount of sunlight </w:t>
      </w:r>
      <w:r w:rsidR="00E8195C">
        <w:t>available</w:t>
      </w:r>
      <w:r w:rsidR="00EA390D">
        <w:t xml:space="preserve"> for photosynthesis</w:t>
      </w:r>
      <w:r w:rsidR="00EB64B4">
        <w:t>.</w:t>
      </w:r>
      <w:r w:rsidR="00686107">
        <w:t xml:space="preserve"> </w:t>
      </w:r>
      <w:r w:rsidR="00063F84">
        <w:t xml:space="preserve">In terms of visibility and recreation, there </w:t>
      </w:r>
      <w:r w:rsidR="00BC38AD">
        <w:t>are</w:t>
      </w:r>
      <w:r w:rsidR="00A771C2">
        <w:t xml:space="preserve"> </w:t>
      </w:r>
      <w:r w:rsidR="008E7A61">
        <w:t xml:space="preserve">no </w:t>
      </w:r>
      <w:r w:rsidR="008137E4">
        <w:t>qua</w:t>
      </w:r>
      <w:r w:rsidR="001A03B4">
        <w:t>n</w:t>
      </w:r>
      <w:r w:rsidR="00A771C2">
        <w:t>titative</w:t>
      </w:r>
      <w:r w:rsidR="008E7A61">
        <w:t xml:space="preserve"> </w:t>
      </w:r>
      <w:r w:rsidR="00C4662A">
        <w:t xml:space="preserve">measure </w:t>
      </w:r>
      <w:r w:rsidR="005B275F">
        <w:t>available</w:t>
      </w:r>
      <w:r w:rsidR="00C4662A">
        <w:t xml:space="preserve"> to </w:t>
      </w:r>
      <w:r w:rsidR="000A1DC2">
        <w:t>determine effects</w:t>
      </w:r>
      <w:r w:rsidR="004D6DFE">
        <w:t>,</w:t>
      </w:r>
      <w:r w:rsidR="000A1DC2">
        <w:t xml:space="preserve"> </w:t>
      </w:r>
      <w:r w:rsidR="004803D5">
        <w:t xml:space="preserve">however </w:t>
      </w:r>
      <w:r w:rsidR="00BF3179">
        <w:t xml:space="preserve">reduced visibility can </w:t>
      </w:r>
      <w:r w:rsidR="00BD6986">
        <w:t>include people</w:t>
      </w:r>
      <w:r w:rsidR="007C6707">
        <w:t xml:space="preserve">’s perception </w:t>
      </w:r>
      <w:r w:rsidR="00656E7E">
        <w:t xml:space="preserve">of air </w:t>
      </w:r>
      <w:r w:rsidR="00FF6CFD">
        <w:t>quality</w:t>
      </w:r>
      <w:r w:rsidR="00290BC9">
        <w:t xml:space="preserve">, this can result in flow on effects for the likes of tourism </w:t>
      </w:r>
      <w:sdt>
        <w:sdtPr>
          <w:id w:val="-290751955"/>
          <w:placeholder>
            <w:docPart w:val="DefaultPlaceholder_1081868574"/>
          </w:placeholder>
          <w:citation/>
        </w:sdtPr>
        <w:sdtContent>
          <w:r w:rsidR="00131E83">
            <w:fldChar w:fldCharType="begin"/>
          </w:r>
          <w:r w:rsidR="00131E83">
            <w:instrText xml:space="preserve"> CITATION Min18 \l 5129 </w:instrText>
          </w:r>
          <w:r w:rsidR="00131E83">
            <w:fldChar w:fldCharType="separate"/>
          </w:r>
          <w:r w:rsidR="00246D02">
            <w:rPr>
              <w:noProof/>
            </w:rPr>
            <w:t>(Ministry for the Environment &amp; Stats NZ, 2018)</w:t>
          </w:r>
          <w:r w:rsidR="00131E83">
            <w:fldChar w:fldCharType="end"/>
          </w:r>
        </w:sdtContent>
      </w:sdt>
      <w:r w:rsidR="00290BC9">
        <w:t>.</w:t>
      </w:r>
    </w:p>
    <w:p w14:paraId="40F6B45A" w14:textId="07D513E4" w:rsidR="005B275F" w:rsidRDefault="005B275F" w:rsidP="00A247C5">
      <w:pPr>
        <w:pStyle w:val="Normal2"/>
      </w:pPr>
      <w:r>
        <w:t xml:space="preserve">As identified by Kāi </w:t>
      </w:r>
      <w:proofErr w:type="spellStart"/>
      <w:r>
        <w:t>Tahu</w:t>
      </w:r>
      <w:proofErr w:type="spellEnd"/>
      <w:r>
        <w:t xml:space="preserve">, the cultural impacts of discharges to air are currently poorly recognised in resource management. </w:t>
      </w:r>
      <w:r w:rsidR="00617937">
        <w:t xml:space="preserve">Clean air is important to the health of </w:t>
      </w:r>
      <w:proofErr w:type="spellStart"/>
      <w:r w:rsidR="00617937">
        <w:t>mahika</w:t>
      </w:r>
      <w:proofErr w:type="spellEnd"/>
      <w:r w:rsidR="00617937">
        <w:t xml:space="preserve"> kai and people, and odour and other emissions can impact on the </w:t>
      </w:r>
      <w:proofErr w:type="spellStart"/>
      <w:r w:rsidR="00617937">
        <w:t>tapu</w:t>
      </w:r>
      <w:proofErr w:type="spellEnd"/>
      <w:r w:rsidR="00617937">
        <w:t xml:space="preserve"> of </w:t>
      </w:r>
      <w:proofErr w:type="spellStart"/>
      <w:r w:rsidR="00617937">
        <w:t>wāhi</w:t>
      </w:r>
      <w:proofErr w:type="spellEnd"/>
      <w:r w:rsidR="00617937">
        <w:t xml:space="preserve"> </w:t>
      </w:r>
      <w:proofErr w:type="spellStart"/>
      <w:r w:rsidR="00617937">
        <w:t>tapu</w:t>
      </w:r>
      <w:proofErr w:type="spellEnd"/>
      <w:r w:rsidR="00617937">
        <w:t xml:space="preserve"> sites. </w:t>
      </w:r>
      <w:r w:rsidR="00E8195C">
        <w:t xml:space="preserve">The impacts of urban settlement, including light pollution and discharges to air, can impact on the visibility of the sky and </w:t>
      </w:r>
      <w:proofErr w:type="spellStart"/>
      <w:r w:rsidR="00E8195C">
        <w:t>wāhi</w:t>
      </w:r>
      <w:proofErr w:type="spellEnd"/>
      <w:r w:rsidR="00E8195C">
        <w:t xml:space="preserve"> tūpuna features.</w:t>
      </w:r>
    </w:p>
    <w:p w14:paraId="08D9B6B8" w14:textId="0AF3F5A8" w:rsidR="004B4BAF" w:rsidRDefault="004B4BAF" w:rsidP="00A247C5">
      <w:pPr>
        <w:pStyle w:val="Normal2"/>
      </w:pPr>
      <w:r>
        <w:t>Otago</w:t>
      </w:r>
      <w:r w:rsidR="00F52372">
        <w:t xml:space="preserve"> </w:t>
      </w:r>
      <w:r w:rsidR="000008BF">
        <w:t xml:space="preserve">currently </w:t>
      </w:r>
      <w:r w:rsidR="00F52372">
        <w:t xml:space="preserve">has </w:t>
      </w:r>
      <w:r w:rsidR="00715D41">
        <w:t>22</w:t>
      </w:r>
      <w:r w:rsidR="00F52372">
        <w:t xml:space="preserve"> airsheds</w:t>
      </w:r>
      <w:sdt>
        <w:sdtPr>
          <w:id w:val="-1439208318"/>
          <w:placeholder>
            <w:docPart w:val="DefaultPlaceholder_1081868574"/>
          </w:placeholder>
          <w:citation/>
        </w:sdtPr>
        <w:sdtContent>
          <w:r w:rsidR="00FC0B4F">
            <w:fldChar w:fldCharType="begin"/>
          </w:r>
          <w:r w:rsidR="00FC0B4F">
            <w:instrText xml:space="preserve"> CITATION Ota05 \l 5129 </w:instrText>
          </w:r>
          <w:r w:rsidR="00FC0B4F">
            <w:fldChar w:fldCharType="separate"/>
          </w:r>
          <w:r w:rsidR="00246D02">
            <w:rPr>
              <w:noProof/>
            </w:rPr>
            <w:t xml:space="preserve"> (Otago Regional Airshed Notice, 2005)</w:t>
          </w:r>
          <w:r w:rsidR="00FC0B4F">
            <w:fldChar w:fldCharType="end"/>
          </w:r>
        </w:sdtContent>
      </w:sdt>
      <w:r w:rsidR="00A14C6F">
        <w:t>.</w:t>
      </w:r>
      <w:r>
        <w:t xml:space="preserve"> </w:t>
      </w:r>
      <w:r w:rsidR="00F52372">
        <w:t xml:space="preserve"> </w:t>
      </w:r>
      <w:r w:rsidR="00341572">
        <w:t xml:space="preserve">During winter months </w:t>
      </w:r>
      <w:r w:rsidR="00D96871">
        <w:t>seven</w:t>
      </w:r>
      <w:r w:rsidR="00137FD1">
        <w:t xml:space="preserve"> of these</w:t>
      </w:r>
      <w:r>
        <w:rPr>
          <w:rStyle w:val="FootnoteReference"/>
        </w:rPr>
        <w:footnoteReference w:id="22"/>
      </w:r>
      <w:r w:rsidR="004C0E82">
        <w:t xml:space="preserve"> regularly exceed the NESAQ standard</w:t>
      </w:r>
      <w:r w:rsidR="00C61ADB">
        <w:t xml:space="preserve"> for PM</w:t>
      </w:r>
      <w:r w:rsidR="00C61ADB" w:rsidRPr="00C203E6">
        <w:rPr>
          <w:vertAlign w:val="subscript"/>
        </w:rPr>
        <w:t>10</w:t>
      </w:r>
      <w:r w:rsidR="00C61ADB">
        <w:t xml:space="preserve"> and </w:t>
      </w:r>
      <w:r w:rsidR="00137FD1">
        <w:t>therefore fall within the definition of</w:t>
      </w:r>
      <w:r w:rsidR="00C92766">
        <w:t xml:space="preserve"> </w:t>
      </w:r>
      <w:r w:rsidR="00790F3B">
        <w:t>“polluted airshed</w:t>
      </w:r>
      <w:r w:rsidR="00137FD1">
        <w:t>s</w:t>
      </w:r>
      <w:r w:rsidR="00790F3B">
        <w:t>”</w:t>
      </w:r>
      <w:r w:rsidR="00137FD1">
        <w:t xml:space="preserve"> in the NESAQ</w:t>
      </w:r>
      <w:r w:rsidR="00F52372">
        <w:t>.</w:t>
      </w:r>
      <w:r w:rsidR="00790F3B">
        <w:t xml:space="preserve"> </w:t>
      </w:r>
      <w:r w:rsidR="00150F1B">
        <w:t>The</w:t>
      </w:r>
      <w:r w:rsidR="00832ED9">
        <w:t xml:space="preserve"> </w:t>
      </w:r>
      <w:r w:rsidR="004301EB">
        <w:t>Air</w:t>
      </w:r>
      <w:r w:rsidR="00FA36C7">
        <w:t xml:space="preserve"> Plan</w:t>
      </w:r>
      <w:r w:rsidR="00150F1B">
        <w:t xml:space="preserve"> was made operative in 2003</w:t>
      </w:r>
      <w:r w:rsidR="00137FD1">
        <w:t xml:space="preserve"> and </w:t>
      </w:r>
      <w:r w:rsidR="00150F1B">
        <w:t>the most recent p</w:t>
      </w:r>
      <w:r w:rsidR="0027194F">
        <w:t>l</w:t>
      </w:r>
      <w:r w:rsidR="00150F1B">
        <w:t>an change intended to implement the NESAQ was made operative in 2009.</w:t>
      </w:r>
      <w:r w:rsidR="003E1BFD">
        <w:t xml:space="preserve"> </w:t>
      </w:r>
      <w:r w:rsidR="00F1754D">
        <w:t xml:space="preserve">The Air Plan includes several provisions </w:t>
      </w:r>
      <w:r w:rsidR="00DB1E3E">
        <w:t xml:space="preserve">targeted to </w:t>
      </w:r>
      <w:r w:rsidR="006714B6">
        <w:t>the management</w:t>
      </w:r>
      <w:r w:rsidR="00ED03B9">
        <w:t xml:space="preserve"> of</w:t>
      </w:r>
      <w:r w:rsidR="003E6032">
        <w:t xml:space="preserve"> </w:t>
      </w:r>
      <w:r w:rsidR="00D061E2">
        <w:t xml:space="preserve">domestic heating appliances </w:t>
      </w:r>
      <w:r w:rsidR="006714B6">
        <w:t xml:space="preserve">and </w:t>
      </w:r>
      <w:r w:rsidR="004905AA">
        <w:t xml:space="preserve">other activities that discharge to air. Of note, </w:t>
      </w:r>
      <w:r w:rsidR="00AE62DB">
        <w:t xml:space="preserve">a prohibited </w:t>
      </w:r>
      <w:r w:rsidR="003517DC">
        <w:t>activity</w:t>
      </w:r>
      <w:r w:rsidR="00AE62DB">
        <w:t xml:space="preserve"> status </w:t>
      </w:r>
      <w:r w:rsidR="003517DC">
        <w:t xml:space="preserve">is provided for </w:t>
      </w:r>
      <w:r w:rsidR="0049528E">
        <w:t>domestic heating appliances</w:t>
      </w:r>
      <w:r w:rsidR="00AE62DB">
        <w:t xml:space="preserve"> </w:t>
      </w:r>
      <w:r w:rsidR="00D061E2">
        <w:t>that do not comply with the requirements set by the NESAQ.</w:t>
      </w:r>
      <w:r w:rsidR="003E1BFD">
        <w:t xml:space="preserve"> </w:t>
      </w:r>
      <w:r w:rsidR="00685E4B">
        <w:t xml:space="preserve">A </w:t>
      </w:r>
      <w:r w:rsidR="007B1C59">
        <w:t xml:space="preserve">report to ORC in June 2018 </w:t>
      </w:r>
      <w:r>
        <w:t xml:space="preserve">assessed the effectiveness of the </w:t>
      </w:r>
      <w:r w:rsidR="004301EB">
        <w:t>Clean Heat Clean Air programme developed</w:t>
      </w:r>
      <w:r>
        <w:t xml:space="preserve"> to implement th</w:t>
      </w:r>
      <w:r w:rsidR="00DF2F61">
        <w:t xml:space="preserve">e </w:t>
      </w:r>
      <w:r w:rsidR="00D96871">
        <w:t>2009</w:t>
      </w:r>
      <w:r>
        <w:t xml:space="preserve"> plan </w:t>
      </w:r>
      <w:proofErr w:type="gramStart"/>
      <w:r>
        <w:t xml:space="preserve">change, </w:t>
      </w:r>
      <w:r w:rsidR="007A4326">
        <w:t>and</w:t>
      </w:r>
      <w:proofErr w:type="gramEnd"/>
      <w:r w:rsidR="007A4326">
        <w:t xml:space="preserve"> concluded</w:t>
      </w:r>
      <w:r>
        <w:t xml:space="preserve"> that while </w:t>
      </w:r>
      <w:r w:rsidR="00A46D32">
        <w:t>the number of exceedances dropped in the first few years of the programme, exceedances have since plateaued or started to increase in polluted airsheds</w:t>
      </w:r>
      <w:r w:rsidR="009770A5">
        <w:t xml:space="preserve">. This report is attached as </w:t>
      </w:r>
      <w:r w:rsidR="006E0A73">
        <w:t>Appendix</w:t>
      </w:r>
      <w:r w:rsidR="00101A30">
        <w:t xml:space="preserve"> 9</w:t>
      </w:r>
      <w:r w:rsidR="00A46D32">
        <w:t>.</w:t>
      </w:r>
    </w:p>
    <w:p w14:paraId="71F095E0" w14:textId="5C1B259D" w:rsidR="00D96871" w:rsidRDefault="00D96871" w:rsidP="00A247C5">
      <w:pPr>
        <w:pStyle w:val="Normal2"/>
      </w:pPr>
      <w:r>
        <w:t>The PORPS 2019 contains provisions</w:t>
      </w:r>
      <w:r>
        <w:rPr>
          <w:rStyle w:val="FootnoteReference"/>
        </w:rPr>
        <w:footnoteReference w:id="23"/>
      </w:r>
      <w:r>
        <w:t xml:space="preserve"> that seek to maintain or enhance ambient air quality, manage offensive or objectionable discharges, and provide for offsetting. The outcomes they seek to achieve remain appropriate, however the general nature of the drafting and lack of specificity in the methods make it difficult to understand the actions required to achieve the outcomes.</w:t>
      </w:r>
    </w:p>
    <w:p w14:paraId="1435E4C2" w14:textId="4BA3170F" w:rsidR="003E1BFD" w:rsidRDefault="00897C13" w:rsidP="00A247C5">
      <w:pPr>
        <w:pStyle w:val="Normal2"/>
      </w:pPr>
      <w:r>
        <w:t xml:space="preserve">The Ministry for the Environment </w:t>
      </w:r>
      <w:r w:rsidR="00786E69">
        <w:t>has recently</w:t>
      </w:r>
      <w:r>
        <w:t xml:space="preserve"> consult</w:t>
      </w:r>
      <w:r w:rsidR="00786E69">
        <w:t>ed</w:t>
      </w:r>
      <w:r>
        <w:t xml:space="preserve"> on changes to the NESAQ to </w:t>
      </w:r>
      <w:proofErr w:type="gramStart"/>
      <w:r>
        <w:t>take into account</w:t>
      </w:r>
      <w:proofErr w:type="gramEnd"/>
      <w:r>
        <w:t xml:space="preserve"> improved scientific understanding and evidence about the health impacts of particulate matter and to better target controllable sources of air pollution. </w:t>
      </w:r>
      <w:r w:rsidR="00D82D8C">
        <w:t>These</w:t>
      </w:r>
      <w:r>
        <w:t xml:space="preserve"> changes </w:t>
      </w:r>
      <w:r>
        <w:lastRenderedPageBreak/>
        <w:t xml:space="preserve">will focus on </w:t>
      </w:r>
      <w:r w:rsidR="00D82D8C">
        <w:t xml:space="preserve">managing </w:t>
      </w:r>
      <w:r>
        <w:t>PM</w:t>
      </w:r>
      <w:r w:rsidRPr="004B4BAF">
        <w:rPr>
          <w:vertAlign w:val="subscript"/>
        </w:rPr>
        <w:t xml:space="preserve">2.5 </w:t>
      </w:r>
      <w:r>
        <w:t>rather than PM</w:t>
      </w:r>
      <w:r w:rsidRPr="004B4BAF">
        <w:rPr>
          <w:vertAlign w:val="subscript"/>
        </w:rPr>
        <w:t>10</w:t>
      </w:r>
      <w:r>
        <w:t>, which would likely result in a higher number of exceedances of the NESAQ ambient air quality standard in Otago than currently</w:t>
      </w:r>
      <w:r w:rsidR="00D82D8C">
        <w:t xml:space="preserve"> experienced</w:t>
      </w:r>
      <w:r w:rsidR="009770A5">
        <w:t>. This is outlined in an ORC technical report attached as Appendix 10.</w:t>
      </w:r>
    </w:p>
    <w:p w14:paraId="5242A3E6" w14:textId="7D41E7E5" w:rsidR="00890E04" w:rsidRDefault="00B1367D" w:rsidP="00A247C5">
      <w:pPr>
        <w:pStyle w:val="Normal2"/>
      </w:pPr>
      <w:r>
        <w:t xml:space="preserve">The </w:t>
      </w:r>
      <w:r w:rsidR="00B05515">
        <w:t xml:space="preserve">Air </w:t>
      </w:r>
      <w:r>
        <w:t xml:space="preserve">Plan manages </w:t>
      </w:r>
      <w:r w:rsidR="00B05515">
        <w:t>Otago’s</w:t>
      </w:r>
      <w:r>
        <w:t xml:space="preserve"> 22 airsheds</w:t>
      </w:r>
      <w:r w:rsidR="00B34897">
        <w:t xml:space="preserve"> by categorising them into three zones based on </w:t>
      </w:r>
      <w:r w:rsidR="00CC3F40">
        <w:t xml:space="preserve">likely number of exceedances and meteorological conditions. </w:t>
      </w:r>
      <w:r w:rsidR="00704ECE">
        <w:t xml:space="preserve">There has been considerable urban growth in parts of Otago since the airsheds </w:t>
      </w:r>
      <w:r w:rsidR="00B20108">
        <w:t xml:space="preserve">were gazetted, resulting in some physical urban areas falling outside the airshed boundaries (but still contributing to air quality in that airshed). </w:t>
      </w:r>
      <w:r w:rsidR="00BE0308">
        <w:t xml:space="preserve">As an example of this, </w:t>
      </w:r>
      <w:r w:rsidR="000D1DBA">
        <w:t xml:space="preserve">Appendix </w:t>
      </w:r>
      <w:r w:rsidR="00145217">
        <w:t>11</w:t>
      </w:r>
      <w:r w:rsidR="000D1DBA">
        <w:t xml:space="preserve"> shows the airshed boundaries</w:t>
      </w:r>
      <w:r w:rsidR="00AD60BC">
        <w:t xml:space="preserve"> of Arrowtown, Kingston and </w:t>
      </w:r>
      <w:r w:rsidR="002C1C8F">
        <w:t>Wanaka</w:t>
      </w:r>
      <w:r w:rsidR="000D1DBA">
        <w:t xml:space="preserve"> </w:t>
      </w:r>
      <w:r w:rsidR="00A34ADC">
        <w:t>in</w:t>
      </w:r>
      <w:r w:rsidR="000D1DBA">
        <w:t xml:space="preserve"> 2009 and 2019</w:t>
      </w:r>
      <w:r w:rsidR="0045077A">
        <w:t xml:space="preserve">. </w:t>
      </w:r>
      <w:r w:rsidR="00A34ADC">
        <w:t>Each aerial phot</w:t>
      </w:r>
      <w:r w:rsidR="007F743B">
        <w:t xml:space="preserve">ograph taken in 2019 shows </w:t>
      </w:r>
      <w:r w:rsidR="00A37D7A">
        <w:t xml:space="preserve">areas of development </w:t>
      </w:r>
      <w:r w:rsidR="000865AA">
        <w:t xml:space="preserve">occurring </w:t>
      </w:r>
      <w:r w:rsidR="007E30A2">
        <w:t xml:space="preserve">outside but </w:t>
      </w:r>
      <w:r w:rsidR="00B6313A">
        <w:t xml:space="preserve">adjacent to the airshed boundary. </w:t>
      </w:r>
      <w:r w:rsidR="00D96871">
        <w:t>An</w:t>
      </w:r>
      <w:r w:rsidR="00890E04">
        <w:t xml:space="preserve"> additional ten years of air quality monitoring data </w:t>
      </w:r>
      <w:r w:rsidR="00225053">
        <w:t xml:space="preserve">is now </w:t>
      </w:r>
      <w:r w:rsidR="00890E04">
        <w:t xml:space="preserve">available. </w:t>
      </w:r>
      <w:r w:rsidR="009B274D">
        <w:t xml:space="preserve">The airsheds and zones need </w:t>
      </w:r>
      <w:r w:rsidR="007A4326">
        <w:t>to be reviewed</w:t>
      </w:r>
      <w:r w:rsidR="009B274D">
        <w:t xml:space="preserve"> </w:t>
      </w:r>
      <w:proofErr w:type="gramStart"/>
      <w:r w:rsidR="009B274D">
        <w:t>in order to</w:t>
      </w:r>
      <w:proofErr w:type="gramEnd"/>
      <w:r w:rsidR="009B274D">
        <w:t xml:space="preserve"> remain fit for purpose as a management tool.</w:t>
      </w:r>
    </w:p>
    <w:p w14:paraId="0DD79B56" w14:textId="6329625D" w:rsidR="003C1A50" w:rsidRDefault="00FB1D07" w:rsidP="00A247C5">
      <w:pPr>
        <w:pStyle w:val="Normal2"/>
      </w:pPr>
      <w:r>
        <w:t xml:space="preserve">Kāi </w:t>
      </w:r>
      <w:proofErr w:type="spellStart"/>
      <w:r>
        <w:t>Tahu</w:t>
      </w:r>
      <w:proofErr w:type="spellEnd"/>
      <w:r>
        <w:t xml:space="preserve"> ha</w:t>
      </w:r>
      <w:r w:rsidR="00467914">
        <w:t>s</w:t>
      </w:r>
      <w:r>
        <w:t xml:space="preserve"> identified that the cultural impacts of discharges to air are poorly recognised in resource management currently. </w:t>
      </w:r>
      <w:r w:rsidR="003C1A50">
        <w:t xml:space="preserve">During community consultation, the effects of outdoor burning and offensive and objectionable air quality effects were raised as an issue that may benefit from specific management within the PORPS 2021. </w:t>
      </w:r>
    </w:p>
    <w:p w14:paraId="70E44738" w14:textId="57DC8248" w:rsidR="00293D52" w:rsidRDefault="007049A2" w:rsidP="00A247C5">
      <w:pPr>
        <w:pStyle w:val="Normal2"/>
      </w:pPr>
      <w:r>
        <w:t xml:space="preserve">The issues above demonstrate that </w:t>
      </w:r>
      <w:r w:rsidR="00D300F9">
        <w:t>the current framework (primarily the PORPS 201</w:t>
      </w:r>
      <w:r w:rsidR="001952A9">
        <w:t>9</w:t>
      </w:r>
      <w:r w:rsidR="00D300F9">
        <w:t xml:space="preserve"> and </w:t>
      </w:r>
      <w:r w:rsidR="00C21E96">
        <w:t>Air</w:t>
      </w:r>
      <w:r w:rsidR="00D300F9">
        <w:t xml:space="preserve"> Plan) is not sufficient for achieving Otago’s air quality goals </w:t>
      </w:r>
      <w:r w:rsidR="00C21E96">
        <w:t>or</w:t>
      </w:r>
      <w:r w:rsidR="00D300F9">
        <w:t xml:space="preserve"> complying with </w:t>
      </w:r>
      <w:r w:rsidR="00C21E96">
        <w:t>national direction</w:t>
      </w:r>
      <w:r w:rsidR="00D300F9">
        <w:t xml:space="preserve">. </w:t>
      </w:r>
      <w:r w:rsidR="00293D52">
        <w:t xml:space="preserve"> </w:t>
      </w:r>
    </w:p>
    <w:p w14:paraId="1C13F082" w14:textId="77777777" w:rsidR="006D3C31" w:rsidRDefault="006D3C31" w:rsidP="0082271A">
      <w:pPr>
        <w:pStyle w:val="Heading3"/>
      </w:pPr>
      <w:r>
        <w:t>Objectives</w:t>
      </w:r>
    </w:p>
    <w:p w14:paraId="10787195" w14:textId="1A47B835" w:rsidR="006D3C31" w:rsidRDefault="006D3C31" w:rsidP="00A247C5">
      <w:pPr>
        <w:pStyle w:val="Normal2"/>
      </w:pPr>
      <w:r>
        <w:t xml:space="preserve">Section 32(1)(b) requires an examination of whether the provisions in a proposal </w:t>
      </w:r>
      <w:proofErr w:type="gramStart"/>
      <w:r>
        <w:t>are the most appropriate way</w:t>
      </w:r>
      <w:proofErr w:type="gramEnd"/>
      <w:r>
        <w:t xml:space="preserve"> to achieve the objectives. The objective</w:t>
      </w:r>
      <w:r w:rsidR="004831A5">
        <w:t>s</w:t>
      </w:r>
      <w:r>
        <w:t xml:space="preserve"> relevant for this topic </w:t>
      </w:r>
      <w:r w:rsidR="004831A5">
        <w:t>are</w:t>
      </w:r>
      <w:r w:rsidR="00C31888">
        <w:t xml:space="preserve"> included in </w:t>
      </w:r>
      <w:r w:rsidR="00BC6B34">
        <w:fldChar w:fldCharType="begin"/>
      </w:r>
      <w:r w:rsidR="00BC6B34">
        <w:instrText xml:space="preserve"> REF _Ref72499376 \h </w:instrText>
      </w:r>
      <w:r w:rsidR="00BC6B34">
        <w:fldChar w:fldCharType="separate"/>
      </w:r>
      <w:r w:rsidR="002A7A16">
        <w:t xml:space="preserve">Table </w:t>
      </w:r>
      <w:r w:rsidR="002A7A16">
        <w:rPr>
          <w:noProof/>
        </w:rPr>
        <w:t>28</w:t>
      </w:r>
      <w:r w:rsidR="00BC6B34">
        <w:fldChar w:fldCharType="end"/>
      </w:r>
      <w:r w:rsidR="00BC6B34">
        <w:t xml:space="preserve"> below.</w:t>
      </w:r>
    </w:p>
    <w:p w14:paraId="7DE0BE6E" w14:textId="0FE9DCD9" w:rsidR="004831A5" w:rsidRDefault="004831A5" w:rsidP="004831A5">
      <w:pPr>
        <w:pStyle w:val="Caption"/>
        <w:keepNext/>
        <w:ind w:left="709"/>
      </w:pPr>
      <w:bookmarkStart w:id="70" w:name="_Ref72499376"/>
      <w:r>
        <w:t xml:space="preserve">Table </w:t>
      </w:r>
      <w:r>
        <w:fldChar w:fldCharType="begin"/>
      </w:r>
      <w:r>
        <w:instrText>SEQ Table \* ARABIC</w:instrText>
      </w:r>
      <w:r>
        <w:fldChar w:fldCharType="separate"/>
      </w:r>
      <w:r w:rsidR="002A7A16">
        <w:rPr>
          <w:noProof/>
        </w:rPr>
        <w:t>28</w:t>
      </w:r>
      <w:r>
        <w:fldChar w:fldCharType="end"/>
      </w:r>
      <w:bookmarkEnd w:id="70"/>
      <w:r>
        <w:t>: Air objectives</w:t>
      </w:r>
    </w:p>
    <w:tbl>
      <w:tblPr>
        <w:tblStyle w:val="TableGrid"/>
        <w:tblW w:w="0" w:type="auto"/>
        <w:tblInd w:w="720" w:type="dxa"/>
        <w:tblLook w:val="04A0" w:firstRow="1" w:lastRow="0" w:firstColumn="1" w:lastColumn="0" w:noHBand="0" w:noVBand="1"/>
      </w:tblPr>
      <w:tblGrid>
        <w:gridCol w:w="2677"/>
        <w:gridCol w:w="5619"/>
      </w:tblGrid>
      <w:tr w:rsidR="00D96871" w14:paraId="237A9DE4" w14:textId="77777777" w:rsidTr="00603C9E">
        <w:tc>
          <w:tcPr>
            <w:tcW w:w="2677" w:type="dxa"/>
          </w:tcPr>
          <w:p w14:paraId="127A60EE" w14:textId="77777777" w:rsidR="00D96871" w:rsidRPr="00BC6B34" w:rsidRDefault="00D96871" w:rsidP="00A247C5">
            <w:pPr>
              <w:pStyle w:val="Table1"/>
            </w:pPr>
            <w:r w:rsidRPr="00BC6B34">
              <w:t>AIR–O1 – Ambient air quality</w:t>
            </w:r>
          </w:p>
        </w:tc>
        <w:tc>
          <w:tcPr>
            <w:tcW w:w="5619" w:type="dxa"/>
          </w:tcPr>
          <w:p w14:paraId="7BE536F7" w14:textId="0F84087B" w:rsidR="00D96871" w:rsidRDefault="00D96871" w:rsidP="00A247C5">
            <w:pPr>
              <w:pStyle w:val="Table1"/>
            </w:pPr>
            <w:r>
              <w:t xml:space="preserve">Ambient air quality </w:t>
            </w:r>
            <w:r w:rsidR="00AA4008" w:rsidRPr="00AA4008">
              <w:t>provides for</w:t>
            </w:r>
            <w:r>
              <w:t xml:space="preserve"> t</w:t>
            </w:r>
            <w:r w:rsidRPr="003D1C57">
              <w:t xml:space="preserve">he health and </w:t>
            </w:r>
            <w:r w:rsidR="00AA4008" w:rsidRPr="00AA4008">
              <w:t>well-being</w:t>
            </w:r>
            <w:r w:rsidRPr="003D1C57">
              <w:t xml:space="preserve"> of the people of Otago, amenity and </w:t>
            </w:r>
            <w:r w:rsidR="00AA4008" w:rsidRPr="00AA4008">
              <w:t>mana whenua</w:t>
            </w:r>
            <w:r w:rsidRPr="003D1C57">
              <w:t xml:space="preserve"> values, and the life-supporting capacity of ecosystems. </w:t>
            </w:r>
            <w:r>
              <w:t xml:space="preserve"> </w:t>
            </w:r>
          </w:p>
        </w:tc>
      </w:tr>
      <w:tr w:rsidR="00D96871" w14:paraId="3E3F9C36" w14:textId="77777777" w:rsidTr="00603C9E">
        <w:tc>
          <w:tcPr>
            <w:tcW w:w="2677" w:type="dxa"/>
          </w:tcPr>
          <w:p w14:paraId="3207E68E" w14:textId="77777777" w:rsidR="00D96871" w:rsidRPr="00BC6B34" w:rsidRDefault="00D96871" w:rsidP="00A247C5">
            <w:pPr>
              <w:pStyle w:val="Table1"/>
            </w:pPr>
            <w:r w:rsidRPr="00BC6B34">
              <w:t>AIR–O2 – Discharges to air</w:t>
            </w:r>
          </w:p>
        </w:tc>
        <w:tc>
          <w:tcPr>
            <w:tcW w:w="5619" w:type="dxa"/>
          </w:tcPr>
          <w:p w14:paraId="7424AE4C" w14:textId="36EC404B" w:rsidR="00D96871" w:rsidRPr="004831A5" w:rsidRDefault="006D6FAB" w:rsidP="00A247C5">
            <w:pPr>
              <w:pStyle w:val="Table1"/>
            </w:pPr>
            <w:r w:rsidRPr="006D6FAB">
              <w:t>Human health, amenity and mana whenua values and the life supporting capacity of ecosystems are protected from the adverse effects of discharges to air.</w:t>
            </w:r>
          </w:p>
        </w:tc>
      </w:tr>
    </w:tbl>
    <w:p w14:paraId="554C744E" w14:textId="77777777" w:rsidR="006D3C31" w:rsidRDefault="006D3C31" w:rsidP="0082271A">
      <w:pPr>
        <w:pStyle w:val="Heading3"/>
      </w:pPr>
      <w:r>
        <w:t>Reasonably practicable options</w:t>
      </w:r>
    </w:p>
    <w:p w14:paraId="4552FD8F" w14:textId="77777777" w:rsidR="00D96871" w:rsidRDefault="00D96871" w:rsidP="00A247C5">
      <w:pPr>
        <w:pStyle w:val="Normal2"/>
      </w:pPr>
      <w:r>
        <w:t>Three reasonably practicable options were identified to achieve the objectives:</w:t>
      </w:r>
    </w:p>
    <w:p w14:paraId="0E24C606" w14:textId="7CB952BB" w:rsidR="006D3C31" w:rsidRDefault="006D3C31" w:rsidP="00A247C5">
      <w:pPr>
        <w:pStyle w:val="Normal3"/>
        <w:numPr>
          <w:ilvl w:val="1"/>
          <w:numId w:val="70"/>
        </w:numPr>
      </w:pPr>
      <w:r w:rsidRPr="00A247C5">
        <w:rPr>
          <w:b/>
          <w:bCs/>
        </w:rPr>
        <w:t>Option 1:</w:t>
      </w:r>
      <w:r>
        <w:t xml:space="preserve"> Status quo (PORPS 2019)</w:t>
      </w:r>
    </w:p>
    <w:p w14:paraId="14C7182F" w14:textId="62AF8B6E" w:rsidR="00F3056B" w:rsidRDefault="006D3C31" w:rsidP="00A247C5">
      <w:pPr>
        <w:pStyle w:val="Normal3"/>
        <w:numPr>
          <w:ilvl w:val="1"/>
          <w:numId w:val="70"/>
        </w:numPr>
      </w:pPr>
      <w:r w:rsidRPr="00A247C5">
        <w:rPr>
          <w:b/>
          <w:bCs/>
        </w:rPr>
        <w:t>Option 2:</w:t>
      </w:r>
      <w:r>
        <w:t xml:space="preserve"> </w:t>
      </w:r>
      <w:r w:rsidR="00E81F7F">
        <w:t>PORPS 2021</w:t>
      </w:r>
      <w:r w:rsidR="007A4326">
        <w:t xml:space="preserve"> – </w:t>
      </w:r>
      <w:r w:rsidR="007A4326">
        <w:rPr>
          <w:i/>
          <w:iCs/>
        </w:rPr>
        <w:t xml:space="preserve">preferred </w:t>
      </w:r>
    </w:p>
    <w:p w14:paraId="276D7619" w14:textId="6B397732" w:rsidR="00363658" w:rsidRDefault="00363658" w:rsidP="00A247C5">
      <w:pPr>
        <w:pStyle w:val="Normal3"/>
        <w:numPr>
          <w:ilvl w:val="1"/>
          <w:numId w:val="70"/>
        </w:numPr>
      </w:pPr>
      <w:r w:rsidRPr="00A247C5">
        <w:rPr>
          <w:b/>
          <w:bCs/>
        </w:rPr>
        <w:t>Option 3:</w:t>
      </w:r>
      <w:r>
        <w:t xml:space="preserve"> </w:t>
      </w:r>
      <w:r w:rsidR="00500EE4">
        <w:t xml:space="preserve">Option 2 </w:t>
      </w:r>
      <w:r w:rsidR="002059F3">
        <w:t xml:space="preserve">(PORPS 2021) </w:t>
      </w:r>
      <w:r w:rsidR="00500EE4">
        <w:t xml:space="preserve">and additional controls </w:t>
      </w:r>
    </w:p>
    <w:p w14:paraId="6ECE8A38" w14:textId="77777777" w:rsidR="006D3C31" w:rsidRDefault="006D3C31" w:rsidP="00DE069C">
      <w:pPr>
        <w:pStyle w:val="Heading4"/>
      </w:pPr>
      <w:r>
        <w:t>Option 1: Status quo</w:t>
      </w:r>
    </w:p>
    <w:p w14:paraId="6D4282CE" w14:textId="6FD4EB3C" w:rsidR="002F1835" w:rsidRDefault="002F1835" w:rsidP="00A247C5">
      <w:pPr>
        <w:pStyle w:val="Normal2"/>
      </w:pPr>
      <w:r>
        <w:t xml:space="preserve">The status quo </w:t>
      </w:r>
      <w:proofErr w:type="gramStart"/>
      <w:r>
        <w:t>is considered to be</w:t>
      </w:r>
      <w:proofErr w:type="gramEnd"/>
      <w:r>
        <w:t xml:space="preserve"> </w:t>
      </w:r>
      <w:r w:rsidR="00B83DED">
        <w:t xml:space="preserve">generally appropriate, </w:t>
      </w:r>
      <w:r w:rsidR="00A22972">
        <w:t xml:space="preserve">however there are areas where </w:t>
      </w:r>
      <w:r w:rsidR="000D15FA">
        <w:t xml:space="preserve">improvements could be made </w:t>
      </w:r>
      <w:r w:rsidR="00E41A39">
        <w:t xml:space="preserve">to </w:t>
      </w:r>
      <w:r w:rsidR="000D15FA">
        <w:t>assist the effectiveness and efficiency of the management approach</w:t>
      </w:r>
      <w:r w:rsidR="00453AD2">
        <w:t xml:space="preserve"> that will be </w:t>
      </w:r>
      <w:r w:rsidR="00AE36A0">
        <w:t xml:space="preserve">implemented as a result of the upcoming Air Plan Review. </w:t>
      </w:r>
      <w:r w:rsidR="00C34EDC">
        <w:t xml:space="preserve">Areas </w:t>
      </w:r>
      <w:r w:rsidR="00C34EDC">
        <w:lastRenderedPageBreak/>
        <w:t xml:space="preserve">requiring improvement include </w:t>
      </w:r>
      <w:r w:rsidR="00C21E96">
        <w:t>reviewing airshed boundaries</w:t>
      </w:r>
      <w:r w:rsidR="004E1115">
        <w:t xml:space="preserve"> and</w:t>
      </w:r>
      <w:r w:rsidR="00C21E96">
        <w:t xml:space="preserve"> </w:t>
      </w:r>
      <w:r w:rsidR="004E1115">
        <w:t>clarifying the actions to be taken to implement the policies.</w:t>
      </w:r>
    </w:p>
    <w:p w14:paraId="0D72E126" w14:textId="45EA6410" w:rsidR="006D3C31" w:rsidRDefault="006D3C31" w:rsidP="00DE069C">
      <w:pPr>
        <w:pStyle w:val="Heading4"/>
      </w:pPr>
      <w:r>
        <w:t xml:space="preserve">Option 2: </w:t>
      </w:r>
      <w:r w:rsidR="00E81F7F">
        <w:t>PORPS 2021</w:t>
      </w:r>
      <w:r w:rsidR="00CF7910">
        <w:t xml:space="preserve"> </w:t>
      </w:r>
      <w:r w:rsidR="00CF7910">
        <w:softHyphen/>
        <w:t xml:space="preserve">– </w:t>
      </w:r>
      <w:r w:rsidR="00CF7910">
        <w:rPr>
          <w:i/>
          <w:iCs/>
        </w:rPr>
        <w:t xml:space="preserve">preferred </w:t>
      </w:r>
    </w:p>
    <w:p w14:paraId="77A34323" w14:textId="77777777" w:rsidR="00674986" w:rsidRDefault="00AD4FE8" w:rsidP="00A247C5">
      <w:pPr>
        <w:pStyle w:val="Normal2"/>
      </w:pPr>
      <w:r>
        <w:t xml:space="preserve">The </w:t>
      </w:r>
      <w:r w:rsidR="00E81F7F">
        <w:t>PORPS 2021</w:t>
      </w:r>
      <w:r>
        <w:t xml:space="preserve"> proposes an approach </w:t>
      </w:r>
      <w:r w:rsidR="00C31525">
        <w:t>for managing air quality that includes</w:t>
      </w:r>
      <w:r w:rsidR="00926D09">
        <w:t xml:space="preserve"> </w:t>
      </w:r>
      <w:r w:rsidR="00123890">
        <w:t>two</w:t>
      </w:r>
      <w:r w:rsidR="00926D09">
        <w:t xml:space="preserve"> overarching</w:t>
      </w:r>
      <w:r w:rsidR="00123890">
        <w:t xml:space="preserve"> </w:t>
      </w:r>
      <w:r w:rsidR="00743A26">
        <w:t xml:space="preserve">and </w:t>
      </w:r>
      <w:r w:rsidR="00837F57">
        <w:t>aspirational</w:t>
      </w:r>
      <w:r w:rsidR="00926D09">
        <w:t xml:space="preserve"> object</w:t>
      </w:r>
      <w:r w:rsidR="00036B90">
        <w:t>ive</w:t>
      </w:r>
      <w:r w:rsidR="00123890">
        <w:t>s</w:t>
      </w:r>
      <w:r w:rsidR="198F5C48">
        <w:t xml:space="preserve">. </w:t>
      </w:r>
      <w:r w:rsidR="000B3D7E" w:rsidRPr="000B3D7E">
        <w:t>AIR–O1</w:t>
      </w:r>
      <w:r w:rsidR="000B3D7E">
        <w:t xml:space="preserve"> </w:t>
      </w:r>
      <w:r w:rsidR="00CD4596">
        <w:t>aim</w:t>
      </w:r>
      <w:r w:rsidR="00446A10">
        <w:t>s</w:t>
      </w:r>
      <w:r w:rsidR="00CD4596">
        <w:t xml:space="preserve"> to ensure ambient air quality </w:t>
      </w:r>
      <w:r w:rsidR="00446A10">
        <w:t xml:space="preserve">provides for human health, amenity, mana whenua values and the life supporting capacity </w:t>
      </w:r>
      <w:r w:rsidR="00382440">
        <w:t xml:space="preserve">of </w:t>
      </w:r>
      <w:r w:rsidR="00975AD0">
        <w:t xml:space="preserve">ecosystems. </w:t>
      </w:r>
      <w:r w:rsidR="00AE5D3F" w:rsidRPr="00AE5D3F">
        <w:t>AIR–O</w:t>
      </w:r>
      <w:r w:rsidR="00AE5D3F">
        <w:t xml:space="preserve">2 focuses on ensuring discharges </w:t>
      </w:r>
      <w:r w:rsidR="00202BFC">
        <w:t>to air</w:t>
      </w:r>
      <w:r w:rsidR="00AE5D3F">
        <w:t xml:space="preserve"> do not adversely affect the values </w:t>
      </w:r>
      <w:r w:rsidR="00202BFC">
        <w:t>identified in</w:t>
      </w:r>
      <w:r w:rsidR="00202BFC" w:rsidRPr="00202BFC">
        <w:t xml:space="preserve"> AIR–O1</w:t>
      </w:r>
      <w:r w:rsidR="00202BFC">
        <w:t xml:space="preserve">. </w:t>
      </w:r>
      <w:r w:rsidR="00F77585">
        <w:t xml:space="preserve"> </w:t>
      </w:r>
      <w:r w:rsidR="006B7A5D">
        <w:t>T</w:t>
      </w:r>
      <w:r w:rsidR="00E44D92">
        <w:t xml:space="preserve">he </w:t>
      </w:r>
      <w:r w:rsidR="00743A26">
        <w:t>provisions in the PORPS 2021 are</w:t>
      </w:r>
      <w:r w:rsidR="00E44D92">
        <w:t xml:space="preserve"> </w:t>
      </w:r>
      <w:r w:rsidR="00D358DE">
        <w:t>the first</w:t>
      </w:r>
      <w:r w:rsidR="00E44D92">
        <w:t xml:space="preserve"> step towards </w:t>
      </w:r>
      <w:r w:rsidR="00743A26">
        <w:t>achieving</w:t>
      </w:r>
      <w:r w:rsidR="00E44D92">
        <w:t xml:space="preserve"> AIR</w:t>
      </w:r>
      <w:r w:rsidR="00D96871">
        <w:t>–</w:t>
      </w:r>
      <w:r w:rsidR="00E44D92">
        <w:t>O1</w:t>
      </w:r>
      <w:r w:rsidR="00CD4CED">
        <w:t xml:space="preserve"> and AIR</w:t>
      </w:r>
      <w:r w:rsidR="00D96871">
        <w:t>–</w:t>
      </w:r>
      <w:r w:rsidR="00CD4CED">
        <w:t>O2</w:t>
      </w:r>
      <w:r w:rsidR="004521B5">
        <w:t xml:space="preserve"> but rely primarily on a review of the current Air Plan for full achievement of the objectives</w:t>
      </w:r>
      <w:r w:rsidR="00E44D92">
        <w:t xml:space="preserve">. </w:t>
      </w:r>
    </w:p>
    <w:p w14:paraId="6B1F49CC" w14:textId="5B3E1472" w:rsidR="006D3C31" w:rsidRDefault="00743A26" w:rsidP="00A247C5">
      <w:pPr>
        <w:pStyle w:val="Normal2"/>
      </w:pPr>
      <w:r>
        <w:t xml:space="preserve">In terms of policies, </w:t>
      </w:r>
      <w:r w:rsidR="00E44D92">
        <w:t>AIR</w:t>
      </w:r>
      <w:r w:rsidR="00D96871">
        <w:t>–</w:t>
      </w:r>
      <w:r w:rsidR="00E44D92">
        <w:t xml:space="preserve">P1 </w:t>
      </w:r>
      <w:r>
        <w:t>requires maintaining</w:t>
      </w:r>
      <w:r w:rsidR="007C7FB1">
        <w:t xml:space="preserve"> good</w:t>
      </w:r>
      <w:r w:rsidR="001C424B">
        <w:t xml:space="preserve"> ambient air quality </w:t>
      </w:r>
      <w:r w:rsidR="001B4326">
        <w:t>by</w:t>
      </w:r>
      <w:r w:rsidR="007C7FB1">
        <w:t xml:space="preserve"> ensuring discharges to air comply with ambient air quality limits where those limits have been set</w:t>
      </w:r>
      <w:r w:rsidR="00DF087F">
        <w:t xml:space="preserve">, </w:t>
      </w:r>
      <w:r w:rsidR="005F2508">
        <w:t xml:space="preserve">and </w:t>
      </w:r>
      <w:r w:rsidR="00DF087F">
        <w:t xml:space="preserve">where no </w:t>
      </w:r>
      <w:r w:rsidR="007C7FB1">
        <w:t>limit</w:t>
      </w:r>
      <w:r w:rsidR="00DF087F">
        <w:t>s are set</w:t>
      </w:r>
      <w:r>
        <w:t>,</w:t>
      </w:r>
      <w:r w:rsidR="00DF087F">
        <w:t xml:space="preserve"> </w:t>
      </w:r>
      <w:r w:rsidR="005F2508">
        <w:t>only allowing</w:t>
      </w:r>
      <w:r w:rsidR="00D75C59">
        <w:t xml:space="preserve"> discharges to air if the adverse effects</w:t>
      </w:r>
      <w:r w:rsidR="00FD4E7F">
        <w:t xml:space="preserve"> (including cumulative effects)</w:t>
      </w:r>
      <w:r w:rsidR="00D75C59">
        <w:t xml:space="preserve"> of the activity</w:t>
      </w:r>
      <w:r w:rsidR="00DB7B98">
        <w:t xml:space="preserve"> on ambient air quality</w:t>
      </w:r>
      <w:r w:rsidR="00D75C59">
        <w:t xml:space="preserve"> are minor</w:t>
      </w:r>
      <w:r w:rsidR="00DF087F">
        <w:t xml:space="preserve">. </w:t>
      </w:r>
      <w:r w:rsidR="00D75C59">
        <w:t xml:space="preserve"> </w:t>
      </w:r>
    </w:p>
    <w:p w14:paraId="4604EC12" w14:textId="77777777" w:rsidR="00D96871" w:rsidRDefault="00D96871" w:rsidP="00A247C5">
      <w:pPr>
        <w:pStyle w:val="Normal2"/>
      </w:pPr>
      <w:r>
        <w:t>AIR–P2 requires improving ambient air quality where it is poor by establishing and maintaining plan provisions that set limits and timeframes for improving ambient air quality, including by managing the spatial distribution of activities and transport, and prioritising actions to reduce PM</w:t>
      </w:r>
      <w:r w:rsidRPr="29589E8D">
        <w:rPr>
          <w:vertAlign w:val="subscript"/>
        </w:rPr>
        <w:t>10</w:t>
      </w:r>
      <w:r>
        <w:t xml:space="preserve"> and PM</w:t>
      </w:r>
      <w:r w:rsidRPr="29589E8D">
        <w:rPr>
          <w:vertAlign w:val="subscript"/>
        </w:rPr>
        <w:t>2.5</w:t>
      </w:r>
      <w:r>
        <w:t xml:space="preserve"> concentrations in polluted airsheds. Actions to achieve this include phasing out of existing domestic solid fuel burning appliances and prevention of discharges from any new domestic solid fuel burning appliances that do not comply with at least the standards set in the NESAQ. </w:t>
      </w:r>
    </w:p>
    <w:p w14:paraId="45E147EE" w14:textId="6B6B3317" w:rsidR="00D96871" w:rsidRPr="006E31E0" w:rsidRDefault="7537F91F" w:rsidP="00A247C5">
      <w:pPr>
        <w:pStyle w:val="Normal2"/>
        <w:rPr>
          <w:rFonts w:eastAsiaTheme="minorEastAsia"/>
        </w:rPr>
      </w:pPr>
      <w:r>
        <w:t>AIR–P3 allows disch</w:t>
      </w:r>
      <w:r w:rsidR="27FD44BA">
        <w:t>a</w:t>
      </w:r>
      <w:r>
        <w:t xml:space="preserve">rges provided they do not adversely affect the values stated in </w:t>
      </w:r>
      <w:r w:rsidR="6E4772E7">
        <w:t xml:space="preserve">AIR–O1 and </w:t>
      </w:r>
      <w:r w:rsidR="0007300A">
        <w:t>AIR–</w:t>
      </w:r>
      <w:r w:rsidR="6E4772E7">
        <w:t>O2</w:t>
      </w:r>
      <w:r w:rsidR="7F4385D7">
        <w:t>.</w:t>
      </w:r>
      <w:r>
        <w:t xml:space="preserve"> </w:t>
      </w:r>
      <w:r w:rsidR="65D28C2C">
        <w:t>AIR–P</w:t>
      </w:r>
      <w:r w:rsidR="30D06AA1">
        <w:t>4</w:t>
      </w:r>
      <w:r w:rsidR="00D96871">
        <w:t xml:space="preserve"> requires avoidance of discharges to air that cause offensive and objectionable, </w:t>
      </w:r>
      <w:proofErr w:type="gramStart"/>
      <w:r w:rsidR="00D96871">
        <w:t>noxious</w:t>
      </w:r>
      <w:proofErr w:type="gramEnd"/>
      <w:r w:rsidR="00D96871">
        <w:t xml:space="preserve"> or dangerous effects</w:t>
      </w:r>
      <w:r w:rsidR="17EC9C98">
        <w:t>, while AIR–P</w:t>
      </w:r>
      <w:r w:rsidR="782A8387">
        <w:t>5</w:t>
      </w:r>
      <w:r w:rsidR="17EC9C98">
        <w:t xml:space="preserve"> requires management</w:t>
      </w:r>
      <w:r w:rsidR="78629A9E">
        <w:t xml:space="preserve"> of</w:t>
      </w:r>
      <w:r w:rsidR="17EC9C98">
        <w:t xml:space="preserve"> discharges to air</w:t>
      </w:r>
      <w:r w:rsidR="65D28C2C">
        <w:t xml:space="preserve"> </w:t>
      </w:r>
      <w:r w:rsidR="00D96871">
        <w:t>beyond the boundary of origin in an effort to minimise the adverse effects of discharges to air. AIR–</w:t>
      </w:r>
      <w:r w:rsidR="65D28C2C" w:rsidRPr="122D498B">
        <w:rPr>
          <w:rStyle w:val="CommentReference"/>
          <w:sz w:val="22"/>
          <w:szCs w:val="22"/>
        </w:rPr>
        <w:t>P</w:t>
      </w:r>
      <w:r w:rsidR="7F4CA9CE" w:rsidRPr="122D498B">
        <w:rPr>
          <w:rStyle w:val="CommentReference"/>
          <w:sz w:val="22"/>
          <w:szCs w:val="22"/>
        </w:rPr>
        <w:t>6</w:t>
      </w:r>
      <w:r w:rsidR="00D96871" w:rsidRPr="29589E8D">
        <w:rPr>
          <w:rStyle w:val="CommentReference"/>
          <w:sz w:val="20"/>
          <w:szCs w:val="20"/>
        </w:rPr>
        <w:t xml:space="preserve"> </w:t>
      </w:r>
      <w:r w:rsidR="00D96871" w:rsidRPr="29589E8D">
        <w:rPr>
          <w:rStyle w:val="CommentReference"/>
          <w:sz w:val="22"/>
          <w:szCs w:val="22"/>
        </w:rPr>
        <w:t xml:space="preserve">recognises the cultural significance of air quality and requires adverse effects of discharges to air on cultural values are minimised, by having </w:t>
      </w:r>
      <w:proofErr w:type="gramStart"/>
      <w:r w:rsidR="00D96871" w:rsidRPr="29589E8D">
        <w:rPr>
          <w:rStyle w:val="CommentReference"/>
          <w:sz w:val="22"/>
          <w:szCs w:val="22"/>
        </w:rPr>
        <w:t>particular regard</w:t>
      </w:r>
      <w:proofErr w:type="gramEnd"/>
      <w:r w:rsidR="00D96871" w:rsidRPr="29589E8D">
        <w:rPr>
          <w:rStyle w:val="CommentReference"/>
          <w:sz w:val="22"/>
          <w:szCs w:val="22"/>
        </w:rPr>
        <w:t xml:space="preserve"> to adverse effects on </w:t>
      </w:r>
      <w:r w:rsidR="002E2073">
        <w:rPr>
          <w:rStyle w:val="CommentReference"/>
          <w:sz w:val="22"/>
          <w:szCs w:val="22"/>
        </w:rPr>
        <w:t xml:space="preserve">Kāi </w:t>
      </w:r>
      <w:proofErr w:type="spellStart"/>
      <w:r w:rsidR="002E2073">
        <w:rPr>
          <w:rStyle w:val="CommentReference"/>
          <w:sz w:val="22"/>
          <w:szCs w:val="22"/>
        </w:rPr>
        <w:t>Tahu</w:t>
      </w:r>
      <w:proofErr w:type="spellEnd"/>
      <w:r w:rsidR="00D96871" w:rsidRPr="29589E8D">
        <w:rPr>
          <w:rStyle w:val="CommentReference"/>
          <w:sz w:val="22"/>
          <w:szCs w:val="22"/>
        </w:rPr>
        <w:t xml:space="preserve"> values or sites of significance to Kāi </w:t>
      </w:r>
      <w:proofErr w:type="spellStart"/>
      <w:r w:rsidR="00D96871" w:rsidRPr="29589E8D">
        <w:rPr>
          <w:rStyle w:val="CommentReference"/>
          <w:sz w:val="22"/>
          <w:szCs w:val="22"/>
        </w:rPr>
        <w:t>Tahu</w:t>
      </w:r>
      <w:proofErr w:type="spellEnd"/>
      <w:r w:rsidR="00D96871" w:rsidRPr="29589E8D">
        <w:rPr>
          <w:rStyle w:val="CommentReference"/>
          <w:sz w:val="22"/>
          <w:szCs w:val="22"/>
        </w:rPr>
        <w:t xml:space="preserve">.  </w:t>
      </w:r>
    </w:p>
    <w:p w14:paraId="6E9143AF" w14:textId="3D2FB19D" w:rsidR="00D96871" w:rsidRDefault="00D96871" w:rsidP="00A247C5">
      <w:pPr>
        <w:pStyle w:val="Normal2"/>
      </w:pPr>
      <w:r>
        <w:t>As the first step in implementation, Method AIR–M1 directs ORC to review existing airshed boundaries. This is followed by Methods AIR–M2 and AIR–M3 which specify the provisions required in regional and district plans to implement Policies AIR–P1 to AIR–</w:t>
      </w:r>
      <w:r w:rsidR="65D28C2C">
        <w:t>P</w:t>
      </w:r>
      <w:r w:rsidR="1EDEA9ED">
        <w:t>6</w:t>
      </w:r>
      <w:r>
        <w:t xml:space="preserve">.  Method AIR–M4 requires ORC to continue to monitor air quality and report on progress to attaining the NESAQ ambient air quality standards. Incentives and other mechanisms to assist with implementation of Policies AIR–P1 to AIR–P3 and achievement towards the objectives are set out in Method AIR–M5. </w:t>
      </w:r>
    </w:p>
    <w:p w14:paraId="352242F6" w14:textId="16A603A7" w:rsidR="003F6058" w:rsidRDefault="003F6058" w:rsidP="00DE069C">
      <w:pPr>
        <w:pStyle w:val="Heading4"/>
      </w:pPr>
      <w:r>
        <w:t xml:space="preserve">Option 3: </w:t>
      </w:r>
      <w:r w:rsidR="00030266">
        <w:t>Option 2</w:t>
      </w:r>
      <w:r w:rsidR="002059F3">
        <w:t xml:space="preserve"> (</w:t>
      </w:r>
      <w:r w:rsidR="004916A1">
        <w:t>PORPS 2021)</w:t>
      </w:r>
      <w:r w:rsidR="00030266">
        <w:t xml:space="preserve"> and additional controls </w:t>
      </w:r>
    </w:p>
    <w:p w14:paraId="32503E60" w14:textId="1B40F402" w:rsidR="00E14F5F" w:rsidRDefault="00840D61" w:rsidP="00A247C5">
      <w:pPr>
        <w:pStyle w:val="Normal2"/>
      </w:pPr>
      <w:r>
        <w:t>Option 3</w:t>
      </w:r>
      <w:r w:rsidR="004235B4">
        <w:t xml:space="preserve"> builds on </w:t>
      </w:r>
      <w:r w:rsidR="005A3E5E">
        <w:t xml:space="preserve">the </w:t>
      </w:r>
      <w:r w:rsidR="00B46175">
        <w:t>policy direction</w:t>
      </w:r>
      <w:r w:rsidR="00FA15AA">
        <w:t xml:space="preserve"> in Option 2 and provides </w:t>
      </w:r>
      <w:r>
        <w:t xml:space="preserve">a more directive and detailed approach to </w:t>
      </w:r>
      <w:r w:rsidR="000F1628">
        <w:t xml:space="preserve">the management of the air resource in Otago. </w:t>
      </w:r>
      <w:r w:rsidR="005D2236">
        <w:t>In addition to the objectives and policies set out in Option 2, Option 3 include</w:t>
      </w:r>
      <w:r w:rsidR="007957B5">
        <w:t>s</w:t>
      </w:r>
      <w:r w:rsidR="005D2236">
        <w:t xml:space="preserve"> the following additional controls:</w:t>
      </w:r>
    </w:p>
    <w:p w14:paraId="3D2754AC" w14:textId="7C2FD387" w:rsidR="00816471" w:rsidRDefault="006108FA" w:rsidP="00A247C5">
      <w:pPr>
        <w:pStyle w:val="Normal3"/>
      </w:pPr>
      <w:r>
        <w:t>Provi</w:t>
      </w:r>
      <w:r w:rsidR="005D2236">
        <w:t>sion for</w:t>
      </w:r>
      <w:r>
        <w:t xml:space="preserve"> offsetting</w:t>
      </w:r>
      <w:r w:rsidR="004049C6">
        <w:t xml:space="preserve"> in accordance with a </w:t>
      </w:r>
      <w:r w:rsidR="00984F5B">
        <w:t xml:space="preserve">detailed </w:t>
      </w:r>
      <w:r w:rsidR="004049C6">
        <w:t>Schedule</w:t>
      </w:r>
      <w:r w:rsidR="00C23237">
        <w:t xml:space="preserve"> as a tool</w:t>
      </w:r>
      <w:r w:rsidR="004049C6">
        <w:t xml:space="preserve"> to </w:t>
      </w:r>
      <w:r w:rsidR="00254769">
        <w:t xml:space="preserve">minimise </w:t>
      </w:r>
      <w:r w:rsidR="00C23237">
        <w:t>adverse effects on air quality</w:t>
      </w:r>
      <w:r w:rsidR="00D96871">
        <w:t>,</w:t>
      </w:r>
    </w:p>
    <w:p w14:paraId="10D6B913" w14:textId="77777777" w:rsidR="00D96871" w:rsidRDefault="00D96871" w:rsidP="00A247C5">
      <w:pPr>
        <w:pStyle w:val="Normal3"/>
      </w:pPr>
      <w:r>
        <w:t>Mitigation measures that apply to specific activities that discharge contaminants to air (such as outdoor burning), and</w:t>
      </w:r>
    </w:p>
    <w:p w14:paraId="1886B611" w14:textId="77777777" w:rsidR="00D96871" w:rsidRDefault="00D96871" w:rsidP="00A247C5">
      <w:pPr>
        <w:pStyle w:val="Normal3"/>
      </w:pPr>
      <w:r>
        <w:t>Provisions in relation to the emission of greenhouse gasses.</w:t>
      </w:r>
    </w:p>
    <w:p w14:paraId="1F2D7DEB" w14:textId="58387B38" w:rsidR="003F6058" w:rsidRDefault="00D96871" w:rsidP="00A247C5">
      <w:pPr>
        <w:pStyle w:val="Normal2"/>
      </w:pPr>
      <w:r>
        <w:lastRenderedPageBreak/>
        <w:t>This option was discounted because it</w:t>
      </w:r>
      <w:r w:rsidR="00795976">
        <w:t xml:space="preserve"> was considered that </w:t>
      </w:r>
      <w:r w:rsidR="0054314E">
        <w:t xml:space="preserve">activity-specific </w:t>
      </w:r>
      <w:r w:rsidR="00200721">
        <w:t>measures</w:t>
      </w:r>
      <w:r w:rsidR="002B4C0D">
        <w:t xml:space="preserve"> to </w:t>
      </w:r>
      <w:r w:rsidR="00A61B4B">
        <w:t xml:space="preserve">achieve the objectives and policies of Option 2 would be more </w:t>
      </w:r>
      <w:r w:rsidR="00711E76">
        <w:t>appropriately refined through further</w:t>
      </w:r>
      <w:r w:rsidR="00BF198E">
        <w:t xml:space="preserve"> investigation </w:t>
      </w:r>
      <w:r w:rsidR="00DB348D">
        <w:t>and community</w:t>
      </w:r>
      <w:r w:rsidR="00711E76">
        <w:t xml:space="preserve"> consultation</w:t>
      </w:r>
      <w:r w:rsidR="006B68EA">
        <w:t xml:space="preserve"> </w:t>
      </w:r>
      <w:r w:rsidR="006D78C1">
        <w:t xml:space="preserve">required as part of the Air Plan Review. </w:t>
      </w:r>
      <w:r w:rsidR="0071018E">
        <w:t xml:space="preserve"> </w:t>
      </w:r>
      <w:r w:rsidR="002D415F">
        <w:t>Similarly,</w:t>
      </w:r>
      <w:r w:rsidR="006D0801">
        <w:t xml:space="preserve"> criteria </w:t>
      </w:r>
      <w:r w:rsidR="00333D6B">
        <w:t xml:space="preserve">to define the terms “offensive and objectionable” </w:t>
      </w:r>
      <w:r w:rsidR="006F3315">
        <w:t xml:space="preserve">are generally most applicable to resource consents and </w:t>
      </w:r>
      <w:r w:rsidR="003D70DE">
        <w:t>accordingly t</w:t>
      </w:r>
      <w:r w:rsidR="00757C42">
        <w:t xml:space="preserve">his level of detail </w:t>
      </w:r>
      <w:r w:rsidR="00911E25">
        <w:t>would</w:t>
      </w:r>
      <w:r w:rsidR="00757C42">
        <w:t xml:space="preserve"> be more appropriate to include </w:t>
      </w:r>
      <w:r w:rsidR="00D1402F">
        <w:t xml:space="preserve">as part of the Air Plan Review. </w:t>
      </w:r>
    </w:p>
    <w:p w14:paraId="5BADEB34" w14:textId="36EA1463" w:rsidR="00300A15" w:rsidRDefault="002D696D" w:rsidP="00A247C5">
      <w:pPr>
        <w:pStyle w:val="Normal2"/>
      </w:pPr>
      <w:r>
        <w:t xml:space="preserve">In terms </w:t>
      </w:r>
      <w:r w:rsidR="003C171C">
        <w:t xml:space="preserve">of emission of greenhouse </w:t>
      </w:r>
      <w:r w:rsidR="0096632C">
        <w:t>gasses,</w:t>
      </w:r>
      <w:r w:rsidR="003C171C">
        <w:t xml:space="preserve"> it was considered</w:t>
      </w:r>
      <w:r w:rsidR="00177CD2">
        <w:t>,</w:t>
      </w:r>
      <w:r w:rsidR="000869EA">
        <w:t xml:space="preserve"> at this stage</w:t>
      </w:r>
      <w:r w:rsidR="003C171C">
        <w:t xml:space="preserve"> </w:t>
      </w:r>
      <w:r w:rsidR="009E3E9B">
        <w:t>t</w:t>
      </w:r>
      <w:r w:rsidR="000869EA">
        <w:t xml:space="preserve">hat </w:t>
      </w:r>
      <w:r w:rsidR="009E3E9B">
        <w:t>some uncertainty</w:t>
      </w:r>
      <w:r w:rsidR="000869EA">
        <w:t xml:space="preserve"> exists</w:t>
      </w:r>
      <w:r w:rsidR="009E3E9B">
        <w:t xml:space="preserve"> in relation to how the emission of greenhouse gasses is to be managed more broadly under the RMA. It is understood</w:t>
      </w:r>
      <w:r w:rsidR="008B467A">
        <w:t xml:space="preserve"> national direction is currently being </w:t>
      </w:r>
      <w:r w:rsidR="00592DAF">
        <w:t xml:space="preserve">scoped by the Ministry for the Environment to support local authorities </w:t>
      </w:r>
      <w:r w:rsidR="00053792">
        <w:t>to be</w:t>
      </w:r>
      <w:r w:rsidR="0055223C">
        <w:t xml:space="preserve"> </w:t>
      </w:r>
      <w:r w:rsidR="00990CB8">
        <w:t>consist</w:t>
      </w:r>
      <w:r w:rsidR="0055223C">
        <w:t>ent</w:t>
      </w:r>
      <w:r w:rsidR="00990CB8">
        <w:t xml:space="preserve"> in</w:t>
      </w:r>
      <w:r w:rsidR="0055223C">
        <w:t xml:space="preserve"> their</w:t>
      </w:r>
      <w:r w:rsidR="00990CB8">
        <w:t xml:space="preserve"> approach to climate change </w:t>
      </w:r>
      <w:r w:rsidR="00300A15">
        <w:t xml:space="preserve">mitigation. Until there is additional certainty provided for the management of greenhouse gas emissions, addressing such matters at an RPS level </w:t>
      </w:r>
      <w:proofErr w:type="gramStart"/>
      <w:r w:rsidR="00300A15">
        <w:t>is considered to be</w:t>
      </w:r>
      <w:proofErr w:type="gramEnd"/>
      <w:r w:rsidR="00300A15">
        <w:t xml:space="preserve"> uncertain. </w:t>
      </w:r>
    </w:p>
    <w:p w14:paraId="4BC93FF1" w14:textId="06F77E04" w:rsidR="00885779" w:rsidRDefault="00885779" w:rsidP="0082271A">
      <w:pPr>
        <w:pStyle w:val="Heading3"/>
      </w:pPr>
      <w:r>
        <w:t>Consultation summary</w:t>
      </w:r>
    </w:p>
    <w:p w14:paraId="69E7442C" w14:textId="77777777" w:rsidR="00D96871" w:rsidRDefault="00D96871" w:rsidP="00DE069C">
      <w:pPr>
        <w:pStyle w:val="Heading4"/>
      </w:pPr>
      <w:r>
        <w:t>Clause 3 consultation</w:t>
      </w:r>
    </w:p>
    <w:p w14:paraId="5CCA3548" w14:textId="09E6DE25" w:rsidR="007400F0" w:rsidRDefault="00D96871" w:rsidP="00A247C5">
      <w:pPr>
        <w:pStyle w:val="Normal2"/>
      </w:pPr>
      <w:r>
        <w:t xml:space="preserve">As outlined in section </w:t>
      </w:r>
      <w:r>
        <w:fldChar w:fldCharType="begin"/>
      </w:r>
      <w:r>
        <w:instrText xml:space="preserve"> REF _Ref68867783 \r \h </w:instrText>
      </w:r>
      <w:r>
        <w:fldChar w:fldCharType="separate"/>
      </w:r>
      <w:r w:rsidR="002A7A16">
        <w:t>2.5.1</w:t>
      </w:r>
      <w:r>
        <w:fldChar w:fldCharType="end"/>
      </w:r>
      <w:r>
        <w:t xml:space="preserve"> of this report, the PORPS 2021 provisions were provided to </w:t>
      </w:r>
      <w:proofErr w:type="gramStart"/>
      <w:r>
        <w:t>a number of</w:t>
      </w:r>
      <w:proofErr w:type="gramEnd"/>
      <w:r>
        <w:t xml:space="preserve"> parties for comment in accordance with Schedule 1 of the RMA. Feedback provided typically sought the inclusion of additional activity specific provisions which was an option discounted earlier in the process (Option 3 above).</w:t>
      </w:r>
    </w:p>
    <w:p w14:paraId="16999E51" w14:textId="345392D7" w:rsidR="007400F0" w:rsidRPr="00961D74" w:rsidRDefault="007400F0" w:rsidP="00A247C5">
      <w:pPr>
        <w:pStyle w:val="Normal2"/>
        <w:rPr>
          <w:rStyle w:val="eop"/>
        </w:rPr>
      </w:pPr>
      <w:r w:rsidRPr="29589E8D">
        <w:rPr>
          <w:rStyle w:val="normaltextrun"/>
          <w:rFonts w:ascii="Calibri" w:hAnsi="Calibri" w:cs="Calibri"/>
        </w:rPr>
        <w:t xml:space="preserve">Most of the changes made to the chapter were variations of wording to provide better clarity for intent and context. The overall direction was not changed for the </w:t>
      </w:r>
      <w:r w:rsidR="00CF484F">
        <w:rPr>
          <w:rStyle w:val="normaltextrun"/>
          <w:rFonts w:ascii="Calibri" w:hAnsi="Calibri" w:cs="Calibri"/>
          <w:i/>
          <w:iCs/>
        </w:rPr>
        <w:t>AIR – Air</w:t>
      </w:r>
      <w:r w:rsidRPr="29589E8D">
        <w:rPr>
          <w:rStyle w:val="normaltextrun"/>
          <w:rFonts w:ascii="Calibri" w:hAnsi="Calibri" w:cs="Calibri"/>
        </w:rPr>
        <w:t xml:space="preserve"> chapter, however there were suggestions to provide more detail around monitoring and definitions. The decision was made to leave this detail for the Air Plan. Suggestions were made to change the wording from </w:t>
      </w:r>
      <w:r w:rsidR="00CF484F">
        <w:rPr>
          <w:rStyle w:val="normaltextrun"/>
          <w:rFonts w:ascii="Calibri" w:hAnsi="Calibri" w:cs="Calibri"/>
        </w:rPr>
        <w:t>“</w:t>
      </w:r>
      <w:r w:rsidRPr="29589E8D">
        <w:rPr>
          <w:rStyle w:val="normaltextrun"/>
          <w:rFonts w:ascii="Calibri" w:hAnsi="Calibri" w:cs="Calibri"/>
          <w:i/>
          <w:iCs/>
        </w:rPr>
        <w:t>avoid</w:t>
      </w:r>
      <w:r w:rsidRPr="29589E8D">
        <w:rPr>
          <w:rStyle w:val="normaltextrun"/>
          <w:rFonts w:ascii="Calibri" w:hAnsi="Calibri" w:cs="Calibri"/>
        </w:rPr>
        <w:t xml:space="preserve"> objectionable and offensive</w:t>
      </w:r>
      <w:r w:rsidR="00CF484F">
        <w:rPr>
          <w:rStyle w:val="normaltextrun"/>
          <w:rFonts w:ascii="Calibri" w:hAnsi="Calibri" w:cs="Calibri"/>
        </w:rPr>
        <w:t>”</w:t>
      </w:r>
      <w:r w:rsidRPr="29589E8D">
        <w:rPr>
          <w:rStyle w:val="normaltextrun"/>
          <w:rFonts w:ascii="Calibri" w:hAnsi="Calibri" w:cs="Calibri"/>
        </w:rPr>
        <w:t xml:space="preserve"> discharges across boundaries to “</w:t>
      </w:r>
      <w:r w:rsidRPr="29589E8D">
        <w:rPr>
          <w:rStyle w:val="normaltextrun"/>
          <w:rFonts w:ascii="Calibri" w:hAnsi="Calibri" w:cs="Calibri"/>
          <w:i/>
          <w:iCs/>
        </w:rPr>
        <w:t>minimise</w:t>
      </w:r>
      <w:r w:rsidRPr="29589E8D">
        <w:rPr>
          <w:rStyle w:val="normaltextrun"/>
          <w:rFonts w:ascii="Calibri" w:hAnsi="Calibri" w:cs="Calibri"/>
        </w:rPr>
        <w:t xml:space="preserve"> objectionable and offensive’. No change was made to this wording because it was a deviation from the direction the chapter was taking on discharges to air in general. It was acknowledged that </w:t>
      </w:r>
      <w:r w:rsidR="00CF484F">
        <w:rPr>
          <w:rStyle w:val="normaltextrun"/>
          <w:rFonts w:ascii="Calibri" w:hAnsi="Calibri" w:cs="Calibri"/>
        </w:rPr>
        <w:t xml:space="preserve">Kāi </w:t>
      </w:r>
      <w:proofErr w:type="spellStart"/>
      <w:r w:rsidR="00CF484F">
        <w:rPr>
          <w:rStyle w:val="normaltextrun"/>
          <w:rFonts w:ascii="Calibri" w:hAnsi="Calibri" w:cs="Calibri"/>
        </w:rPr>
        <w:t>Tahu</w:t>
      </w:r>
      <w:proofErr w:type="spellEnd"/>
      <w:r w:rsidRPr="29589E8D">
        <w:rPr>
          <w:rStyle w:val="normaltextrun"/>
          <w:rFonts w:ascii="Calibri" w:hAnsi="Calibri" w:cs="Calibri"/>
        </w:rPr>
        <w:t xml:space="preserve"> values are impacted by not only hazardous and harmful discharges but </w:t>
      </w:r>
      <w:r w:rsidR="00CF484F">
        <w:rPr>
          <w:rStyle w:val="normaltextrun"/>
          <w:rFonts w:ascii="Calibri" w:hAnsi="Calibri" w:cs="Calibri"/>
        </w:rPr>
        <w:t>also</w:t>
      </w:r>
      <w:r w:rsidRPr="29589E8D">
        <w:rPr>
          <w:rStyle w:val="normaltextrun"/>
          <w:rFonts w:ascii="Calibri" w:hAnsi="Calibri" w:cs="Calibri"/>
        </w:rPr>
        <w:t xml:space="preserve"> offensive and objectionable discharges. </w:t>
      </w:r>
      <w:r w:rsidRPr="29589E8D">
        <w:rPr>
          <w:rStyle w:val="eop"/>
          <w:rFonts w:ascii="Calibri" w:hAnsi="Calibri" w:cs="Calibri"/>
          <w:lang w:val="en-US"/>
        </w:rPr>
        <w:t> </w:t>
      </w:r>
    </w:p>
    <w:p w14:paraId="36311E58" w14:textId="46ECF200" w:rsidR="007400F0" w:rsidRDefault="007400F0" w:rsidP="00A247C5">
      <w:pPr>
        <w:pStyle w:val="Normal2"/>
      </w:pPr>
      <w:r w:rsidRPr="29589E8D">
        <w:rPr>
          <w:rStyle w:val="normaltextrun"/>
          <w:rFonts w:ascii="Calibri" w:hAnsi="Calibri" w:cs="Calibri"/>
        </w:rPr>
        <w:t xml:space="preserve">There was some confusion around the integration of urban planning and the air chapter by requiring </w:t>
      </w:r>
      <w:r w:rsidR="00CF484F">
        <w:rPr>
          <w:rStyle w:val="normaltextrun"/>
          <w:rFonts w:ascii="Calibri" w:hAnsi="Calibri" w:cs="Calibri"/>
        </w:rPr>
        <w:t>territorial authorities</w:t>
      </w:r>
      <w:r w:rsidRPr="29589E8D">
        <w:rPr>
          <w:rStyle w:val="normaltextrun"/>
          <w:rFonts w:ascii="Calibri" w:hAnsi="Calibri" w:cs="Calibri"/>
        </w:rPr>
        <w:t xml:space="preserve"> to consider the impacts of personal motor vehicles and spatial distribution of activities on air quality (AIR</w:t>
      </w:r>
      <w:r w:rsidR="00CF484F">
        <w:t>–</w:t>
      </w:r>
      <w:r w:rsidRPr="29589E8D">
        <w:rPr>
          <w:rStyle w:val="normaltextrun"/>
          <w:rFonts w:ascii="Calibri" w:hAnsi="Calibri" w:cs="Calibri"/>
        </w:rPr>
        <w:t>M3). The arguments were that smaller urban areas do not have the means or capacity to prioritise public transport and shared transport options due to population size. However, the direction still holds unchanged due to the intent of capturing those larger urbanised centres while encouraging smaller urban areas to plan accordingly. There was strong feedback to prohibit outdoor burning altogether, however no change was made to this effect.</w:t>
      </w:r>
      <w:r w:rsidRPr="29589E8D">
        <w:rPr>
          <w:rStyle w:val="eop"/>
          <w:rFonts w:ascii="Calibri" w:hAnsi="Calibri" w:cs="Calibri"/>
          <w:lang w:val="en-US"/>
        </w:rPr>
        <w:t> </w:t>
      </w:r>
    </w:p>
    <w:p w14:paraId="76B35FD3" w14:textId="77777777" w:rsidR="00D96871" w:rsidRPr="00D65419" w:rsidRDefault="00D96871" w:rsidP="00DE069C">
      <w:pPr>
        <w:pStyle w:val="Heading4"/>
      </w:pPr>
      <w:r>
        <w:t>Clause 4A consultation</w:t>
      </w:r>
    </w:p>
    <w:p w14:paraId="04CB09E3" w14:textId="0384DC86" w:rsidR="00664E66" w:rsidRPr="00664E66" w:rsidRDefault="00204F06" w:rsidP="007A4326">
      <w:pPr>
        <w:pStyle w:val="Normal2"/>
      </w:pPr>
      <w:r>
        <w:t xml:space="preserve">The feedback provided by Iwi </w:t>
      </w:r>
      <w:r w:rsidR="00A25E5B">
        <w:t xml:space="preserve">on the air chapter was concerned with changing the </w:t>
      </w:r>
      <w:r w:rsidR="00AE5746">
        <w:t xml:space="preserve">use of ‘Kai </w:t>
      </w:r>
      <w:proofErr w:type="spellStart"/>
      <w:r w:rsidR="00B54D56">
        <w:t>Tahu</w:t>
      </w:r>
      <w:proofErr w:type="spellEnd"/>
      <w:r w:rsidR="00B54D56">
        <w:t>’ to ‘mana whenua’</w:t>
      </w:r>
      <w:r w:rsidR="00DC5D5E">
        <w:t xml:space="preserve">. The reasoning for this change was </w:t>
      </w:r>
      <w:r w:rsidR="002D05C7">
        <w:t xml:space="preserve">that the use of mana whenua </w:t>
      </w:r>
      <w:r w:rsidR="00470BB9">
        <w:t xml:space="preserve">spoke to the specific </w:t>
      </w:r>
      <w:proofErr w:type="spellStart"/>
      <w:r w:rsidR="009830AA" w:rsidRPr="009830AA">
        <w:t>Rūnaka</w:t>
      </w:r>
      <w:proofErr w:type="spellEnd"/>
      <w:r w:rsidR="00AB4B96">
        <w:t xml:space="preserve"> </w:t>
      </w:r>
      <w:r w:rsidR="00E65119">
        <w:t>in Otago</w:t>
      </w:r>
      <w:r w:rsidR="00AE7A8D">
        <w:t xml:space="preserve">. </w:t>
      </w:r>
      <w:r w:rsidR="00613C40">
        <w:t>Additionally</w:t>
      </w:r>
      <w:r w:rsidR="00F84A48">
        <w:t xml:space="preserve">, removing the </w:t>
      </w:r>
      <w:r w:rsidR="007F19A1">
        <w:t>reference</w:t>
      </w:r>
      <w:r w:rsidR="00F84A48">
        <w:t xml:space="preserve"> to </w:t>
      </w:r>
      <w:r w:rsidR="007F19A1">
        <w:t>significant</w:t>
      </w:r>
      <w:r w:rsidR="00F84A48">
        <w:t xml:space="preserve"> </w:t>
      </w:r>
      <w:r w:rsidR="007F19A1">
        <w:t>‘</w:t>
      </w:r>
      <w:r w:rsidR="00F84A48">
        <w:t>sites</w:t>
      </w:r>
      <w:r w:rsidR="007F19A1">
        <w:t xml:space="preserve">’ was important as </w:t>
      </w:r>
      <w:r w:rsidR="00C7489C">
        <w:t xml:space="preserve">mana whenua </w:t>
      </w:r>
      <w:r w:rsidR="00260F6D">
        <w:t>hold values that</w:t>
      </w:r>
      <w:r w:rsidR="000B5E5F">
        <w:t xml:space="preserve"> are not limited to specific </w:t>
      </w:r>
      <w:r w:rsidR="00A96A91">
        <w:t xml:space="preserve">points on a map, rather holistic </w:t>
      </w:r>
      <w:r w:rsidR="00B6555D">
        <w:t xml:space="preserve">interactions </w:t>
      </w:r>
      <w:r w:rsidR="00141D46">
        <w:t>and relations between</w:t>
      </w:r>
      <w:r w:rsidR="00AF7A9B">
        <w:t xml:space="preserve"> </w:t>
      </w:r>
      <w:r w:rsidR="00AF1A8E">
        <w:t xml:space="preserve">associated </w:t>
      </w:r>
      <w:r w:rsidR="00AF7A9B">
        <w:t>values</w:t>
      </w:r>
      <w:r w:rsidR="00141D46">
        <w:t xml:space="preserve"> that cross </w:t>
      </w:r>
      <w:r w:rsidR="00613C40">
        <w:t xml:space="preserve">artificial </w:t>
      </w:r>
      <w:r w:rsidR="00613C40">
        <w:lastRenderedPageBreak/>
        <w:t xml:space="preserve">boundaries. </w:t>
      </w:r>
      <w:r w:rsidR="00F84A48">
        <w:t xml:space="preserve"> </w:t>
      </w:r>
      <w:r w:rsidR="006C1ACA">
        <w:t>Both</w:t>
      </w:r>
      <w:r w:rsidR="00AD7336">
        <w:t xml:space="preserve"> changes were </w:t>
      </w:r>
      <w:r w:rsidR="00753EBB">
        <w:t>adopted as they were considered to</w:t>
      </w:r>
      <w:r w:rsidR="00AD7336">
        <w:t xml:space="preserve"> </w:t>
      </w:r>
      <w:r w:rsidR="001875E6">
        <w:t xml:space="preserve">improve </w:t>
      </w:r>
      <w:r w:rsidR="00B14057">
        <w:t xml:space="preserve">both the relevance and flow of the </w:t>
      </w:r>
      <w:r w:rsidR="006C1ACA">
        <w:t xml:space="preserve">air </w:t>
      </w:r>
      <w:r w:rsidR="00B14057">
        <w:t xml:space="preserve">provisions. </w:t>
      </w:r>
    </w:p>
    <w:p w14:paraId="2A5F173D" w14:textId="77777777" w:rsidR="006D3C31" w:rsidRDefault="006D3C31" w:rsidP="0082271A">
      <w:pPr>
        <w:pStyle w:val="Heading3"/>
      </w:pPr>
      <w:r>
        <w:t>Efficiency and effectiveness evaluation</w:t>
      </w:r>
    </w:p>
    <w:p w14:paraId="1D0B4A04" w14:textId="37071B3B" w:rsidR="006D3C31" w:rsidRDefault="00EB64B4" w:rsidP="00A247C5">
      <w:pPr>
        <w:pStyle w:val="Normal2"/>
      </w:pPr>
      <w:r>
        <w:fldChar w:fldCharType="begin"/>
      </w:r>
      <w:r>
        <w:instrText xml:space="preserve"> REF _Ref69142681 \h </w:instrText>
      </w:r>
      <w:r>
        <w:fldChar w:fldCharType="separate"/>
      </w:r>
      <w:r w:rsidR="002A7A16">
        <w:t xml:space="preserve">Table </w:t>
      </w:r>
      <w:r w:rsidR="002A7A16">
        <w:rPr>
          <w:noProof/>
        </w:rPr>
        <w:t>29</w:t>
      </w:r>
      <w:r>
        <w:fldChar w:fldCharType="end"/>
      </w:r>
      <w:r w:rsidR="00C31888">
        <w:t xml:space="preserve"> </w:t>
      </w:r>
      <w:r w:rsidR="006D3C31">
        <w:t xml:space="preserve">below identifies and assesses the benefits and costs of the environmental, cultural, </w:t>
      </w:r>
      <w:proofErr w:type="gramStart"/>
      <w:r w:rsidR="006D3C31">
        <w:t>social</w:t>
      </w:r>
      <w:proofErr w:type="gramEnd"/>
      <w:r w:rsidR="006D3C31">
        <w:t xml:space="preserve"> and economic effects that are anticipated from the implementation of the provisions proposed under Option 2 above.</w:t>
      </w:r>
    </w:p>
    <w:p w14:paraId="55234089" w14:textId="240782C1" w:rsidR="006D3C31" w:rsidRDefault="006D3C31" w:rsidP="006D3C31">
      <w:pPr>
        <w:pStyle w:val="Caption"/>
        <w:keepNext/>
      </w:pPr>
      <w:bookmarkStart w:id="71" w:name="_Ref69142681"/>
      <w:r>
        <w:t xml:space="preserve">Table </w:t>
      </w:r>
      <w:r>
        <w:fldChar w:fldCharType="begin"/>
      </w:r>
      <w:r>
        <w:instrText>SEQ Table \* ARABIC</w:instrText>
      </w:r>
      <w:r>
        <w:fldChar w:fldCharType="separate"/>
      </w:r>
      <w:r w:rsidR="002A7A16">
        <w:rPr>
          <w:noProof/>
        </w:rPr>
        <w:t>29</w:t>
      </w:r>
      <w:r>
        <w:fldChar w:fldCharType="end"/>
      </w:r>
      <w:bookmarkEnd w:id="71"/>
      <w:r>
        <w:t>:</w:t>
      </w:r>
      <w:r w:rsidRPr="00005F72">
        <w:t xml:space="preserve"> </w:t>
      </w:r>
      <w:r>
        <w:t xml:space="preserve">Benefits and costs for </w:t>
      </w:r>
      <w:r w:rsidR="00D96871">
        <w:t>AIR – Air</w:t>
      </w:r>
    </w:p>
    <w:tbl>
      <w:tblPr>
        <w:tblStyle w:val="ListTable1Light-Accent1"/>
        <w:tblW w:w="0" w:type="auto"/>
        <w:tblLook w:val="04A0" w:firstRow="1" w:lastRow="0" w:firstColumn="1" w:lastColumn="0" w:noHBand="0" w:noVBand="1"/>
      </w:tblPr>
      <w:tblGrid>
        <w:gridCol w:w="4508"/>
        <w:gridCol w:w="4508"/>
      </w:tblGrid>
      <w:tr w:rsidR="00D96871" w:rsidRPr="00AE42AF" w14:paraId="14F313D7" w14:textId="77777777" w:rsidTr="00603C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7C691DA" w14:textId="77777777" w:rsidR="00D96871" w:rsidRPr="00AE42AF" w:rsidRDefault="00D96871" w:rsidP="00603C9E">
            <w:pPr>
              <w:jc w:val="center"/>
              <w:rPr>
                <w:sz w:val="20"/>
              </w:rPr>
            </w:pPr>
            <w:r w:rsidRPr="00AE42AF">
              <w:rPr>
                <w:sz w:val="20"/>
              </w:rPr>
              <w:t>BENEFITS</w:t>
            </w:r>
          </w:p>
        </w:tc>
        <w:tc>
          <w:tcPr>
            <w:tcW w:w="4508" w:type="dxa"/>
          </w:tcPr>
          <w:p w14:paraId="17D657CD" w14:textId="77777777" w:rsidR="00D96871" w:rsidRPr="00AE42AF" w:rsidRDefault="00D96871" w:rsidP="00603C9E">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D96871" w:rsidRPr="00AE42AF" w14:paraId="3A628DDD" w14:textId="77777777" w:rsidTr="00603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C4CD3B4" w14:textId="77777777" w:rsidR="00D96871" w:rsidRPr="00AE42AF" w:rsidRDefault="00D96871" w:rsidP="00603C9E">
            <w:pPr>
              <w:jc w:val="center"/>
              <w:rPr>
                <w:sz w:val="20"/>
              </w:rPr>
            </w:pPr>
            <w:r w:rsidRPr="00AE42AF">
              <w:rPr>
                <w:sz w:val="20"/>
              </w:rPr>
              <w:t>Environmental</w:t>
            </w:r>
          </w:p>
        </w:tc>
      </w:tr>
      <w:tr w:rsidR="00D96871" w:rsidRPr="000136C1" w14:paraId="61F0E0AD" w14:textId="77777777" w:rsidTr="00603C9E">
        <w:tc>
          <w:tcPr>
            <w:cnfStyle w:val="001000000000" w:firstRow="0" w:lastRow="0" w:firstColumn="1" w:lastColumn="0" w:oddVBand="0" w:evenVBand="0" w:oddHBand="0" w:evenHBand="0" w:firstRowFirstColumn="0" w:firstRowLastColumn="0" w:lastRowFirstColumn="0" w:lastRowLastColumn="0"/>
            <w:tcW w:w="4508" w:type="dxa"/>
          </w:tcPr>
          <w:p w14:paraId="71E91938" w14:textId="77777777" w:rsidR="00D96871" w:rsidRPr="00B12775" w:rsidRDefault="00D96871" w:rsidP="00603C9E">
            <w:pPr>
              <w:pStyle w:val="ListParagraph"/>
              <w:numPr>
                <w:ilvl w:val="0"/>
                <w:numId w:val="22"/>
              </w:numPr>
              <w:spacing w:before="60" w:after="60"/>
              <w:contextualSpacing w:val="0"/>
              <w:jc w:val="both"/>
              <w:rPr>
                <w:b w:val="0"/>
                <w:sz w:val="20"/>
                <w:szCs w:val="20"/>
              </w:rPr>
            </w:pPr>
            <w:r w:rsidRPr="634A1E48">
              <w:rPr>
                <w:b w:val="0"/>
                <w:sz w:val="20"/>
                <w:szCs w:val="20"/>
              </w:rPr>
              <w:t xml:space="preserve">The overall approach in Option 2 will contribute towards achieving good air quality at all times of the year, providing for the health and wellbeing of the people of Otago by meeting the NESAQ standards over time and requiring the maintenance of existing air quality where it already meets the NESAQ standards. </w:t>
            </w:r>
          </w:p>
          <w:p w14:paraId="1679738E" w14:textId="77777777" w:rsidR="00D96871" w:rsidRPr="005F562E" w:rsidRDefault="00D96871" w:rsidP="00603C9E">
            <w:pPr>
              <w:pStyle w:val="ListParagraph"/>
              <w:numPr>
                <w:ilvl w:val="0"/>
                <w:numId w:val="22"/>
              </w:numPr>
              <w:spacing w:before="60" w:after="60"/>
              <w:contextualSpacing w:val="0"/>
              <w:jc w:val="both"/>
              <w:rPr>
                <w:b w:val="0"/>
                <w:sz w:val="20"/>
                <w:szCs w:val="20"/>
              </w:rPr>
            </w:pPr>
            <w:r w:rsidRPr="634A1E48">
              <w:rPr>
                <w:b w:val="0"/>
                <w:sz w:val="20"/>
                <w:szCs w:val="20"/>
              </w:rPr>
              <w:t xml:space="preserve">Implementing measures to minimise adverse effects and avoidance of effects that are offensive and objectionable, </w:t>
            </w:r>
            <w:proofErr w:type="gramStart"/>
            <w:r w:rsidRPr="634A1E48">
              <w:rPr>
                <w:b w:val="0"/>
                <w:sz w:val="20"/>
                <w:szCs w:val="20"/>
              </w:rPr>
              <w:t>noxious</w:t>
            </w:r>
            <w:proofErr w:type="gramEnd"/>
            <w:r w:rsidRPr="634A1E48">
              <w:rPr>
                <w:b w:val="0"/>
                <w:sz w:val="20"/>
                <w:szCs w:val="20"/>
              </w:rPr>
              <w:t xml:space="preserve"> or dangerous is likely to result in improvements in amenity values of the region and the life supporting capacity of ecosystems.</w:t>
            </w:r>
            <w:r w:rsidRPr="634A1E48">
              <w:rPr>
                <w:sz w:val="20"/>
                <w:szCs w:val="20"/>
              </w:rPr>
              <w:t xml:space="preserve"> </w:t>
            </w:r>
          </w:p>
        </w:tc>
        <w:tc>
          <w:tcPr>
            <w:tcW w:w="4508" w:type="dxa"/>
          </w:tcPr>
          <w:p w14:paraId="4C52CBF4" w14:textId="0F56B59F"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may be environmental costs associated with increased reliance on alternative heating such as electricity, which might result in costs for other parts of the environment including the use of water for hydroelectricity and the construction effects associated with developing a more robust and resilient electricity transmission network.  </w:t>
            </w:r>
          </w:p>
          <w:p w14:paraId="52535501" w14:textId="3C4AB8A6" w:rsidR="00D96871" w:rsidRPr="00753EBB" w:rsidRDefault="00D96871" w:rsidP="00753EBB">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is likely an environmental cost associated with the decommissioning and disposal of non-compliant wood burners as part of the phasing out process. This may include a minor increase in waste disposed at landfill or illegally dumped.  </w:t>
            </w:r>
          </w:p>
        </w:tc>
      </w:tr>
      <w:tr w:rsidR="00D96871" w:rsidRPr="00AE42AF" w14:paraId="1817DD78" w14:textId="77777777" w:rsidTr="00603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0E83A77" w14:textId="77777777" w:rsidR="00D96871" w:rsidRPr="00AE42AF" w:rsidRDefault="00D96871" w:rsidP="00603C9E">
            <w:pPr>
              <w:jc w:val="center"/>
              <w:rPr>
                <w:sz w:val="20"/>
              </w:rPr>
            </w:pPr>
            <w:r>
              <w:rPr>
                <w:sz w:val="20"/>
              </w:rPr>
              <w:t>Cultural</w:t>
            </w:r>
          </w:p>
        </w:tc>
      </w:tr>
      <w:tr w:rsidR="00D96871" w:rsidRPr="000E2E23" w14:paraId="2D226440" w14:textId="77777777" w:rsidTr="00603C9E">
        <w:tc>
          <w:tcPr>
            <w:cnfStyle w:val="001000000000" w:firstRow="0" w:lastRow="0" w:firstColumn="1" w:lastColumn="0" w:oddVBand="0" w:evenVBand="0" w:oddHBand="0" w:evenHBand="0" w:firstRowFirstColumn="0" w:firstRowLastColumn="0" w:lastRowFirstColumn="0" w:lastRowLastColumn="0"/>
            <w:tcW w:w="4508" w:type="dxa"/>
          </w:tcPr>
          <w:p w14:paraId="72B7F24E" w14:textId="70A022DA" w:rsidR="00D96871" w:rsidRPr="0052730E" w:rsidRDefault="00D96871" w:rsidP="0052730E">
            <w:pPr>
              <w:pStyle w:val="ListParagraph"/>
              <w:numPr>
                <w:ilvl w:val="0"/>
                <w:numId w:val="22"/>
              </w:numPr>
              <w:spacing w:before="60" w:after="60"/>
              <w:contextualSpacing w:val="0"/>
              <w:jc w:val="both"/>
              <w:rPr>
                <w:b w:val="0"/>
                <w:sz w:val="20"/>
              </w:rPr>
            </w:pPr>
            <w:r w:rsidRPr="634A1E48">
              <w:rPr>
                <w:b w:val="0"/>
                <w:sz w:val="20"/>
                <w:szCs w:val="20"/>
              </w:rPr>
              <w:t xml:space="preserve">Option 2 requires </w:t>
            </w:r>
            <w:proofErr w:type="gramStart"/>
            <w:r w:rsidRPr="634A1E48">
              <w:rPr>
                <w:b w:val="0"/>
                <w:sz w:val="20"/>
                <w:szCs w:val="20"/>
              </w:rPr>
              <w:t>particular regard</w:t>
            </w:r>
            <w:proofErr w:type="gramEnd"/>
            <w:r w:rsidRPr="634A1E48">
              <w:rPr>
                <w:b w:val="0"/>
                <w:sz w:val="20"/>
                <w:szCs w:val="20"/>
              </w:rPr>
              <w:t xml:space="preserve"> be had to any adverse effects on Kāi </w:t>
            </w:r>
            <w:proofErr w:type="spellStart"/>
            <w:r w:rsidRPr="634A1E48">
              <w:rPr>
                <w:b w:val="0"/>
                <w:sz w:val="20"/>
                <w:szCs w:val="20"/>
              </w:rPr>
              <w:t>Tahu</w:t>
            </w:r>
            <w:proofErr w:type="spellEnd"/>
            <w:r w:rsidRPr="634A1E48">
              <w:rPr>
                <w:b w:val="0"/>
                <w:sz w:val="20"/>
                <w:szCs w:val="20"/>
              </w:rPr>
              <w:t xml:space="preserve"> values or sites of significance to Kāi </w:t>
            </w:r>
            <w:proofErr w:type="spellStart"/>
            <w:r w:rsidRPr="634A1E48">
              <w:rPr>
                <w:b w:val="0"/>
                <w:sz w:val="20"/>
                <w:szCs w:val="20"/>
              </w:rPr>
              <w:t>Tahu</w:t>
            </w:r>
            <w:proofErr w:type="spellEnd"/>
            <w:r w:rsidRPr="634A1E48">
              <w:rPr>
                <w:b w:val="0"/>
                <w:sz w:val="20"/>
                <w:szCs w:val="20"/>
              </w:rPr>
              <w:t xml:space="preserve">, improving the ability of Kāi </w:t>
            </w:r>
            <w:proofErr w:type="spellStart"/>
            <w:r w:rsidRPr="634A1E48">
              <w:rPr>
                <w:b w:val="0"/>
                <w:sz w:val="20"/>
                <w:szCs w:val="20"/>
              </w:rPr>
              <w:t>Tahu</w:t>
            </w:r>
            <w:proofErr w:type="spellEnd"/>
            <w:r w:rsidRPr="634A1E48">
              <w:rPr>
                <w:b w:val="0"/>
                <w:sz w:val="20"/>
                <w:szCs w:val="20"/>
              </w:rPr>
              <w:t xml:space="preserve"> to exercise </w:t>
            </w:r>
            <w:proofErr w:type="spellStart"/>
            <w:r w:rsidRPr="634A1E48">
              <w:rPr>
                <w:b w:val="0"/>
                <w:sz w:val="20"/>
                <w:szCs w:val="20"/>
              </w:rPr>
              <w:t>kaitaki</w:t>
            </w:r>
            <w:proofErr w:type="spellEnd"/>
            <w:r w:rsidRPr="634A1E48">
              <w:rPr>
                <w:b w:val="0"/>
                <w:sz w:val="20"/>
                <w:szCs w:val="20"/>
              </w:rPr>
              <w:t xml:space="preserve">. </w:t>
            </w:r>
          </w:p>
          <w:p w14:paraId="0C5EA5BA" w14:textId="12480507" w:rsidR="00D96871" w:rsidRPr="0052730E" w:rsidRDefault="00D96871" w:rsidP="0052730E">
            <w:pPr>
              <w:pStyle w:val="ListParagraph"/>
              <w:numPr>
                <w:ilvl w:val="0"/>
                <w:numId w:val="22"/>
              </w:numPr>
              <w:spacing w:before="60" w:after="60"/>
              <w:contextualSpacing w:val="0"/>
              <w:jc w:val="both"/>
              <w:rPr>
                <w:b w:val="0"/>
                <w:sz w:val="20"/>
              </w:rPr>
            </w:pPr>
            <w:r w:rsidRPr="634A1E48">
              <w:rPr>
                <w:b w:val="0"/>
                <w:sz w:val="20"/>
                <w:szCs w:val="20"/>
              </w:rPr>
              <w:t xml:space="preserve">Option 2 provides a regulatory framework to ensure air quality will be improved where poor or maintained where it is already good. This approach will support the cultural values associated with clean air, including air as taonga and the relationship between clean air and the life supporting capacity of other resources. </w:t>
            </w:r>
          </w:p>
        </w:tc>
        <w:tc>
          <w:tcPr>
            <w:tcW w:w="4508" w:type="dxa"/>
          </w:tcPr>
          <w:p w14:paraId="260886D2" w14:textId="38865B21"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Air quality will not be improved quickly, so there will continue to be cultural impacts from poor air quality in some parts of Otago at </w:t>
            </w:r>
            <w:r w:rsidR="003C6C6E">
              <w:rPr>
                <w:sz w:val="20"/>
                <w:szCs w:val="20"/>
              </w:rPr>
              <w:t xml:space="preserve">certain </w:t>
            </w:r>
            <w:r w:rsidRPr="634A1E48">
              <w:rPr>
                <w:sz w:val="20"/>
                <w:szCs w:val="20"/>
              </w:rPr>
              <w:t>times of year.</w:t>
            </w:r>
          </w:p>
          <w:p w14:paraId="3028ED3F" w14:textId="77777777" w:rsidR="00D96871" w:rsidRPr="00B906D7" w:rsidRDefault="00D96871" w:rsidP="00603C9E">
            <w:pPr>
              <w:cnfStyle w:val="000000000000" w:firstRow="0" w:lastRow="0" w:firstColumn="0" w:lastColumn="0" w:oddVBand="0" w:evenVBand="0" w:oddHBand="0" w:evenHBand="0" w:firstRowFirstColumn="0" w:firstRowLastColumn="0" w:lastRowFirstColumn="0" w:lastRowLastColumn="0"/>
              <w:rPr>
                <w:sz w:val="20"/>
              </w:rPr>
            </w:pPr>
          </w:p>
        </w:tc>
      </w:tr>
      <w:tr w:rsidR="00D96871" w:rsidRPr="00AE42AF" w14:paraId="37281126" w14:textId="77777777" w:rsidTr="00603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B6CC757" w14:textId="77777777" w:rsidR="00D96871" w:rsidRPr="00AE42AF" w:rsidRDefault="00D96871" w:rsidP="00603C9E">
            <w:pPr>
              <w:jc w:val="center"/>
              <w:rPr>
                <w:sz w:val="20"/>
              </w:rPr>
            </w:pPr>
            <w:r w:rsidRPr="00AE42AF">
              <w:rPr>
                <w:sz w:val="20"/>
              </w:rPr>
              <w:t>Social</w:t>
            </w:r>
          </w:p>
        </w:tc>
      </w:tr>
      <w:tr w:rsidR="00D96871" w:rsidRPr="00FC5CD5" w14:paraId="6A016474" w14:textId="77777777" w:rsidTr="00603C9E">
        <w:tc>
          <w:tcPr>
            <w:cnfStyle w:val="001000000000" w:firstRow="0" w:lastRow="0" w:firstColumn="1" w:lastColumn="0" w:oddVBand="0" w:evenVBand="0" w:oddHBand="0" w:evenHBand="0" w:firstRowFirstColumn="0" w:firstRowLastColumn="0" w:lastRowFirstColumn="0" w:lastRowLastColumn="0"/>
            <w:tcW w:w="4508" w:type="dxa"/>
          </w:tcPr>
          <w:p w14:paraId="1726AFA8" w14:textId="77777777" w:rsidR="00D96871" w:rsidRPr="00B12775" w:rsidRDefault="00D96871" w:rsidP="00603C9E">
            <w:pPr>
              <w:pStyle w:val="ListParagraph"/>
              <w:numPr>
                <w:ilvl w:val="0"/>
                <w:numId w:val="22"/>
              </w:numPr>
              <w:spacing w:before="60" w:after="60"/>
              <w:contextualSpacing w:val="0"/>
              <w:jc w:val="both"/>
              <w:rPr>
                <w:b w:val="0"/>
                <w:sz w:val="20"/>
                <w:szCs w:val="20"/>
              </w:rPr>
            </w:pPr>
            <w:r w:rsidRPr="634A1E48">
              <w:rPr>
                <w:b w:val="0"/>
                <w:sz w:val="20"/>
                <w:szCs w:val="20"/>
              </w:rPr>
              <w:t>Option 2 is likely to result in reduced PM</w:t>
            </w:r>
            <w:r w:rsidRPr="007A4326">
              <w:rPr>
                <w:b w:val="0"/>
                <w:sz w:val="20"/>
                <w:szCs w:val="20"/>
                <w:vertAlign w:val="subscript"/>
              </w:rPr>
              <w:t>10</w:t>
            </w:r>
            <w:r w:rsidRPr="634A1E48">
              <w:rPr>
                <w:b w:val="0"/>
                <w:sz w:val="20"/>
                <w:szCs w:val="20"/>
              </w:rPr>
              <w:t xml:space="preserve"> and PM</w:t>
            </w:r>
            <w:r w:rsidRPr="007A4326">
              <w:rPr>
                <w:b w:val="0"/>
                <w:sz w:val="20"/>
                <w:szCs w:val="20"/>
                <w:vertAlign w:val="subscript"/>
              </w:rPr>
              <w:t xml:space="preserve">2.5 </w:t>
            </w:r>
            <w:r w:rsidRPr="634A1E48">
              <w:rPr>
                <w:b w:val="0"/>
                <w:sz w:val="20"/>
                <w:szCs w:val="20"/>
              </w:rPr>
              <w:t xml:space="preserve">inputs into polluted airsheds. This is likely to result in improved human health. As a result of this, over time there is likely to be lower hospital admissions for respiratory related illnesses due to poor air quality and reductions in premature mortality and restricted activity days. </w:t>
            </w:r>
          </w:p>
          <w:p w14:paraId="422D7322" w14:textId="1562C4BA" w:rsidR="00D96871" w:rsidRPr="00B12775" w:rsidRDefault="00D96871" w:rsidP="00603C9E">
            <w:pPr>
              <w:pStyle w:val="ListParagraph"/>
              <w:numPr>
                <w:ilvl w:val="0"/>
                <w:numId w:val="22"/>
              </w:numPr>
              <w:spacing w:before="60" w:after="60"/>
              <w:contextualSpacing w:val="0"/>
              <w:jc w:val="both"/>
              <w:rPr>
                <w:b w:val="0"/>
                <w:sz w:val="20"/>
                <w:szCs w:val="20"/>
              </w:rPr>
            </w:pPr>
            <w:r w:rsidRPr="634A1E48">
              <w:rPr>
                <w:b w:val="0"/>
                <w:sz w:val="20"/>
                <w:szCs w:val="20"/>
              </w:rPr>
              <w:t xml:space="preserve">Methods that encourage improved education and social change required to adopt alternative measures for home heating and clean burning fuels proposed as part of Option 2 </w:t>
            </w:r>
            <w:r w:rsidR="0024393F">
              <w:rPr>
                <w:b w:val="0"/>
                <w:sz w:val="20"/>
                <w:szCs w:val="20"/>
              </w:rPr>
              <w:t>may</w:t>
            </w:r>
            <w:r w:rsidRPr="634A1E48">
              <w:rPr>
                <w:b w:val="0"/>
                <w:sz w:val="20"/>
                <w:szCs w:val="20"/>
              </w:rPr>
              <w:t xml:space="preserve"> result in greater social cohesion between ORC, territorial </w:t>
            </w:r>
            <w:proofErr w:type="gramStart"/>
            <w:r w:rsidRPr="634A1E48">
              <w:rPr>
                <w:b w:val="0"/>
                <w:sz w:val="20"/>
                <w:szCs w:val="20"/>
              </w:rPr>
              <w:t>authorities</w:t>
            </w:r>
            <w:proofErr w:type="gramEnd"/>
            <w:r w:rsidRPr="634A1E48">
              <w:rPr>
                <w:b w:val="0"/>
                <w:sz w:val="20"/>
                <w:szCs w:val="20"/>
              </w:rPr>
              <w:t xml:space="preserve"> and the community.</w:t>
            </w:r>
          </w:p>
          <w:p w14:paraId="64A6B48B" w14:textId="77777777" w:rsidR="00D96871" w:rsidRPr="00B12775" w:rsidRDefault="00D96871" w:rsidP="00603C9E">
            <w:pPr>
              <w:pStyle w:val="ListParagraph"/>
              <w:numPr>
                <w:ilvl w:val="0"/>
                <w:numId w:val="22"/>
              </w:numPr>
              <w:spacing w:before="60" w:after="60"/>
              <w:contextualSpacing w:val="0"/>
              <w:jc w:val="both"/>
              <w:rPr>
                <w:b w:val="0"/>
                <w:sz w:val="20"/>
                <w:szCs w:val="20"/>
              </w:rPr>
            </w:pPr>
            <w:r w:rsidRPr="634A1E48">
              <w:rPr>
                <w:b w:val="0"/>
                <w:sz w:val="20"/>
                <w:szCs w:val="20"/>
              </w:rPr>
              <w:t xml:space="preserve">Minimising the adverse effects of discharges to air as proposed by Option 2, is likely to result in </w:t>
            </w:r>
            <w:r w:rsidRPr="634A1E48">
              <w:rPr>
                <w:b w:val="0"/>
                <w:sz w:val="20"/>
                <w:szCs w:val="20"/>
              </w:rPr>
              <w:lastRenderedPageBreak/>
              <w:t xml:space="preserve">positive social benefits such as communities being able to enjoy outdoor recreation without being subject to significant adverse effects on localised air quality from diminished visibility. </w:t>
            </w:r>
          </w:p>
          <w:p w14:paraId="6A69267D" w14:textId="77777777" w:rsidR="00D96871" w:rsidRPr="000136C1" w:rsidRDefault="00D96871" w:rsidP="00603C9E">
            <w:pPr>
              <w:pStyle w:val="ListParagraph"/>
              <w:spacing w:before="60" w:after="60"/>
              <w:ind w:left="360"/>
              <w:contextualSpacing w:val="0"/>
              <w:jc w:val="both"/>
              <w:rPr>
                <w:b w:val="0"/>
                <w:bCs w:val="0"/>
                <w:sz w:val="20"/>
              </w:rPr>
            </w:pPr>
          </w:p>
        </w:tc>
        <w:tc>
          <w:tcPr>
            <w:tcW w:w="4508" w:type="dxa"/>
          </w:tcPr>
          <w:p w14:paraId="5EF67C20" w14:textId="75CEB8C5"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If domestic solid fuel burning appliances are phased out without replacement by a cleaner</w:t>
            </w:r>
            <w:r w:rsidR="00181224">
              <w:rPr>
                <w:sz w:val="20"/>
                <w:szCs w:val="20"/>
              </w:rPr>
              <w:t xml:space="preserve"> affordable</w:t>
            </w:r>
            <w:r w:rsidRPr="634A1E48">
              <w:rPr>
                <w:sz w:val="20"/>
                <w:szCs w:val="20"/>
              </w:rPr>
              <w:t xml:space="preserve"> heating source, or replacement heat sources are not as effective, some people may experience a considerable drop in their quality of life and health due to a reduction in home heating.</w:t>
            </w:r>
          </w:p>
          <w:p w14:paraId="3104B4FD" w14:textId="0921CED8"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Solid fuel burners can be vital for heating during extreme cold conditions, power outages and/or natural disasters. Phasing them out may result in difficulties for people during times when they would ordinarily rely on solid fuel burners for home heating.</w:t>
            </w:r>
          </w:p>
          <w:p w14:paraId="1CA00DD4" w14:textId="77777777"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Replacing solid fuel burners with cleaner heating sources will come at a cost for people, which may </w:t>
            </w:r>
            <w:r w:rsidRPr="634A1E48">
              <w:rPr>
                <w:sz w:val="20"/>
                <w:szCs w:val="20"/>
              </w:rPr>
              <w:lastRenderedPageBreak/>
              <w:t xml:space="preserve">affect their quality of life or cause economic hardship for </w:t>
            </w:r>
            <w:proofErr w:type="gramStart"/>
            <w:r w:rsidRPr="634A1E48">
              <w:rPr>
                <w:sz w:val="20"/>
                <w:szCs w:val="20"/>
              </w:rPr>
              <w:t>a period of time</w:t>
            </w:r>
            <w:proofErr w:type="gramEnd"/>
            <w:r w:rsidRPr="634A1E48">
              <w:rPr>
                <w:sz w:val="20"/>
                <w:szCs w:val="20"/>
              </w:rPr>
              <w:t>.</w:t>
            </w:r>
          </w:p>
          <w:p w14:paraId="433F2F2B" w14:textId="7BDCB5EC" w:rsidR="00D96871" w:rsidRPr="00B12775" w:rsidRDefault="00D96871" w:rsidP="00603C9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Social costs could be mitigated by providing financial support for low income or vulnerable households, for example for the capital costs of upgrading home heating appliances as </w:t>
            </w:r>
            <w:r w:rsidR="00B04D71">
              <w:rPr>
                <w:sz w:val="20"/>
                <w:szCs w:val="20"/>
              </w:rPr>
              <w:t>provide</w:t>
            </w:r>
            <w:r w:rsidR="00D272C2">
              <w:rPr>
                <w:sz w:val="20"/>
                <w:szCs w:val="20"/>
              </w:rPr>
              <w:t>d for</w:t>
            </w:r>
            <w:r w:rsidR="00B04D71" w:rsidRPr="634A1E48">
              <w:rPr>
                <w:sz w:val="20"/>
                <w:szCs w:val="20"/>
              </w:rPr>
              <w:t xml:space="preserve"> </w:t>
            </w:r>
            <w:r w:rsidR="00D272C2">
              <w:rPr>
                <w:sz w:val="20"/>
                <w:szCs w:val="20"/>
              </w:rPr>
              <w:t>in</w:t>
            </w:r>
            <w:r w:rsidRPr="634A1E48">
              <w:rPr>
                <w:sz w:val="20"/>
                <w:szCs w:val="20"/>
              </w:rPr>
              <w:t xml:space="preserve"> Method AIR</w:t>
            </w:r>
            <w:r>
              <w:t>–</w:t>
            </w:r>
            <w:r w:rsidRPr="634A1E48">
              <w:rPr>
                <w:sz w:val="20"/>
                <w:szCs w:val="20"/>
              </w:rPr>
              <w:t xml:space="preserve">M5.  </w:t>
            </w:r>
          </w:p>
        </w:tc>
      </w:tr>
      <w:tr w:rsidR="00D96871" w:rsidRPr="00AE42AF" w14:paraId="51AFECC6" w14:textId="77777777" w:rsidTr="00603C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2779C31" w14:textId="77777777" w:rsidR="00D96871" w:rsidRPr="00AE42AF" w:rsidRDefault="00D96871" w:rsidP="00603C9E">
            <w:pPr>
              <w:jc w:val="center"/>
              <w:rPr>
                <w:sz w:val="20"/>
              </w:rPr>
            </w:pPr>
            <w:r>
              <w:rPr>
                <w:sz w:val="20"/>
              </w:rPr>
              <w:lastRenderedPageBreak/>
              <w:t>Economic</w:t>
            </w:r>
          </w:p>
        </w:tc>
      </w:tr>
      <w:tr w:rsidR="00D96871" w:rsidRPr="000136C1" w14:paraId="1EF4128D" w14:textId="77777777" w:rsidTr="00603C9E">
        <w:trPr>
          <w:trHeight w:val="3417"/>
        </w:trPr>
        <w:tc>
          <w:tcPr>
            <w:tcW w:w="4508" w:type="dxa"/>
          </w:tcPr>
          <w:p w14:paraId="651B5420" w14:textId="77777777" w:rsidR="00D96871" w:rsidRPr="00B12775" w:rsidRDefault="00D96871" w:rsidP="00603C9E">
            <w:pPr>
              <w:pStyle w:val="ListParagraph"/>
              <w:numPr>
                <w:ilvl w:val="0"/>
                <w:numId w:val="22"/>
              </w:numPr>
              <w:spacing w:before="60" w:after="60"/>
              <w:contextualSpacing w:val="0"/>
              <w:jc w:val="both"/>
              <w:cnfStyle w:val="001000000000" w:firstRow="0" w:lastRow="0" w:firstColumn="1" w:lastColumn="0" w:oddVBand="0" w:evenVBand="0" w:oddHBand="0" w:evenHBand="0" w:firstRowFirstColumn="0" w:firstRowLastColumn="0" w:lastRowFirstColumn="0" w:lastRowLastColumn="0"/>
              <w:rPr>
                <w:b w:val="0"/>
                <w:sz w:val="20"/>
                <w:szCs w:val="20"/>
              </w:rPr>
            </w:pPr>
            <w:r w:rsidRPr="634A1E48">
              <w:rPr>
                <w:b w:val="0"/>
                <w:sz w:val="20"/>
                <w:szCs w:val="20"/>
              </w:rPr>
              <w:t xml:space="preserve">Maintaining or improving air quality will provide economic benefits to the health sector and wider economy given a reduction in hospital admissions for respiratory related illnesses due to poor air quality and reductions in premature mortality and restricted activity days. </w:t>
            </w:r>
          </w:p>
          <w:p w14:paraId="4C27F8C3" w14:textId="19F2FBDB" w:rsidR="00D96871" w:rsidRPr="0024288A" w:rsidRDefault="00D96871" w:rsidP="0024288A">
            <w:pPr>
              <w:pStyle w:val="ListParagraph"/>
              <w:numPr>
                <w:ilvl w:val="0"/>
                <w:numId w:val="22"/>
              </w:numPr>
              <w:spacing w:before="60" w:after="60"/>
              <w:contextualSpacing w:val="0"/>
              <w:jc w:val="both"/>
              <w:cnfStyle w:val="001000000000" w:firstRow="0" w:lastRow="0" w:firstColumn="1" w:lastColumn="0" w:oddVBand="0" w:evenVBand="0" w:oddHBand="0" w:evenHBand="0" w:firstRowFirstColumn="0" w:firstRowLastColumn="0" w:lastRowFirstColumn="0" w:lastRowLastColumn="0"/>
              <w:rPr>
                <w:b w:val="0"/>
                <w:sz w:val="20"/>
              </w:rPr>
            </w:pPr>
            <w:r w:rsidRPr="634A1E48">
              <w:rPr>
                <w:b w:val="0"/>
                <w:sz w:val="20"/>
                <w:szCs w:val="20"/>
              </w:rPr>
              <w:t xml:space="preserve">Economic benefits </w:t>
            </w:r>
            <w:proofErr w:type="gramStart"/>
            <w:r w:rsidRPr="634A1E48">
              <w:rPr>
                <w:b w:val="0"/>
                <w:sz w:val="20"/>
                <w:szCs w:val="20"/>
              </w:rPr>
              <w:t>as a result of</w:t>
            </w:r>
            <w:proofErr w:type="gramEnd"/>
            <w:r w:rsidRPr="634A1E48">
              <w:rPr>
                <w:b w:val="0"/>
                <w:sz w:val="20"/>
                <w:szCs w:val="20"/>
              </w:rPr>
              <w:t xml:space="preserve"> increased outdoor recreation and tourism may occur as a result of improving air quality where it is poor or maintained air quality where it is good. </w:t>
            </w:r>
          </w:p>
          <w:p w14:paraId="0E1960F0" w14:textId="4F72A766" w:rsidR="00D96871" w:rsidRPr="0024288A" w:rsidRDefault="00D96871" w:rsidP="0024288A">
            <w:pPr>
              <w:pStyle w:val="ListParagraph"/>
              <w:numPr>
                <w:ilvl w:val="0"/>
                <w:numId w:val="22"/>
              </w:numPr>
              <w:spacing w:before="60" w:after="60"/>
              <w:contextualSpacing w:val="0"/>
              <w:jc w:val="both"/>
              <w:cnfStyle w:val="001000000000" w:firstRow="0" w:lastRow="0" w:firstColumn="1" w:lastColumn="0" w:oddVBand="0" w:evenVBand="0" w:oddHBand="0" w:evenHBand="0" w:firstRowFirstColumn="0" w:firstRowLastColumn="0" w:lastRowFirstColumn="0" w:lastRowLastColumn="0"/>
              <w:rPr>
                <w:b w:val="0"/>
                <w:sz w:val="20"/>
              </w:rPr>
            </w:pPr>
            <w:r w:rsidRPr="634A1E48">
              <w:rPr>
                <w:b w:val="0"/>
                <w:sz w:val="20"/>
                <w:szCs w:val="20"/>
              </w:rPr>
              <w:t>There will likely be an increase in sales of cleaner heating sources which may have economic benefits for retailers and installers.</w:t>
            </w:r>
          </w:p>
          <w:p w14:paraId="7EA88C75" w14:textId="77777777" w:rsidR="00D96871" w:rsidRPr="00B12775" w:rsidRDefault="00D96871" w:rsidP="00603C9E">
            <w:pPr>
              <w:pStyle w:val="ListParagraph"/>
              <w:numPr>
                <w:ilvl w:val="0"/>
                <w:numId w:val="22"/>
              </w:numPr>
              <w:spacing w:before="60" w:after="60"/>
              <w:contextualSpacing w:val="0"/>
              <w:jc w:val="both"/>
              <w:cnfStyle w:val="001000000000" w:firstRow="0" w:lastRow="0" w:firstColumn="1" w:lastColumn="0" w:oddVBand="0" w:evenVBand="0" w:oddHBand="0" w:evenHBand="0" w:firstRowFirstColumn="0" w:firstRowLastColumn="0" w:lastRowFirstColumn="0" w:lastRowLastColumn="0"/>
              <w:rPr>
                <w:b w:val="0"/>
                <w:sz w:val="20"/>
                <w:szCs w:val="20"/>
              </w:rPr>
            </w:pPr>
            <w:r w:rsidRPr="634A1E48">
              <w:rPr>
                <w:b w:val="0"/>
                <w:sz w:val="20"/>
                <w:szCs w:val="20"/>
              </w:rPr>
              <w:t xml:space="preserve">Reviewing and amending airshed boundaries will result in environmental benefits as all activities that contribute to poor ambient air quality will be subject to measures to improve ambient air quality.  </w:t>
            </w:r>
          </w:p>
        </w:tc>
        <w:tc>
          <w:tcPr>
            <w:tcW w:w="4508" w:type="dxa"/>
          </w:tcPr>
          <w:p w14:paraId="23216A54" w14:textId="2987B780" w:rsidR="00D96871" w:rsidRDefault="00D96871" w:rsidP="00603C9E">
            <w:pPr>
              <w:pStyle w:val="ListParagraph"/>
              <w:numPr>
                <w:ilvl w:val="0"/>
                <w:numId w:val="22"/>
              </w:numPr>
              <w:spacing w:before="60" w:after="60"/>
              <w:contextualSpacing w:val="0"/>
              <w:jc w:val="both"/>
              <w:rPr>
                <w:sz w:val="20"/>
                <w:szCs w:val="20"/>
              </w:rPr>
            </w:pPr>
            <w:r w:rsidRPr="634A1E48">
              <w:rPr>
                <w:sz w:val="20"/>
                <w:szCs w:val="20"/>
              </w:rPr>
              <w:t xml:space="preserve">Costs will be incurred for individuals to improve ambient air quality in polluted airsheds. </w:t>
            </w:r>
            <w:r w:rsidR="00726ABC">
              <w:rPr>
                <w:sz w:val="20"/>
                <w:szCs w:val="20"/>
              </w:rPr>
              <w:t>For example, t</w:t>
            </w:r>
            <w:r w:rsidRPr="634A1E48">
              <w:rPr>
                <w:sz w:val="20"/>
                <w:szCs w:val="20"/>
              </w:rPr>
              <w:t xml:space="preserve">he price of an </w:t>
            </w:r>
            <w:proofErr w:type="spellStart"/>
            <w:r w:rsidRPr="634A1E48">
              <w:rPr>
                <w:sz w:val="20"/>
                <w:szCs w:val="20"/>
              </w:rPr>
              <w:t>Ultra Low</w:t>
            </w:r>
            <w:proofErr w:type="spellEnd"/>
            <w:r w:rsidRPr="634A1E48">
              <w:rPr>
                <w:sz w:val="20"/>
                <w:szCs w:val="20"/>
              </w:rPr>
              <w:t xml:space="preserve"> Emission Burner (ULEBs) </w:t>
            </w:r>
            <w:proofErr w:type="gramStart"/>
            <w:r w:rsidRPr="634A1E48">
              <w:rPr>
                <w:sz w:val="20"/>
                <w:szCs w:val="20"/>
              </w:rPr>
              <w:t>start</w:t>
            </w:r>
            <w:proofErr w:type="gramEnd"/>
            <w:r w:rsidRPr="634A1E48">
              <w:rPr>
                <w:sz w:val="20"/>
                <w:szCs w:val="20"/>
              </w:rPr>
              <w:t xml:space="preserve"> from $2049.00.</w:t>
            </w:r>
            <w:r w:rsidRPr="00B12775">
              <w:rPr>
                <w:vertAlign w:val="superscript"/>
              </w:rPr>
              <w:footnoteReference w:id="24"/>
            </w:r>
            <w:r w:rsidRPr="634A1E48">
              <w:rPr>
                <w:sz w:val="20"/>
                <w:szCs w:val="20"/>
                <w:vertAlign w:val="superscript"/>
              </w:rPr>
              <w:t xml:space="preserve"> </w:t>
            </w:r>
            <w:r w:rsidR="00726ABC" w:rsidRPr="00726ABC">
              <w:rPr>
                <w:sz w:val="20"/>
                <w:szCs w:val="20"/>
              </w:rPr>
              <w:t>There may also be building consent costs for installing</w:t>
            </w:r>
            <w:r w:rsidR="00726ABC">
              <w:rPr>
                <w:sz w:val="20"/>
                <w:szCs w:val="20"/>
              </w:rPr>
              <w:t xml:space="preserve"> ULEBs. </w:t>
            </w:r>
            <w:r w:rsidRPr="634A1E48">
              <w:rPr>
                <w:sz w:val="20"/>
                <w:szCs w:val="20"/>
              </w:rPr>
              <w:t>Some will be required to change their current heating system and others may bear the cost of amending their practices or adopting new mitigation measures. Some economic costs may not be significant as some solid fuel burning appliances become inefficient over</w:t>
            </w:r>
            <w:r w:rsidR="00D272C2">
              <w:rPr>
                <w:sz w:val="20"/>
                <w:szCs w:val="20"/>
              </w:rPr>
              <w:t xml:space="preserve"> </w:t>
            </w:r>
            <w:r w:rsidRPr="634A1E48">
              <w:rPr>
                <w:sz w:val="20"/>
                <w:szCs w:val="20"/>
              </w:rPr>
              <w:t xml:space="preserve">time requiring greater amounts of fuel for lower heat output or increased maintenance. </w:t>
            </w:r>
          </w:p>
          <w:p w14:paraId="53F8DBE0" w14:textId="22B873A1" w:rsidR="00D96871" w:rsidRPr="005A152D" w:rsidRDefault="00D96871" w:rsidP="00603C9E">
            <w:pPr>
              <w:pStyle w:val="ListParagraph"/>
              <w:numPr>
                <w:ilvl w:val="0"/>
                <w:numId w:val="22"/>
              </w:numPr>
              <w:spacing w:before="60" w:after="60"/>
              <w:contextualSpacing w:val="0"/>
              <w:jc w:val="both"/>
              <w:rPr>
                <w:sz w:val="20"/>
                <w:szCs w:val="20"/>
              </w:rPr>
            </w:pPr>
            <w:r w:rsidRPr="634A1E48">
              <w:rPr>
                <w:sz w:val="20"/>
                <w:szCs w:val="20"/>
              </w:rPr>
              <w:t xml:space="preserve">Economic costs could be mitigated by providing financial support for low income or vulnerable households, for example for the capital costs of upgrading home heating appliances as </w:t>
            </w:r>
            <w:r w:rsidR="00D272C2">
              <w:rPr>
                <w:sz w:val="20"/>
                <w:szCs w:val="20"/>
              </w:rPr>
              <w:t>provided for in</w:t>
            </w:r>
            <w:r w:rsidRPr="634A1E48">
              <w:rPr>
                <w:sz w:val="20"/>
                <w:szCs w:val="20"/>
              </w:rPr>
              <w:t xml:space="preserve"> Method AIR</w:t>
            </w:r>
            <w:r>
              <w:t>–</w:t>
            </w:r>
            <w:r w:rsidRPr="634A1E48">
              <w:rPr>
                <w:sz w:val="20"/>
                <w:szCs w:val="20"/>
              </w:rPr>
              <w:t xml:space="preserve">M5 or reduced building consent fees to incentivise the replacement of burners.  </w:t>
            </w:r>
          </w:p>
          <w:p w14:paraId="0D180588" w14:textId="2D07F71C" w:rsidR="00D96871" w:rsidRPr="00F67EAD" w:rsidRDefault="00D96871" w:rsidP="00603C9E">
            <w:pPr>
              <w:pStyle w:val="ListParagraph"/>
              <w:numPr>
                <w:ilvl w:val="0"/>
                <w:numId w:val="22"/>
              </w:numPr>
              <w:spacing w:before="60" w:after="60"/>
              <w:contextualSpacing w:val="0"/>
              <w:jc w:val="both"/>
              <w:rPr>
                <w:sz w:val="20"/>
                <w:szCs w:val="20"/>
              </w:rPr>
            </w:pPr>
            <w:r w:rsidRPr="634A1E48">
              <w:rPr>
                <w:sz w:val="20"/>
                <w:szCs w:val="20"/>
              </w:rPr>
              <w:t>There may be potential economic costs resulting from the actions set out to minimise the adverse effects of discharges to air in policy AIR</w:t>
            </w:r>
            <w:r w:rsidR="00726ABC">
              <w:t>–</w:t>
            </w:r>
            <w:r w:rsidRPr="634A1E48">
              <w:rPr>
                <w:sz w:val="20"/>
                <w:szCs w:val="20"/>
              </w:rPr>
              <w:t xml:space="preserve">P3. Some resource users may need to amend their practices or update mitigation measures to ensure avoidance of effects that are offensive and objectionable, </w:t>
            </w:r>
            <w:proofErr w:type="gramStart"/>
            <w:r w:rsidRPr="634A1E48">
              <w:rPr>
                <w:sz w:val="20"/>
                <w:szCs w:val="20"/>
              </w:rPr>
              <w:t>noxious</w:t>
            </w:r>
            <w:proofErr w:type="gramEnd"/>
            <w:r w:rsidRPr="634A1E48">
              <w:rPr>
                <w:sz w:val="20"/>
                <w:szCs w:val="20"/>
              </w:rPr>
              <w:t xml:space="preserve"> or dangerous. </w:t>
            </w:r>
          </w:p>
          <w:p w14:paraId="6D98EE1F" w14:textId="36DCB647" w:rsidR="00D96871" w:rsidRPr="000136C1" w:rsidRDefault="00D96871" w:rsidP="00603C9E">
            <w:pPr>
              <w:pStyle w:val="ListParagraph"/>
              <w:numPr>
                <w:ilvl w:val="0"/>
                <w:numId w:val="22"/>
              </w:numPr>
              <w:spacing w:before="60" w:after="60"/>
              <w:contextualSpacing w:val="0"/>
              <w:jc w:val="both"/>
              <w:rPr>
                <w:sz w:val="20"/>
                <w:szCs w:val="20"/>
              </w:rPr>
            </w:pPr>
            <w:r w:rsidRPr="634A1E48">
              <w:rPr>
                <w:sz w:val="20"/>
                <w:szCs w:val="20"/>
              </w:rPr>
              <w:t xml:space="preserve">Compliance costs will likely be incurred by ratepayers as the ORC progressively identifies burning appliances that must be replaced. </w:t>
            </w:r>
          </w:p>
        </w:tc>
      </w:tr>
    </w:tbl>
    <w:p w14:paraId="26202033" w14:textId="77777777" w:rsidR="006D3C31" w:rsidRDefault="006D3C31" w:rsidP="006D3C31"/>
    <w:p w14:paraId="3980081D" w14:textId="2AFF833E" w:rsidR="006D3C31" w:rsidRDefault="00EB64B4" w:rsidP="006D3C31">
      <w:r>
        <w:fldChar w:fldCharType="begin"/>
      </w:r>
      <w:r>
        <w:instrText xml:space="preserve"> REF _Ref69142666 \h </w:instrText>
      </w:r>
      <w:r>
        <w:fldChar w:fldCharType="separate"/>
      </w:r>
      <w:r w:rsidR="002A7A16">
        <w:t xml:space="preserve">Table </w:t>
      </w:r>
      <w:r w:rsidR="002A7A16">
        <w:rPr>
          <w:noProof/>
        </w:rPr>
        <w:t>30</w:t>
      </w:r>
      <w:r>
        <w:fldChar w:fldCharType="end"/>
      </w:r>
      <w:r w:rsidR="00C31888">
        <w:t xml:space="preserve"> </w:t>
      </w:r>
      <w:r w:rsidR="006D3C31">
        <w:t>below assesses the effectiveness and efficiency of the proposed provisions in achieving the objectives.</w:t>
      </w:r>
    </w:p>
    <w:p w14:paraId="7FC4143A" w14:textId="5BC251BC" w:rsidR="006D3C31" w:rsidRDefault="006D3C31" w:rsidP="006D3C31">
      <w:pPr>
        <w:pStyle w:val="Caption"/>
        <w:keepNext/>
      </w:pPr>
      <w:bookmarkStart w:id="72" w:name="_Ref69142666"/>
      <w:r>
        <w:t xml:space="preserve">Table </w:t>
      </w:r>
      <w:r>
        <w:fldChar w:fldCharType="begin"/>
      </w:r>
      <w:r>
        <w:instrText>SEQ Table \* ARABIC</w:instrText>
      </w:r>
      <w:r>
        <w:fldChar w:fldCharType="separate"/>
      </w:r>
      <w:r w:rsidR="002A7A16">
        <w:rPr>
          <w:noProof/>
        </w:rPr>
        <w:t>30</w:t>
      </w:r>
      <w:r>
        <w:fldChar w:fldCharType="end"/>
      </w:r>
      <w:bookmarkEnd w:id="72"/>
      <w:r>
        <w:t xml:space="preserve">: Efficiency and effectiveness evaluation for </w:t>
      </w:r>
      <w:r w:rsidR="00D96871">
        <w:t>AIR – Air</w:t>
      </w:r>
    </w:p>
    <w:tbl>
      <w:tblPr>
        <w:tblW w:w="0" w:type="auto"/>
        <w:tblLook w:val="04A0" w:firstRow="1" w:lastRow="0" w:firstColumn="1" w:lastColumn="0" w:noHBand="0" w:noVBand="1"/>
      </w:tblPr>
      <w:tblGrid>
        <w:gridCol w:w="1413"/>
        <w:gridCol w:w="7603"/>
      </w:tblGrid>
      <w:tr w:rsidR="00D96871" w:rsidRPr="00C767B5" w14:paraId="7EECA052" w14:textId="77777777" w:rsidTr="00603C9E">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A477EF0" w14:textId="77777777" w:rsidR="00D96871" w:rsidRPr="00C767B5" w:rsidRDefault="00D96871" w:rsidP="00603C9E">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03DDAC4F" w14:textId="57490C7E" w:rsidR="00D96871" w:rsidRPr="00B12775" w:rsidRDefault="00D96871" w:rsidP="00603C9E">
            <w:pPr>
              <w:jc w:val="both"/>
              <w:rPr>
                <w:sz w:val="20"/>
                <w:szCs w:val="20"/>
              </w:rPr>
            </w:pPr>
            <w:r w:rsidRPr="00B12775">
              <w:rPr>
                <w:sz w:val="20"/>
                <w:szCs w:val="20"/>
              </w:rPr>
              <w:t>Despite there being some short to medium term costs associated with the proposed approach to maintain or improve air quality, the costs will be outweighed by the benefits. These costs to individuals may be offset to an extent by financial incentives and other non-regulatory action by ORC (Method AIR–M5) and the phased approach as directed by AIR</w:t>
            </w:r>
            <w:r w:rsidR="00726ABC">
              <w:t>–</w:t>
            </w:r>
            <w:r w:rsidRPr="00B12775">
              <w:rPr>
                <w:sz w:val="20"/>
                <w:szCs w:val="20"/>
              </w:rPr>
              <w:t xml:space="preserve">P2. In terms of improving ambient air quality where it is currently degraded, the use of domestic solid fuel burning appliances that do not comply with the NESAQ are already prohibited by the NESAQ and the Air Plan and should not be in use within the Otago Region. </w:t>
            </w:r>
            <w:r w:rsidRPr="00B12775">
              <w:rPr>
                <w:sz w:val="20"/>
                <w:szCs w:val="20"/>
              </w:rPr>
              <w:lastRenderedPageBreak/>
              <w:t>It is considered the prioritisation of actions to reduce PM</w:t>
            </w:r>
            <w:r w:rsidRPr="00B12775">
              <w:rPr>
                <w:sz w:val="20"/>
                <w:szCs w:val="20"/>
                <w:vertAlign w:val="subscript"/>
              </w:rPr>
              <w:t>10</w:t>
            </w:r>
            <w:r w:rsidRPr="00B12775">
              <w:rPr>
                <w:sz w:val="20"/>
                <w:szCs w:val="20"/>
              </w:rPr>
              <w:t xml:space="preserve"> and PM</w:t>
            </w:r>
            <w:r w:rsidRPr="00B12775">
              <w:rPr>
                <w:sz w:val="20"/>
                <w:szCs w:val="20"/>
                <w:vertAlign w:val="subscript"/>
              </w:rPr>
              <w:t xml:space="preserve">2.5 in </w:t>
            </w:r>
            <w:r w:rsidRPr="00B12775">
              <w:rPr>
                <w:sz w:val="20"/>
                <w:szCs w:val="20"/>
              </w:rPr>
              <w:t xml:space="preserve">polluted airsheds including phasing out the use of existing solid fuel burners and preventing the use of any new solid fuel burners that do not comply with at least the standard set in the NESAQ, and the avoidance of offensive and objectionable, noxious and dangerous effects is an efficient approach that balances economic, cultural and social costs while </w:t>
            </w:r>
            <w:r w:rsidR="00922847">
              <w:rPr>
                <w:sz w:val="20"/>
                <w:szCs w:val="20"/>
              </w:rPr>
              <w:t>progressing</w:t>
            </w:r>
            <w:r w:rsidRPr="00B12775">
              <w:rPr>
                <w:sz w:val="20"/>
                <w:szCs w:val="20"/>
              </w:rPr>
              <w:t xml:space="preserve"> towards achieving Objectives AIR–O1 and AIR–O2. </w:t>
            </w:r>
          </w:p>
          <w:p w14:paraId="6A28147C" w14:textId="77777777" w:rsidR="00D96871" w:rsidRPr="00B12775" w:rsidRDefault="00D96871" w:rsidP="00603C9E">
            <w:pPr>
              <w:jc w:val="both"/>
              <w:rPr>
                <w:sz w:val="20"/>
                <w:szCs w:val="20"/>
              </w:rPr>
            </w:pPr>
            <w:r w:rsidRPr="00B12775">
              <w:rPr>
                <w:sz w:val="20"/>
                <w:szCs w:val="20"/>
              </w:rPr>
              <w:t xml:space="preserve">Method AIR–M1 requires, as a first step, ORC to review existing airshed boundaries and apply to gazette amended boundaries no later than 2022. This </w:t>
            </w:r>
            <w:proofErr w:type="gramStart"/>
            <w:r w:rsidRPr="00B12775">
              <w:rPr>
                <w:sz w:val="20"/>
                <w:szCs w:val="20"/>
              </w:rPr>
              <w:t>is considered to be</w:t>
            </w:r>
            <w:proofErr w:type="gramEnd"/>
            <w:r w:rsidRPr="00B12775">
              <w:rPr>
                <w:sz w:val="20"/>
                <w:szCs w:val="20"/>
              </w:rPr>
              <w:t xml:space="preserve"> an efficient and equitable approach to ensure the measures to improve air quality within polluted airsheds are targeted to those areas that are sources of the issues. </w:t>
            </w:r>
          </w:p>
          <w:p w14:paraId="1EA6C552" w14:textId="77777777" w:rsidR="00D96871" w:rsidRPr="004433B1" w:rsidRDefault="00D96871" w:rsidP="00603C9E">
            <w:pPr>
              <w:jc w:val="both"/>
              <w:rPr>
                <w:sz w:val="20"/>
              </w:rPr>
            </w:pPr>
            <w:r w:rsidRPr="00B12775">
              <w:rPr>
                <w:sz w:val="20"/>
                <w:szCs w:val="20"/>
              </w:rPr>
              <w:t>Additionally, it is considered Option 2 provides greater clarity and certainty in relation to the management of air quality within the Otago Region for plan users. This will result in efficiencies and improvements in the implementation of the provisions and overall achievement of AIR–O1 and AIR–O2.</w:t>
            </w:r>
            <w:r>
              <w:rPr>
                <w:sz w:val="20"/>
              </w:rPr>
              <w:t xml:space="preserve">  </w:t>
            </w:r>
          </w:p>
        </w:tc>
      </w:tr>
      <w:tr w:rsidR="00D96871" w:rsidRPr="00B12775" w14:paraId="38A4A65B" w14:textId="77777777" w:rsidTr="00603C9E">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6CF5935" w14:textId="77777777" w:rsidR="00D96871" w:rsidRPr="00C767B5" w:rsidRDefault="00D96871" w:rsidP="00603C9E">
            <w:pPr>
              <w:jc w:val="both"/>
              <w:rPr>
                <w:b/>
                <w:sz w:val="20"/>
              </w:rPr>
            </w:pPr>
            <w:r w:rsidRPr="00C767B5">
              <w:rPr>
                <w:b/>
                <w:sz w:val="20"/>
              </w:rPr>
              <w:lastRenderedPageBreak/>
              <w:t>Effectiveness</w:t>
            </w:r>
          </w:p>
        </w:tc>
        <w:tc>
          <w:tcPr>
            <w:tcW w:w="7603" w:type="dxa"/>
            <w:tcBorders>
              <w:top w:val="single" w:sz="4" w:space="0" w:color="C9C9C9" w:themeColor="accent3" w:themeTint="99"/>
              <w:bottom w:val="single" w:sz="4" w:space="0" w:color="C9C9C9" w:themeColor="accent3" w:themeTint="99"/>
            </w:tcBorders>
          </w:tcPr>
          <w:p w14:paraId="6B9E23FD" w14:textId="66680216" w:rsidR="00D96871" w:rsidRDefault="00D96871" w:rsidP="00603C9E">
            <w:pPr>
              <w:jc w:val="both"/>
              <w:rPr>
                <w:sz w:val="20"/>
                <w:szCs w:val="20"/>
              </w:rPr>
            </w:pPr>
            <w:r w:rsidRPr="00B12775">
              <w:rPr>
                <w:sz w:val="20"/>
                <w:szCs w:val="20"/>
              </w:rPr>
              <w:t>The benefits to the community of improved air quality and reducing PM</w:t>
            </w:r>
            <w:r w:rsidRPr="00726ABC">
              <w:rPr>
                <w:sz w:val="20"/>
                <w:szCs w:val="20"/>
                <w:vertAlign w:val="subscript"/>
              </w:rPr>
              <w:t>10</w:t>
            </w:r>
            <w:r w:rsidRPr="00B12775">
              <w:rPr>
                <w:sz w:val="20"/>
                <w:szCs w:val="20"/>
              </w:rPr>
              <w:t xml:space="preserve"> and PM</w:t>
            </w:r>
            <w:r w:rsidRPr="00726ABC">
              <w:rPr>
                <w:sz w:val="20"/>
                <w:szCs w:val="20"/>
                <w:vertAlign w:val="subscript"/>
              </w:rPr>
              <w:t xml:space="preserve">2.5 </w:t>
            </w:r>
            <w:r w:rsidRPr="00B12775">
              <w:rPr>
                <w:sz w:val="20"/>
                <w:szCs w:val="20"/>
              </w:rPr>
              <w:t>is considered to outweigh the costs incurred. While there are few studies and limited data available to quantify the impacts of air pollution on human health in an Otago and New Zealand context</w:t>
            </w:r>
            <w:r w:rsidR="001B59A4">
              <w:rPr>
                <w:sz w:val="20"/>
                <w:szCs w:val="20"/>
              </w:rPr>
              <w:t>, d</w:t>
            </w:r>
            <w:r w:rsidRPr="00B12775">
              <w:rPr>
                <w:sz w:val="20"/>
                <w:szCs w:val="20"/>
              </w:rPr>
              <w:t>ata from 2016 shows that air pollution from human-made PM</w:t>
            </w:r>
            <w:r w:rsidRPr="00AF4504">
              <w:rPr>
                <w:sz w:val="20"/>
                <w:szCs w:val="20"/>
                <w:vertAlign w:val="subscript"/>
              </w:rPr>
              <w:t>10</w:t>
            </w:r>
            <w:r w:rsidRPr="00B12775">
              <w:rPr>
                <w:sz w:val="20"/>
                <w:szCs w:val="20"/>
              </w:rPr>
              <w:t xml:space="preserve"> in New Zealand was associated with an estimated 1,277 premature deaths (27.2 per 100,000 people), 676 hospitalisations for respiratory and cardiac illness and 1.49 million restricted activity days (31,839 per 100,000 people)</w:t>
            </w:r>
            <w:r>
              <w:rPr>
                <w:sz w:val="20"/>
                <w:szCs w:val="20"/>
              </w:rPr>
              <w:t xml:space="preserve"> </w:t>
            </w:r>
            <w:sdt>
              <w:sdtPr>
                <w:rPr>
                  <w:sz w:val="20"/>
                  <w:szCs w:val="20"/>
                </w:rPr>
                <w:id w:val="744846272"/>
                <w:citation/>
              </w:sdtPr>
              <w:sdtContent>
                <w:r>
                  <w:rPr>
                    <w:sz w:val="20"/>
                    <w:szCs w:val="20"/>
                  </w:rPr>
                  <w:fldChar w:fldCharType="begin"/>
                </w:r>
                <w:r>
                  <w:rPr>
                    <w:sz w:val="20"/>
                    <w:szCs w:val="20"/>
                  </w:rPr>
                  <w:instrText xml:space="preserve"> CITATION Sta18 \l 5129 </w:instrText>
                </w:r>
                <w:r>
                  <w:rPr>
                    <w:sz w:val="20"/>
                    <w:szCs w:val="20"/>
                  </w:rPr>
                  <w:fldChar w:fldCharType="separate"/>
                </w:r>
                <w:r w:rsidR="00246D02">
                  <w:rPr>
                    <w:noProof/>
                    <w:sz w:val="20"/>
                    <w:szCs w:val="20"/>
                  </w:rPr>
                  <w:t>(Stats NZ, 2018)</w:t>
                </w:r>
                <w:r>
                  <w:rPr>
                    <w:sz w:val="20"/>
                    <w:szCs w:val="20"/>
                  </w:rPr>
                  <w:fldChar w:fldCharType="end"/>
                </w:r>
              </w:sdtContent>
            </w:sdt>
            <w:r w:rsidRPr="00B12775">
              <w:rPr>
                <w:sz w:val="20"/>
                <w:szCs w:val="20"/>
              </w:rPr>
              <w:t xml:space="preserve">. It is generally accepted that a reduction in particulate matter is associated with human health benefits. </w:t>
            </w:r>
          </w:p>
          <w:p w14:paraId="2CD783AB" w14:textId="2FACD40E" w:rsidR="00D96871" w:rsidRPr="00B12775" w:rsidRDefault="00D96871" w:rsidP="00603C9E">
            <w:pPr>
              <w:jc w:val="both"/>
              <w:rPr>
                <w:sz w:val="20"/>
                <w:szCs w:val="20"/>
              </w:rPr>
            </w:pPr>
            <w:r w:rsidRPr="00B12775">
              <w:rPr>
                <w:sz w:val="20"/>
                <w:szCs w:val="20"/>
              </w:rPr>
              <w:t>Emissions resulting from combustion for home heating is recognised as being the primary contributor to poor ambient air quality in the Otago Region (</w:t>
            </w:r>
            <w:r w:rsidR="00B704FB">
              <w:rPr>
                <w:sz w:val="20"/>
                <w:szCs w:val="20"/>
              </w:rPr>
              <w:t xml:space="preserve">see </w:t>
            </w:r>
            <w:r w:rsidR="00142BD9">
              <w:rPr>
                <w:sz w:val="20"/>
                <w:szCs w:val="20"/>
              </w:rPr>
              <w:t xml:space="preserve">the </w:t>
            </w:r>
            <w:r w:rsidR="003B374E">
              <w:rPr>
                <w:sz w:val="20"/>
                <w:szCs w:val="20"/>
              </w:rPr>
              <w:t xml:space="preserve">technical report in </w:t>
            </w:r>
            <w:r w:rsidR="00B704FB">
              <w:rPr>
                <w:sz w:val="20"/>
                <w:szCs w:val="20"/>
              </w:rPr>
              <w:t>Appendix</w:t>
            </w:r>
            <w:r w:rsidR="009770A5">
              <w:rPr>
                <w:sz w:val="20"/>
                <w:szCs w:val="20"/>
              </w:rPr>
              <w:t xml:space="preserve"> 9</w:t>
            </w:r>
            <w:r w:rsidRPr="00B12775">
              <w:rPr>
                <w:sz w:val="20"/>
                <w:szCs w:val="20"/>
              </w:rPr>
              <w:t xml:space="preserve">). The policy response and associated methods are targeted to phase out existing domestic solid fuel burning appliances and prevent the use of any new domestic solid fuel burning appliances that do not comply with the NESAQ as a minimum standard. This </w:t>
            </w:r>
            <w:proofErr w:type="gramStart"/>
            <w:r w:rsidRPr="00B12775">
              <w:rPr>
                <w:sz w:val="20"/>
                <w:szCs w:val="20"/>
              </w:rPr>
              <w:t>is considered to be</w:t>
            </w:r>
            <w:proofErr w:type="gramEnd"/>
            <w:r w:rsidRPr="00B12775">
              <w:rPr>
                <w:sz w:val="20"/>
                <w:szCs w:val="20"/>
              </w:rPr>
              <w:t xml:space="preserve"> an effective option to assist in the attainment of Objectives AIR–O1 and AIR–O2.  While there are costs which could impact on the effectiveness of this option, it is considered the costs could be offset to an extent by the financial incentives to support low income and/or vulnerable households (Method AIR–M5) and the phased approach as directed by AIR–P2. </w:t>
            </w:r>
          </w:p>
          <w:p w14:paraId="62E2FA2E" w14:textId="174760D4" w:rsidR="00D96871" w:rsidRPr="00B12775" w:rsidRDefault="00D96871" w:rsidP="00603C9E">
            <w:pPr>
              <w:jc w:val="both"/>
              <w:rPr>
                <w:sz w:val="20"/>
                <w:szCs w:val="20"/>
              </w:rPr>
            </w:pPr>
            <w:r w:rsidRPr="00B12775">
              <w:rPr>
                <w:sz w:val="20"/>
                <w:szCs w:val="20"/>
              </w:rPr>
              <w:t xml:space="preserve">A collaborative approach with </w:t>
            </w:r>
            <w:r>
              <w:rPr>
                <w:sz w:val="20"/>
                <w:szCs w:val="20"/>
              </w:rPr>
              <w:t>t</w:t>
            </w:r>
            <w:r w:rsidRPr="00B12775">
              <w:rPr>
                <w:sz w:val="20"/>
                <w:szCs w:val="20"/>
              </w:rPr>
              <w:t xml:space="preserve">erritorial </w:t>
            </w:r>
            <w:r>
              <w:rPr>
                <w:sz w:val="20"/>
                <w:szCs w:val="20"/>
              </w:rPr>
              <w:t>a</w:t>
            </w:r>
            <w:r w:rsidRPr="00B12775">
              <w:rPr>
                <w:sz w:val="20"/>
                <w:szCs w:val="20"/>
              </w:rPr>
              <w:t xml:space="preserve">uthorities, key stakeholders and industry to undertake non-regulatory mechanisms and incentives as set out in Method AIR–M5 is also considered to be a very effective approach to attain Objectives AIR–O1 and AIR–O2 over </w:t>
            </w:r>
            <w:proofErr w:type="gramStart"/>
            <w:r w:rsidRPr="00B12775">
              <w:rPr>
                <w:sz w:val="20"/>
                <w:szCs w:val="20"/>
              </w:rPr>
              <w:t>time, and</w:t>
            </w:r>
            <w:proofErr w:type="gramEnd"/>
            <w:r w:rsidRPr="00B12775">
              <w:rPr>
                <w:sz w:val="20"/>
                <w:szCs w:val="20"/>
              </w:rPr>
              <w:t xml:space="preserve"> will go some way to addressing some of the costs identified</w:t>
            </w:r>
            <w:r w:rsidR="00726ABC">
              <w:rPr>
                <w:sz w:val="20"/>
                <w:szCs w:val="20"/>
              </w:rPr>
              <w:t>.</w:t>
            </w:r>
          </w:p>
        </w:tc>
      </w:tr>
    </w:tbl>
    <w:p w14:paraId="1F8EBD43" w14:textId="77777777" w:rsidR="00D96871" w:rsidRDefault="00D96871" w:rsidP="00D96871"/>
    <w:p w14:paraId="41FF82C4" w14:textId="77777777" w:rsidR="00D96871" w:rsidRDefault="00D96871" w:rsidP="0082271A">
      <w:pPr>
        <w:pStyle w:val="Heading3"/>
      </w:pPr>
      <w:r>
        <w:t>Risk of acting or not acting</w:t>
      </w:r>
    </w:p>
    <w:p w14:paraId="7FF7E004" w14:textId="4DDAADF1" w:rsidR="006D3C31" w:rsidRDefault="006D3C31"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p>
    <w:p w14:paraId="769F33EE" w14:textId="7146E985" w:rsidR="007A5B16" w:rsidRDefault="00843F49" w:rsidP="00A247C5">
      <w:pPr>
        <w:pStyle w:val="Normal2"/>
      </w:pPr>
      <w:r>
        <w:t xml:space="preserve">The assessment undertaken above is based on air quality monitoring </w:t>
      </w:r>
      <w:r w:rsidR="007A5B16">
        <w:t xml:space="preserve">and investigations </w:t>
      </w:r>
      <w:r w:rsidR="00D96871">
        <w:t>and</w:t>
      </w:r>
      <w:r w:rsidR="007A5B16">
        <w:t xml:space="preserve"> the likely impact of </w:t>
      </w:r>
      <w:r w:rsidR="00943778">
        <w:t xml:space="preserve">future changes to the NESAQ within the Otago </w:t>
      </w:r>
      <w:r w:rsidR="00B751EF">
        <w:t>r</w:t>
      </w:r>
      <w:r w:rsidR="00943778">
        <w:t xml:space="preserve">egion. Given this, the ORC </w:t>
      </w:r>
      <w:r w:rsidR="00874E85">
        <w:t>is</w:t>
      </w:r>
      <w:r w:rsidR="00943778">
        <w:t xml:space="preserve"> </w:t>
      </w:r>
      <w:proofErr w:type="gramStart"/>
      <w:r w:rsidR="00772D2E">
        <w:t>in a position</w:t>
      </w:r>
      <w:proofErr w:type="gramEnd"/>
      <w:r w:rsidR="00772D2E">
        <w:t xml:space="preserve"> to include provisions that seek </w:t>
      </w:r>
      <w:r w:rsidR="006A0F3B">
        <w:t xml:space="preserve">to address known issues and </w:t>
      </w:r>
      <w:r w:rsidR="000D5FDE">
        <w:t xml:space="preserve">that are appropriate to </w:t>
      </w:r>
      <w:r w:rsidR="00F614F1">
        <w:t>work towards</w:t>
      </w:r>
      <w:r w:rsidR="000D5FDE">
        <w:t xml:space="preserve"> the </w:t>
      </w:r>
      <w:r w:rsidR="00F614F1">
        <w:t xml:space="preserve">achievement of </w:t>
      </w:r>
      <w:r w:rsidR="00B53CCB">
        <w:t>Objectives</w:t>
      </w:r>
      <w:r w:rsidR="00F614F1">
        <w:t xml:space="preserve"> </w:t>
      </w:r>
      <w:r w:rsidR="00BB0DBC">
        <w:t>AIR-O1</w:t>
      </w:r>
      <w:r w:rsidR="00735020">
        <w:t xml:space="preserve"> and AIR-O2</w:t>
      </w:r>
      <w:r w:rsidR="00BB0DBC">
        <w:t xml:space="preserve">. </w:t>
      </w:r>
    </w:p>
    <w:p w14:paraId="4C4ED517" w14:textId="72B369A9" w:rsidR="00CC3A65" w:rsidRDefault="00CC3A65" w:rsidP="00A247C5">
      <w:pPr>
        <w:pStyle w:val="Normal2"/>
      </w:pPr>
      <w:r>
        <w:lastRenderedPageBreak/>
        <w:t>There is limited information currently available in</w:t>
      </w:r>
      <w:r w:rsidR="00B04BCD">
        <w:t xml:space="preserve"> relation to the </w:t>
      </w:r>
      <w:r w:rsidR="00CB4DC0">
        <w:t>significance of effects associated with</w:t>
      </w:r>
      <w:r w:rsidR="001A195F">
        <w:t xml:space="preserve"> outdoor burning</w:t>
      </w:r>
      <w:r w:rsidR="007A17FB">
        <w:t xml:space="preserve"> and industrial, trade or commercial activities that result in discharges of contaminants to air</w:t>
      </w:r>
      <w:r w:rsidR="00FF652E">
        <w:t xml:space="preserve">. </w:t>
      </w:r>
      <w:r w:rsidR="00B04BCD">
        <w:t xml:space="preserve"> </w:t>
      </w:r>
      <w:r w:rsidR="00C53C38">
        <w:t>To manage this, AIR</w:t>
      </w:r>
      <w:r w:rsidR="00293DD4">
        <w:t>–</w:t>
      </w:r>
      <w:r w:rsidR="00C53C38">
        <w:t>P</w:t>
      </w:r>
      <w:r w:rsidR="007A17FB">
        <w:t>3</w:t>
      </w:r>
      <w:r w:rsidR="00CC43C2">
        <w:t xml:space="preserve"> </w:t>
      </w:r>
      <w:r w:rsidR="00293DD4">
        <w:t>requires</w:t>
      </w:r>
      <w:r w:rsidR="00F614F1">
        <w:t xml:space="preserve"> </w:t>
      </w:r>
      <w:r w:rsidR="007A17FB">
        <w:t>avoid</w:t>
      </w:r>
      <w:r w:rsidR="00293DD4">
        <w:t>ing</w:t>
      </w:r>
      <w:r w:rsidR="007A17FB">
        <w:t xml:space="preserve"> </w:t>
      </w:r>
      <w:r w:rsidR="00FB5358">
        <w:t xml:space="preserve">discharges that cause offensive and objectionable, </w:t>
      </w:r>
      <w:proofErr w:type="gramStart"/>
      <w:r w:rsidR="00FB5358">
        <w:t>noxious</w:t>
      </w:r>
      <w:proofErr w:type="gramEnd"/>
      <w:r w:rsidR="00FB5358">
        <w:t xml:space="preserve"> or dangerous effects beyond the boundary of the property of origin </w:t>
      </w:r>
      <w:r w:rsidR="00CC43C2">
        <w:t>Additionally, AIR</w:t>
      </w:r>
      <w:r w:rsidR="00293DD4">
        <w:t>–</w:t>
      </w:r>
      <w:r w:rsidR="00CC43C2">
        <w:t>M</w:t>
      </w:r>
      <w:r w:rsidR="00DF5EA1">
        <w:t>4</w:t>
      </w:r>
      <w:r w:rsidR="00CC43C2">
        <w:t xml:space="preserve"> requires </w:t>
      </w:r>
      <w:r w:rsidR="00186DE7">
        <w:t xml:space="preserve">ORC to continue monitoring </w:t>
      </w:r>
      <w:r w:rsidR="00BC27FF">
        <w:t>and reporting</w:t>
      </w:r>
      <w:r w:rsidR="00186DE7">
        <w:t xml:space="preserve"> air quality</w:t>
      </w:r>
      <w:r w:rsidR="00BC27FF">
        <w:t xml:space="preserve"> and progress towards achieving the </w:t>
      </w:r>
      <w:r w:rsidR="00E266CE">
        <w:t xml:space="preserve">requirements of the </w:t>
      </w:r>
      <w:r w:rsidR="00BC27FF">
        <w:t>NESAQ</w:t>
      </w:r>
      <w:r w:rsidR="67FA5AA4">
        <w:t xml:space="preserve">. </w:t>
      </w:r>
      <w:r w:rsidR="0019593E">
        <w:t xml:space="preserve">While the </w:t>
      </w:r>
      <w:r w:rsidR="00B314C1">
        <w:t>quantified</w:t>
      </w:r>
      <w:r w:rsidR="0019593E">
        <w:t xml:space="preserve"> </w:t>
      </w:r>
      <w:r w:rsidR="006D6B2E">
        <w:t>economic costs</w:t>
      </w:r>
      <w:r w:rsidR="00B314C1">
        <w:t xml:space="preserve"> and benefits</w:t>
      </w:r>
      <w:r w:rsidR="006D6B2E">
        <w:t xml:space="preserve"> are unclear, the </w:t>
      </w:r>
      <w:r w:rsidR="00D26829">
        <w:t>argument</w:t>
      </w:r>
      <w:r w:rsidR="006D6B2E">
        <w:t xml:space="preserve"> can be made</w:t>
      </w:r>
      <w:r w:rsidR="00D26829">
        <w:t xml:space="preserve"> that the human health </w:t>
      </w:r>
      <w:r w:rsidR="00B314C1">
        <w:t xml:space="preserve">risks </w:t>
      </w:r>
      <w:r w:rsidR="00703C7A">
        <w:t xml:space="preserve">associated with </w:t>
      </w:r>
      <w:r w:rsidR="001919E4">
        <w:t xml:space="preserve">unmitigated </w:t>
      </w:r>
      <w:r w:rsidR="00250F58">
        <w:t xml:space="preserve">poor air quality </w:t>
      </w:r>
      <w:r w:rsidR="006E1C66">
        <w:t>result in</w:t>
      </w:r>
      <w:r w:rsidR="0012600C">
        <w:t xml:space="preserve"> significant economic </w:t>
      </w:r>
      <w:r w:rsidR="00374EEA">
        <w:t xml:space="preserve">and social strain. </w:t>
      </w:r>
      <w:r w:rsidR="00505310">
        <w:t>Therefore, t</w:t>
      </w:r>
      <w:r w:rsidR="00A21730">
        <w:t xml:space="preserve">here is a need to comply with both the NESAQ and </w:t>
      </w:r>
      <w:r w:rsidR="007F6450">
        <w:t xml:space="preserve">s5(2)(b) of the RMA. </w:t>
      </w:r>
    </w:p>
    <w:p w14:paraId="63F7E527" w14:textId="69A9A197" w:rsidR="00EC7994" w:rsidRPr="00EC7994" w:rsidRDefault="00FF652E" w:rsidP="00A247C5">
      <w:pPr>
        <w:pStyle w:val="Normal2"/>
      </w:pPr>
      <w:r>
        <w:t>Overall, g</w:t>
      </w:r>
      <w:r w:rsidR="00EC7994">
        <w:t xml:space="preserve">iven the current and future direction of the NESAQ, </w:t>
      </w:r>
      <w:r w:rsidR="00B93354">
        <w:t>and the level of information available regarding air quality in polluted airsheds</w:t>
      </w:r>
      <w:r w:rsidR="004B2D9B">
        <w:t xml:space="preserve"> and the current issues set out above</w:t>
      </w:r>
      <w:r w:rsidR="00B93354">
        <w:t xml:space="preserve">, </w:t>
      </w:r>
      <w:r w:rsidR="00F20B0D">
        <w:t xml:space="preserve">it is considered that </w:t>
      </w:r>
      <w:r w:rsidR="00B93354">
        <w:t xml:space="preserve">the risk of </w:t>
      </w:r>
      <w:r w:rsidR="001436FF">
        <w:t xml:space="preserve">not acting </w:t>
      </w:r>
      <w:r w:rsidR="00FF42EE">
        <w:t>is</w:t>
      </w:r>
      <w:r w:rsidR="001436FF">
        <w:t xml:space="preserve"> that there will be no improvement in air quality management and</w:t>
      </w:r>
      <w:r w:rsidR="00633E89">
        <w:t>,</w:t>
      </w:r>
      <w:r w:rsidR="001436FF">
        <w:t xml:space="preserve"> </w:t>
      </w:r>
      <w:r w:rsidR="00633E89">
        <w:t>as a result</w:t>
      </w:r>
      <w:r w:rsidR="001436FF">
        <w:t xml:space="preserve"> likely </w:t>
      </w:r>
      <w:r w:rsidR="00420782">
        <w:t xml:space="preserve">to be </w:t>
      </w:r>
      <w:r w:rsidR="00633E89">
        <w:t>sustained</w:t>
      </w:r>
      <w:r w:rsidR="00420782">
        <w:t xml:space="preserve"> human health risks associated with degraded air quality. </w:t>
      </w:r>
    </w:p>
    <w:p w14:paraId="6359EBA4" w14:textId="77777777" w:rsidR="006D3C31" w:rsidRDefault="006D3C31" w:rsidP="0082271A">
      <w:pPr>
        <w:pStyle w:val="Heading3"/>
      </w:pPr>
      <w:r>
        <w:t>Conclusion</w:t>
      </w:r>
    </w:p>
    <w:p w14:paraId="3DFE1B48" w14:textId="7FDA711B" w:rsidR="00E07915" w:rsidRDefault="00A157B1" w:rsidP="00A247C5">
      <w:pPr>
        <w:pStyle w:val="Normal2"/>
      </w:pPr>
      <w:r>
        <w:t xml:space="preserve">The cost-benefit and effectiveness and efficiency assessments have shown that overall, the </w:t>
      </w:r>
      <w:r w:rsidR="00E81F7F">
        <w:t>PORPS 2021</w:t>
      </w:r>
      <w:r>
        <w:t xml:space="preserve"> provisions are more efficient than the status quo and more effective at achieving the objectives of the </w:t>
      </w:r>
      <w:r w:rsidR="00E81F7F">
        <w:t>PORPS 2021</w:t>
      </w:r>
      <w:r>
        <w:t xml:space="preserve">. </w:t>
      </w:r>
      <w:r w:rsidR="001905D5">
        <w:t xml:space="preserve">The proposed policy approach </w:t>
      </w:r>
      <w:r w:rsidR="0042612F">
        <w:t xml:space="preserve">provides a specific </w:t>
      </w:r>
      <w:r w:rsidR="00DF215D">
        <w:t>RPS-level policy response to the management of air quality</w:t>
      </w:r>
      <w:r w:rsidR="000E265F">
        <w:t xml:space="preserve"> and main sources of discharges</w:t>
      </w:r>
      <w:r w:rsidR="00DF215D">
        <w:t xml:space="preserve"> in the Otago </w:t>
      </w:r>
      <w:r w:rsidR="00F20B0D">
        <w:t>r</w:t>
      </w:r>
      <w:r w:rsidR="00DF215D">
        <w:t>egion</w:t>
      </w:r>
      <w:r w:rsidR="00DE1555">
        <w:t>. The propo</w:t>
      </w:r>
      <w:r w:rsidR="00F33D4E">
        <w:t>sed provisions are clear</w:t>
      </w:r>
      <w:r w:rsidR="00F128CB">
        <w:t xml:space="preserve"> and certain</w:t>
      </w:r>
      <w:r w:rsidR="00F33D4E">
        <w:t xml:space="preserve">, </w:t>
      </w:r>
      <w:r w:rsidR="00726A3E">
        <w:t>address</w:t>
      </w:r>
      <w:r w:rsidR="00E11DE7">
        <w:t>es</w:t>
      </w:r>
      <w:r w:rsidR="00726A3E">
        <w:t xml:space="preserve"> issues raised by the community,</w:t>
      </w:r>
      <w:r w:rsidR="00F33D4E">
        <w:t xml:space="preserve"> implement</w:t>
      </w:r>
      <w:r w:rsidR="00E11DE7">
        <w:t>s</w:t>
      </w:r>
      <w:r w:rsidR="00F33D4E">
        <w:t xml:space="preserve"> the National Planning </w:t>
      </w:r>
      <w:proofErr w:type="gramStart"/>
      <w:r w:rsidR="00F33D4E">
        <w:t>Standards</w:t>
      </w:r>
      <w:proofErr w:type="gramEnd"/>
      <w:r w:rsidR="00F33D4E">
        <w:t xml:space="preserve"> and </w:t>
      </w:r>
      <w:r w:rsidR="008A6A52">
        <w:t>set</w:t>
      </w:r>
      <w:r w:rsidR="00467A58">
        <w:t>s</w:t>
      </w:r>
      <w:r w:rsidR="008A6A52">
        <w:t xml:space="preserve"> out the </w:t>
      </w:r>
      <w:r w:rsidR="006D2C1D">
        <w:t xml:space="preserve">framework for future reviews of the </w:t>
      </w:r>
      <w:r w:rsidR="005B38D9">
        <w:t>Air</w:t>
      </w:r>
      <w:r w:rsidR="006D2C1D">
        <w:t xml:space="preserve"> </w:t>
      </w:r>
      <w:r w:rsidR="00F20B0D">
        <w:t xml:space="preserve">Plan </w:t>
      </w:r>
      <w:r w:rsidR="00A202F5">
        <w:t xml:space="preserve">to </w:t>
      </w:r>
      <w:r w:rsidR="0006500B">
        <w:t xml:space="preserve">assist in ORC’s obligation to </w:t>
      </w:r>
      <w:r w:rsidR="00A202F5">
        <w:t xml:space="preserve">observe and enforce </w:t>
      </w:r>
      <w:r w:rsidR="005417F6">
        <w:t>the NESAQ</w:t>
      </w:r>
      <w:r w:rsidR="00530AFC">
        <w:t>.</w:t>
      </w:r>
      <w:r w:rsidR="00C3104A" w:rsidRPr="00F128CB">
        <w:rPr>
          <w:vertAlign w:val="superscript"/>
        </w:rPr>
        <w:footnoteReference w:id="25"/>
      </w:r>
      <w:r w:rsidR="00835A88" w:rsidRPr="00F128CB">
        <w:rPr>
          <w:vertAlign w:val="superscript"/>
        </w:rPr>
        <w:t xml:space="preserve"> </w:t>
      </w:r>
    </w:p>
    <w:p w14:paraId="46224585" w14:textId="7B7FCE70" w:rsidR="006D3C31" w:rsidRPr="006D3C31" w:rsidRDefault="00DA2474" w:rsidP="00A247C5">
      <w:pPr>
        <w:pStyle w:val="Normal2"/>
      </w:pPr>
      <w:r>
        <w:t>While there are some costs associated with Option 2, it is considered th</w:t>
      </w:r>
      <w:r w:rsidR="000F1D5D">
        <w:t xml:space="preserve">e costs can be offset to an extent by the range of </w:t>
      </w:r>
      <w:r w:rsidR="0001366B">
        <w:t>methods proposed</w:t>
      </w:r>
      <w:r w:rsidR="00530AFC">
        <w:t>, particularly those</w:t>
      </w:r>
      <w:r>
        <w:t xml:space="preserve"> </w:t>
      </w:r>
      <w:r w:rsidR="007A146D">
        <w:t xml:space="preserve">in relation to financial costs. </w:t>
      </w:r>
      <w:r w:rsidR="00482D40">
        <w:t xml:space="preserve">Overall, it is considered Option 2 is the most </w:t>
      </w:r>
      <w:r w:rsidR="00DB4861">
        <w:t>appropriate option to achieve AIR</w:t>
      </w:r>
      <w:r w:rsidR="00F20B0D">
        <w:t>–</w:t>
      </w:r>
      <w:r w:rsidR="00DB4861">
        <w:t>O1</w:t>
      </w:r>
      <w:r w:rsidR="0072455F">
        <w:t xml:space="preserve"> and AIR</w:t>
      </w:r>
      <w:r w:rsidR="00F20B0D">
        <w:t>–</w:t>
      </w:r>
      <w:r w:rsidR="0072455F">
        <w:t>O2</w:t>
      </w:r>
      <w:r w:rsidR="00DB4861">
        <w:t>.</w:t>
      </w:r>
      <w:r w:rsidR="00482D40">
        <w:t xml:space="preserve"> </w:t>
      </w:r>
    </w:p>
    <w:p w14:paraId="2FE2D0F3" w14:textId="77777777" w:rsidR="00C31888" w:rsidRDefault="00C31888">
      <w:pPr>
        <w:rPr>
          <w:rFonts w:asciiTheme="majorHAnsi" w:eastAsiaTheme="majorEastAsia" w:hAnsiTheme="majorHAnsi" w:cstheme="majorBidi"/>
          <w:color w:val="2F5496" w:themeColor="accent1" w:themeShade="BF"/>
          <w:sz w:val="26"/>
          <w:szCs w:val="26"/>
        </w:rPr>
      </w:pPr>
      <w:r>
        <w:br w:type="page"/>
      </w:r>
    </w:p>
    <w:p w14:paraId="58843DF9" w14:textId="1BF8A7C2" w:rsidR="00005F72" w:rsidRDefault="00A97861" w:rsidP="00CB405E">
      <w:pPr>
        <w:pStyle w:val="Heading2"/>
      </w:pPr>
      <w:bookmarkStart w:id="73" w:name="_Toc72507639"/>
      <w:bookmarkStart w:id="74" w:name="_Ref72669776"/>
      <w:r>
        <w:lastRenderedPageBreak/>
        <w:t xml:space="preserve">CE – </w:t>
      </w:r>
      <w:r w:rsidR="00005F72">
        <w:t>Coastal environment</w:t>
      </w:r>
      <w:bookmarkEnd w:id="73"/>
      <w:bookmarkEnd w:id="74"/>
    </w:p>
    <w:p w14:paraId="644A6EA5" w14:textId="77777777" w:rsidR="00005F72" w:rsidRDefault="00005F72" w:rsidP="0082271A">
      <w:pPr>
        <w:pStyle w:val="Heading3"/>
      </w:pPr>
      <w:r w:rsidRPr="0082271A">
        <w:t>Introduction</w:t>
      </w:r>
    </w:p>
    <w:p w14:paraId="57AA2C1F" w14:textId="3F24FB41" w:rsidR="0056261C" w:rsidRDefault="009F110A" w:rsidP="00A247C5">
      <w:pPr>
        <w:pStyle w:val="Normal2"/>
      </w:pPr>
      <w:r>
        <w:t xml:space="preserve">This section of the report assesses the provisions in the </w:t>
      </w:r>
      <w:r w:rsidR="00E81F7F">
        <w:t>PORPS 2021</w:t>
      </w:r>
      <w:r>
        <w:t xml:space="preserve"> </w:t>
      </w:r>
      <w:r w:rsidR="00DD22EE">
        <w:t>for managing</w:t>
      </w:r>
      <w:r>
        <w:t xml:space="preserve"> the coastal environment. </w:t>
      </w:r>
      <w:r w:rsidR="0056261C">
        <w:t xml:space="preserve">The term ‘coastal environment’ is not defined in the RMA. </w:t>
      </w:r>
      <w:r w:rsidR="008E5BE3">
        <w:t xml:space="preserve">However, </w:t>
      </w:r>
      <w:r w:rsidR="009077E7">
        <w:t xml:space="preserve">Policy </w:t>
      </w:r>
      <w:r w:rsidR="008F6465">
        <w:t xml:space="preserve">1 of the NZCPS </w:t>
      </w:r>
      <w:r w:rsidR="008E5BE3">
        <w:t xml:space="preserve">provides guidance on </w:t>
      </w:r>
      <w:r w:rsidR="004854D0">
        <w:t>defining</w:t>
      </w:r>
      <w:r w:rsidR="00B568F0">
        <w:t xml:space="preserve"> the extent and characteristics of the coastal environment. </w:t>
      </w:r>
      <w:r w:rsidR="00E17D5A">
        <w:t>As a</w:t>
      </w:r>
      <w:r w:rsidR="000970EA">
        <w:t xml:space="preserve"> </w:t>
      </w:r>
      <w:r w:rsidR="00E17D5A">
        <w:t xml:space="preserve">rule of thumb, the inland </w:t>
      </w:r>
      <w:r w:rsidR="00BE43EB">
        <w:t xml:space="preserve">extent </w:t>
      </w:r>
      <w:r w:rsidR="00EB4EF7">
        <w:t>o</w:t>
      </w:r>
      <w:r w:rsidR="00BE43EB">
        <w:t>f the coastal environment extends to the first significant ridgeline.</w:t>
      </w:r>
      <w:r w:rsidR="00EB4EF7">
        <w:t xml:space="preserve"> The</w:t>
      </w:r>
      <w:r w:rsidR="002C3D56">
        <w:t xml:space="preserve"> seaward </w:t>
      </w:r>
      <w:r w:rsidR="00561AC4">
        <w:t>boundary is</w:t>
      </w:r>
      <w:r w:rsidR="00EB4EF7">
        <w:t xml:space="preserve"> the twelve nautical mile limit</w:t>
      </w:r>
      <w:r w:rsidR="002C3D56">
        <w:t xml:space="preserve"> of the territorial sea</w:t>
      </w:r>
      <w:r w:rsidR="00EB4EF7">
        <w:t xml:space="preserve">. </w:t>
      </w:r>
    </w:p>
    <w:p w14:paraId="6F95EF5C" w14:textId="4E92904C" w:rsidR="00856AF3" w:rsidRDefault="00A31F0B" w:rsidP="00A247C5">
      <w:pPr>
        <w:pStyle w:val="Normal2"/>
      </w:pPr>
      <w:proofErr w:type="gramStart"/>
      <w:r>
        <w:t>A number of</w:t>
      </w:r>
      <w:proofErr w:type="gramEnd"/>
      <w:r>
        <w:t xml:space="preserve"> activities occur within or affect the coastal environment including urban development, recreational activities, transport infrastructure, energy generation and transmission, food production and other farming activities, plantation forestry, rural industr</w:t>
      </w:r>
      <w:r w:rsidR="00561AC4">
        <w:t>ies</w:t>
      </w:r>
      <w:r>
        <w:t xml:space="preserve"> and mineral extraction. Such activities can be important contributors to the existing and future health and well-being of communities so long as they are located and managed appropriately.</w:t>
      </w:r>
    </w:p>
    <w:p w14:paraId="53631E12" w14:textId="2464B33B" w:rsidR="00882DAD" w:rsidRDefault="00882DAD" w:rsidP="00A247C5">
      <w:pPr>
        <w:pStyle w:val="Normal2"/>
      </w:pPr>
      <w:r>
        <w:t xml:space="preserve">Poorly located or managed activities and development can have adverse effects that compromise the carrying capacity of the receiving environment and impact on the values of the coastal environment such as natural character, biophysical processes, water quality, surf breaks, indigenous </w:t>
      </w:r>
      <w:proofErr w:type="gramStart"/>
      <w:r>
        <w:t>biodiversity</w:t>
      </w:r>
      <w:proofErr w:type="gramEnd"/>
      <w:r>
        <w:t xml:space="preserve"> and natural landscapes. </w:t>
      </w:r>
    </w:p>
    <w:p w14:paraId="1C1060F5" w14:textId="1F8BD602" w:rsidR="00FF3655" w:rsidRDefault="00FF3655" w:rsidP="00A247C5">
      <w:pPr>
        <w:pStyle w:val="Normal2"/>
      </w:pPr>
      <w:r>
        <w:t xml:space="preserve">Otago’s coastal environment </w:t>
      </w:r>
      <w:r w:rsidR="00925B43">
        <w:t xml:space="preserve">extends 480 kilometres from the Waitaki River in the north to </w:t>
      </w:r>
      <w:r w:rsidR="004371EF">
        <w:t>Wallace Beach in the south</w:t>
      </w:r>
      <w:r w:rsidR="009F13D6">
        <w:t xml:space="preserve"> and </w:t>
      </w:r>
      <w:r>
        <w:t xml:space="preserve">is highly valued by </w:t>
      </w:r>
      <w:r w:rsidR="005C643C">
        <w:t xml:space="preserve">mana whenua. </w:t>
      </w:r>
      <w:r w:rsidR="00032843">
        <w:t xml:space="preserve">The coastal waters and processes were integral to the way of life tūpuna enjoyed, and the coastal environment supports significant </w:t>
      </w:r>
      <w:proofErr w:type="spellStart"/>
      <w:r w:rsidR="00032843">
        <w:t>mahika</w:t>
      </w:r>
      <w:proofErr w:type="spellEnd"/>
      <w:r w:rsidR="00032843">
        <w:t xml:space="preserve"> kai/</w:t>
      </w:r>
      <w:proofErr w:type="spellStart"/>
      <w:r w:rsidR="00032843">
        <w:t>kaimoana</w:t>
      </w:r>
      <w:proofErr w:type="spellEnd"/>
      <w:r w:rsidR="00032843">
        <w:t xml:space="preserve"> resources and </w:t>
      </w:r>
      <w:proofErr w:type="spellStart"/>
      <w:r w:rsidR="00032843">
        <w:t>wāhi</w:t>
      </w:r>
      <w:proofErr w:type="spellEnd"/>
      <w:r w:rsidR="00032843">
        <w:t xml:space="preserve"> tūpuna</w:t>
      </w:r>
      <w:r w:rsidR="00C43B6F">
        <w:t xml:space="preserve">. This environment was traditionally important for settlement and travel and continues to provide for settlement and </w:t>
      </w:r>
      <w:proofErr w:type="spellStart"/>
      <w:r w:rsidR="00C43B6F">
        <w:t>mahika</w:t>
      </w:r>
      <w:proofErr w:type="spellEnd"/>
      <w:r w:rsidR="00C43B6F">
        <w:t xml:space="preserve"> kai and fisheries resources. </w:t>
      </w:r>
      <w:proofErr w:type="spellStart"/>
      <w:r w:rsidR="00C43B6F">
        <w:t>Kaimoana</w:t>
      </w:r>
      <w:proofErr w:type="spellEnd"/>
      <w:r w:rsidR="00C43B6F">
        <w:t xml:space="preserve"> is essential to coastal iwi and </w:t>
      </w:r>
      <w:proofErr w:type="spellStart"/>
      <w:r w:rsidR="00C43B6F">
        <w:t>hapū</w:t>
      </w:r>
      <w:proofErr w:type="spellEnd"/>
      <w:r w:rsidR="00C43B6F">
        <w:t xml:space="preserve"> relationships </w:t>
      </w:r>
      <w:r w:rsidR="00345C7F">
        <w:t>with</w:t>
      </w:r>
      <w:r w:rsidR="00C43B6F">
        <w:t xml:space="preserve"> the </w:t>
      </w:r>
      <w:proofErr w:type="gramStart"/>
      <w:r w:rsidR="00C43B6F">
        <w:t>environment in particular, as</w:t>
      </w:r>
      <w:proofErr w:type="gramEnd"/>
      <w:r w:rsidR="00C43B6F">
        <w:t xml:space="preserve"> part of the tikanga of food gathering and as indicators of the health of coastal environments. </w:t>
      </w:r>
    </w:p>
    <w:p w14:paraId="0FE3D12C" w14:textId="12FAF773" w:rsidR="00910C9E" w:rsidRDefault="00910C9E" w:rsidP="00A247C5">
      <w:pPr>
        <w:pStyle w:val="Normal2"/>
      </w:pPr>
      <w:r>
        <w:t xml:space="preserve">There are overlapping responsibilities between regional and district councils for managing </w:t>
      </w:r>
      <w:r w:rsidR="004009BA">
        <w:t xml:space="preserve">the effects from activities in the coastal environment under the RMA. </w:t>
      </w:r>
      <w:r w:rsidR="00CB1612">
        <w:t>Th</w:t>
      </w:r>
      <w:r w:rsidR="00F6268A">
        <w:t>erefore, a</w:t>
      </w:r>
      <w:r w:rsidR="00042ADD">
        <w:t>dopting a</w:t>
      </w:r>
      <w:r w:rsidR="00F6268A">
        <w:t xml:space="preserve">n integrated </w:t>
      </w:r>
      <w:r w:rsidR="004E4587">
        <w:t>approach is necessary</w:t>
      </w:r>
      <w:r w:rsidR="008470AA">
        <w:t xml:space="preserve"> to appropriately manage activities and their environmental effects.</w:t>
      </w:r>
      <w:r w:rsidR="009954C6">
        <w:t xml:space="preserve"> </w:t>
      </w:r>
      <w:r w:rsidR="0055641D">
        <w:t>C</w:t>
      </w:r>
      <w:r w:rsidR="009954C6">
        <w:t>oastal waters are</w:t>
      </w:r>
      <w:r w:rsidR="0055641D">
        <w:t xml:space="preserve"> also</w:t>
      </w:r>
      <w:r w:rsidR="009954C6">
        <w:t xml:space="preserve"> a receiving environment </w:t>
      </w:r>
      <w:r w:rsidR="00991C4E">
        <w:t xml:space="preserve">for freshwater, gravels, </w:t>
      </w:r>
      <w:proofErr w:type="gramStart"/>
      <w:r w:rsidR="00991C4E">
        <w:t>sediment</w:t>
      </w:r>
      <w:proofErr w:type="gramEnd"/>
      <w:r w:rsidR="00991C4E">
        <w:t xml:space="preserve"> and </w:t>
      </w:r>
      <w:r w:rsidR="00B92D78">
        <w:t>contaminants from the terrestrial landscape</w:t>
      </w:r>
      <w:r w:rsidR="00EE6FAE">
        <w:t xml:space="preserve">. </w:t>
      </w:r>
      <w:r w:rsidR="003D59D0">
        <w:t xml:space="preserve">Careful consideration of </w:t>
      </w:r>
      <w:r w:rsidR="005749A2">
        <w:t>activities</w:t>
      </w:r>
      <w:r w:rsidR="00510653">
        <w:t xml:space="preserve"> landward of the coastal environment</w:t>
      </w:r>
      <w:r w:rsidR="005749A2">
        <w:t xml:space="preserve"> </w:t>
      </w:r>
      <w:r w:rsidR="008E4523">
        <w:t>is therefore important</w:t>
      </w:r>
      <w:r w:rsidR="00510653">
        <w:t xml:space="preserve">. </w:t>
      </w:r>
      <w:r w:rsidR="00486B0B">
        <w:t xml:space="preserve">Recognition of the interconnectedness of the </w:t>
      </w:r>
      <w:r w:rsidR="009C08E9">
        <w:t xml:space="preserve">whole environment </w:t>
      </w:r>
      <w:r w:rsidR="003F7B43">
        <w:t>is consistent with</w:t>
      </w:r>
      <w:r w:rsidR="00283B6D">
        <w:t xml:space="preserve"> the ethic of</w:t>
      </w:r>
      <w:r w:rsidR="003F7B43">
        <w:t xml:space="preserve"> </w:t>
      </w:r>
      <w:r w:rsidR="004E105B">
        <w:t>ki uta ki tai</w:t>
      </w:r>
      <w:r w:rsidR="00283B6D">
        <w:t xml:space="preserve"> (“from the mountains to the sea”).</w:t>
      </w:r>
      <w:r>
        <w:t xml:space="preserve"> </w:t>
      </w:r>
    </w:p>
    <w:p w14:paraId="5427AA81" w14:textId="3765FAC8" w:rsidR="00005F72" w:rsidRDefault="00AE1A25" w:rsidP="00A247C5">
      <w:pPr>
        <w:pStyle w:val="Normal2"/>
      </w:pPr>
      <w:r>
        <w:t>S</w:t>
      </w:r>
      <w:r w:rsidR="00915B58">
        <w:t xml:space="preserve">everal topics are </w:t>
      </w:r>
      <w:r w:rsidR="00794251">
        <w:t xml:space="preserve">particularly </w:t>
      </w:r>
      <w:r w:rsidR="00915B58">
        <w:t>relevant to the coastal environment but have not been addressed in this section of the report</w:t>
      </w:r>
      <w:r w:rsidR="00D163D1">
        <w:t>, given that the</w:t>
      </w:r>
      <w:r w:rsidR="00B064F4">
        <w:t xml:space="preserve">se </w:t>
      </w:r>
      <w:r w:rsidR="00D163D1">
        <w:t>provisions are</w:t>
      </w:r>
      <w:r w:rsidR="00B064F4">
        <w:t xml:space="preserve"> also</w:t>
      </w:r>
      <w:r w:rsidR="00D163D1">
        <w:t xml:space="preserve"> applicable to</w:t>
      </w:r>
      <w:r w:rsidR="00B064F4">
        <w:t xml:space="preserve"> </w:t>
      </w:r>
      <w:r w:rsidR="003C4E77">
        <w:t>activities located landward of the coastal environment</w:t>
      </w:r>
      <w:r w:rsidR="00915B58">
        <w:t xml:space="preserve">. </w:t>
      </w:r>
      <w:r w:rsidR="003E75A2">
        <w:t xml:space="preserve">These </w:t>
      </w:r>
      <w:r w:rsidR="00794251">
        <w:t>topics are</w:t>
      </w:r>
      <w:r w:rsidR="007D1195">
        <w:t>:</w:t>
      </w:r>
      <w:r w:rsidR="00794251">
        <w:t xml:space="preserve"> </w:t>
      </w:r>
      <w:r w:rsidR="00FA5A38">
        <w:rPr>
          <w:i/>
          <w:iCs/>
        </w:rPr>
        <w:t xml:space="preserve">EIT – </w:t>
      </w:r>
      <w:r w:rsidR="007D1195" w:rsidRPr="00FA5A38">
        <w:rPr>
          <w:i/>
          <w:iCs/>
        </w:rPr>
        <w:t>E</w:t>
      </w:r>
      <w:r w:rsidR="006C464B" w:rsidRPr="00FA5A38">
        <w:rPr>
          <w:i/>
          <w:iCs/>
        </w:rPr>
        <w:t xml:space="preserve">nergy, </w:t>
      </w:r>
      <w:proofErr w:type="gramStart"/>
      <w:r w:rsidR="00FA5A38">
        <w:rPr>
          <w:i/>
          <w:iCs/>
        </w:rPr>
        <w:t>i</w:t>
      </w:r>
      <w:r w:rsidR="006C464B" w:rsidRPr="00FA5A38">
        <w:rPr>
          <w:i/>
          <w:iCs/>
        </w:rPr>
        <w:t>nfrastructure</w:t>
      </w:r>
      <w:proofErr w:type="gramEnd"/>
      <w:r w:rsidR="006C464B" w:rsidRPr="00FA5A38">
        <w:rPr>
          <w:i/>
          <w:iCs/>
        </w:rPr>
        <w:t xml:space="preserve"> and transport</w:t>
      </w:r>
      <w:r w:rsidR="00A83DC6" w:rsidRPr="00FA5A38">
        <w:rPr>
          <w:i/>
          <w:iCs/>
        </w:rPr>
        <w:t xml:space="preserve"> </w:t>
      </w:r>
      <w:r w:rsidR="00A83DC6" w:rsidRPr="00FA5A38">
        <w:t>and</w:t>
      </w:r>
      <w:r w:rsidR="00A83DC6" w:rsidRPr="00FA5A38">
        <w:rPr>
          <w:i/>
          <w:iCs/>
        </w:rPr>
        <w:t xml:space="preserve"> </w:t>
      </w:r>
      <w:r w:rsidR="00FA5A38">
        <w:rPr>
          <w:i/>
          <w:iCs/>
        </w:rPr>
        <w:t xml:space="preserve">HAZ – </w:t>
      </w:r>
      <w:r w:rsidR="00415CCE" w:rsidRPr="00FA5A38">
        <w:rPr>
          <w:i/>
          <w:iCs/>
        </w:rPr>
        <w:t xml:space="preserve">Hazards and </w:t>
      </w:r>
      <w:r w:rsidR="006B4A4B" w:rsidRPr="00FA5A38">
        <w:rPr>
          <w:i/>
          <w:iCs/>
        </w:rPr>
        <w:t>r</w:t>
      </w:r>
      <w:r w:rsidR="00415CCE" w:rsidRPr="00FA5A38">
        <w:rPr>
          <w:i/>
          <w:iCs/>
        </w:rPr>
        <w:t>isk</w:t>
      </w:r>
      <w:r w:rsidR="0077722F">
        <w:t>.</w:t>
      </w:r>
    </w:p>
    <w:p w14:paraId="389C7670" w14:textId="2554E406" w:rsidR="00B43204" w:rsidRDefault="00B43204" w:rsidP="00A247C5">
      <w:pPr>
        <w:pStyle w:val="Normal2"/>
      </w:pPr>
      <w:r>
        <w:t>The relevant provisions for this section are:</w:t>
      </w:r>
    </w:p>
    <w:p w14:paraId="38443E89" w14:textId="5F34BA20" w:rsidR="00C618D9" w:rsidRPr="00345C7F" w:rsidRDefault="00C618D9" w:rsidP="00A247C5">
      <w:pPr>
        <w:pStyle w:val="Normal3"/>
      </w:pPr>
      <w:r>
        <w:t>CE</w:t>
      </w:r>
      <w:r w:rsidR="00FA25EB">
        <w:t>–</w:t>
      </w:r>
      <w:r w:rsidR="00E07C4C">
        <w:t xml:space="preserve">P1 </w:t>
      </w:r>
      <w:r w:rsidR="007E52B9">
        <w:t xml:space="preserve">– </w:t>
      </w:r>
      <w:r w:rsidR="000F3A9D">
        <w:t>Links with other chapters</w:t>
      </w:r>
      <w:r w:rsidR="00E07C4C">
        <w:t xml:space="preserve"> </w:t>
      </w:r>
    </w:p>
    <w:p w14:paraId="04B63CC8" w14:textId="6AC2D81B" w:rsidR="005D5CA8" w:rsidRPr="00345C7F" w:rsidRDefault="005D5CA8" w:rsidP="00A247C5">
      <w:pPr>
        <w:pStyle w:val="Normal3"/>
      </w:pPr>
      <w:r>
        <w:t>CE</w:t>
      </w:r>
      <w:r w:rsidR="00FA25EB">
        <w:t>–</w:t>
      </w:r>
      <w:r>
        <w:t>P</w:t>
      </w:r>
      <w:r w:rsidR="00E07C4C">
        <w:t>2</w:t>
      </w:r>
      <w:r>
        <w:t xml:space="preserve"> </w:t>
      </w:r>
      <w:r w:rsidR="007E52B9">
        <w:t xml:space="preserve">– </w:t>
      </w:r>
      <w:r w:rsidR="006F1818">
        <w:t>Identification</w:t>
      </w:r>
    </w:p>
    <w:p w14:paraId="39406ADF" w14:textId="31FAB674" w:rsidR="00697E09" w:rsidRPr="00345C7F" w:rsidRDefault="00697E09" w:rsidP="00A247C5">
      <w:pPr>
        <w:pStyle w:val="Normal3"/>
      </w:pPr>
      <w:r>
        <w:t>CE</w:t>
      </w:r>
      <w:r w:rsidR="00FA25EB">
        <w:t>–</w:t>
      </w:r>
      <w:r>
        <w:t>P</w:t>
      </w:r>
      <w:r w:rsidR="00E07C4C">
        <w:t>3</w:t>
      </w:r>
      <w:r w:rsidR="007E52B9">
        <w:t xml:space="preserve"> – </w:t>
      </w:r>
      <w:r w:rsidR="00937D2F">
        <w:t>C</w:t>
      </w:r>
      <w:r>
        <w:t>oastal water quality</w:t>
      </w:r>
    </w:p>
    <w:p w14:paraId="4C309AED" w14:textId="4AAB6D95" w:rsidR="00697E09" w:rsidRPr="00345C7F" w:rsidRDefault="00697E09" w:rsidP="00A247C5">
      <w:pPr>
        <w:pStyle w:val="Normal3"/>
      </w:pPr>
      <w:r>
        <w:t>CE</w:t>
      </w:r>
      <w:r w:rsidR="00FA25EB">
        <w:t>–</w:t>
      </w:r>
      <w:r>
        <w:t>P</w:t>
      </w:r>
      <w:r w:rsidR="00E07C4C">
        <w:t>4</w:t>
      </w:r>
      <w:r w:rsidR="007E52B9">
        <w:t xml:space="preserve"> – </w:t>
      </w:r>
      <w:r w:rsidR="006F1818">
        <w:t>N</w:t>
      </w:r>
      <w:r>
        <w:t>atural character</w:t>
      </w:r>
    </w:p>
    <w:p w14:paraId="1F5D2CD5" w14:textId="3459B704" w:rsidR="00E66F09" w:rsidRPr="00345C7F" w:rsidRDefault="00E66F09" w:rsidP="00A247C5">
      <w:pPr>
        <w:pStyle w:val="Normal3"/>
      </w:pPr>
      <w:r>
        <w:lastRenderedPageBreak/>
        <w:t>CE</w:t>
      </w:r>
      <w:r w:rsidR="00FA25EB">
        <w:t>–</w:t>
      </w:r>
      <w:r>
        <w:t>P</w:t>
      </w:r>
      <w:r w:rsidR="00BE4C87">
        <w:t>5</w:t>
      </w:r>
      <w:r w:rsidR="007E52B9">
        <w:t xml:space="preserve"> – </w:t>
      </w:r>
      <w:r w:rsidR="006F1818">
        <w:t>C</w:t>
      </w:r>
      <w:r w:rsidR="008644A8">
        <w:t>oastal indigenous biodiversity</w:t>
      </w:r>
      <w:r w:rsidR="00BE4C87">
        <w:t xml:space="preserve">  </w:t>
      </w:r>
    </w:p>
    <w:p w14:paraId="0DD6A6BD" w14:textId="4A374BD8" w:rsidR="003B0FDF" w:rsidRPr="00345C7F" w:rsidRDefault="003B0FDF" w:rsidP="00A247C5">
      <w:pPr>
        <w:pStyle w:val="Normal3"/>
      </w:pPr>
      <w:r>
        <w:t>CE</w:t>
      </w:r>
      <w:r w:rsidR="00FA25EB">
        <w:t>–</w:t>
      </w:r>
      <w:r>
        <w:t>P</w:t>
      </w:r>
      <w:r w:rsidR="005769C9">
        <w:t>6</w:t>
      </w:r>
      <w:r w:rsidR="007E52B9">
        <w:t xml:space="preserve"> – </w:t>
      </w:r>
      <w:r w:rsidR="006F1818">
        <w:t>N</w:t>
      </w:r>
      <w:r w:rsidR="008644A8">
        <w:t xml:space="preserve">atural features, </w:t>
      </w:r>
      <w:proofErr w:type="gramStart"/>
      <w:r w:rsidR="008644A8">
        <w:t>landscapes</w:t>
      </w:r>
      <w:proofErr w:type="gramEnd"/>
      <w:r w:rsidR="008644A8">
        <w:t xml:space="preserve"> and </w:t>
      </w:r>
      <w:r w:rsidR="00FA5A38">
        <w:t>seascapes</w:t>
      </w:r>
      <w:r>
        <w:t xml:space="preserve"> </w:t>
      </w:r>
    </w:p>
    <w:p w14:paraId="0C012C6D" w14:textId="6466600B" w:rsidR="007E0B50" w:rsidRPr="00345C7F" w:rsidRDefault="007E0B50" w:rsidP="00A247C5">
      <w:pPr>
        <w:pStyle w:val="Normal3"/>
      </w:pPr>
      <w:r>
        <w:t>CE</w:t>
      </w:r>
      <w:r w:rsidR="00FA25EB">
        <w:t>–</w:t>
      </w:r>
      <w:r>
        <w:t>P</w:t>
      </w:r>
      <w:r w:rsidR="005769C9">
        <w:t>7</w:t>
      </w:r>
      <w:r w:rsidR="007E52B9">
        <w:t xml:space="preserve"> – </w:t>
      </w:r>
      <w:r w:rsidR="008644A8">
        <w:t>Surf breaks</w:t>
      </w:r>
    </w:p>
    <w:p w14:paraId="3C090CF9" w14:textId="400081EF" w:rsidR="007E0B50" w:rsidRPr="00345C7F" w:rsidRDefault="007E0B50" w:rsidP="00A247C5">
      <w:pPr>
        <w:pStyle w:val="Normal3"/>
      </w:pPr>
      <w:r>
        <w:t>CE</w:t>
      </w:r>
      <w:r w:rsidR="00FA25EB">
        <w:t>–</w:t>
      </w:r>
      <w:r>
        <w:t>P</w:t>
      </w:r>
      <w:r w:rsidR="005769C9">
        <w:t>8</w:t>
      </w:r>
      <w:r w:rsidR="007E52B9">
        <w:t xml:space="preserve"> – </w:t>
      </w:r>
      <w:r w:rsidR="008644A8">
        <w:t>Public access</w:t>
      </w:r>
    </w:p>
    <w:p w14:paraId="29D31E92" w14:textId="62A38EC9" w:rsidR="00FD0E66" w:rsidRPr="00345C7F" w:rsidRDefault="007E0B50" w:rsidP="00A247C5">
      <w:pPr>
        <w:pStyle w:val="Normal3"/>
      </w:pPr>
      <w:r>
        <w:t>CE</w:t>
      </w:r>
      <w:r w:rsidR="00FA25EB">
        <w:t>–</w:t>
      </w:r>
      <w:r>
        <w:t>P</w:t>
      </w:r>
      <w:r w:rsidR="005769C9">
        <w:t>9</w:t>
      </w:r>
      <w:r w:rsidR="007E52B9">
        <w:t xml:space="preserve"> – </w:t>
      </w:r>
      <w:r>
        <w:t xml:space="preserve">Activities </w:t>
      </w:r>
      <w:r w:rsidR="008644A8">
        <w:t xml:space="preserve">on land </w:t>
      </w:r>
      <w:r>
        <w:t>within the coastal marine area</w:t>
      </w:r>
    </w:p>
    <w:p w14:paraId="309F84FD" w14:textId="51061B64" w:rsidR="008644A8" w:rsidRPr="00345C7F" w:rsidRDefault="008644A8" w:rsidP="00A247C5">
      <w:pPr>
        <w:pStyle w:val="Normal3"/>
      </w:pPr>
      <w:r>
        <w:t>CE</w:t>
      </w:r>
      <w:r w:rsidR="00FA25EB">
        <w:t>–</w:t>
      </w:r>
      <w:r>
        <w:t>P10 – Activities within the coastal marine area</w:t>
      </w:r>
    </w:p>
    <w:p w14:paraId="7124B9A7" w14:textId="54B327F2" w:rsidR="007E0B50" w:rsidRPr="00345C7F" w:rsidRDefault="007E0B50" w:rsidP="00A247C5">
      <w:pPr>
        <w:pStyle w:val="Normal3"/>
      </w:pPr>
      <w:r>
        <w:t>CE</w:t>
      </w:r>
      <w:r w:rsidR="00FA25EB">
        <w:t>–</w:t>
      </w:r>
      <w:r>
        <w:t>P</w:t>
      </w:r>
      <w:r w:rsidR="005769C9">
        <w:t>1</w:t>
      </w:r>
      <w:r w:rsidR="00253616">
        <w:t>1</w:t>
      </w:r>
      <w:r w:rsidR="007E52B9">
        <w:t xml:space="preserve"> – </w:t>
      </w:r>
      <w:r>
        <w:t>Aquaculture</w:t>
      </w:r>
    </w:p>
    <w:p w14:paraId="3589189F" w14:textId="6650AE98" w:rsidR="00253616" w:rsidRPr="00345C7F" w:rsidRDefault="00253616" w:rsidP="00A247C5">
      <w:pPr>
        <w:pStyle w:val="Normal3"/>
      </w:pPr>
      <w:r>
        <w:t>CE</w:t>
      </w:r>
      <w:r w:rsidR="00FA25EB">
        <w:t>–</w:t>
      </w:r>
      <w:r>
        <w:t xml:space="preserve">P12 – Reclamation </w:t>
      </w:r>
    </w:p>
    <w:p w14:paraId="15244863" w14:textId="2AA7BA79" w:rsidR="00FA5A38" w:rsidRDefault="00144C84" w:rsidP="00A247C5">
      <w:pPr>
        <w:pStyle w:val="Normal3"/>
      </w:pPr>
      <w:r>
        <w:t>CE</w:t>
      </w:r>
      <w:r w:rsidR="00FA25EB">
        <w:t>–</w:t>
      </w:r>
      <w:r w:rsidR="00996CB4">
        <w:t>P13 – Kaitiakitaka</w:t>
      </w:r>
    </w:p>
    <w:p w14:paraId="36B71EDD" w14:textId="6ACEBC58" w:rsidR="006529B2" w:rsidRPr="00345C7F" w:rsidRDefault="00147909" w:rsidP="00A247C5">
      <w:pPr>
        <w:pStyle w:val="Normal3"/>
      </w:pPr>
      <w:r>
        <w:t>CE</w:t>
      </w:r>
      <w:r w:rsidR="00FA25EB">
        <w:t>–</w:t>
      </w:r>
      <w:r>
        <w:t>M1</w:t>
      </w:r>
      <w:r w:rsidR="005769C9">
        <w:t xml:space="preserve"> – </w:t>
      </w:r>
      <w:r>
        <w:t>Identif</w:t>
      </w:r>
      <w:r w:rsidR="0023321A">
        <w:t>ying the coastal environment</w:t>
      </w:r>
    </w:p>
    <w:p w14:paraId="504BECD9" w14:textId="138AD6B4" w:rsidR="00065BB9" w:rsidRPr="00345C7F" w:rsidRDefault="00065BB9" w:rsidP="00A247C5">
      <w:pPr>
        <w:pStyle w:val="Normal3"/>
      </w:pPr>
      <w:r>
        <w:t>CE</w:t>
      </w:r>
      <w:r w:rsidR="00FA25EB">
        <w:t>–</w:t>
      </w:r>
      <w:r>
        <w:t>M2</w:t>
      </w:r>
      <w:r w:rsidR="005769C9">
        <w:t xml:space="preserve"> – </w:t>
      </w:r>
      <w:r w:rsidR="00BD3254">
        <w:t xml:space="preserve">Identifying </w:t>
      </w:r>
      <w:r w:rsidR="00253616">
        <w:t>other areas</w:t>
      </w:r>
    </w:p>
    <w:p w14:paraId="222E9571" w14:textId="33FF5FEE" w:rsidR="00065BB9" w:rsidRPr="00345C7F" w:rsidRDefault="00065BB9" w:rsidP="00A247C5">
      <w:pPr>
        <w:pStyle w:val="Normal3"/>
      </w:pPr>
      <w:r>
        <w:t>CE</w:t>
      </w:r>
      <w:r w:rsidR="00FA25EB">
        <w:t>–</w:t>
      </w:r>
      <w:r w:rsidR="00F57E83">
        <w:t>M3</w:t>
      </w:r>
      <w:r w:rsidR="005769C9">
        <w:t xml:space="preserve"> – </w:t>
      </w:r>
      <w:r w:rsidR="00BD3254">
        <w:t>Regional plans</w:t>
      </w:r>
    </w:p>
    <w:p w14:paraId="7C01A508" w14:textId="5FA40F4F" w:rsidR="00147909" w:rsidRPr="00345C7F" w:rsidRDefault="00F57E83" w:rsidP="00A247C5">
      <w:pPr>
        <w:pStyle w:val="Normal3"/>
      </w:pPr>
      <w:r>
        <w:t>CE</w:t>
      </w:r>
      <w:r w:rsidR="00FA25EB">
        <w:t>–</w:t>
      </w:r>
      <w:r>
        <w:t>M4</w:t>
      </w:r>
      <w:r w:rsidR="005769C9">
        <w:t xml:space="preserve"> – </w:t>
      </w:r>
      <w:r w:rsidR="00BD3254">
        <w:t>District plans</w:t>
      </w:r>
    </w:p>
    <w:p w14:paraId="436EDC68" w14:textId="79060A53" w:rsidR="00F57E83" w:rsidRDefault="00F57E83" w:rsidP="00A247C5">
      <w:pPr>
        <w:pStyle w:val="Normal3"/>
      </w:pPr>
      <w:r>
        <w:t>CE</w:t>
      </w:r>
      <w:r w:rsidR="00FA25EB">
        <w:t>–</w:t>
      </w:r>
      <w:r>
        <w:t>M</w:t>
      </w:r>
      <w:r w:rsidR="00E514A9">
        <w:t>5</w:t>
      </w:r>
      <w:r w:rsidR="005769C9">
        <w:t xml:space="preserve"> – </w:t>
      </w:r>
      <w:r>
        <w:t>Other incentives and mechanisms</w:t>
      </w:r>
    </w:p>
    <w:p w14:paraId="119AB9BB" w14:textId="668479E8" w:rsidR="00C44204" w:rsidRDefault="00697E09" w:rsidP="0082271A">
      <w:pPr>
        <w:pStyle w:val="Heading3"/>
      </w:pPr>
      <w:bookmarkStart w:id="75" w:name="_Ref53561777"/>
      <w:r>
        <w:t>Current issues</w:t>
      </w:r>
      <w:bookmarkEnd w:id="75"/>
    </w:p>
    <w:p w14:paraId="7AEB8016" w14:textId="04E6A936" w:rsidR="00EB66FF" w:rsidRDefault="00EA6B79" w:rsidP="00A247C5">
      <w:pPr>
        <w:pStyle w:val="Normal2"/>
      </w:pPr>
      <w:r>
        <w:t xml:space="preserve">There is limited </w:t>
      </w:r>
      <w:r w:rsidR="00DE069C">
        <w:t xml:space="preserve">recent </w:t>
      </w:r>
      <w:r>
        <w:t xml:space="preserve">information available about </w:t>
      </w:r>
      <w:r w:rsidR="003A4651">
        <w:t>Otago’s</w:t>
      </w:r>
      <w:r>
        <w:t xml:space="preserve"> coastal environment, particularly in relation to the state and trend of </w:t>
      </w:r>
      <w:r w:rsidR="001D287F">
        <w:t xml:space="preserve">its natural </w:t>
      </w:r>
      <w:r w:rsidR="003A4651">
        <w:t>resources</w:t>
      </w:r>
      <w:r w:rsidR="001D287F">
        <w:t xml:space="preserve">. In some instances, information about the state and trend of inland resources </w:t>
      </w:r>
      <w:r w:rsidR="00EB66FF">
        <w:t xml:space="preserve">can provide an indication of what might be expected in the coastal environment (for example, water quality monitoring </w:t>
      </w:r>
      <w:r w:rsidR="00230EEC">
        <w:t xml:space="preserve">in lowland areas). </w:t>
      </w:r>
    </w:p>
    <w:p w14:paraId="417383CE" w14:textId="3C08C672" w:rsidR="005E1030" w:rsidRDefault="00B94786" w:rsidP="00A247C5">
      <w:pPr>
        <w:pStyle w:val="Normal2"/>
      </w:pPr>
      <w:r>
        <w:t>Through the appeals on and review of the PORPS 201</w:t>
      </w:r>
      <w:r w:rsidR="001952A9">
        <w:t>9</w:t>
      </w:r>
      <w:r>
        <w:t xml:space="preserve">, there have been </w:t>
      </w:r>
      <w:proofErr w:type="gramStart"/>
      <w:r>
        <w:t>a number of</w:t>
      </w:r>
      <w:proofErr w:type="gramEnd"/>
      <w:r>
        <w:t xml:space="preserve"> issues identified with the </w:t>
      </w:r>
      <w:r w:rsidR="00931B2E">
        <w:t>current policy framework</w:t>
      </w:r>
      <w:r w:rsidR="00AA5CAF">
        <w:t xml:space="preserve">, particularly in relation to its implementation of the NZCPS. </w:t>
      </w:r>
      <w:r w:rsidR="005E1030">
        <w:t>These issues have been set out within the following sub-topics:</w:t>
      </w:r>
    </w:p>
    <w:p w14:paraId="34599723" w14:textId="77777777" w:rsidR="005E1030" w:rsidRPr="00DE069C" w:rsidRDefault="005E1030" w:rsidP="00A247C5">
      <w:pPr>
        <w:pStyle w:val="Normal3"/>
      </w:pPr>
      <w:r w:rsidRPr="00DE069C">
        <w:t>Extent and characteristics of the coastal environment</w:t>
      </w:r>
    </w:p>
    <w:p w14:paraId="76739232" w14:textId="3E1BFF0D" w:rsidR="005E1030" w:rsidRPr="00DE069C" w:rsidRDefault="005E1030" w:rsidP="00A247C5">
      <w:pPr>
        <w:pStyle w:val="Normal3"/>
      </w:pPr>
      <w:r w:rsidRPr="00DE069C">
        <w:t>Coastal water quality</w:t>
      </w:r>
    </w:p>
    <w:p w14:paraId="53BF42E6" w14:textId="3F5BBE3C" w:rsidR="00C44204" w:rsidRPr="00DE069C" w:rsidRDefault="00B20BD1" w:rsidP="00A247C5">
      <w:pPr>
        <w:pStyle w:val="Normal3"/>
      </w:pPr>
      <w:r w:rsidRPr="00DE069C">
        <w:t>Natural character</w:t>
      </w:r>
    </w:p>
    <w:p w14:paraId="4BE7346A" w14:textId="560A180F" w:rsidR="00CB4838" w:rsidRPr="00DE069C" w:rsidRDefault="009B3040" w:rsidP="00A247C5">
      <w:pPr>
        <w:pStyle w:val="Normal3"/>
      </w:pPr>
      <w:r w:rsidRPr="00DE069C">
        <w:t>I</w:t>
      </w:r>
      <w:r w:rsidR="00803E24" w:rsidRPr="00DE069C">
        <w:t xml:space="preserve">ndigenous biodiversity </w:t>
      </w:r>
    </w:p>
    <w:p w14:paraId="663CF9F5" w14:textId="413BC02A" w:rsidR="00803E24" w:rsidRPr="00DE069C" w:rsidRDefault="00583790" w:rsidP="00A247C5">
      <w:pPr>
        <w:pStyle w:val="Normal3"/>
      </w:pPr>
      <w:r w:rsidRPr="00DE069C">
        <w:t xml:space="preserve">Natural features, </w:t>
      </w:r>
      <w:proofErr w:type="gramStart"/>
      <w:r w:rsidRPr="00DE069C">
        <w:t>landscapes</w:t>
      </w:r>
      <w:proofErr w:type="gramEnd"/>
      <w:r w:rsidRPr="00DE069C">
        <w:t xml:space="preserve"> and </w:t>
      </w:r>
      <w:r w:rsidR="00961D74" w:rsidRPr="00DE069C">
        <w:t>seascapes</w:t>
      </w:r>
    </w:p>
    <w:p w14:paraId="6BA00FA5" w14:textId="49D0D9A6" w:rsidR="00B20BD1" w:rsidRPr="00DE069C" w:rsidRDefault="00B20BD1" w:rsidP="00A247C5">
      <w:pPr>
        <w:pStyle w:val="Normal3"/>
      </w:pPr>
      <w:r w:rsidRPr="00DE069C">
        <w:t>Surf breaks</w:t>
      </w:r>
    </w:p>
    <w:p w14:paraId="1EF3E035" w14:textId="087EC451" w:rsidR="00B20BD1" w:rsidRPr="00DE069C" w:rsidRDefault="00B20BD1" w:rsidP="00A247C5">
      <w:pPr>
        <w:pStyle w:val="Normal3"/>
      </w:pPr>
      <w:r w:rsidRPr="00DE069C">
        <w:t>Public access</w:t>
      </w:r>
    </w:p>
    <w:p w14:paraId="0A9F3046" w14:textId="730C47BD" w:rsidR="00B20BD1" w:rsidRPr="00DE069C" w:rsidRDefault="00B20BD1" w:rsidP="00A247C5">
      <w:pPr>
        <w:pStyle w:val="Normal3"/>
      </w:pPr>
      <w:r w:rsidRPr="00DE069C">
        <w:t>Activities in the coastal environment</w:t>
      </w:r>
    </w:p>
    <w:p w14:paraId="0EBEB1C3" w14:textId="5E4D84D9" w:rsidR="00B20BD1" w:rsidRDefault="009A697C" w:rsidP="00DE069C">
      <w:pPr>
        <w:pStyle w:val="Heading4"/>
      </w:pPr>
      <w:r>
        <w:t xml:space="preserve">Extent and </w:t>
      </w:r>
      <w:r w:rsidRPr="00DE069C">
        <w:t>characteristics</w:t>
      </w:r>
      <w:r>
        <w:t xml:space="preserve"> of the coastal environment</w:t>
      </w:r>
    </w:p>
    <w:p w14:paraId="34D8B5FF" w14:textId="106DACFA" w:rsidR="009A697C" w:rsidRDefault="006B423E" w:rsidP="00A247C5">
      <w:pPr>
        <w:pStyle w:val="Normal2"/>
      </w:pPr>
      <w:r>
        <w:t xml:space="preserve">Policy 1 of the NZCPS requires the extent of the coastal environment to be identified. The PORPS 2019 </w:t>
      </w:r>
      <w:r w:rsidR="002F491F">
        <w:t xml:space="preserve">largely replicates this direction and includes Method 5.1.1 requiring </w:t>
      </w:r>
      <w:r w:rsidR="009A697C">
        <w:t xml:space="preserve">regional, city and district councils will work </w:t>
      </w:r>
      <w:r w:rsidR="001B59A4">
        <w:t xml:space="preserve">to </w:t>
      </w:r>
      <w:r w:rsidR="009A697C">
        <w:t>collaboratively to identify the landward extent of the coastal environment</w:t>
      </w:r>
      <w:r w:rsidR="002F491F">
        <w:t xml:space="preserve">. </w:t>
      </w:r>
      <w:r w:rsidR="009A697C">
        <w:t xml:space="preserve">Overall, </w:t>
      </w:r>
      <w:r w:rsidR="002F491F">
        <w:t>these provisions</w:t>
      </w:r>
      <w:r w:rsidR="009A697C">
        <w:t xml:space="preserve"> </w:t>
      </w:r>
      <w:r>
        <w:t>are</w:t>
      </w:r>
      <w:r w:rsidR="009A697C">
        <w:t xml:space="preserve"> appropriate</w:t>
      </w:r>
      <w:r w:rsidR="002D7043">
        <w:t xml:space="preserve"> but there is a lack of</w:t>
      </w:r>
      <w:r w:rsidR="00EB2497">
        <w:t xml:space="preserve"> clear direction for local authorities</w:t>
      </w:r>
      <w:r w:rsidR="0003554F">
        <w:t xml:space="preserve"> </w:t>
      </w:r>
      <w:r w:rsidR="002F491F">
        <w:t xml:space="preserve">about </w:t>
      </w:r>
      <w:r w:rsidR="00074774">
        <w:t>their roles and responsibilities, including how and where the coastal environment is identified.</w:t>
      </w:r>
    </w:p>
    <w:p w14:paraId="4063A94C" w14:textId="46E16D81" w:rsidR="009A697C" w:rsidRDefault="009A697C" w:rsidP="00DE069C">
      <w:pPr>
        <w:pStyle w:val="Heading4"/>
      </w:pPr>
      <w:r>
        <w:t>Coastal water quality</w:t>
      </w:r>
    </w:p>
    <w:p w14:paraId="1D6321B2" w14:textId="19D7081C" w:rsidR="00300642" w:rsidRDefault="00300642" w:rsidP="00A247C5">
      <w:pPr>
        <w:pStyle w:val="Normal2"/>
      </w:pPr>
      <w:r>
        <w:t>ORC does not regularly monitor coastal water quality. Freshwater monitoring sites in lowland areas near the coast have varying water quality, suggesting that there is potential for some coastal water quality to be degraded.</w:t>
      </w:r>
    </w:p>
    <w:p w14:paraId="66301263" w14:textId="6809A110" w:rsidR="006A5D4B" w:rsidRPr="00A7154C" w:rsidRDefault="006A5D4B" w:rsidP="00A247C5">
      <w:pPr>
        <w:pStyle w:val="Normal2"/>
      </w:pPr>
      <w:r>
        <w:lastRenderedPageBreak/>
        <w:t>Policy 3.1.5</w:t>
      </w:r>
      <w:r w:rsidR="002D7043">
        <w:t xml:space="preserve"> of the </w:t>
      </w:r>
      <w:r w:rsidR="00E21DC8">
        <w:t>PORPS 201</w:t>
      </w:r>
      <w:r w:rsidR="001952A9">
        <w:t>9</w:t>
      </w:r>
      <w:r>
        <w:t xml:space="preserve"> requires coastal water quality and a range of specified values to be maintained or enhanced where they have been degraded. It also requires that all other coastal values and trout and salmon habitat are maintained or enhanced as far as practicable, and pest species are managed appropriately.</w:t>
      </w:r>
      <w:r w:rsidR="00074774">
        <w:t xml:space="preserve"> This policy </w:t>
      </w:r>
      <w:r>
        <w:t xml:space="preserve">contains a range of general statements without any clear direction or guidance for their implementation. For example, </w:t>
      </w:r>
      <w:r w:rsidR="00300642">
        <w:t>it is not clear</w:t>
      </w:r>
      <w:r>
        <w:t xml:space="preserve"> how areas of degraded coastal water quality will be identified or how </w:t>
      </w:r>
      <w:r w:rsidR="00300642">
        <w:t>enhancement will</w:t>
      </w:r>
      <w:r>
        <w:t xml:space="preserve"> be achieved.</w:t>
      </w:r>
      <w:r w:rsidR="004E29F2">
        <w:t xml:space="preserve"> There is little recognition of the connections between freshwater and coastal waters.</w:t>
      </w:r>
    </w:p>
    <w:p w14:paraId="10CD4FC7" w14:textId="48E73765" w:rsidR="006A5D4B" w:rsidRDefault="006A5D4B" w:rsidP="00A247C5">
      <w:pPr>
        <w:pStyle w:val="Normal2"/>
      </w:pPr>
      <w:r>
        <w:t xml:space="preserve">By contrast, </w:t>
      </w:r>
      <w:r w:rsidR="00E21DC8">
        <w:t xml:space="preserve">Policies 21, 22 and 23 of </w:t>
      </w:r>
      <w:r>
        <w:t>the NZCPS set out a more directive approach by requiring:</w:t>
      </w:r>
    </w:p>
    <w:p w14:paraId="2F7A4A9A" w14:textId="5CEF4F9B" w:rsidR="006A5D4B" w:rsidRDefault="004174C4" w:rsidP="00A247C5">
      <w:pPr>
        <w:pStyle w:val="Normal3"/>
      </w:pPr>
      <w:r>
        <w:t>i</w:t>
      </w:r>
      <w:r w:rsidR="00E21DC8">
        <w:t xml:space="preserve">dentification of </w:t>
      </w:r>
      <w:r w:rsidR="006A5D4B">
        <w:t>areas of deteriorated coastal water quality</w:t>
      </w:r>
      <w:r w:rsidR="00300642">
        <w:t xml:space="preserve"> using specific </w:t>
      </w:r>
      <w:proofErr w:type="gramStart"/>
      <w:r w:rsidR="00300642">
        <w:t>criteria</w:t>
      </w:r>
      <w:r w:rsidR="006A5D4B">
        <w:t>;</w:t>
      </w:r>
      <w:proofErr w:type="gramEnd"/>
    </w:p>
    <w:p w14:paraId="018CD076" w14:textId="77777777" w:rsidR="006A5D4B" w:rsidRDefault="006A5D4B" w:rsidP="00A247C5">
      <w:pPr>
        <w:pStyle w:val="Normal3"/>
      </w:pPr>
      <w:r>
        <w:t xml:space="preserve">provisions to be included in plans to improve water </w:t>
      </w:r>
      <w:proofErr w:type="gramStart"/>
      <w:r>
        <w:t>quality;</w:t>
      </w:r>
      <w:proofErr w:type="gramEnd"/>
    </w:p>
    <w:p w14:paraId="12260288" w14:textId="77777777" w:rsidR="006A5D4B" w:rsidRDefault="006A5D4B" w:rsidP="00A247C5">
      <w:pPr>
        <w:pStyle w:val="Normal3"/>
      </w:pPr>
      <w:r>
        <w:t xml:space="preserve">stock to be excluded from the </w:t>
      </w:r>
      <w:proofErr w:type="gramStart"/>
      <w:r>
        <w:t>CMA;</w:t>
      </w:r>
      <w:proofErr w:type="gramEnd"/>
    </w:p>
    <w:p w14:paraId="573BCFB5" w14:textId="5CA73B52" w:rsidR="006A5D4B" w:rsidRDefault="006A5D4B" w:rsidP="00A247C5">
      <w:pPr>
        <w:pStyle w:val="Normal3"/>
      </w:pPr>
      <w:r>
        <w:t xml:space="preserve">engagement with </w:t>
      </w:r>
      <w:proofErr w:type="spellStart"/>
      <w:r>
        <w:t>ta</w:t>
      </w:r>
      <w:r w:rsidR="004E29F2">
        <w:t>k</w:t>
      </w:r>
      <w:r>
        <w:t>ata</w:t>
      </w:r>
      <w:proofErr w:type="spellEnd"/>
      <w:r>
        <w:t xml:space="preserve"> whenua to identify areas of coastal waters where they have particular </w:t>
      </w:r>
      <w:proofErr w:type="gramStart"/>
      <w:r>
        <w:t>interest;</w:t>
      </w:r>
      <w:proofErr w:type="gramEnd"/>
    </w:p>
    <w:p w14:paraId="2C9C2FDB" w14:textId="77777777" w:rsidR="006A5D4B" w:rsidRDefault="006A5D4B" w:rsidP="00A247C5">
      <w:pPr>
        <w:pStyle w:val="Normal3"/>
      </w:pPr>
      <w:r>
        <w:t>the impacts of sedimentation on the coastal environment to be assessed and monitored; and</w:t>
      </w:r>
    </w:p>
    <w:p w14:paraId="7EE49F4D" w14:textId="77777777" w:rsidR="006A5D4B" w:rsidRDefault="006A5D4B" w:rsidP="00A247C5">
      <w:pPr>
        <w:pStyle w:val="Normal3"/>
      </w:pPr>
      <w:r>
        <w:t>the management of human sewage discharges, stormwater discharges, and discharges from ports and other marine facilities.</w:t>
      </w:r>
    </w:p>
    <w:p w14:paraId="19AEBE91" w14:textId="65796450" w:rsidR="009A697C" w:rsidRDefault="00996CB4" w:rsidP="00A247C5">
      <w:pPr>
        <w:pStyle w:val="Normal2"/>
      </w:pPr>
      <w:r>
        <w:t xml:space="preserve">In </w:t>
      </w:r>
      <w:r w:rsidR="004E29F2">
        <w:t xml:space="preserve">the </w:t>
      </w:r>
      <w:r w:rsidR="00F34E3D">
        <w:t>PORPS 2019</w:t>
      </w:r>
      <w:r>
        <w:t xml:space="preserve"> t</w:t>
      </w:r>
      <w:r w:rsidR="006A5D4B">
        <w:t>h</w:t>
      </w:r>
      <w:r w:rsidR="00546353">
        <w:t xml:space="preserve">ere is a lack of </w:t>
      </w:r>
      <w:r w:rsidR="006A5D4B">
        <w:t>policy direction on the management of land-based activities that may adversely affect coastal water quality</w:t>
      </w:r>
      <w:r w:rsidR="00546353">
        <w:t>, which does not recognise the connected nature of the coastal environment with activities upstream.</w:t>
      </w:r>
      <w:r w:rsidR="00155182">
        <w:t xml:space="preserve"> </w:t>
      </w:r>
      <w:r w:rsidR="00DA5E9D">
        <w:t>The methods do not provide sufficient guidance for implementation</w:t>
      </w:r>
      <w:r w:rsidR="00546353">
        <w:t xml:space="preserve">. </w:t>
      </w:r>
      <w:r w:rsidR="00DA5E9D">
        <w:t xml:space="preserve">Rather, the direction set out in the methods is more focused on matters related to freshwater management, such as Method 3.1.3, or lacks clarity, such as the identification of coastal values in Method 5.2.1. </w:t>
      </w:r>
    </w:p>
    <w:p w14:paraId="5B180D46" w14:textId="5BD41C26" w:rsidR="009A697C" w:rsidRDefault="009A697C" w:rsidP="00DE069C">
      <w:pPr>
        <w:pStyle w:val="Heading4"/>
      </w:pPr>
      <w:r>
        <w:t>Natural character</w:t>
      </w:r>
    </w:p>
    <w:p w14:paraId="3E0E71D4" w14:textId="09DA50CE" w:rsidR="00BC485F" w:rsidRDefault="00224F85" w:rsidP="00A247C5">
      <w:pPr>
        <w:pStyle w:val="Normal2"/>
      </w:pPr>
      <w:r>
        <w:t>Preserving the natural character of the coastal environment is a matter of national importance under section 6 of the RMA 1991. Natural character</w:t>
      </w:r>
      <w:r w:rsidR="00BC485F">
        <w:t xml:space="preserve"> is </w:t>
      </w:r>
      <w:r>
        <w:t xml:space="preserve">also </w:t>
      </w:r>
      <w:r w:rsidR="009D71E2">
        <w:t xml:space="preserve">important for supporting Kāi </w:t>
      </w:r>
      <w:proofErr w:type="spellStart"/>
      <w:r w:rsidR="009D71E2">
        <w:t>Tahu</w:t>
      </w:r>
      <w:proofErr w:type="spellEnd"/>
      <w:r w:rsidR="009D71E2">
        <w:t xml:space="preserve"> values and customary uses. The importance of the coastal environment, and the impacts of activities on it, was identified as a significant issue by the community during consultation. </w:t>
      </w:r>
      <w:r w:rsidR="00BB29F2">
        <w:t>There is little information available about the state of natural character in Otago’s coastal environment or the trends over time.</w:t>
      </w:r>
    </w:p>
    <w:p w14:paraId="5ECA1AF8" w14:textId="11DFF346" w:rsidR="00F03FA2" w:rsidRDefault="004E440D" w:rsidP="00A247C5">
      <w:pPr>
        <w:pStyle w:val="Normal2"/>
      </w:pPr>
      <w:r>
        <w:t xml:space="preserve">Policies 13 and 14 of the NZCPS require </w:t>
      </w:r>
      <w:r w:rsidR="008F210B">
        <w:t>preserving and restoring</w:t>
      </w:r>
      <w:r>
        <w:t xml:space="preserve"> natural character. </w:t>
      </w:r>
      <w:r w:rsidR="007C26DF">
        <w:t>Policy 3.1.12 of t</w:t>
      </w:r>
      <w:r>
        <w:t>he PORPS 201</w:t>
      </w:r>
      <w:r w:rsidR="001952A9">
        <w:t>9</w:t>
      </w:r>
      <w:r w:rsidR="00505977">
        <w:t xml:space="preserve"> </w:t>
      </w:r>
      <w:r w:rsidR="00EB0296">
        <w:t xml:space="preserve">requires </w:t>
      </w:r>
      <w:r>
        <w:t>recognising</w:t>
      </w:r>
      <w:r w:rsidR="00EB0296">
        <w:t xml:space="preserve"> the values of natural character in the coastal environment,</w:t>
      </w:r>
      <w:r>
        <w:t xml:space="preserve"> which are</w:t>
      </w:r>
      <w:r w:rsidR="00EB0296">
        <w:t xml:space="preserve"> to be assessed based on a list of attributes</w:t>
      </w:r>
      <w:r w:rsidR="00A71099">
        <w:t>.</w:t>
      </w:r>
      <w:r w:rsidR="006D7D74">
        <w:t xml:space="preserve"> The methods for implementing this policy include regional and district plans</w:t>
      </w:r>
      <w:r>
        <w:t xml:space="preserve"> but it</w:t>
      </w:r>
      <w:r w:rsidR="006D7D74">
        <w:t xml:space="preserve"> is not clear what type of recognition is envisaged</w:t>
      </w:r>
      <w:r w:rsidR="001C5337">
        <w:t xml:space="preserve"> </w:t>
      </w:r>
      <w:r w:rsidR="00213243">
        <w:t>or</w:t>
      </w:r>
      <w:r w:rsidR="001C5337">
        <w:t xml:space="preserve"> whether it gives effect to the direction in the NZCPS.</w:t>
      </w:r>
    </w:p>
    <w:p w14:paraId="22A81183" w14:textId="6F4531A3" w:rsidR="003B763F" w:rsidRDefault="00FD6CD2" w:rsidP="00A247C5">
      <w:pPr>
        <w:pStyle w:val="Normal2"/>
      </w:pPr>
      <w:r>
        <w:t xml:space="preserve">Broadly, there is a lack of specificity about the roles and responsibilities of </w:t>
      </w:r>
      <w:r w:rsidR="001C5337">
        <w:t>Otago’s</w:t>
      </w:r>
      <w:r>
        <w:t xml:space="preserve"> </w:t>
      </w:r>
      <w:r w:rsidR="008E7FB8">
        <w:t>local authorities</w:t>
      </w:r>
      <w:r w:rsidR="001C5337">
        <w:t xml:space="preserve"> in</w:t>
      </w:r>
      <w:r w:rsidR="00DD55FE">
        <w:t xml:space="preserve"> implement</w:t>
      </w:r>
      <w:r w:rsidR="001C5337">
        <w:t>ing</w:t>
      </w:r>
      <w:r w:rsidR="00DD55FE">
        <w:t xml:space="preserve"> the policies</w:t>
      </w:r>
      <w:r>
        <w:t xml:space="preserve">. </w:t>
      </w:r>
      <w:r w:rsidR="003B763F">
        <w:t xml:space="preserve">Methods 3.1.6 and 4.1.3 </w:t>
      </w:r>
      <w:proofErr w:type="gramStart"/>
      <w:r w:rsidR="00603DC0">
        <w:t>in particular</w:t>
      </w:r>
      <w:r w:rsidR="003B763F">
        <w:t xml:space="preserve"> require</w:t>
      </w:r>
      <w:proofErr w:type="gramEnd"/>
      <w:r w:rsidR="003B763F">
        <w:t xml:space="preserve"> both regional and district councils to identify and protect natural character in the coastal environment. This may lead to unnecessary duplication as it is not clear how the different councils are to implement the policies in their plans. </w:t>
      </w:r>
      <w:r w:rsidR="00DB3FAE">
        <w:t xml:space="preserve">It is not clear who will be responsible for identifying high natural character or what the specific areas of responsibility are. </w:t>
      </w:r>
    </w:p>
    <w:p w14:paraId="5AC6FA83" w14:textId="13D2C499" w:rsidR="00176F2D" w:rsidRDefault="00EC158F" w:rsidP="00A247C5">
      <w:pPr>
        <w:pStyle w:val="Normal2"/>
      </w:pPr>
      <w:r>
        <w:t>The PORPS 201</w:t>
      </w:r>
      <w:r w:rsidR="001952A9">
        <w:t>9</w:t>
      </w:r>
      <w:r>
        <w:t xml:space="preserve"> outlines different management frameworks for outstanding and high natural character</w:t>
      </w:r>
      <w:r w:rsidR="001D48A3">
        <w:t>, recognising the distinction in Policy 13(1)(a) and (b) of the NZCPS</w:t>
      </w:r>
      <w:r>
        <w:t xml:space="preserve">. </w:t>
      </w:r>
      <w:r w:rsidR="00176F2D">
        <w:t xml:space="preserve">As outlined </w:t>
      </w:r>
      <w:r w:rsidR="00176F2D">
        <w:lastRenderedPageBreak/>
        <w:t>previously, there is a lack of clarity about the roles and responsibilities of the regional and district councils</w:t>
      </w:r>
      <w:r w:rsidR="00790D74">
        <w:t xml:space="preserve"> in implementing the frameworks.</w:t>
      </w:r>
    </w:p>
    <w:p w14:paraId="0D50C7B8" w14:textId="77777777" w:rsidR="009B3040" w:rsidRDefault="009B3040" w:rsidP="00DE069C">
      <w:pPr>
        <w:pStyle w:val="Heading4"/>
      </w:pPr>
      <w:r>
        <w:t>I</w:t>
      </w:r>
      <w:r w:rsidRPr="00803E24">
        <w:t xml:space="preserve">ndigenous biodiversity </w:t>
      </w:r>
    </w:p>
    <w:p w14:paraId="7AC4591A" w14:textId="03E2381D" w:rsidR="00E62A57" w:rsidRDefault="00E62A57" w:rsidP="00A247C5">
      <w:pPr>
        <w:pStyle w:val="Normal2"/>
      </w:pPr>
      <w:r>
        <w:t xml:space="preserve">In 2017, ORC commissioned a report to analyse options to improve management of indigenous ecosystems and diversity for Otago </w:t>
      </w:r>
      <w:sdt>
        <w:sdtPr>
          <w:id w:val="-199560518"/>
          <w:placeholder>
            <w:docPart w:val="DefaultPlaceholder_1081868574"/>
          </w:placeholder>
          <w:citation/>
        </w:sdtPr>
        <w:sdtContent>
          <w:r w:rsidR="00F37F8B">
            <w:fldChar w:fldCharType="begin"/>
          </w:r>
          <w:r w:rsidR="00F37F8B">
            <w:rPr>
              <w:lang w:val="en-GB"/>
            </w:rPr>
            <w:instrText xml:space="preserve"> CITATION Wil17 \l 2057 </w:instrText>
          </w:r>
          <w:r w:rsidR="00F37F8B">
            <w:fldChar w:fldCharType="separate"/>
          </w:r>
          <w:r w:rsidR="00246D02">
            <w:rPr>
              <w:noProof/>
              <w:lang w:val="en-GB"/>
            </w:rPr>
            <w:t>(Wildlands, 2017)</w:t>
          </w:r>
          <w:r w:rsidR="00F37F8B">
            <w:fldChar w:fldCharType="end"/>
          </w:r>
        </w:sdtContent>
      </w:sdt>
      <w:r>
        <w:t xml:space="preserve">. This report included a review of the marine ecosystems extending from mean high water springs (MHWS) to the 12 nautical mile limit of Otago Region. It broadly categorised the Otago coastline into five distinct environments and identified </w:t>
      </w:r>
      <w:proofErr w:type="gramStart"/>
      <w:r>
        <w:t>a number of</w:t>
      </w:r>
      <w:proofErr w:type="gramEnd"/>
      <w:r>
        <w:t xml:space="preserve"> key habitats, including: river mouths, estuaries, intertidal and shallow subtidal habitats, biogenic habitats, deep sub-tidal habitats, and canyon heads. It noted that the </w:t>
      </w:r>
      <w:proofErr w:type="spellStart"/>
      <w:r>
        <w:t>Tautuku</w:t>
      </w:r>
      <w:proofErr w:type="spellEnd"/>
      <w:r>
        <w:t xml:space="preserve"> and </w:t>
      </w:r>
      <w:proofErr w:type="spellStart"/>
      <w:r>
        <w:t>Tahakopa</w:t>
      </w:r>
      <w:proofErr w:type="spellEnd"/>
      <w:r>
        <w:t xml:space="preserve"> estuaries are nationally significant due to their relatively unmodified character. The report also identified that the Otago Region is rich in marine fauna including marine mammals (seals, sea lions, dolphins, whales) and seabirds (penguins, shags, albatross, gulls, petrels), marine algae, and benthic organisms.  </w:t>
      </w:r>
    </w:p>
    <w:p w14:paraId="599B2EA8" w14:textId="6C10B3D9" w:rsidR="00E62A57" w:rsidRDefault="00E62A57" w:rsidP="00A247C5">
      <w:pPr>
        <w:pStyle w:val="Normal2"/>
      </w:pPr>
      <w:r>
        <w:t>Threats to biodiversity in Otago</w:t>
      </w:r>
      <w:r w:rsidR="001B157E">
        <w:t>’s</w:t>
      </w:r>
      <w:r>
        <w:t xml:space="preserve"> marine environment are comparable to those elsewhere in New Zealand, including </w:t>
      </w:r>
      <w:r w:rsidR="001B157E">
        <w:t xml:space="preserve">from </w:t>
      </w:r>
      <w:r>
        <w:t xml:space="preserve">sedimentation and excessive nutrients from land run-off, wastewater discharge, dumping of dredge spoil and rising sea temperatures. In addition, invasive species, such as </w:t>
      </w:r>
      <w:proofErr w:type="spellStart"/>
      <w:r w:rsidRPr="00A70A41">
        <w:rPr>
          <w:i/>
          <w:iCs/>
        </w:rPr>
        <w:t>Undaria</w:t>
      </w:r>
      <w:proofErr w:type="spellEnd"/>
      <w:r w:rsidRPr="00A70A41">
        <w:rPr>
          <w:i/>
          <w:iCs/>
        </w:rPr>
        <w:t xml:space="preserve"> pinnatifida</w:t>
      </w:r>
      <w:r>
        <w:t xml:space="preserve"> and fishing methods such as </w:t>
      </w:r>
      <w:proofErr w:type="gramStart"/>
      <w:r>
        <w:t>trawling</w:t>
      </w:r>
      <w:proofErr w:type="gramEnd"/>
      <w:r>
        <w:t xml:space="preserve"> and dredging were also identified as threats to marine biodiversity.  </w:t>
      </w:r>
    </w:p>
    <w:p w14:paraId="5EDCD893" w14:textId="38FD125F" w:rsidR="00E62A57" w:rsidRDefault="00E62A57" w:rsidP="00A247C5">
      <w:pPr>
        <w:pStyle w:val="Normal2"/>
      </w:pPr>
      <w:r>
        <w:t xml:space="preserve">In 2020, ORC commissioned two reports into the region’s indigenous biodiversity as a first step towards a new management approach: one mapping significant habitats of fauna based on existing information </w:t>
      </w:r>
      <w:proofErr w:type="gramStart"/>
      <w:r>
        <w:t>sources</w:t>
      </w:r>
      <w:r w:rsidR="00EC4114" w:rsidRPr="00EC4114">
        <w:t xml:space="preserve"> </w:t>
      </w:r>
      <w:r>
        <w:t xml:space="preserve"> </w:t>
      </w:r>
      <w:r w:rsidR="00F55A27">
        <w:t>(</w:t>
      </w:r>
      <w:proofErr w:type="gramEnd"/>
      <w:r w:rsidR="009770A5">
        <w:t>s</w:t>
      </w:r>
      <w:r w:rsidR="00717342">
        <w:t>ee</w:t>
      </w:r>
      <w:r w:rsidR="00F55A27">
        <w:t xml:space="preserve"> </w:t>
      </w:r>
      <w:r w:rsidR="009770A5">
        <w:t>Wildlands, 2020a in A</w:t>
      </w:r>
      <w:r w:rsidR="00F55A27">
        <w:t>ppendix</w:t>
      </w:r>
      <w:r w:rsidR="00A4388E">
        <w:t xml:space="preserve"> 12</w:t>
      </w:r>
      <w:r w:rsidR="00F55A27">
        <w:t>)</w:t>
      </w:r>
      <w:r>
        <w:t xml:space="preserve"> and one mapping potential natural ecosystems and current ecosystems in the region</w:t>
      </w:r>
      <w:r w:rsidR="001135A5">
        <w:t xml:space="preserve"> (see </w:t>
      </w:r>
      <w:r w:rsidR="009770A5">
        <w:t>Wildlands, 2020b in A</w:t>
      </w:r>
      <w:r w:rsidR="001135A5">
        <w:t>ppendix</w:t>
      </w:r>
      <w:r w:rsidR="00593712">
        <w:t xml:space="preserve"> </w:t>
      </w:r>
      <w:r w:rsidR="00A4388E">
        <w:t>13</w:t>
      </w:r>
      <w:r w:rsidR="001135A5">
        <w:t>)</w:t>
      </w:r>
      <w:r>
        <w:t xml:space="preserve">. These reports indicate that there are several marine habitats within the region that are potentially significant habitats for indigenous species. They provide a starting point for assessments of significance across the </w:t>
      </w:r>
      <w:proofErr w:type="gramStart"/>
      <w:r>
        <w:t>region</w:t>
      </w:r>
      <w:proofErr w:type="gramEnd"/>
      <w:r>
        <w:t xml:space="preserve"> and it is expected that information gaps and refinement of identified areas will occur as further surveys are undertaken. </w:t>
      </w:r>
    </w:p>
    <w:p w14:paraId="596D5A4A" w14:textId="5AC2B9E9" w:rsidR="00E62A57" w:rsidRDefault="00E62A57" w:rsidP="00A247C5">
      <w:pPr>
        <w:pStyle w:val="Normal2"/>
      </w:pPr>
      <w:r>
        <w:t>Ecosystems and indigenous biodiversity in the coastal environment are managed primarily within chapter 3 of the PORPS 2019.  Policy 3.1.9 provides general direction on managing   ecosystems and indigenous biological diversity in terrestrial, freshwater and marine environments. Policy 3.1.10 manages biodiversity in the coastal environment, by replicating the requirements of Policy 11(b) of the NZCPS. Polic</w:t>
      </w:r>
      <w:r w:rsidR="001B59A4">
        <w:t>y</w:t>
      </w:r>
      <w:r>
        <w:t xml:space="preserve"> 3.2.1 requires that the areas and values of significant indigenous vegetation and significant habitats of indigenous fauna are identified in accordance </w:t>
      </w:r>
      <w:r w:rsidR="001B59A4">
        <w:t>with the</w:t>
      </w:r>
      <w:r>
        <w:t xml:space="preserve"> </w:t>
      </w:r>
      <w:r w:rsidR="001B59A4">
        <w:t>criteria in the relevant schedule</w:t>
      </w:r>
      <w:r>
        <w:t xml:space="preserve">.  Policy 3.2.2 provides specific direction on managing significant indigenous vegetation and significant habitats of indigenous fauna replicating the requirements within Policy 11(a) of the NZCPS. Chapter 5 of the PORPS 2019 then provides general guidance on managing pest and offsetting for indigenous biological diversity. </w:t>
      </w:r>
    </w:p>
    <w:p w14:paraId="532DAF62" w14:textId="180C1022" w:rsidR="00E62A57" w:rsidRDefault="00E62A57" w:rsidP="00A247C5">
      <w:pPr>
        <w:pStyle w:val="Normal2"/>
      </w:pPr>
      <w:r>
        <w:t xml:space="preserve">Overall, the policy direction </w:t>
      </w:r>
      <w:r w:rsidR="00C70B33">
        <w:t xml:space="preserve">in the PORPS 2019 </w:t>
      </w:r>
      <w:r>
        <w:t>is appropriate.  However, there is considerable overlap between the general biodiversity provisions and the more specific coastal biodiversity provisions. For example, the relationship between Policies 3.1.9 and 3.1.10 is not explained in the PORPS</w:t>
      </w:r>
      <w:r w:rsidR="00C70B33">
        <w:t xml:space="preserve"> 2019</w:t>
      </w:r>
      <w:r>
        <w:t xml:space="preserve">, but it appears that Policy 3.1.9 applies to all biodiversity, while in coastal environments, Policy 3.1.10 also applies (in addition to 3.1.9). The methods within the RPS 2019 also provide limited guidance about the roles and responsibilities of the local authorities. Finally, the criteria for identifying significant areas are terrestrial-focused and </w:t>
      </w:r>
      <w:r w:rsidR="00996CB4">
        <w:t>are</w:t>
      </w:r>
      <w:r>
        <w:t xml:space="preserve"> not considered fit for purpose when assessing marine biodiversity.</w:t>
      </w:r>
    </w:p>
    <w:p w14:paraId="6F0A8614" w14:textId="77BDEE94" w:rsidR="009B3040" w:rsidRPr="00A316F6" w:rsidRDefault="009B3040" w:rsidP="00DE069C">
      <w:pPr>
        <w:pStyle w:val="Heading4"/>
      </w:pPr>
      <w:r>
        <w:lastRenderedPageBreak/>
        <w:t>N</w:t>
      </w:r>
      <w:r w:rsidRPr="00583790">
        <w:t xml:space="preserve">atural features, </w:t>
      </w:r>
      <w:proofErr w:type="gramStart"/>
      <w:r w:rsidRPr="00583790">
        <w:t>landscapes</w:t>
      </w:r>
      <w:proofErr w:type="gramEnd"/>
      <w:r w:rsidRPr="00583790">
        <w:t xml:space="preserve"> and </w:t>
      </w:r>
      <w:r w:rsidR="00961D74" w:rsidRPr="00583790">
        <w:t>seascapes</w:t>
      </w:r>
    </w:p>
    <w:p w14:paraId="09D63D31" w14:textId="38345CB4" w:rsidR="000E4663" w:rsidRDefault="0037329D" w:rsidP="00A247C5">
      <w:pPr>
        <w:pStyle w:val="Normal2"/>
      </w:pPr>
      <w:r>
        <w:t xml:space="preserve">Otago’s natural features and landscapes within the coastal </w:t>
      </w:r>
      <w:r w:rsidR="002E7A6B">
        <w:t xml:space="preserve">environment </w:t>
      </w:r>
      <w:r>
        <w:t xml:space="preserve">are highly valued for a range of reasons, including their cultural and social importance. </w:t>
      </w:r>
      <w:r w:rsidR="000E4663">
        <w:t>Broadly, the provisions in the PORPS 2019 remain relevant and appropriate. However, some unclear drafting means there is uncertainty about:</w:t>
      </w:r>
    </w:p>
    <w:p w14:paraId="7AF63C4A" w14:textId="51E901C1" w:rsidR="000E4663" w:rsidRDefault="000E4663" w:rsidP="00A247C5">
      <w:pPr>
        <w:pStyle w:val="Normal3"/>
      </w:pPr>
      <w:r>
        <w:t>Who will identify outstanding and highly valued natural features and landscapes,</w:t>
      </w:r>
    </w:p>
    <w:p w14:paraId="5373EBA0" w14:textId="55493364" w:rsidR="000E4663" w:rsidRDefault="000E4663" w:rsidP="00A247C5">
      <w:pPr>
        <w:pStyle w:val="Normal3"/>
      </w:pPr>
      <w:r>
        <w:t>Whether it is the areas and/or values that are to be identified,</w:t>
      </w:r>
    </w:p>
    <w:p w14:paraId="212345FF" w14:textId="490DA13D" w:rsidR="000E4663" w:rsidRDefault="000E4663" w:rsidP="00A247C5">
      <w:pPr>
        <w:pStyle w:val="Normal3"/>
      </w:pPr>
      <w:r>
        <w:t>How identification is to occur (</w:t>
      </w:r>
      <w:proofErr w:type="gramStart"/>
      <w:r>
        <w:t>i.e.</w:t>
      </w:r>
      <w:proofErr w:type="gramEnd"/>
      <w:r>
        <w:t xml:space="preserve"> maps or schedules),</w:t>
      </w:r>
    </w:p>
    <w:p w14:paraId="61411E8D" w14:textId="7D4BDF3C" w:rsidR="000E4663" w:rsidRDefault="000E4663" w:rsidP="00A247C5">
      <w:pPr>
        <w:pStyle w:val="Normal3"/>
      </w:pPr>
      <w:r>
        <w:t>The management approaches required to achieve the objectives and whether they apply to the values of the areas or the areas themselves, and</w:t>
      </w:r>
    </w:p>
    <w:p w14:paraId="6C5B802A" w14:textId="6AD7FE40" w:rsidR="009B3040" w:rsidRDefault="000E4663" w:rsidP="00A247C5">
      <w:pPr>
        <w:pStyle w:val="Normal3"/>
      </w:pPr>
      <w:r>
        <w:t>The division of responsibilities between ORC and the territorial authorities</w:t>
      </w:r>
    </w:p>
    <w:p w14:paraId="4BD8CEF7" w14:textId="0331DC8E" w:rsidR="00DD2904" w:rsidRDefault="00DD2904" w:rsidP="00DE069C">
      <w:pPr>
        <w:pStyle w:val="Heading4"/>
      </w:pPr>
      <w:r>
        <w:t>Surf breaks</w:t>
      </w:r>
    </w:p>
    <w:p w14:paraId="470A3E5C" w14:textId="32D087EC" w:rsidR="00E56573" w:rsidRDefault="00E56573" w:rsidP="00A247C5">
      <w:pPr>
        <w:pStyle w:val="Normal2"/>
      </w:pPr>
      <w:r>
        <w:t xml:space="preserve">Policy 16 of the NZCPS requires the protection of surf breaks of national significance by ensuring that activities in the coastal environment do not adversely affect the surf breaks, and by avoiding adverse effects of other activities on access </w:t>
      </w:r>
      <w:proofErr w:type="gramStart"/>
      <w:r>
        <w:t>to, and</w:t>
      </w:r>
      <w:proofErr w:type="gramEnd"/>
      <w:r>
        <w:t xml:space="preserve"> use and enjoyment of the surf breaks. Schedule 1 of the NZCPS</w:t>
      </w:r>
      <w:r w:rsidR="00E56708">
        <w:t xml:space="preserve"> </w:t>
      </w:r>
      <w:r>
        <w:t>identifies four surf breaks of national significance in Otago</w:t>
      </w:r>
      <w:r w:rsidR="005E1BE4">
        <w:t xml:space="preserve">: The Spit, </w:t>
      </w:r>
      <w:proofErr w:type="spellStart"/>
      <w:r w:rsidR="005E1BE4">
        <w:t>Karitane</w:t>
      </w:r>
      <w:proofErr w:type="spellEnd"/>
      <w:r w:rsidR="005E1BE4">
        <w:t xml:space="preserve">, </w:t>
      </w:r>
      <w:proofErr w:type="spellStart"/>
      <w:r w:rsidR="005E1BE4">
        <w:t>Whareakeake</w:t>
      </w:r>
      <w:proofErr w:type="spellEnd"/>
      <w:r w:rsidR="005E1BE4">
        <w:t xml:space="preserve"> and </w:t>
      </w:r>
      <w:proofErr w:type="spellStart"/>
      <w:r w:rsidR="005E1BE4">
        <w:t>Papatowai</w:t>
      </w:r>
      <w:proofErr w:type="spellEnd"/>
      <w:r w:rsidR="005E1BE4">
        <w:t>.</w:t>
      </w:r>
    </w:p>
    <w:p w14:paraId="74732028" w14:textId="4C147792" w:rsidR="000B5E2C" w:rsidRDefault="0009570B" w:rsidP="00A247C5">
      <w:pPr>
        <w:pStyle w:val="Normal2"/>
      </w:pPr>
      <w:r>
        <w:t>The PORPS 201</w:t>
      </w:r>
      <w:r w:rsidR="001952A9">
        <w:t>9</w:t>
      </w:r>
      <w:r w:rsidR="00E56573">
        <w:t xml:space="preserve"> requires </w:t>
      </w:r>
      <w:r>
        <w:t>recognising and protecting Otago’s nationally significant surf breaks.</w:t>
      </w:r>
      <w:r w:rsidR="00B22DD5">
        <w:t xml:space="preserve"> The methods direct this to occur through identification and provisions in regional plans primarily, with provisions in regional and district plans to provide for public access.</w:t>
      </w:r>
      <w:r w:rsidR="004B3F8A">
        <w:t xml:space="preserve"> </w:t>
      </w:r>
      <w:r w:rsidR="00E56573">
        <w:t xml:space="preserve">These provisions </w:t>
      </w:r>
      <w:r w:rsidR="003D1AB7">
        <w:t>generally</w:t>
      </w:r>
      <w:r w:rsidR="00E56573">
        <w:t xml:space="preserve"> give effect to Policy 16 of the NZCPS. However, the protection provided to the surf breaks of national significance only protects a small fraction of the surf breaks in the Otago region. </w:t>
      </w:r>
    </w:p>
    <w:p w14:paraId="4A1D09DD" w14:textId="1F7CD68C" w:rsidR="000B5E2C" w:rsidRPr="000B5E2C" w:rsidRDefault="000B5E2C" w:rsidP="00A247C5">
      <w:pPr>
        <w:pStyle w:val="Normal2"/>
      </w:pPr>
      <w:r w:rsidRPr="000B5E2C">
        <w:t xml:space="preserve">The Aotearoa New Zealand Association for Surfing Research </w:t>
      </w:r>
      <w:sdt>
        <w:sdtPr>
          <w:id w:val="-1811935147"/>
          <w:placeholder>
            <w:docPart w:val="DefaultPlaceholder_1081868574"/>
          </w:placeholder>
          <w:citation/>
        </w:sdtPr>
        <w:sdtContent>
          <w:r w:rsidR="002365F1">
            <w:fldChar w:fldCharType="begin"/>
          </w:r>
          <w:r w:rsidR="002365F1">
            <w:rPr>
              <w:lang w:val="en-GB"/>
            </w:rPr>
            <w:instrText xml:space="preserve"> CITATION Atk19 \l 2057 </w:instrText>
          </w:r>
          <w:r w:rsidR="002365F1">
            <w:fldChar w:fldCharType="separate"/>
          </w:r>
          <w:r w:rsidR="00246D02">
            <w:rPr>
              <w:noProof/>
              <w:lang w:val="en-GB"/>
            </w:rPr>
            <w:t>(Atkin, 2019)</w:t>
          </w:r>
          <w:r w:rsidR="002365F1">
            <w:fldChar w:fldCharType="end"/>
          </w:r>
        </w:sdtContent>
      </w:sdt>
      <w:r w:rsidRPr="000B5E2C">
        <w:t xml:space="preserve"> has developed a report which provides: guidelines, background information, and specific methodologies to assist in the sustainable management of surfing resources. This report states that it was the intention of the Board of Inquiry to the NZCPS to have an inclusive approach</w:t>
      </w:r>
      <w:r w:rsidR="00E82B9C">
        <w:t xml:space="preserve"> to surf break protection</w:t>
      </w:r>
      <w:r w:rsidRPr="000B5E2C">
        <w:t xml:space="preserve">, in that the list </w:t>
      </w:r>
      <w:r w:rsidR="00321373">
        <w:t xml:space="preserve">of </w:t>
      </w:r>
      <w:r w:rsidR="00CA37C1">
        <w:t xml:space="preserve">protected surf breaks </w:t>
      </w:r>
      <w:r w:rsidRPr="000B5E2C">
        <w:t>is not finite, and more surf breaks may be added over</w:t>
      </w:r>
      <w:r w:rsidR="001B59A4">
        <w:t xml:space="preserve"> </w:t>
      </w:r>
      <w:r w:rsidRPr="000B5E2C">
        <w:t xml:space="preserve">time, and surf breaks are recognised as outstanding natural features in their own. </w:t>
      </w:r>
      <w:r w:rsidR="0017477F">
        <w:t xml:space="preserve">However, there is nothing in the NZCPS to support this. </w:t>
      </w:r>
      <w:r w:rsidRPr="000B5E2C">
        <w:t>The NZCPS schedule of Surf Breaks of National Significance may be added to when it is next reviewed (scheduled every 10 years). It is very likely that candidates for addition to the NZCPS schedule will come from the breaks that councils identify as regionally significant</w:t>
      </w:r>
      <w:r w:rsidR="00FB0709">
        <w:t xml:space="preserve">. </w:t>
      </w:r>
      <w:r w:rsidRPr="000B5E2C">
        <w:t xml:space="preserve"> </w:t>
      </w:r>
      <w:r w:rsidR="00E82B9C">
        <w:t xml:space="preserve"> </w:t>
      </w:r>
    </w:p>
    <w:p w14:paraId="75F272A2" w14:textId="77777777" w:rsidR="00904E58" w:rsidRDefault="007E1895" w:rsidP="00A247C5">
      <w:pPr>
        <w:pStyle w:val="Normal2"/>
      </w:pPr>
      <w:r w:rsidRPr="007E1895">
        <w:t xml:space="preserve">A desktop exercise has been undertaken to determine whether there are any surf breaks in </w:t>
      </w:r>
      <w:r>
        <w:t>Otago</w:t>
      </w:r>
      <w:r w:rsidRPr="007E1895">
        <w:t xml:space="preserve"> that could be considered regionally significant. When determining which surf breaks should be identified as surf breaks of national importance within Schedule 1 of the NZCPS, the Board of Inquiry hearing the submissions o</w:t>
      </w:r>
      <w:r w:rsidR="0076631B">
        <w:t>n</w:t>
      </w:r>
      <w:r w:rsidRPr="007E1895">
        <w:t xml:space="preserve"> the NZCPS used a system known by surfers as the ‘stoke meter’ or ‘</w:t>
      </w:r>
      <w:proofErr w:type="spellStart"/>
      <w:r w:rsidRPr="007E1895">
        <w:t>Wavetrack</w:t>
      </w:r>
      <w:proofErr w:type="spellEnd"/>
      <w:r w:rsidRPr="007E1895">
        <w:t xml:space="preserve"> method’.  The </w:t>
      </w:r>
      <w:proofErr w:type="spellStart"/>
      <w:r w:rsidRPr="007E1895">
        <w:t>Wavetrack</w:t>
      </w:r>
      <w:proofErr w:type="spellEnd"/>
      <w:r w:rsidRPr="007E1895">
        <w:t xml:space="preserve"> method rates New Zealand surf breaks on a scale from 1 to 10 for surf quality. A score of 10 is regarded as optimum surf. This approach identified 16 breaks as having a surf quality rating of 10. The </w:t>
      </w:r>
      <w:proofErr w:type="spellStart"/>
      <w:r w:rsidRPr="007E1895">
        <w:t>Wavetrack</w:t>
      </w:r>
      <w:proofErr w:type="spellEnd"/>
      <w:r w:rsidRPr="007E1895">
        <w:t xml:space="preserve"> method is a descriptive rating developed and used by surfers in New Zealand and elsewhere as an indication of the quality of a wave. </w:t>
      </w:r>
    </w:p>
    <w:p w14:paraId="735A0754" w14:textId="1B7C2D2C" w:rsidR="007E1895" w:rsidRPr="007E1895" w:rsidRDefault="00F7717E" w:rsidP="00A247C5">
      <w:pPr>
        <w:pStyle w:val="Normal2"/>
      </w:pPr>
      <w:r w:rsidRPr="00F7717E">
        <w:lastRenderedPageBreak/>
        <w:t xml:space="preserve">When reviewing the surf breaks of the </w:t>
      </w:r>
      <w:r>
        <w:t>Otago</w:t>
      </w:r>
      <w:r w:rsidRPr="00F7717E">
        <w:t xml:space="preserve"> region using the information contained in the Wave Track New Zealand Surf Guide</w:t>
      </w:r>
      <w:r w:rsidR="00904E58">
        <w:t xml:space="preserve">, </w:t>
      </w:r>
      <w:r w:rsidRPr="00F7717E">
        <w:t xml:space="preserve">there are </w:t>
      </w:r>
      <w:r w:rsidR="00A6095A">
        <w:t>22</w:t>
      </w:r>
      <w:r w:rsidRPr="00F7717E">
        <w:t xml:space="preserve"> surf breaks listed within the </w:t>
      </w:r>
      <w:r w:rsidR="00A6095A">
        <w:t>Otago</w:t>
      </w:r>
      <w:r w:rsidRPr="00F7717E">
        <w:t xml:space="preserve"> Region. Each of the </w:t>
      </w:r>
      <w:r w:rsidR="00A61045">
        <w:t>22</w:t>
      </w:r>
      <w:r w:rsidRPr="00F7717E">
        <w:t xml:space="preserve"> surf breaks have been rated based on the quality of the wave</w:t>
      </w:r>
      <w:r w:rsidR="00634178">
        <w:t xml:space="preserve">, many of which may be considered a regionally significant surf break. </w:t>
      </w:r>
      <w:r w:rsidR="00780D20">
        <w:t xml:space="preserve">There is no methodology for identifying regionally significant surf breaks that has been tested through a court process, however </w:t>
      </w:r>
      <w:r w:rsidR="000F4D8E">
        <w:t xml:space="preserve">several </w:t>
      </w:r>
      <w:r w:rsidR="00904E58">
        <w:t>r</w:t>
      </w:r>
      <w:r w:rsidR="000F4D8E">
        <w:t xml:space="preserve">egional </w:t>
      </w:r>
      <w:r w:rsidR="00904E58">
        <w:t>c</w:t>
      </w:r>
      <w:r w:rsidR="000F4D8E">
        <w:t xml:space="preserve">ouncils have undertaken </w:t>
      </w:r>
      <w:r w:rsidR="00681123">
        <w:t>an identification process that mirrors the identification process set out within</w:t>
      </w:r>
      <w:r w:rsidR="004B70CD">
        <w:t xml:space="preserve"> the </w:t>
      </w:r>
      <w:r w:rsidR="004B70CD" w:rsidRPr="000B5E2C">
        <w:t>Aotearoa New Zealand Association for Surfing Research</w:t>
      </w:r>
      <w:r w:rsidR="004B70CD">
        <w:t xml:space="preserve"> report</w:t>
      </w:r>
      <w:r w:rsidR="000F4D8E">
        <w:t xml:space="preserve"> </w:t>
      </w:r>
      <w:sdt>
        <w:sdtPr>
          <w:id w:val="1891311964"/>
          <w:placeholder>
            <w:docPart w:val="DefaultPlaceholder_1081868574"/>
          </w:placeholder>
          <w:citation/>
        </w:sdtPr>
        <w:sdtContent>
          <w:r w:rsidR="00C83322">
            <w:fldChar w:fldCharType="begin"/>
          </w:r>
          <w:r w:rsidR="00C83322">
            <w:rPr>
              <w:lang w:val="en-GB"/>
            </w:rPr>
            <w:instrText xml:space="preserve"> CITATION Atk19 \l 2057 </w:instrText>
          </w:r>
          <w:r w:rsidR="00C83322">
            <w:fldChar w:fldCharType="separate"/>
          </w:r>
          <w:r w:rsidR="00C83322">
            <w:rPr>
              <w:noProof/>
              <w:lang w:val="en-GB"/>
            </w:rPr>
            <w:t>(Atkin, 2019)</w:t>
          </w:r>
          <w:r w:rsidR="00C83322">
            <w:fldChar w:fldCharType="end"/>
          </w:r>
        </w:sdtContent>
      </w:sdt>
      <w:r w:rsidR="00C83322">
        <w:t xml:space="preserve">. </w:t>
      </w:r>
      <w:r w:rsidR="00962448">
        <w:t xml:space="preserve">It is expected a similar identification process can be undertaken within the review of the Coastal Plan </w:t>
      </w:r>
      <w:r w:rsidR="000B76DA">
        <w:t xml:space="preserve">to identify these regionally significant surf breaks. </w:t>
      </w:r>
    </w:p>
    <w:p w14:paraId="086DDA32" w14:textId="6CE66665" w:rsidR="00DD2904" w:rsidRDefault="00E56573" w:rsidP="00DE069C">
      <w:pPr>
        <w:pStyle w:val="Heading4"/>
      </w:pPr>
      <w:r>
        <w:t>Public access</w:t>
      </w:r>
    </w:p>
    <w:p w14:paraId="006E5DA9" w14:textId="77777777" w:rsidR="000E3376" w:rsidRDefault="00BE766C" w:rsidP="00A247C5">
      <w:pPr>
        <w:pStyle w:val="Normal2"/>
      </w:pPr>
      <w:r>
        <w:t>Public access to the coastal marine area is a matter of national importance.</w:t>
      </w:r>
      <w:r>
        <w:rPr>
          <w:rStyle w:val="FootnoteReference"/>
        </w:rPr>
        <w:footnoteReference w:id="26"/>
      </w:r>
      <w:r>
        <w:t xml:space="preserve"> </w:t>
      </w:r>
      <w:r w:rsidR="00E56573">
        <w:t xml:space="preserve">Policy 5.11 of the PORPS 2019 requires the maintenance or enhancement of public access to the natural environment, including to the coast, lakes, rivers and their margins, and where possible areas of cultural or historic significance, unless restricting access is necessary for one or more </w:t>
      </w:r>
      <w:r w:rsidR="00635029">
        <w:t>stated reasons.</w:t>
      </w:r>
      <w:r w:rsidR="008D5491">
        <w:t xml:space="preserve"> This combined approach does not recognise the Planning Standards requirement for there to be a separate </w:t>
      </w:r>
      <w:r w:rsidR="008D5491" w:rsidRPr="29589E8D">
        <w:rPr>
          <w:i/>
          <w:iCs/>
        </w:rPr>
        <w:t>Coastal environment</w:t>
      </w:r>
      <w:r w:rsidR="008D5491">
        <w:t xml:space="preserve"> chapter.</w:t>
      </w:r>
      <w:r w:rsidR="00C56D8C">
        <w:t xml:space="preserve"> </w:t>
      </w:r>
    </w:p>
    <w:p w14:paraId="650B8E29" w14:textId="5A3D3FB9" w:rsidR="009A697C" w:rsidRDefault="00C56D8C" w:rsidP="00A247C5">
      <w:pPr>
        <w:pStyle w:val="Normal2"/>
      </w:pPr>
      <w:r>
        <w:t xml:space="preserve">In addition, </w:t>
      </w:r>
      <w:r w:rsidR="00093707">
        <w:t>the N</w:t>
      </w:r>
      <w:r w:rsidR="004C4C51">
        <w:t xml:space="preserve">ZCPS includes </w:t>
      </w:r>
      <w:r w:rsidR="00821760">
        <w:t>distinct</w:t>
      </w:r>
      <w:r w:rsidR="00AF31DF">
        <w:t xml:space="preserve"> policy direction </w:t>
      </w:r>
      <w:r w:rsidR="001A6770">
        <w:t>when managing walking access (</w:t>
      </w:r>
      <w:r w:rsidR="00823AF7">
        <w:t>Policies 19</w:t>
      </w:r>
      <w:r w:rsidR="001A6770">
        <w:t xml:space="preserve">) as </w:t>
      </w:r>
      <w:r w:rsidR="00F96BA0">
        <w:t>opposed</w:t>
      </w:r>
      <w:r w:rsidR="001A6770">
        <w:t xml:space="preserve"> to </w:t>
      </w:r>
      <w:r w:rsidR="00F96BA0">
        <w:t xml:space="preserve">vehicle access </w:t>
      </w:r>
      <w:r w:rsidR="00823AF7">
        <w:t>(</w:t>
      </w:r>
      <w:r w:rsidR="00F96BA0">
        <w:t>Policy 20</w:t>
      </w:r>
      <w:r w:rsidR="00E60001">
        <w:t>)</w:t>
      </w:r>
      <w:r w:rsidR="000E3376">
        <w:t>. T</w:t>
      </w:r>
      <w:r w:rsidR="00F96BA0">
        <w:t xml:space="preserve">hese </w:t>
      </w:r>
      <w:r w:rsidR="00882B6E">
        <w:t xml:space="preserve">differences are </w:t>
      </w:r>
      <w:r w:rsidR="006F61E6">
        <w:t>not reflected in the PORPS 2019.</w:t>
      </w:r>
      <w:r w:rsidR="00346D06">
        <w:t xml:space="preserve"> Policies 19 and 20 of the NZCPS provide </w:t>
      </w:r>
      <w:r w:rsidR="00CA4D2E">
        <w:t xml:space="preserve">very detailed direction on </w:t>
      </w:r>
      <w:r w:rsidR="00EC4B7D">
        <w:t xml:space="preserve">when </w:t>
      </w:r>
      <w:r w:rsidR="008277FA">
        <w:t>re</w:t>
      </w:r>
      <w:r w:rsidR="008277FA" w:rsidRPr="008277FA">
        <w:t>striction on public access</w:t>
      </w:r>
      <w:r w:rsidR="008277FA">
        <w:t xml:space="preserve"> is and is not appropriate, and when </w:t>
      </w:r>
      <w:r w:rsidR="005A02D6" w:rsidRPr="005A02D6">
        <w:t>opportunities to enhance or restore</w:t>
      </w:r>
      <w:r w:rsidR="005A02D6">
        <w:t xml:space="preserve"> public assess </w:t>
      </w:r>
      <w:r w:rsidR="0080456E">
        <w:t xml:space="preserve">should be provided for. </w:t>
      </w:r>
      <w:r w:rsidR="000E3376">
        <w:t>ORC</w:t>
      </w:r>
      <w:r w:rsidR="0080456E">
        <w:t xml:space="preserve"> has limited </w:t>
      </w:r>
      <w:r w:rsidR="00452D78">
        <w:t xml:space="preserve">regionally specific </w:t>
      </w:r>
      <w:r w:rsidR="0080456E">
        <w:t>information o</w:t>
      </w:r>
      <w:r w:rsidR="00452D78">
        <w:t>n</w:t>
      </w:r>
      <w:r w:rsidR="0071672D">
        <w:t xml:space="preserve"> </w:t>
      </w:r>
      <w:r w:rsidR="00216FBE">
        <w:t xml:space="preserve">the </w:t>
      </w:r>
      <w:r w:rsidR="00216FBE" w:rsidRPr="00216FBE">
        <w:t>public</w:t>
      </w:r>
      <w:r w:rsidR="00216FBE">
        <w:t>’s</w:t>
      </w:r>
      <w:r w:rsidR="00216FBE" w:rsidRPr="00216FBE">
        <w:t xml:space="preserve"> expectation</w:t>
      </w:r>
      <w:r w:rsidR="00216FBE">
        <w:t xml:space="preserve"> of </w:t>
      </w:r>
      <w:r w:rsidR="001D0781">
        <w:t>access</w:t>
      </w:r>
      <w:r w:rsidR="00C13C5B">
        <w:t xml:space="preserve">, </w:t>
      </w:r>
      <w:r w:rsidR="00F7132A">
        <w:t>lo</w:t>
      </w:r>
      <w:r w:rsidR="00F7132A" w:rsidRPr="00F7132A">
        <w:t>cations where vehicular access is required for boat launching</w:t>
      </w:r>
      <w:r w:rsidR="00E17316">
        <w:t xml:space="preserve">, or locations </w:t>
      </w:r>
      <w:r w:rsidR="00E17316" w:rsidRPr="00E17316">
        <w:t>whe</w:t>
      </w:r>
      <w:r w:rsidR="00AE4A20">
        <w:t>re</w:t>
      </w:r>
      <w:r w:rsidR="00E17316" w:rsidRPr="00E17316">
        <w:t xml:space="preserve"> recreational vehicular use on beaches, foreshore and seabed may be permitted</w:t>
      </w:r>
      <w:r w:rsidR="00AE4A20">
        <w:t xml:space="preserve">. </w:t>
      </w:r>
    </w:p>
    <w:p w14:paraId="39E32F99" w14:textId="06804D12" w:rsidR="00E56573" w:rsidRDefault="00DA5E9D" w:rsidP="00DE069C">
      <w:pPr>
        <w:pStyle w:val="Heading4"/>
      </w:pPr>
      <w:r>
        <w:t>Activities in the coastal environment</w:t>
      </w:r>
    </w:p>
    <w:p w14:paraId="3110E858" w14:textId="5F6FEBAF" w:rsidR="00497E0A" w:rsidRDefault="00A718E9" w:rsidP="00A247C5">
      <w:pPr>
        <w:pStyle w:val="Normal2"/>
      </w:pPr>
      <w:r>
        <w:t xml:space="preserve">Feedback from community consultation on the coastal environment noted that development along the coast </w:t>
      </w:r>
      <w:r w:rsidR="00C06BCA">
        <w:t>was</w:t>
      </w:r>
      <w:r>
        <w:t xml:space="preserve"> </w:t>
      </w:r>
      <w:r w:rsidR="00C06BCA">
        <w:t>a</w:t>
      </w:r>
      <w:r>
        <w:t xml:space="preserve"> concern, especially considering rising sea levels exacerbated by climate change. It was considered by the community that limiting coastal development and increasing setbacks from the CMA could mitigate potential long-term risks. </w:t>
      </w:r>
      <w:r w:rsidR="00497E0A">
        <w:t xml:space="preserve">This </w:t>
      </w:r>
      <w:r w:rsidR="00BD62E3">
        <w:t>type of long-term strategic planning is not explicitly provided for in the PORPS 2019</w:t>
      </w:r>
      <w:r w:rsidR="0052493C">
        <w:t>, meaning there is little guidance to direct activities and development.</w:t>
      </w:r>
    </w:p>
    <w:p w14:paraId="59F574B4" w14:textId="369B1951" w:rsidR="00DA5E9D" w:rsidRDefault="00A718E9" w:rsidP="00A247C5">
      <w:pPr>
        <w:pStyle w:val="Normal2"/>
      </w:pPr>
      <w:r>
        <w:t xml:space="preserve">There is also </w:t>
      </w:r>
      <w:r w:rsidR="0052493C">
        <w:t>little</w:t>
      </w:r>
      <w:r>
        <w:t xml:space="preserve"> guidance </w:t>
      </w:r>
      <w:r w:rsidR="0052493C">
        <w:t>about</w:t>
      </w:r>
      <w:r>
        <w:t xml:space="preserve"> when and where it is appropriate to provide for specific activities recognised in the NZCPS such as aquaculture</w:t>
      </w:r>
      <w:r w:rsidR="0052493C">
        <w:t>.</w:t>
      </w:r>
      <w:r>
        <w:rPr>
          <w:rStyle w:val="FootnoteReference"/>
        </w:rPr>
        <w:footnoteReference w:id="27"/>
      </w:r>
      <w:r>
        <w:t xml:space="preserve"> </w:t>
      </w:r>
      <w:r w:rsidR="006847E1">
        <w:t>There is only one policy in the PORPS 2019</w:t>
      </w:r>
      <w:r w:rsidR="006F26AE">
        <w:t xml:space="preserve"> </w:t>
      </w:r>
      <w:r w:rsidR="00111E1E">
        <w:t xml:space="preserve">to manage activities in the CMA: </w:t>
      </w:r>
      <w:r w:rsidR="00DA5E9D">
        <w:t>Policy 5.4.9 requires that activities in the CMA minimise adverse effects</w:t>
      </w:r>
      <w:r w:rsidR="006847E1">
        <w:t xml:space="preserve"> and</w:t>
      </w:r>
      <w:r w:rsidR="00DA5E9D">
        <w:t xml:space="preserve"> lists a cascade of requirements to manage activities in the CMA. Method 3.1.3 requires th</w:t>
      </w:r>
      <w:r w:rsidR="00111E1E">
        <w:t xml:space="preserve">is to </w:t>
      </w:r>
      <w:r w:rsidR="00DA5E9D">
        <w:t xml:space="preserve">be achieved through the objectives, </w:t>
      </w:r>
      <w:proofErr w:type="gramStart"/>
      <w:r w:rsidR="00DA5E9D">
        <w:t>policies</w:t>
      </w:r>
      <w:proofErr w:type="gramEnd"/>
      <w:r w:rsidR="00DA5E9D">
        <w:t xml:space="preserve"> and methods of the regional plan. There is no policy direction on subdivision, use and development on land within the coastal environment on specific uses within the coastal environment such as aquaculture. </w:t>
      </w:r>
    </w:p>
    <w:p w14:paraId="49658710" w14:textId="7FC44AFC" w:rsidR="00E56573" w:rsidRDefault="008B0D08" w:rsidP="00A247C5">
      <w:pPr>
        <w:pStyle w:val="Normal2"/>
      </w:pPr>
      <w:r>
        <w:t>Some of the urban development provisions in the PORPS 2019 apply in the coastal environment</w:t>
      </w:r>
      <w:r w:rsidR="000963C0">
        <w:t xml:space="preserve">. </w:t>
      </w:r>
      <w:proofErr w:type="gramStart"/>
      <w:r w:rsidR="000963C0">
        <w:t>In</w:t>
      </w:r>
      <w:r>
        <w:t xml:space="preserve"> particular</w:t>
      </w:r>
      <w:r w:rsidR="000963C0">
        <w:t>,</w:t>
      </w:r>
      <w:r>
        <w:t xml:space="preserve"> </w:t>
      </w:r>
      <w:r w:rsidR="00DA5E9D">
        <w:t>Policy</w:t>
      </w:r>
      <w:proofErr w:type="gramEnd"/>
      <w:r w:rsidR="00DA5E9D">
        <w:t xml:space="preserve"> 4.5.1 provides direction on the management of urban development</w:t>
      </w:r>
      <w:r w:rsidR="009E10BF">
        <w:t xml:space="preserve">, requiring particularly sensitive areas (such as areas of outstanding natural </w:t>
      </w:r>
      <w:r w:rsidR="009E10BF">
        <w:lastRenderedPageBreak/>
        <w:t xml:space="preserve">character) to be avoided. While some of the direction in the </w:t>
      </w:r>
      <w:r w:rsidR="00D84D0C">
        <w:t xml:space="preserve">PORPS 2019 assists with managing activities in the coastal environment, </w:t>
      </w:r>
      <w:r w:rsidR="00D95745">
        <w:t xml:space="preserve">there could be improvements made to provide a more strategic long-term planning framework and </w:t>
      </w:r>
      <w:r w:rsidR="00557EEE">
        <w:t>give better effect to the NZCPS.</w:t>
      </w:r>
    </w:p>
    <w:p w14:paraId="1642E7DE" w14:textId="285E4917" w:rsidR="00B80192" w:rsidRDefault="00B80192" w:rsidP="0082271A">
      <w:pPr>
        <w:pStyle w:val="Heading3"/>
      </w:pPr>
      <w:r>
        <w:t>Objectives</w:t>
      </w:r>
    </w:p>
    <w:p w14:paraId="1D45FE98" w14:textId="1270E5BA" w:rsidR="00282E95" w:rsidRDefault="00282E95" w:rsidP="00A247C5">
      <w:pPr>
        <w:pStyle w:val="Normal2"/>
      </w:pPr>
      <w:r>
        <w:t>Section 32(1)(b)</w:t>
      </w:r>
      <w:r w:rsidR="00CF1FF6">
        <w:t xml:space="preserve"> requires </w:t>
      </w:r>
      <w:r w:rsidR="00B64B2B">
        <w:t xml:space="preserve">an examination of whether the provisions in a proposal </w:t>
      </w:r>
      <w:proofErr w:type="gramStart"/>
      <w:r w:rsidR="00B64B2B">
        <w:t>are the most appropriate way</w:t>
      </w:r>
      <w:proofErr w:type="gramEnd"/>
      <w:r w:rsidR="00B64B2B">
        <w:t xml:space="preserve"> to achieve the objectives. The relevant objectives for this topic are</w:t>
      </w:r>
      <w:r w:rsidR="00F073AA">
        <w:t xml:space="preserve"> included in </w:t>
      </w:r>
      <w:r>
        <w:fldChar w:fldCharType="begin"/>
      </w:r>
      <w:r>
        <w:instrText xml:space="preserve"> REF _Ref54000583 \h </w:instrText>
      </w:r>
      <w:r>
        <w:fldChar w:fldCharType="separate"/>
      </w:r>
      <w:r w:rsidR="002A7A16">
        <w:t xml:space="preserve">Table </w:t>
      </w:r>
      <w:r w:rsidR="002A7A16">
        <w:rPr>
          <w:noProof/>
        </w:rPr>
        <w:t>31</w:t>
      </w:r>
      <w:r>
        <w:fldChar w:fldCharType="end"/>
      </w:r>
      <w:r w:rsidR="00F073AA">
        <w:t xml:space="preserve"> below.</w:t>
      </w:r>
    </w:p>
    <w:p w14:paraId="6CE15AF9" w14:textId="4AA0F8B6" w:rsidR="00557EEE" w:rsidRDefault="00557EEE" w:rsidP="00CA0904">
      <w:pPr>
        <w:pStyle w:val="Caption"/>
        <w:keepNext/>
        <w:ind w:left="709"/>
      </w:pPr>
      <w:bookmarkStart w:id="76" w:name="_Ref54000583"/>
      <w:r>
        <w:t xml:space="preserve">Table </w:t>
      </w:r>
      <w:r>
        <w:fldChar w:fldCharType="begin"/>
      </w:r>
      <w:r>
        <w:instrText>SEQ Table \* ARABIC</w:instrText>
      </w:r>
      <w:r>
        <w:fldChar w:fldCharType="separate"/>
      </w:r>
      <w:r w:rsidR="002A7A16">
        <w:rPr>
          <w:noProof/>
        </w:rPr>
        <w:t>31</w:t>
      </w:r>
      <w:r>
        <w:fldChar w:fldCharType="end"/>
      </w:r>
      <w:bookmarkEnd w:id="76"/>
      <w:r w:rsidR="00C06BCA">
        <w:t>: Coastal environment objectives</w:t>
      </w:r>
    </w:p>
    <w:tbl>
      <w:tblPr>
        <w:tblStyle w:val="TableGrid"/>
        <w:tblW w:w="0" w:type="auto"/>
        <w:tblInd w:w="720" w:type="dxa"/>
        <w:tblLook w:val="04A0" w:firstRow="1" w:lastRow="0" w:firstColumn="1" w:lastColumn="0" w:noHBand="0" w:noVBand="1"/>
      </w:tblPr>
      <w:tblGrid>
        <w:gridCol w:w="2677"/>
        <w:gridCol w:w="5619"/>
      </w:tblGrid>
      <w:tr w:rsidR="00557EEE" w14:paraId="6E010CDF" w14:textId="77777777" w:rsidTr="00A87003">
        <w:tc>
          <w:tcPr>
            <w:tcW w:w="2677" w:type="dxa"/>
          </w:tcPr>
          <w:p w14:paraId="1BECB88B" w14:textId="5D463F9C" w:rsidR="00557EEE" w:rsidRPr="00CD3587" w:rsidRDefault="00D40E37" w:rsidP="00A247C5">
            <w:pPr>
              <w:pStyle w:val="Table1"/>
            </w:pPr>
            <w:r w:rsidRPr="00CD3587">
              <w:t xml:space="preserve">CE-O1 </w:t>
            </w:r>
            <w:r w:rsidR="002452FB" w:rsidRPr="00CD3587">
              <w:t xml:space="preserve">– </w:t>
            </w:r>
            <w:r w:rsidR="00E101C3" w:rsidRPr="00CD3587">
              <w:t>Safeguarding the coastal environment</w:t>
            </w:r>
          </w:p>
        </w:tc>
        <w:tc>
          <w:tcPr>
            <w:tcW w:w="5619" w:type="dxa"/>
          </w:tcPr>
          <w:p w14:paraId="2663EC84" w14:textId="77777777" w:rsidR="000F5DA0" w:rsidRPr="000F5DA0" w:rsidRDefault="000F5DA0" w:rsidP="00A247C5">
            <w:pPr>
              <w:pStyle w:val="Table1"/>
            </w:pPr>
            <w:r w:rsidRPr="000F5DA0">
              <w:t>The integrity, form, functioning and resilience of the coastal environment is safeguarded so that:</w:t>
            </w:r>
          </w:p>
          <w:p w14:paraId="5AF19C40" w14:textId="77777777" w:rsidR="00314CA3" w:rsidRPr="00E40F76" w:rsidRDefault="00314CA3" w:rsidP="00314CA3">
            <w:pPr>
              <w:pStyle w:val="JustifiedSpacing"/>
              <w:ind w:left="567" w:hanging="567"/>
              <w:rPr>
                <w:sz w:val="20"/>
                <w:szCs w:val="20"/>
              </w:rPr>
            </w:pPr>
            <w:r w:rsidRPr="00E40F76">
              <w:rPr>
                <w:sz w:val="20"/>
                <w:szCs w:val="20"/>
              </w:rPr>
              <w:t>(1)</w:t>
            </w:r>
            <w:r w:rsidRPr="00E40F76">
              <w:rPr>
                <w:sz w:val="20"/>
                <w:szCs w:val="20"/>
              </w:rPr>
              <w:tab/>
              <w:t xml:space="preserve">the mauri of coastal water is protected and restored where it has degraded, </w:t>
            </w:r>
          </w:p>
          <w:p w14:paraId="020429C2" w14:textId="77777777" w:rsidR="00314CA3" w:rsidRPr="00E40F76" w:rsidRDefault="00314CA3" w:rsidP="00314CA3">
            <w:pPr>
              <w:pStyle w:val="JustifiedSpacing"/>
              <w:ind w:left="567" w:hanging="567"/>
              <w:rPr>
                <w:sz w:val="20"/>
                <w:szCs w:val="20"/>
              </w:rPr>
            </w:pPr>
            <w:r w:rsidRPr="00E40F76">
              <w:rPr>
                <w:sz w:val="20"/>
                <w:szCs w:val="20"/>
              </w:rPr>
              <w:t>(2)</w:t>
            </w:r>
            <w:r w:rsidRPr="00E40F76">
              <w:rPr>
                <w:sz w:val="20"/>
                <w:szCs w:val="20"/>
              </w:rPr>
              <w:tab/>
              <w:t xml:space="preserve">coastal water quality supports healthy ecosystems, natural habitats, water-based recreational activities, existing activities, and customary uses, included practices associated with </w:t>
            </w:r>
            <w:proofErr w:type="spellStart"/>
            <w:r w:rsidRPr="00E40F76">
              <w:rPr>
                <w:sz w:val="20"/>
                <w:szCs w:val="20"/>
              </w:rPr>
              <w:t>mahika</w:t>
            </w:r>
            <w:proofErr w:type="spellEnd"/>
            <w:r w:rsidRPr="00E40F76">
              <w:rPr>
                <w:sz w:val="20"/>
                <w:szCs w:val="20"/>
              </w:rPr>
              <w:t xml:space="preserve"> kai and </w:t>
            </w:r>
            <w:proofErr w:type="spellStart"/>
            <w:r w:rsidRPr="00E40F76">
              <w:rPr>
                <w:sz w:val="20"/>
                <w:szCs w:val="20"/>
              </w:rPr>
              <w:t>kaimoana</w:t>
            </w:r>
            <w:proofErr w:type="spellEnd"/>
            <w:r w:rsidRPr="00E40F76">
              <w:rPr>
                <w:sz w:val="20"/>
                <w:szCs w:val="20"/>
              </w:rPr>
              <w:t>,</w:t>
            </w:r>
          </w:p>
          <w:p w14:paraId="74C2972B" w14:textId="77777777" w:rsidR="00314CA3" w:rsidRPr="00E40F76" w:rsidRDefault="00314CA3" w:rsidP="00314CA3">
            <w:pPr>
              <w:spacing w:after="120"/>
              <w:ind w:left="567" w:hanging="567"/>
              <w:rPr>
                <w:sz w:val="20"/>
                <w:szCs w:val="20"/>
              </w:rPr>
            </w:pPr>
            <w:r w:rsidRPr="00E40F76">
              <w:rPr>
                <w:sz w:val="20"/>
                <w:szCs w:val="20"/>
              </w:rPr>
              <w:t>(3)</w:t>
            </w:r>
            <w:r w:rsidRPr="00E40F76">
              <w:rPr>
                <w:sz w:val="20"/>
                <w:szCs w:val="20"/>
              </w:rPr>
              <w:tab/>
              <w:t xml:space="preserve">the dynamic and interdependent natural biological and physical process in the coastal environment </w:t>
            </w:r>
            <w:proofErr w:type="gramStart"/>
            <w:r w:rsidRPr="00E40F76">
              <w:rPr>
                <w:sz w:val="20"/>
                <w:szCs w:val="20"/>
              </w:rPr>
              <w:t>are</w:t>
            </w:r>
            <w:proofErr w:type="gramEnd"/>
            <w:r w:rsidRPr="00E40F76">
              <w:rPr>
                <w:sz w:val="20"/>
                <w:szCs w:val="20"/>
              </w:rPr>
              <w:t xml:space="preserve"> maintained or enhanced,</w:t>
            </w:r>
          </w:p>
          <w:p w14:paraId="682E4674" w14:textId="77777777" w:rsidR="00314CA3" w:rsidRPr="00E40F76" w:rsidRDefault="00314CA3" w:rsidP="00314CA3">
            <w:pPr>
              <w:spacing w:after="120"/>
              <w:ind w:left="567" w:hanging="567"/>
              <w:rPr>
                <w:sz w:val="20"/>
                <w:szCs w:val="20"/>
              </w:rPr>
            </w:pPr>
            <w:r w:rsidRPr="00E40F76">
              <w:rPr>
                <w:sz w:val="20"/>
                <w:szCs w:val="20"/>
              </w:rPr>
              <w:t>(4)</w:t>
            </w:r>
            <w:r w:rsidRPr="00E40F76">
              <w:rPr>
                <w:sz w:val="20"/>
                <w:szCs w:val="20"/>
              </w:rPr>
              <w:tab/>
              <w:t xml:space="preserve">representative or significant areas of biodiversity are protected, and </w:t>
            </w:r>
          </w:p>
          <w:p w14:paraId="63708090" w14:textId="370B1A6E" w:rsidR="00557EEE" w:rsidRPr="00552FCC" w:rsidRDefault="00314CA3" w:rsidP="00552FCC">
            <w:pPr>
              <w:spacing w:after="120"/>
              <w:ind w:left="567" w:hanging="567"/>
              <w:rPr>
                <w:sz w:val="20"/>
                <w:szCs w:val="20"/>
              </w:rPr>
            </w:pPr>
            <w:r w:rsidRPr="00E40F76">
              <w:rPr>
                <w:sz w:val="20"/>
                <w:szCs w:val="20"/>
              </w:rPr>
              <w:t>(5)</w:t>
            </w:r>
            <w:r w:rsidRPr="00E40F76">
              <w:rPr>
                <w:sz w:val="20"/>
                <w:szCs w:val="20"/>
              </w:rPr>
              <w:tab/>
              <w:t>surf breaks of national significance are protected.</w:t>
            </w:r>
          </w:p>
        </w:tc>
      </w:tr>
      <w:tr w:rsidR="00702EF8" w14:paraId="54BE7E3E" w14:textId="77777777" w:rsidTr="00A87003">
        <w:tc>
          <w:tcPr>
            <w:tcW w:w="2677" w:type="dxa"/>
          </w:tcPr>
          <w:p w14:paraId="7C843250" w14:textId="0BE3EA81" w:rsidR="00702EF8" w:rsidRPr="00CD3587" w:rsidRDefault="004C26C8" w:rsidP="00A247C5">
            <w:pPr>
              <w:pStyle w:val="Table1"/>
            </w:pPr>
            <w:r w:rsidRPr="00CD3587">
              <w:t xml:space="preserve">CE–O2 – Maintaining </w:t>
            </w:r>
            <w:r w:rsidR="00305BC3">
              <w:t xml:space="preserve">or enhancing </w:t>
            </w:r>
            <w:r w:rsidRPr="00CD3587">
              <w:t>highly valued areas of the coastal environment</w:t>
            </w:r>
          </w:p>
        </w:tc>
        <w:tc>
          <w:tcPr>
            <w:tcW w:w="5619" w:type="dxa"/>
          </w:tcPr>
          <w:p w14:paraId="768B3007" w14:textId="0BA659D2" w:rsidR="00702EF8" w:rsidRPr="00CD32AF" w:rsidRDefault="00412AB8" w:rsidP="00A247C5">
            <w:pPr>
              <w:pStyle w:val="Table1"/>
            </w:pPr>
            <w:r>
              <w:t>P</w:t>
            </w:r>
            <w:r w:rsidRPr="006322D1">
              <w:t xml:space="preserve">ublic </w:t>
            </w:r>
            <w:r>
              <w:t>access,</w:t>
            </w:r>
            <w:r w:rsidRPr="006322D1">
              <w:t xml:space="preserve"> recreation opportunities</w:t>
            </w:r>
            <w:r>
              <w:t>,</w:t>
            </w:r>
            <w:r w:rsidRPr="006322D1">
              <w:t xml:space="preserve"> </w:t>
            </w:r>
            <w:r>
              <w:t xml:space="preserve">and </w:t>
            </w:r>
            <w:r w:rsidRPr="008E6CDF">
              <w:t>highly valued natural features and landscapes</w:t>
            </w:r>
            <w:r w:rsidRPr="00A0079E">
              <w:t xml:space="preserve"> </w:t>
            </w:r>
            <w:r w:rsidRPr="00147788">
              <w:t>in the coastal environment</w:t>
            </w:r>
            <w:r>
              <w:t xml:space="preserve"> are</w:t>
            </w:r>
            <w:r w:rsidRPr="00443AA9">
              <w:t xml:space="preserve"> </w:t>
            </w:r>
            <w:r>
              <w:t>maintained and enhanced.</w:t>
            </w:r>
          </w:p>
        </w:tc>
      </w:tr>
      <w:tr w:rsidR="00412AB8" w14:paraId="55AFB454" w14:textId="77777777" w:rsidTr="00A87003">
        <w:tc>
          <w:tcPr>
            <w:tcW w:w="2677" w:type="dxa"/>
          </w:tcPr>
          <w:p w14:paraId="6B03BD1F" w14:textId="41A81FEB" w:rsidR="00412AB8" w:rsidRPr="00CD3587" w:rsidRDefault="00633AF5" w:rsidP="00A247C5">
            <w:pPr>
              <w:pStyle w:val="Table1"/>
            </w:pPr>
            <w:r w:rsidRPr="00CD3587">
              <w:t>CE–O3 –</w:t>
            </w:r>
            <w:r w:rsidR="00305BC3">
              <w:t xml:space="preserve"> </w:t>
            </w:r>
            <w:r w:rsidRPr="00CD3587">
              <w:t xml:space="preserve">Natural character, </w:t>
            </w:r>
            <w:proofErr w:type="gramStart"/>
            <w:r w:rsidRPr="00CD3587">
              <w:t>features</w:t>
            </w:r>
            <w:proofErr w:type="gramEnd"/>
            <w:r w:rsidRPr="00CD3587">
              <w:t xml:space="preserve"> and landscapes</w:t>
            </w:r>
          </w:p>
        </w:tc>
        <w:tc>
          <w:tcPr>
            <w:tcW w:w="5619" w:type="dxa"/>
          </w:tcPr>
          <w:p w14:paraId="097B2E66" w14:textId="39B5B2BA" w:rsidR="00412AB8" w:rsidRDefault="00567EB8" w:rsidP="00A247C5">
            <w:pPr>
              <w:pStyle w:val="Table1"/>
            </w:pPr>
            <w:r>
              <w:t>A</w:t>
            </w:r>
            <w:r w:rsidRPr="00AB058F">
              <w:t>reas of natural character</w:t>
            </w:r>
            <w:r>
              <w:t xml:space="preserve">, </w:t>
            </w:r>
            <w:r w:rsidRPr="001F50B9">
              <w:t>natural features</w:t>
            </w:r>
            <w:r>
              <w:t>,</w:t>
            </w:r>
            <w:r w:rsidRPr="001F50B9">
              <w:t xml:space="preserve"> </w:t>
            </w:r>
            <w:proofErr w:type="gramStart"/>
            <w:r w:rsidRPr="001F50B9">
              <w:t>landscape</w:t>
            </w:r>
            <w:r>
              <w:t>s</w:t>
            </w:r>
            <w:proofErr w:type="gramEnd"/>
            <w:r>
              <w:t xml:space="preserve"> and seascapes</w:t>
            </w:r>
            <w:r w:rsidRPr="001F50B9">
              <w:t xml:space="preserve"> </w:t>
            </w:r>
            <w:r>
              <w:t>with</w:t>
            </w:r>
            <w:r w:rsidRPr="00AB058F">
              <w:t>in the coastal environment are protected from inappropriate activities</w:t>
            </w:r>
            <w:r>
              <w:t xml:space="preserve">, and </w:t>
            </w:r>
            <w:r w:rsidRPr="00140705">
              <w:t>restoration is encouraged</w:t>
            </w:r>
            <w:r>
              <w:t xml:space="preserve"> where</w:t>
            </w:r>
            <w:r w:rsidRPr="00556B65">
              <w:t xml:space="preserve"> </w:t>
            </w:r>
            <w:r>
              <w:t xml:space="preserve">the values of these areas have </w:t>
            </w:r>
            <w:r w:rsidRPr="00556B65">
              <w:t>been compromised</w:t>
            </w:r>
          </w:p>
        </w:tc>
      </w:tr>
      <w:tr w:rsidR="00557EEE" w14:paraId="1C9DCD80" w14:textId="77777777" w:rsidTr="00A87003">
        <w:tc>
          <w:tcPr>
            <w:tcW w:w="2677" w:type="dxa"/>
          </w:tcPr>
          <w:p w14:paraId="3957AAD1" w14:textId="6CB2D60B" w:rsidR="00557EEE" w:rsidRPr="00CD3587" w:rsidRDefault="004C747C" w:rsidP="00A247C5">
            <w:pPr>
              <w:pStyle w:val="Table1"/>
            </w:pPr>
            <w:r w:rsidRPr="00CD3587">
              <w:t>CE-O</w:t>
            </w:r>
            <w:r w:rsidR="00357A5B" w:rsidRPr="00CD3587">
              <w:t>4</w:t>
            </w:r>
            <w:r w:rsidRPr="00CD3587">
              <w:t xml:space="preserve"> </w:t>
            </w:r>
            <w:r w:rsidR="002452FB" w:rsidRPr="00CD3587">
              <w:t xml:space="preserve">– </w:t>
            </w:r>
            <w:r w:rsidR="00590592" w:rsidRPr="00CD3587">
              <w:rPr>
                <w:lang w:val="en-AU"/>
              </w:rPr>
              <w:t>K</w:t>
            </w:r>
            <w:proofErr w:type="spellStart"/>
            <w:r w:rsidR="00590592" w:rsidRPr="00CD3587">
              <w:rPr>
                <w:lang w:val="mi-NZ"/>
              </w:rPr>
              <w:t>āi</w:t>
            </w:r>
            <w:proofErr w:type="spellEnd"/>
            <w:r w:rsidR="00590592" w:rsidRPr="00CD3587">
              <w:rPr>
                <w:lang w:val="mi-NZ"/>
              </w:rPr>
              <w:t xml:space="preserve"> Tahu</w:t>
            </w:r>
            <w:r w:rsidR="002B2B3E" w:rsidRPr="00CD3587">
              <w:t xml:space="preserve"> associations with Otago’s coastal environment</w:t>
            </w:r>
          </w:p>
        </w:tc>
        <w:tc>
          <w:tcPr>
            <w:tcW w:w="5619" w:type="dxa"/>
          </w:tcPr>
          <w:p w14:paraId="54D03993" w14:textId="29EE7857" w:rsidR="00EB79C9" w:rsidRPr="00552FCC" w:rsidRDefault="00EB79C9" w:rsidP="00EB79C9">
            <w:pPr>
              <w:pStyle w:val="JustifiedSpacing"/>
              <w:rPr>
                <w:sz w:val="20"/>
                <w:szCs w:val="20"/>
              </w:rPr>
            </w:pPr>
            <w:r w:rsidRPr="00552FCC">
              <w:rPr>
                <w:sz w:val="20"/>
                <w:szCs w:val="20"/>
              </w:rPr>
              <w:t xml:space="preserve">The enduring cultural association of Kāi </w:t>
            </w:r>
            <w:proofErr w:type="spellStart"/>
            <w:r w:rsidRPr="00552FCC">
              <w:rPr>
                <w:sz w:val="20"/>
                <w:szCs w:val="20"/>
              </w:rPr>
              <w:t>Tahu</w:t>
            </w:r>
            <w:proofErr w:type="spellEnd"/>
            <w:r w:rsidRPr="00552FCC">
              <w:rPr>
                <w:sz w:val="20"/>
                <w:szCs w:val="20"/>
              </w:rPr>
              <w:t xml:space="preserve"> with Otago’s coastal environment is recognised and provided for, and </w:t>
            </w:r>
            <w:r w:rsidRPr="00552FCC">
              <w:rPr>
                <w:i/>
                <w:sz w:val="20"/>
                <w:szCs w:val="20"/>
              </w:rPr>
              <w:t>mana whenua</w:t>
            </w:r>
            <w:r w:rsidRPr="00552FCC">
              <w:rPr>
                <w:sz w:val="20"/>
                <w:szCs w:val="20"/>
              </w:rPr>
              <w:t xml:space="preserve"> </w:t>
            </w:r>
            <w:proofErr w:type="gramStart"/>
            <w:r w:rsidRPr="00552FCC">
              <w:rPr>
                <w:sz w:val="20"/>
                <w:szCs w:val="20"/>
              </w:rPr>
              <w:t>are able to</w:t>
            </w:r>
            <w:proofErr w:type="gramEnd"/>
            <w:r w:rsidRPr="00552FCC">
              <w:rPr>
                <w:sz w:val="20"/>
                <w:szCs w:val="20"/>
              </w:rPr>
              <w:t xml:space="preserve"> exercise their kaitiaki role within the coastal environment. </w:t>
            </w:r>
          </w:p>
          <w:p w14:paraId="7340EBAA" w14:textId="1AABA58F" w:rsidR="00557EEE" w:rsidRPr="004831A5" w:rsidRDefault="00557EEE" w:rsidP="00A247C5">
            <w:pPr>
              <w:pStyle w:val="Table1"/>
            </w:pPr>
          </w:p>
        </w:tc>
      </w:tr>
      <w:tr w:rsidR="00A87003" w14:paraId="55BF7D19" w14:textId="77777777" w:rsidTr="00A87003">
        <w:tc>
          <w:tcPr>
            <w:tcW w:w="2677" w:type="dxa"/>
          </w:tcPr>
          <w:p w14:paraId="19651ECA" w14:textId="4D494266" w:rsidR="00A87003" w:rsidRPr="00CD3587" w:rsidRDefault="00806006" w:rsidP="00A247C5">
            <w:pPr>
              <w:pStyle w:val="Table1"/>
            </w:pPr>
            <w:r w:rsidRPr="00CD3587">
              <w:t>CE-</w:t>
            </w:r>
            <w:r w:rsidR="002452FB" w:rsidRPr="00CD3587">
              <w:t>O</w:t>
            </w:r>
            <w:r w:rsidR="00357A5B" w:rsidRPr="00CD3587">
              <w:t>5</w:t>
            </w:r>
            <w:r w:rsidRPr="00CD3587">
              <w:t xml:space="preserve"> </w:t>
            </w:r>
            <w:r w:rsidR="002452FB" w:rsidRPr="00CD3587">
              <w:t xml:space="preserve">– </w:t>
            </w:r>
            <w:r w:rsidR="00EE69E1" w:rsidRPr="00CD3587">
              <w:t>Activities</w:t>
            </w:r>
            <w:r w:rsidR="00751B3F" w:rsidRPr="00CD3587">
              <w:t xml:space="preserve"> in the coastal environment   </w:t>
            </w:r>
          </w:p>
        </w:tc>
        <w:tc>
          <w:tcPr>
            <w:tcW w:w="5619" w:type="dxa"/>
          </w:tcPr>
          <w:p w14:paraId="58D2C855" w14:textId="77777777" w:rsidR="00357A5B" w:rsidRPr="00552FCC" w:rsidRDefault="00357A5B" w:rsidP="00357A5B">
            <w:pPr>
              <w:pStyle w:val="JustifiedSpacing"/>
              <w:ind w:left="567" w:hanging="567"/>
              <w:rPr>
                <w:sz w:val="20"/>
                <w:szCs w:val="20"/>
              </w:rPr>
            </w:pPr>
            <w:r w:rsidRPr="00552FCC">
              <w:rPr>
                <w:sz w:val="20"/>
                <w:szCs w:val="20"/>
              </w:rPr>
              <w:t>(1)</w:t>
            </w:r>
            <w:r w:rsidRPr="00552FCC">
              <w:rPr>
                <w:sz w:val="20"/>
                <w:szCs w:val="20"/>
              </w:rPr>
              <w:tab/>
              <w:t>make efficient use of space occupied in the coastal marine area,</w:t>
            </w:r>
          </w:p>
          <w:p w14:paraId="295C5CD7" w14:textId="77777777" w:rsidR="00357A5B" w:rsidRPr="00552FCC" w:rsidRDefault="00357A5B" w:rsidP="00357A5B">
            <w:pPr>
              <w:pStyle w:val="JustifiedSpacing"/>
              <w:ind w:left="567" w:hanging="567"/>
              <w:rPr>
                <w:sz w:val="20"/>
                <w:szCs w:val="20"/>
              </w:rPr>
            </w:pPr>
            <w:r w:rsidRPr="00552FCC">
              <w:rPr>
                <w:sz w:val="20"/>
                <w:szCs w:val="20"/>
              </w:rPr>
              <w:t xml:space="preserve">(2) </w:t>
            </w:r>
            <w:r w:rsidRPr="00552FCC">
              <w:rPr>
                <w:sz w:val="20"/>
                <w:szCs w:val="20"/>
              </w:rPr>
              <w:tab/>
              <w:t xml:space="preserve">are of a scale, </w:t>
            </w:r>
            <w:proofErr w:type="gramStart"/>
            <w:r w:rsidRPr="00552FCC">
              <w:rPr>
                <w:sz w:val="20"/>
                <w:szCs w:val="20"/>
              </w:rPr>
              <w:t>density</w:t>
            </w:r>
            <w:proofErr w:type="gramEnd"/>
            <w:r w:rsidRPr="00552FCC">
              <w:rPr>
                <w:sz w:val="20"/>
                <w:szCs w:val="20"/>
              </w:rPr>
              <w:t xml:space="preserve"> and design compatible with their location, </w:t>
            </w:r>
          </w:p>
          <w:p w14:paraId="57627687" w14:textId="77777777" w:rsidR="00357A5B" w:rsidRPr="00552FCC" w:rsidRDefault="00357A5B" w:rsidP="00357A5B">
            <w:pPr>
              <w:pStyle w:val="JustifiedSpacing"/>
              <w:ind w:left="567" w:hanging="567"/>
              <w:rPr>
                <w:sz w:val="20"/>
                <w:szCs w:val="20"/>
              </w:rPr>
            </w:pPr>
            <w:r w:rsidRPr="00552FCC">
              <w:rPr>
                <w:sz w:val="20"/>
                <w:szCs w:val="20"/>
              </w:rPr>
              <w:t xml:space="preserve">(3) </w:t>
            </w:r>
            <w:r w:rsidRPr="00552FCC">
              <w:rPr>
                <w:sz w:val="20"/>
                <w:szCs w:val="20"/>
              </w:rPr>
              <w:tab/>
              <w:t>are only provided for within appropriate locations and limits, and</w:t>
            </w:r>
          </w:p>
          <w:p w14:paraId="7769EB63" w14:textId="77777777" w:rsidR="00357A5B" w:rsidRPr="00552FCC" w:rsidRDefault="00357A5B" w:rsidP="00357A5B">
            <w:pPr>
              <w:pStyle w:val="JustifiedSpacing"/>
              <w:ind w:left="567" w:hanging="567"/>
              <w:rPr>
                <w:sz w:val="20"/>
                <w:szCs w:val="20"/>
              </w:rPr>
            </w:pPr>
            <w:r w:rsidRPr="00552FCC">
              <w:rPr>
                <w:sz w:val="20"/>
                <w:szCs w:val="20"/>
              </w:rPr>
              <w:t>(4)</w:t>
            </w:r>
            <w:r w:rsidRPr="00552FCC">
              <w:rPr>
                <w:sz w:val="20"/>
                <w:szCs w:val="20"/>
              </w:rPr>
              <w:tab/>
              <w:t xml:space="preserve">maintain or enhance public access to and along the </w:t>
            </w:r>
            <w:r w:rsidRPr="00552FCC">
              <w:rPr>
                <w:i/>
                <w:sz w:val="20"/>
                <w:szCs w:val="20"/>
              </w:rPr>
              <w:t>coastal marine area,</w:t>
            </w:r>
            <w:r w:rsidRPr="00552FCC">
              <w:rPr>
                <w:sz w:val="20"/>
                <w:szCs w:val="20"/>
              </w:rPr>
              <w:t xml:space="preserve"> including for customary uses.</w:t>
            </w:r>
          </w:p>
          <w:p w14:paraId="575AE992" w14:textId="57CCF3D3" w:rsidR="00A87003" w:rsidRPr="00DD66D4" w:rsidRDefault="00A87003" w:rsidP="00A247C5">
            <w:pPr>
              <w:pStyle w:val="Table1"/>
              <w:ind w:left="720"/>
            </w:pPr>
          </w:p>
        </w:tc>
      </w:tr>
    </w:tbl>
    <w:p w14:paraId="49AE30D2" w14:textId="5A8D6334" w:rsidR="00844410" w:rsidRDefault="00844410" w:rsidP="0082271A">
      <w:pPr>
        <w:pStyle w:val="Heading3"/>
      </w:pPr>
      <w:r>
        <w:t>Reasonably practicable options</w:t>
      </w:r>
    </w:p>
    <w:p w14:paraId="2606692E" w14:textId="1E0564C4" w:rsidR="00844410" w:rsidRDefault="00AC0341" w:rsidP="00A247C5">
      <w:pPr>
        <w:pStyle w:val="Normal2"/>
      </w:pPr>
      <w:r>
        <w:t>T</w:t>
      </w:r>
      <w:r w:rsidR="00AF77BF">
        <w:t>hree</w:t>
      </w:r>
      <w:r>
        <w:t xml:space="preserve"> reasonably practicable options were identified to achieve the objectives:</w:t>
      </w:r>
    </w:p>
    <w:p w14:paraId="4320A74A" w14:textId="72391AAB" w:rsidR="00AC0341" w:rsidRPr="00F073AA" w:rsidRDefault="00C0590E" w:rsidP="00A247C5">
      <w:pPr>
        <w:pStyle w:val="Normal3"/>
      </w:pPr>
      <w:r w:rsidRPr="00145A5C">
        <w:rPr>
          <w:b/>
        </w:rPr>
        <w:t xml:space="preserve">Option </w:t>
      </w:r>
      <w:r w:rsidRPr="00145A5C">
        <w:rPr>
          <w:b/>
          <w:bCs/>
        </w:rPr>
        <w:t>1:</w:t>
      </w:r>
      <w:r w:rsidRPr="00F073AA">
        <w:t xml:space="preserve"> Status quo (PORPS 2019)</w:t>
      </w:r>
    </w:p>
    <w:p w14:paraId="3F57BB98" w14:textId="20E76838" w:rsidR="00FF2817" w:rsidRDefault="00C0590E" w:rsidP="00A247C5">
      <w:pPr>
        <w:pStyle w:val="Normal3"/>
      </w:pPr>
      <w:r w:rsidRPr="29589E8D">
        <w:rPr>
          <w:b/>
          <w:bCs/>
        </w:rPr>
        <w:lastRenderedPageBreak/>
        <w:t>Option 2:</w:t>
      </w:r>
      <w:r>
        <w:t xml:space="preserve"> </w:t>
      </w:r>
      <w:r w:rsidR="00E81F7F">
        <w:t>PORPS 2021</w:t>
      </w:r>
      <w:r w:rsidR="00AF77BF">
        <w:t>(clause 3 version)</w:t>
      </w:r>
    </w:p>
    <w:p w14:paraId="05E4E999" w14:textId="6ED9E12C" w:rsidR="00AF77BF" w:rsidRDefault="00AF77BF" w:rsidP="00A247C5">
      <w:pPr>
        <w:pStyle w:val="Normal3"/>
      </w:pPr>
      <w:r w:rsidRPr="29589E8D">
        <w:rPr>
          <w:b/>
          <w:bCs/>
        </w:rPr>
        <w:t>Option 3:</w:t>
      </w:r>
      <w:r>
        <w:t xml:space="preserve"> PORPS 2021 (</w:t>
      </w:r>
      <w:r w:rsidR="00587A76">
        <w:t xml:space="preserve">as </w:t>
      </w:r>
      <w:r w:rsidR="001B59A4">
        <w:t>proposed</w:t>
      </w:r>
      <w:r>
        <w:t>)</w:t>
      </w:r>
      <w:r w:rsidR="001B59A4">
        <w:t xml:space="preserve"> </w:t>
      </w:r>
      <w:r w:rsidR="00587A76">
        <w:t>–</w:t>
      </w:r>
      <w:r w:rsidR="001B59A4">
        <w:t xml:space="preserve"> </w:t>
      </w:r>
      <w:r w:rsidR="00587A76">
        <w:rPr>
          <w:i/>
          <w:iCs/>
        </w:rPr>
        <w:t xml:space="preserve">preferred </w:t>
      </w:r>
    </w:p>
    <w:p w14:paraId="1BFF0629" w14:textId="36CA7406" w:rsidR="00FF2817" w:rsidRDefault="00BA4E1A" w:rsidP="00DE069C">
      <w:pPr>
        <w:pStyle w:val="Heading4"/>
      </w:pPr>
      <w:r>
        <w:t>Option 1: Status quo</w:t>
      </w:r>
    </w:p>
    <w:p w14:paraId="77DD3A37" w14:textId="487F9195" w:rsidR="00DA5856" w:rsidRDefault="00DA5856" w:rsidP="00A247C5">
      <w:pPr>
        <w:pStyle w:val="Normal2"/>
      </w:pPr>
      <w:r>
        <w:t xml:space="preserve">The status quo and associated issues </w:t>
      </w:r>
      <w:r w:rsidR="00017E4C">
        <w:t>with the sub-topics</w:t>
      </w:r>
      <w:r>
        <w:t xml:space="preserve"> are outlined in section </w:t>
      </w:r>
      <w:r>
        <w:fldChar w:fldCharType="begin"/>
      </w:r>
      <w:r>
        <w:instrText xml:space="preserve"> REF _Ref53561777 \r \h </w:instrText>
      </w:r>
      <w:r>
        <w:fldChar w:fldCharType="separate"/>
      </w:r>
      <w:r w:rsidR="002A7A16">
        <w:t>5.6.2</w:t>
      </w:r>
      <w:r>
        <w:fldChar w:fldCharType="end"/>
      </w:r>
      <w:r>
        <w:t xml:space="preserve">. As </w:t>
      </w:r>
      <w:r w:rsidR="00B61F4B">
        <w:t>set out</w:t>
      </w:r>
      <w:r>
        <w:t xml:space="preserve"> in that section, the status quo </w:t>
      </w:r>
      <w:proofErr w:type="gramStart"/>
      <w:r>
        <w:t>is considered to be</w:t>
      </w:r>
      <w:proofErr w:type="gramEnd"/>
      <w:r>
        <w:t xml:space="preserve"> </w:t>
      </w:r>
      <w:r w:rsidR="00B61F4B">
        <w:t>generally appropriat</w:t>
      </w:r>
      <w:r w:rsidR="00F008BD">
        <w:t>e</w:t>
      </w:r>
      <w:r w:rsidR="00017E4C">
        <w:t xml:space="preserve"> </w:t>
      </w:r>
      <w:r w:rsidR="00B61F4B">
        <w:t xml:space="preserve">however there are areas where improvements could be made to improve the effectiveness and efficiency of the management approach. </w:t>
      </w:r>
      <w:r>
        <w:t xml:space="preserve"> </w:t>
      </w:r>
    </w:p>
    <w:p w14:paraId="372677E7" w14:textId="59C7AFBA" w:rsidR="00E85502" w:rsidRDefault="00DA5856" w:rsidP="00DE069C">
      <w:pPr>
        <w:pStyle w:val="Heading4"/>
      </w:pPr>
      <w:r>
        <w:t xml:space="preserve">Option 2: </w:t>
      </w:r>
      <w:r w:rsidR="00E81F7F">
        <w:t>PORPS 2021</w:t>
      </w:r>
      <w:r w:rsidR="00E85502">
        <w:t xml:space="preserve"> </w:t>
      </w:r>
      <w:r w:rsidR="00E85502" w:rsidRPr="00E85502">
        <w:t>(clause 3 version)</w:t>
      </w:r>
    </w:p>
    <w:p w14:paraId="5A7E3018" w14:textId="77777777" w:rsidR="0085558D" w:rsidRDefault="00230594" w:rsidP="00A247C5">
      <w:pPr>
        <w:pStyle w:val="Normal2"/>
      </w:pPr>
      <w:r>
        <w:t>Within t</w:t>
      </w:r>
      <w:r w:rsidR="00E85502">
        <w:t>he version of the PORPS 2021 prepared for clause 3 consultation</w:t>
      </w:r>
      <w:r w:rsidR="00D17D47">
        <w:t xml:space="preserve">, the management of coastal indigenous biodiversity </w:t>
      </w:r>
      <w:r w:rsidR="00154DEE">
        <w:t xml:space="preserve">and natural </w:t>
      </w:r>
      <w:r w:rsidR="00E23423">
        <w:t>features</w:t>
      </w:r>
      <w:r w:rsidR="00024CB1">
        <w:t>,</w:t>
      </w:r>
      <w:r w:rsidR="00154DEE">
        <w:t xml:space="preserve"> </w:t>
      </w:r>
      <w:r w:rsidR="00D26327">
        <w:t xml:space="preserve">landscapes and </w:t>
      </w:r>
      <w:r w:rsidR="00024CB1">
        <w:t xml:space="preserve">seascapes </w:t>
      </w:r>
      <w:r w:rsidR="008D43E0">
        <w:t>were</w:t>
      </w:r>
      <w:r w:rsidR="00D17D47">
        <w:t xml:space="preserve"> </w:t>
      </w:r>
      <w:r w:rsidR="00DA1092">
        <w:t>not</w:t>
      </w:r>
      <w:r w:rsidR="00D17D47">
        <w:t xml:space="preserve"> included in the scope of the chapter. Some </w:t>
      </w:r>
      <w:proofErr w:type="gramStart"/>
      <w:r w:rsidR="00D17D47">
        <w:t>clause</w:t>
      </w:r>
      <w:proofErr w:type="gramEnd"/>
      <w:r w:rsidR="00D17D47">
        <w:t xml:space="preserve"> 3 feedback raised concerns with separating coastal indigenous biodiversity </w:t>
      </w:r>
      <w:r w:rsidR="00D7111E">
        <w:t xml:space="preserve">and landscape </w:t>
      </w:r>
      <w:r w:rsidR="002C751A">
        <w:t xml:space="preserve">provisions </w:t>
      </w:r>
      <w:r w:rsidR="00D17D47">
        <w:t xml:space="preserve">from the </w:t>
      </w:r>
      <w:r w:rsidR="00D17D47" w:rsidRPr="0092591D">
        <w:rPr>
          <w:i/>
          <w:iCs/>
        </w:rPr>
        <w:t>CE – Coastal environment</w:t>
      </w:r>
      <w:r w:rsidR="00D17D47">
        <w:t xml:space="preserve"> chapter. There was also uncertainty about whether that approach was compliant with the directions in standard 2 of the National Planning Standards which directs all coastal environment-related provisions to be included in the </w:t>
      </w:r>
      <w:r w:rsidR="00D17D47" w:rsidRPr="0092591D">
        <w:rPr>
          <w:i/>
          <w:iCs/>
        </w:rPr>
        <w:t>CE – Coastal environment</w:t>
      </w:r>
      <w:r w:rsidR="00D17D47">
        <w:t xml:space="preserve"> chapter.</w:t>
      </w:r>
      <w:r w:rsidR="002C751A">
        <w:t xml:space="preserve"> </w:t>
      </w:r>
    </w:p>
    <w:p w14:paraId="4D4A3F81" w14:textId="274B5FBE" w:rsidR="00EA3E7C" w:rsidRPr="00B00C14" w:rsidRDefault="002C751A" w:rsidP="00A247C5">
      <w:pPr>
        <w:pStyle w:val="Normal2"/>
      </w:pPr>
      <w:r>
        <w:t>It was also noted th</w:t>
      </w:r>
      <w:r w:rsidR="00E23423">
        <w:t>at</w:t>
      </w:r>
      <w:r>
        <w:t xml:space="preserve"> the NZCPS provides specific direction on the mana</w:t>
      </w:r>
      <w:r w:rsidR="00BB02AB">
        <w:t xml:space="preserve">gement </w:t>
      </w:r>
      <w:r w:rsidR="00587A76">
        <w:t xml:space="preserve">of </w:t>
      </w:r>
      <w:r w:rsidR="00D55848">
        <w:t xml:space="preserve">indigenous biodiversity and natural </w:t>
      </w:r>
      <w:r w:rsidR="00826161">
        <w:t>features</w:t>
      </w:r>
      <w:r w:rsidR="00D55848">
        <w:t xml:space="preserve">, </w:t>
      </w:r>
      <w:proofErr w:type="gramStart"/>
      <w:r w:rsidR="00D55848">
        <w:t>landscapes</w:t>
      </w:r>
      <w:proofErr w:type="gramEnd"/>
      <w:r w:rsidR="00D55848">
        <w:t xml:space="preserve"> and seascapes within the coastal environment</w:t>
      </w:r>
      <w:r w:rsidR="00587A76">
        <w:t>. Managing</w:t>
      </w:r>
      <w:r w:rsidR="00140721">
        <w:t xml:space="preserve"> </w:t>
      </w:r>
      <w:r w:rsidR="00587A76">
        <w:t xml:space="preserve">coastal </w:t>
      </w:r>
      <w:r w:rsidR="00140721">
        <w:t xml:space="preserve">biodiversity </w:t>
      </w:r>
      <w:r w:rsidR="001E0F9F">
        <w:t xml:space="preserve">and </w:t>
      </w:r>
      <w:r w:rsidR="00140721">
        <w:t xml:space="preserve">landscapes </w:t>
      </w:r>
      <w:r w:rsidR="00587A76">
        <w:t xml:space="preserve">in the </w:t>
      </w:r>
      <w:r w:rsidR="00587A76">
        <w:rPr>
          <w:i/>
          <w:iCs/>
        </w:rPr>
        <w:t>CE – Coastal environment</w:t>
      </w:r>
      <w:r w:rsidR="00587A76">
        <w:t xml:space="preserve"> chapter therefore assists with the ease of using the provisions</w:t>
      </w:r>
      <w:r w:rsidR="008D16B7">
        <w:t>.</w:t>
      </w:r>
      <w:r w:rsidR="00D55848">
        <w:t xml:space="preserve"> </w:t>
      </w:r>
      <w:r w:rsidR="00EA3E7C">
        <w:t xml:space="preserve">For </w:t>
      </w:r>
      <w:r w:rsidR="0085558D">
        <w:t>these reasons</w:t>
      </w:r>
      <w:r w:rsidR="00EA3E7C">
        <w:t xml:space="preserve">, </w:t>
      </w:r>
      <w:r w:rsidR="00B8015A">
        <w:t>s</w:t>
      </w:r>
      <w:r w:rsidR="00EA3E7C">
        <w:t xml:space="preserve">taff agreed that the </w:t>
      </w:r>
      <w:r w:rsidR="00482948">
        <w:t>coastal indigenou</w:t>
      </w:r>
      <w:r w:rsidR="002A1F37">
        <w:t>s biodiversity and natural features and landscape prov</w:t>
      </w:r>
      <w:r w:rsidR="00522F1C">
        <w:t>i</w:t>
      </w:r>
      <w:r w:rsidR="002A1F37">
        <w:t xml:space="preserve">sions </w:t>
      </w:r>
      <w:r w:rsidR="00522F1C">
        <w:t>should be i</w:t>
      </w:r>
      <w:r w:rsidR="0085558D">
        <w:t>n</w:t>
      </w:r>
      <w:r w:rsidR="00EA3E7C">
        <w:t xml:space="preserve"> the </w:t>
      </w:r>
      <w:r w:rsidR="00EA3E7C" w:rsidRPr="0085558D">
        <w:rPr>
          <w:i/>
          <w:iCs/>
        </w:rPr>
        <w:t xml:space="preserve">CE </w:t>
      </w:r>
      <w:r w:rsidR="00E251EF" w:rsidRPr="0085558D">
        <w:rPr>
          <w:i/>
          <w:iCs/>
        </w:rPr>
        <w:t xml:space="preserve">– Coastal </w:t>
      </w:r>
      <w:r w:rsidR="0085558D">
        <w:rPr>
          <w:i/>
          <w:iCs/>
        </w:rPr>
        <w:t>e</w:t>
      </w:r>
      <w:r w:rsidR="00E251EF" w:rsidRPr="0085558D">
        <w:rPr>
          <w:i/>
          <w:iCs/>
        </w:rPr>
        <w:t>nvironment</w:t>
      </w:r>
      <w:r w:rsidR="00E251EF">
        <w:t xml:space="preserve"> </w:t>
      </w:r>
      <w:r w:rsidR="00EA3E7C">
        <w:t>chapter</w:t>
      </w:r>
      <w:r w:rsidR="00E251EF">
        <w:t>.</w:t>
      </w:r>
    </w:p>
    <w:p w14:paraId="74C3E673" w14:textId="11A4BFC3" w:rsidR="00421F24" w:rsidRPr="00421F24" w:rsidRDefault="009C0E90" w:rsidP="00A247C5">
      <w:pPr>
        <w:pStyle w:val="Normal2"/>
      </w:pPr>
      <w:r>
        <w:t>Similarly</w:t>
      </w:r>
      <w:r w:rsidR="001810CE">
        <w:t>,</w:t>
      </w:r>
      <w:r>
        <w:t xml:space="preserve"> the version of the PORPS 2021 prepared for clause 3 consultation </w:t>
      </w:r>
      <w:r w:rsidR="004E080F">
        <w:t xml:space="preserve">contained </w:t>
      </w:r>
      <w:r w:rsidR="008D43E0">
        <w:t>policies and methods on the management of port activities</w:t>
      </w:r>
      <w:r w:rsidR="00337CDF">
        <w:t xml:space="preserve"> within the coastal chapter</w:t>
      </w:r>
      <w:r w:rsidR="008D43E0">
        <w:t xml:space="preserve">. Feedback received </w:t>
      </w:r>
      <w:r w:rsidR="00EC76C5">
        <w:t xml:space="preserve">during the clause 3 </w:t>
      </w:r>
      <w:r w:rsidR="004F57B4">
        <w:t xml:space="preserve">process </w:t>
      </w:r>
      <w:r w:rsidR="00157CE5">
        <w:t>n</w:t>
      </w:r>
      <w:r w:rsidR="005D4790">
        <w:t xml:space="preserve">oted that </w:t>
      </w:r>
      <w:r w:rsidR="00BB2D57">
        <w:t>the policy managing</w:t>
      </w:r>
      <w:r w:rsidR="005D4790">
        <w:t xml:space="preserve"> port activities </w:t>
      </w:r>
      <w:r w:rsidR="00BB2D57">
        <w:t xml:space="preserve">was better </w:t>
      </w:r>
      <w:r w:rsidR="00023211">
        <w:t xml:space="preserve">located within the </w:t>
      </w:r>
      <w:r w:rsidR="00337CDF">
        <w:t>t</w:t>
      </w:r>
      <w:r w:rsidR="009B427B">
        <w:t>ransport section</w:t>
      </w:r>
      <w:r w:rsidR="00337CDF">
        <w:t xml:space="preserve"> of the </w:t>
      </w:r>
      <w:r w:rsidR="00D424AF" w:rsidRPr="00D424AF">
        <w:rPr>
          <w:i/>
          <w:iCs/>
        </w:rPr>
        <w:t>EIT – E</w:t>
      </w:r>
      <w:r w:rsidR="00337CDF" w:rsidRPr="00D424AF">
        <w:rPr>
          <w:i/>
          <w:iCs/>
        </w:rPr>
        <w:t xml:space="preserve">nergy, </w:t>
      </w:r>
      <w:proofErr w:type="gramStart"/>
      <w:r w:rsidR="00337CDF" w:rsidRPr="00D424AF">
        <w:rPr>
          <w:i/>
          <w:iCs/>
        </w:rPr>
        <w:t>infrastructure</w:t>
      </w:r>
      <w:proofErr w:type="gramEnd"/>
      <w:r w:rsidR="00337CDF" w:rsidRPr="00D424AF">
        <w:rPr>
          <w:i/>
          <w:iCs/>
        </w:rPr>
        <w:t xml:space="preserve"> and transport</w:t>
      </w:r>
      <w:r w:rsidR="00337CDF">
        <w:t xml:space="preserve"> chapter</w:t>
      </w:r>
      <w:r w:rsidR="0061118C">
        <w:t xml:space="preserve">. </w:t>
      </w:r>
      <w:r w:rsidR="00421F24">
        <w:t xml:space="preserve">Staff agreed that </w:t>
      </w:r>
      <w:r w:rsidR="00483D32">
        <w:t>moving the p</w:t>
      </w:r>
      <w:r w:rsidR="0087709A">
        <w:t xml:space="preserve">ort </w:t>
      </w:r>
      <w:r w:rsidR="003A2380">
        <w:t>policy</w:t>
      </w:r>
      <w:r w:rsidR="00483D32">
        <w:t xml:space="preserve"> </w:t>
      </w:r>
      <w:r w:rsidR="007B5127">
        <w:t xml:space="preserve">to </w:t>
      </w:r>
      <w:r w:rsidR="00337CDF">
        <w:t>the e</w:t>
      </w:r>
      <w:r w:rsidR="002347E7">
        <w:t>nergy, infrastructure and transport chapter</w:t>
      </w:r>
      <w:r w:rsidR="00337CDF">
        <w:t xml:space="preserve"> was </w:t>
      </w:r>
      <w:r w:rsidR="00985381">
        <w:t>logical</w:t>
      </w:r>
      <w:r w:rsidR="002347E7">
        <w:t xml:space="preserve">. </w:t>
      </w:r>
    </w:p>
    <w:p w14:paraId="3D2A60A2" w14:textId="5BC7515D" w:rsidR="00346EFA" w:rsidRDefault="00DA5856" w:rsidP="00DE069C">
      <w:pPr>
        <w:pStyle w:val="Heading4"/>
      </w:pPr>
      <w:r>
        <w:t xml:space="preserve">Option </w:t>
      </w:r>
      <w:r w:rsidR="00CB30FE">
        <w:t>3</w:t>
      </w:r>
      <w:r>
        <w:t xml:space="preserve">: </w:t>
      </w:r>
      <w:r w:rsidR="00E81F7F">
        <w:t>PORPS 2021</w:t>
      </w:r>
      <w:r w:rsidR="00D424AF">
        <w:t xml:space="preserve"> </w:t>
      </w:r>
      <w:r w:rsidR="00E85502">
        <w:t>(</w:t>
      </w:r>
      <w:r w:rsidR="00587A76">
        <w:t>as proposed</w:t>
      </w:r>
      <w:r w:rsidR="00E85502">
        <w:t>)</w:t>
      </w:r>
      <w:r w:rsidR="00587A76">
        <w:t xml:space="preserve"> – </w:t>
      </w:r>
      <w:r w:rsidR="00587A76">
        <w:rPr>
          <w:i/>
          <w:iCs/>
        </w:rPr>
        <w:t xml:space="preserve">preferred </w:t>
      </w:r>
    </w:p>
    <w:p w14:paraId="29378D13" w14:textId="7227F468" w:rsidR="00EA3A60" w:rsidRPr="007B1466" w:rsidRDefault="00500AE3" w:rsidP="00A247C5">
      <w:pPr>
        <w:pStyle w:val="Normal2"/>
      </w:pPr>
      <w:r>
        <w:t xml:space="preserve">The </w:t>
      </w:r>
      <w:r w:rsidR="0015527E">
        <w:t xml:space="preserve">approach proposed under the </w:t>
      </w:r>
      <w:r w:rsidR="00E81F7F">
        <w:t>PORPS 2021</w:t>
      </w:r>
      <w:r w:rsidR="0015527E">
        <w:t xml:space="preserve"> is set out in relation to each sub-topic below.</w:t>
      </w:r>
    </w:p>
    <w:p w14:paraId="3336A4F6" w14:textId="71E98739" w:rsidR="00017E4C" w:rsidRDefault="003D05A5" w:rsidP="000B61EC">
      <w:pPr>
        <w:pStyle w:val="Heading5"/>
      </w:pPr>
      <w:r>
        <w:t>Extent and characteristics of the coastal environment</w:t>
      </w:r>
    </w:p>
    <w:p w14:paraId="638B1F99" w14:textId="7B1E4572" w:rsidR="0019196A" w:rsidRDefault="00116E47" w:rsidP="00A247C5">
      <w:pPr>
        <w:pStyle w:val="Normal2"/>
      </w:pPr>
      <w:r>
        <w:t xml:space="preserve">The </w:t>
      </w:r>
      <w:r w:rsidR="00E81F7F">
        <w:t>PORPS 2021</w:t>
      </w:r>
      <w:r>
        <w:t xml:space="preserve"> proposes an approach that is largely consistent with the </w:t>
      </w:r>
      <w:r w:rsidR="004565CB">
        <w:t xml:space="preserve">PORPS </w:t>
      </w:r>
      <w:r>
        <w:t>2019</w:t>
      </w:r>
      <w:r w:rsidR="00C80BE0">
        <w:t>, with amendments</w:t>
      </w:r>
      <w:r>
        <w:t xml:space="preserve"> to </w:t>
      </w:r>
      <w:r w:rsidR="004C4F0A">
        <w:t>clarify the roles and responsibilities of</w:t>
      </w:r>
      <w:r>
        <w:t xml:space="preserve"> local authorities. Policy CE</w:t>
      </w:r>
      <w:r w:rsidR="00D424AF">
        <w:t>–</w:t>
      </w:r>
      <w:r>
        <w:t>P</w:t>
      </w:r>
      <w:r w:rsidR="00086C99">
        <w:t>2</w:t>
      </w:r>
      <w:r w:rsidR="000227EF">
        <w:t>(</w:t>
      </w:r>
      <w:r w:rsidR="00C063CB">
        <w:t>1</w:t>
      </w:r>
      <w:r w:rsidR="000227EF">
        <w:t>)</w:t>
      </w:r>
      <w:r>
        <w:t xml:space="preserve"> </w:t>
      </w:r>
      <w:r w:rsidR="00EF2C18">
        <w:t>and CE</w:t>
      </w:r>
      <w:r w:rsidR="00D424AF">
        <w:t>–</w:t>
      </w:r>
      <w:r w:rsidR="00EF2C18">
        <w:t xml:space="preserve">M1 </w:t>
      </w:r>
      <w:r>
        <w:t xml:space="preserve">direct that </w:t>
      </w:r>
      <w:r w:rsidR="00EF2C18">
        <w:t>ORC</w:t>
      </w:r>
      <w:r w:rsidR="00413CAD">
        <w:t xml:space="preserve"> must work collaboratively with relevant territorial authorities</w:t>
      </w:r>
      <w:r w:rsidR="00EF2C18">
        <w:t xml:space="preserve"> to,</w:t>
      </w:r>
      <w:r w:rsidR="00413CAD">
        <w:t xml:space="preserve"> no later than 31 </w:t>
      </w:r>
      <w:r w:rsidR="003079BE">
        <w:t>May</w:t>
      </w:r>
      <w:r w:rsidR="00413CAD">
        <w:t xml:space="preserve"> 2023, identify </w:t>
      </w:r>
      <w:r>
        <w:t>the landward extent of the coastal environment</w:t>
      </w:r>
      <w:r w:rsidR="000802B8">
        <w:t xml:space="preserve">, which is consistent with the requirements set out in </w:t>
      </w:r>
      <w:r>
        <w:t xml:space="preserve"> </w:t>
      </w:r>
      <w:r w:rsidR="0019196A">
        <w:t xml:space="preserve"> Policy 1 of the NZCPS. </w:t>
      </w:r>
      <w:r w:rsidR="00EF2C18">
        <w:t>CE</w:t>
      </w:r>
      <w:r w:rsidR="00D424AF">
        <w:t>–</w:t>
      </w:r>
      <w:r w:rsidR="00EF2C18">
        <w:t>M1</w:t>
      </w:r>
      <w:r w:rsidR="0019196A">
        <w:t xml:space="preserve"> also requires that </w:t>
      </w:r>
      <w:r w:rsidR="00C756E3">
        <w:t xml:space="preserve">the landward extent of the coastal environment be </w:t>
      </w:r>
      <w:r w:rsidR="0019196A">
        <w:t>map</w:t>
      </w:r>
      <w:r w:rsidR="00C756E3">
        <w:t>ped</w:t>
      </w:r>
      <w:r w:rsidR="0019196A">
        <w:t xml:space="preserve"> in the </w:t>
      </w:r>
      <w:r w:rsidR="00D424AF">
        <w:t>LWRP</w:t>
      </w:r>
      <w:r w:rsidR="00270C98">
        <w:t xml:space="preserve"> </w:t>
      </w:r>
      <w:r w:rsidR="0035702A">
        <w:t xml:space="preserve">and </w:t>
      </w:r>
      <w:r w:rsidR="00270C98">
        <w:t xml:space="preserve">RPS. </w:t>
      </w:r>
    </w:p>
    <w:p w14:paraId="66E486A3" w14:textId="26F58F9E" w:rsidR="00120999" w:rsidRDefault="00120999" w:rsidP="000B61EC">
      <w:pPr>
        <w:pStyle w:val="Heading5"/>
      </w:pPr>
      <w:r>
        <w:t>Coastal water quality</w:t>
      </w:r>
    </w:p>
    <w:p w14:paraId="54F3A6BC" w14:textId="42F69986" w:rsidR="00635052" w:rsidRDefault="00120999" w:rsidP="00A247C5">
      <w:pPr>
        <w:pStyle w:val="Normal2"/>
      </w:pPr>
      <w:r>
        <w:t xml:space="preserve">The </w:t>
      </w:r>
      <w:r w:rsidR="00E81F7F">
        <w:t>PORPS 2021</w:t>
      </w:r>
      <w:r>
        <w:t xml:space="preserve"> proposes additional direction for ORC to identify areas of degraded water quality in the CMA</w:t>
      </w:r>
      <w:r w:rsidR="00635052">
        <w:t>,</w:t>
      </w:r>
      <w:r>
        <w:t xml:space="preserve"> and to set out how these areas will be managed by local authorities.</w:t>
      </w:r>
      <w:r w:rsidR="00C06BCA">
        <w:t xml:space="preserve"> </w:t>
      </w:r>
      <w:r w:rsidR="00CD2F6C">
        <w:t>Policy CE</w:t>
      </w:r>
      <w:r w:rsidR="00886CBA">
        <w:t>–</w:t>
      </w:r>
      <w:r w:rsidR="00CD2F6C">
        <w:t>P</w:t>
      </w:r>
      <w:r w:rsidR="009C42BF">
        <w:t>2</w:t>
      </w:r>
      <w:r w:rsidR="000227EF">
        <w:t>(</w:t>
      </w:r>
      <w:r w:rsidR="006E37DC">
        <w:t>2</w:t>
      </w:r>
      <w:r w:rsidR="000227EF">
        <w:t>)</w:t>
      </w:r>
      <w:r w:rsidR="00CD2F6C">
        <w:t xml:space="preserve"> directs that areas of de</w:t>
      </w:r>
      <w:r w:rsidR="00650DB2">
        <w:t xml:space="preserve">teriorated </w:t>
      </w:r>
      <w:r w:rsidR="00CD2F6C">
        <w:t>water quality within the CMA are identified</w:t>
      </w:r>
      <w:r w:rsidR="00897688">
        <w:t xml:space="preserve">. This is consistent with the requirements of </w:t>
      </w:r>
      <w:r w:rsidR="00361A0E">
        <w:t xml:space="preserve">Policy </w:t>
      </w:r>
      <w:r w:rsidR="00A14D21">
        <w:t xml:space="preserve">21 of the </w:t>
      </w:r>
      <w:r w:rsidR="009A37B1">
        <w:t>NZCPS</w:t>
      </w:r>
      <w:r w:rsidR="00F92F24">
        <w:t xml:space="preserve">. </w:t>
      </w:r>
    </w:p>
    <w:p w14:paraId="4AC68C94" w14:textId="21018DE2" w:rsidR="00CD2F6C" w:rsidRDefault="00CD2F6C" w:rsidP="00A247C5">
      <w:pPr>
        <w:pStyle w:val="Normal2"/>
      </w:pPr>
      <w:r>
        <w:lastRenderedPageBreak/>
        <w:t>Policy CE</w:t>
      </w:r>
      <w:r w:rsidR="00886CBA">
        <w:t>–</w:t>
      </w:r>
      <w:r>
        <w:t>P</w:t>
      </w:r>
      <w:r w:rsidR="0028653E">
        <w:t>3</w:t>
      </w:r>
      <w:r>
        <w:t xml:space="preserve"> sets out how coastal water is to be managed. This includes direction to improve </w:t>
      </w:r>
      <w:r w:rsidR="00C635DB">
        <w:t>coastal water quality where it is considered to have deteriorated</w:t>
      </w:r>
      <w:r>
        <w:t xml:space="preserve">, </w:t>
      </w:r>
      <w:r w:rsidR="005C53AD">
        <w:t xml:space="preserve">and otherwise </w:t>
      </w:r>
      <w:r>
        <w:t xml:space="preserve">maintain </w:t>
      </w:r>
      <w:r w:rsidR="005C53AD">
        <w:t xml:space="preserve">it </w:t>
      </w:r>
      <w:r w:rsidR="009333D7">
        <w:t xml:space="preserve">to ensure that </w:t>
      </w:r>
      <w:r>
        <w:t xml:space="preserve">healthy coastal ecosystems, indigenous </w:t>
      </w:r>
      <w:proofErr w:type="gramStart"/>
      <w:r>
        <w:t>habitats</w:t>
      </w:r>
      <w:proofErr w:type="gramEnd"/>
      <w:r>
        <w:t xml:space="preserve"> and migratory patterns </w:t>
      </w:r>
      <w:r w:rsidR="009333D7">
        <w:t>are sustained or enhanced</w:t>
      </w:r>
      <w:r>
        <w:t xml:space="preserve">. It also directs that </w:t>
      </w:r>
      <w:r w:rsidR="00923D47">
        <w:t xml:space="preserve">Kāi </w:t>
      </w:r>
      <w:proofErr w:type="spellStart"/>
      <w:r w:rsidR="00923D47">
        <w:t>Tahu</w:t>
      </w:r>
      <w:proofErr w:type="spellEnd"/>
      <w:r w:rsidR="00923D47">
        <w:t xml:space="preserve"> relationships with and </w:t>
      </w:r>
      <w:r w:rsidR="00923D47" w:rsidRPr="29589E8D">
        <w:rPr>
          <w:i/>
          <w:iCs/>
        </w:rPr>
        <w:t>customary</w:t>
      </w:r>
      <w:r w:rsidR="00923D47">
        <w:t xml:space="preserve"> uses of </w:t>
      </w:r>
      <w:r w:rsidR="00923D47" w:rsidRPr="29589E8D">
        <w:rPr>
          <w:i/>
          <w:iCs/>
        </w:rPr>
        <w:t>coastal water</w:t>
      </w:r>
      <w:r w:rsidR="00923D47">
        <w:t xml:space="preserve"> are </w:t>
      </w:r>
      <w:r w:rsidR="005B2549">
        <w:t>sustained,</w:t>
      </w:r>
      <w:r w:rsidR="007071BB">
        <w:t xml:space="preserve"> and</w:t>
      </w:r>
      <w:r w:rsidR="00890001">
        <w:t xml:space="preserve"> recreation opportunities are maintained </w:t>
      </w:r>
      <w:r w:rsidR="003F570D">
        <w:t>and enhanced</w:t>
      </w:r>
      <w:r w:rsidR="0032045B">
        <w:t>.</w:t>
      </w:r>
      <w:r w:rsidR="007071BB">
        <w:t xml:space="preserve"> Finally, </w:t>
      </w:r>
      <w:r w:rsidR="005B2549">
        <w:t>i</w:t>
      </w:r>
      <w:r w:rsidR="007071BB">
        <w:t xml:space="preserve">t directs that in areas of deteriorated water quality where </w:t>
      </w:r>
      <w:proofErr w:type="spellStart"/>
      <w:r w:rsidR="007071BB">
        <w:t>takata</w:t>
      </w:r>
      <w:proofErr w:type="spellEnd"/>
      <w:r w:rsidR="007071BB">
        <w:t xml:space="preserve"> whenua have a particular interest, </w:t>
      </w:r>
      <w:r w:rsidR="00F27B91">
        <w:t>adverse effects on these areas and values are remedied, or otherwise mitigated where remediation is not practicable.</w:t>
      </w:r>
    </w:p>
    <w:p w14:paraId="5FAD389A" w14:textId="26E7414F" w:rsidR="009E26E0" w:rsidRDefault="009E26E0" w:rsidP="00A247C5">
      <w:pPr>
        <w:pStyle w:val="Normal2"/>
      </w:pPr>
      <w:r>
        <w:t>Method CE</w:t>
      </w:r>
      <w:r w:rsidR="00886CBA">
        <w:t>–</w:t>
      </w:r>
      <w:r>
        <w:t>M</w:t>
      </w:r>
      <w:r w:rsidR="009D6720">
        <w:t>3</w:t>
      </w:r>
      <w:r w:rsidR="00594438">
        <w:t>(1)</w:t>
      </w:r>
      <w:r>
        <w:t xml:space="preserve"> </w:t>
      </w:r>
      <w:r w:rsidR="00993395">
        <w:t>requires ORC to</w:t>
      </w:r>
      <w:r>
        <w:t xml:space="preserve"> map areas of de</w:t>
      </w:r>
      <w:r w:rsidR="00915F90">
        <w:t>teriorated</w:t>
      </w:r>
      <w:r>
        <w:t xml:space="preserve"> water quality</w:t>
      </w:r>
      <w:r w:rsidR="00993395">
        <w:t xml:space="preserve"> and sets out the criteria as being areas</w:t>
      </w:r>
      <w:r>
        <w:t xml:space="preserve"> where water quality is either having a significant adverse effect on </w:t>
      </w:r>
      <w:r w:rsidR="00915F90">
        <w:t xml:space="preserve">coastal </w:t>
      </w:r>
      <w:r>
        <w:t>ecosystems, natural habitats, or water-based recreational activities, or is restricting existing uses, such as aquaculture, shellfish gathering and cultural activities.</w:t>
      </w:r>
      <w:r w:rsidR="00782BE1">
        <w:t xml:space="preserve"> </w:t>
      </w:r>
    </w:p>
    <w:p w14:paraId="60FC29C0" w14:textId="461672ED" w:rsidR="00CD2F6C" w:rsidRDefault="00CD2F6C" w:rsidP="00A247C5">
      <w:pPr>
        <w:pStyle w:val="Normal2"/>
      </w:pPr>
      <w:r>
        <w:t>Method CE</w:t>
      </w:r>
      <w:r w:rsidR="00886CBA">
        <w:t>–</w:t>
      </w:r>
      <w:r>
        <w:t>M</w:t>
      </w:r>
      <w:r w:rsidR="00C01AAF">
        <w:t>3</w:t>
      </w:r>
      <w:r w:rsidR="00594438">
        <w:t>(</w:t>
      </w:r>
      <w:r w:rsidR="00C01AAF">
        <w:t>4</w:t>
      </w:r>
      <w:r w:rsidR="00594438">
        <w:t>)</w:t>
      </w:r>
      <w:r>
        <w:t xml:space="preserve"> </w:t>
      </w:r>
      <w:r w:rsidR="002F245A">
        <w:t xml:space="preserve">provides </w:t>
      </w:r>
      <w:r w:rsidR="00E81324">
        <w:t xml:space="preserve">specific </w:t>
      </w:r>
      <w:r w:rsidR="0039767B">
        <w:t xml:space="preserve">direction </w:t>
      </w:r>
      <w:r w:rsidR="00642786">
        <w:t>for managing discharges to coastal water</w:t>
      </w:r>
      <w:r w:rsidR="00E81324">
        <w:t>.</w:t>
      </w:r>
      <w:r w:rsidR="00D65CBD">
        <w:t xml:space="preserve"> </w:t>
      </w:r>
      <w:proofErr w:type="gramStart"/>
      <w:r w:rsidR="003C27E8">
        <w:t>In order to</w:t>
      </w:r>
      <w:proofErr w:type="gramEnd"/>
      <w:r w:rsidR="003C27E8">
        <w:t xml:space="preserve"> provide for the development of non-regulatory actions to support the achievement of the objectives in this option, </w:t>
      </w:r>
      <w:r>
        <w:t>Method CE</w:t>
      </w:r>
      <w:r w:rsidR="00886CBA">
        <w:t>–</w:t>
      </w:r>
      <w:r>
        <w:t>M</w:t>
      </w:r>
      <w:r w:rsidR="00C01AAF">
        <w:t>5</w:t>
      </w:r>
      <w:r>
        <w:t xml:space="preserve"> outlines additional mechanisms or incentives that </w:t>
      </w:r>
      <w:r w:rsidR="003C27E8">
        <w:t>could be adopted</w:t>
      </w:r>
      <w:r>
        <w:t>.</w:t>
      </w:r>
    </w:p>
    <w:p w14:paraId="1F008D11" w14:textId="1CB5CD8B" w:rsidR="00120999" w:rsidRDefault="00F143E5" w:rsidP="000B61EC">
      <w:pPr>
        <w:pStyle w:val="Heading5"/>
      </w:pPr>
      <w:r>
        <w:t>Natural character</w:t>
      </w:r>
    </w:p>
    <w:p w14:paraId="3E47DDA3" w14:textId="77777777" w:rsidR="00E428BC" w:rsidRDefault="005E67E1" w:rsidP="00A247C5">
      <w:pPr>
        <w:pStyle w:val="Normal2"/>
      </w:pPr>
      <w:r>
        <w:t xml:space="preserve">There are two main components to this </w:t>
      </w:r>
      <w:r w:rsidR="009E2044">
        <w:t>option:</w:t>
      </w:r>
      <w:r>
        <w:t xml:space="preserve"> identification and management. </w:t>
      </w:r>
      <w:r w:rsidR="00321E4C">
        <w:t>For identification</w:t>
      </w:r>
      <w:r>
        <w:t xml:space="preserve">, this option retains the attributes currently used in the PORPS 2019, as they align with Policy 13 of the NZCPS. </w:t>
      </w:r>
      <w:r w:rsidR="00CF7E20">
        <w:t>Policy CE</w:t>
      </w:r>
      <w:r w:rsidR="00E428BC">
        <w:t>–</w:t>
      </w:r>
      <w:r w:rsidR="00CF7E20">
        <w:t>P</w:t>
      </w:r>
      <w:r w:rsidR="00D81A86">
        <w:t>4</w:t>
      </w:r>
      <w:r w:rsidR="009E2044">
        <w:t>(</w:t>
      </w:r>
      <w:r w:rsidR="00D81A86">
        <w:t>1</w:t>
      </w:r>
      <w:r w:rsidR="009E2044">
        <w:t>)</w:t>
      </w:r>
      <w:r w:rsidR="00CF7E20">
        <w:t xml:space="preserve"> </w:t>
      </w:r>
      <w:r w:rsidR="00286110">
        <w:t xml:space="preserve">requires that </w:t>
      </w:r>
      <w:r w:rsidR="009D3F9C">
        <w:t>the areas and values of high and outstanding natural character in the coastal environment are identified. Method CE</w:t>
      </w:r>
      <w:r w:rsidR="00E428BC">
        <w:t>–</w:t>
      </w:r>
      <w:r w:rsidR="009D3F9C">
        <w:t>M2(1) requires that l</w:t>
      </w:r>
      <w:r>
        <w:t xml:space="preserve">ocal authorities work collaboratively together to identify areas of high and outstanding natural character within their </w:t>
      </w:r>
      <w:proofErr w:type="gramStart"/>
      <w:r w:rsidRPr="00F01568">
        <w:t>jurisdictions</w:t>
      </w:r>
      <w:r w:rsidR="00766094" w:rsidRPr="00F01568">
        <w:t>, and</w:t>
      </w:r>
      <w:proofErr w:type="gramEnd"/>
      <w:r w:rsidR="00766094" w:rsidRPr="00F01568">
        <w:t xml:space="preserve"> </w:t>
      </w:r>
      <w:r w:rsidR="00321E4C" w:rsidRPr="00F01568">
        <w:t>map</w:t>
      </w:r>
      <w:r w:rsidRPr="00F01568">
        <w:t xml:space="preserve"> the extent of </w:t>
      </w:r>
      <w:r w:rsidR="00321E4C" w:rsidRPr="00F01568">
        <w:t>these areas in</w:t>
      </w:r>
      <w:r w:rsidRPr="00F01568">
        <w:t xml:space="preserve"> the relevant </w:t>
      </w:r>
      <w:r w:rsidR="000E0DA6" w:rsidRPr="00F01568">
        <w:t>regional and district plans</w:t>
      </w:r>
      <w:r w:rsidRPr="00F01568">
        <w:t xml:space="preserve">. </w:t>
      </w:r>
    </w:p>
    <w:p w14:paraId="00C4D991" w14:textId="35673BCE" w:rsidR="005E67E1" w:rsidRDefault="009558B2" w:rsidP="00A247C5">
      <w:pPr>
        <w:pStyle w:val="Normal2"/>
      </w:pPr>
      <w:r w:rsidRPr="00F01568">
        <w:t>Method CE-M2(4)</w:t>
      </w:r>
      <w:r w:rsidR="00C32DD5" w:rsidRPr="00F01568">
        <w:t xml:space="preserve"> requires that the identification of high and outstanding natural character is prioritise</w:t>
      </w:r>
      <w:r w:rsidR="008B7AD8" w:rsidRPr="00F01568">
        <w:t>d</w:t>
      </w:r>
      <w:r w:rsidR="00C32DD5" w:rsidRPr="00F01568">
        <w:t xml:space="preserve"> in areas that are likely to face development or growth pressure over the life of the RPS, or likely to contain </w:t>
      </w:r>
      <w:r w:rsidR="00171EDE" w:rsidRPr="00F01568">
        <w:t>outstanding</w:t>
      </w:r>
      <w:r w:rsidR="00C32DD5" w:rsidRPr="00F01568">
        <w:t xml:space="preserve"> natural character areas or natural features</w:t>
      </w:r>
      <w:r w:rsidR="0021447F" w:rsidRPr="00F01568">
        <w:t xml:space="preserve">, </w:t>
      </w:r>
      <w:r w:rsidR="00E75C3C" w:rsidRPr="00F01568">
        <w:t xml:space="preserve">setting out a list of key </w:t>
      </w:r>
      <w:r w:rsidR="00171EDE" w:rsidRPr="00F01568">
        <w:t>coastal areas</w:t>
      </w:r>
      <w:r w:rsidR="0021447F" w:rsidRPr="00F01568">
        <w:t xml:space="preserve"> in Otago that should be</w:t>
      </w:r>
      <w:r w:rsidR="00E75C3C" w:rsidRPr="00F01568">
        <w:t xml:space="preserve"> specifically</w:t>
      </w:r>
      <w:r w:rsidR="0021447F" w:rsidRPr="00F01568">
        <w:t xml:space="preserve"> </w:t>
      </w:r>
      <w:r w:rsidR="0044464C" w:rsidRPr="00F01568">
        <w:t>considered</w:t>
      </w:r>
      <w:r w:rsidR="0021447F" w:rsidRPr="00F01568">
        <w:t>. Th</w:t>
      </w:r>
      <w:r w:rsidR="006418E0" w:rsidRPr="00F01568">
        <w:t xml:space="preserve">e list of areas </w:t>
      </w:r>
      <w:r w:rsidR="0044464C" w:rsidRPr="00F01568">
        <w:t>contained</w:t>
      </w:r>
      <w:r w:rsidR="006418E0" w:rsidRPr="00F01568">
        <w:t xml:space="preserve"> CE</w:t>
      </w:r>
      <w:r w:rsidR="00E428BC">
        <w:t>–</w:t>
      </w:r>
      <w:r w:rsidR="006418E0" w:rsidRPr="00F01568">
        <w:t xml:space="preserve">M2(3)(b) are </w:t>
      </w:r>
      <w:r w:rsidR="0044464C" w:rsidRPr="00F01568">
        <w:t xml:space="preserve">the </w:t>
      </w:r>
      <w:r w:rsidR="006418E0" w:rsidRPr="00F01568">
        <w:t xml:space="preserve">Coastal Protection Areas </w:t>
      </w:r>
      <w:r w:rsidR="00171EDE" w:rsidRPr="00F01568">
        <w:t xml:space="preserve">included in </w:t>
      </w:r>
      <w:r w:rsidR="006418E0" w:rsidRPr="00F01568">
        <w:t xml:space="preserve">Schedule 2 of </w:t>
      </w:r>
      <w:r w:rsidR="00171EDE" w:rsidRPr="00F01568">
        <w:t>the</w:t>
      </w:r>
      <w:r w:rsidR="0072401A" w:rsidRPr="00F01568">
        <w:t xml:space="preserve"> </w:t>
      </w:r>
      <w:r w:rsidR="00E428BC">
        <w:t>Coast Plan.</w:t>
      </w:r>
      <w:r w:rsidR="006418E0" w:rsidRPr="00F01568">
        <w:t xml:space="preserve"> </w:t>
      </w:r>
      <w:r w:rsidR="0072401A" w:rsidRPr="00F01568">
        <w:t xml:space="preserve">The </w:t>
      </w:r>
      <w:r w:rsidR="00772B24" w:rsidRPr="00F01568">
        <w:t>Coastal Protection Areas</w:t>
      </w:r>
      <w:r w:rsidR="0072401A" w:rsidRPr="00F01568">
        <w:t xml:space="preserve"> are </w:t>
      </w:r>
      <w:r w:rsidR="001D4ABE" w:rsidRPr="00F01568">
        <w:t xml:space="preserve">areas that </w:t>
      </w:r>
      <w:r w:rsidR="00E428BC">
        <w:t xml:space="preserve">are likely to </w:t>
      </w:r>
      <w:r w:rsidR="001D4ABE" w:rsidRPr="00F01568">
        <w:t>have high or outstanding natural character</w:t>
      </w:r>
      <w:r w:rsidR="008B7AD8" w:rsidRPr="00F01568">
        <w:t xml:space="preserve"> or indigenous biodiversity</w:t>
      </w:r>
      <w:r w:rsidR="001D4ABE" w:rsidRPr="00F01568">
        <w:t xml:space="preserve"> </w:t>
      </w:r>
      <w:proofErr w:type="gramStart"/>
      <w:r w:rsidR="001D4ABE" w:rsidRPr="00F01568">
        <w:t>values</w:t>
      </w:r>
      <w:r w:rsidR="00772B24" w:rsidRPr="00F01568">
        <w:t xml:space="preserve">, </w:t>
      </w:r>
      <w:r w:rsidR="001D4ABE" w:rsidRPr="00F01568">
        <w:t>and</w:t>
      </w:r>
      <w:proofErr w:type="gramEnd"/>
      <w:r w:rsidR="001D4ABE" w:rsidRPr="00F01568">
        <w:t xml:space="preserve"> are therefore considered to be an appropriate starting point for </w:t>
      </w:r>
      <w:r w:rsidR="00772B24" w:rsidRPr="00F01568">
        <w:t>identifying significant areas.</w:t>
      </w:r>
    </w:p>
    <w:p w14:paraId="25DFD412" w14:textId="246CB8B8" w:rsidR="00DD6C46" w:rsidRDefault="000974F9" w:rsidP="00A247C5">
      <w:pPr>
        <w:pStyle w:val="Normal2"/>
      </w:pPr>
      <w:r>
        <w:t xml:space="preserve">In terms of management, the </w:t>
      </w:r>
      <w:r w:rsidR="00E81F7F">
        <w:t>PORPS 2021</w:t>
      </w:r>
      <w:r>
        <w:t xml:space="preserve"> simplifies the approach in the PORPS</w:t>
      </w:r>
      <w:r w:rsidR="00CA5C56">
        <w:t xml:space="preserve"> </w:t>
      </w:r>
      <w:r>
        <w:t>2019 by combining the direction for managing outstanding and high natural character into one policy. Policy CE</w:t>
      </w:r>
      <w:r w:rsidR="0083501B">
        <w:t>–</w:t>
      </w:r>
      <w:r>
        <w:t>P</w:t>
      </w:r>
      <w:r w:rsidR="009D171A">
        <w:t>4</w:t>
      </w:r>
      <w:r>
        <w:t xml:space="preserve"> requires </w:t>
      </w:r>
      <w:r w:rsidR="00727DD6">
        <w:t>preserving natural character</w:t>
      </w:r>
      <w:r>
        <w:t xml:space="preserve"> by avoiding adverse effects on areas o</w:t>
      </w:r>
      <w:r w:rsidR="00240E21">
        <w:t>f</w:t>
      </w:r>
      <w:r>
        <w:t xml:space="preserve"> </w:t>
      </w:r>
      <w:r w:rsidR="00AD1F10">
        <w:t>outstanding</w:t>
      </w:r>
      <w:r w:rsidR="00240E21">
        <w:t xml:space="preserve"> natural character,</w:t>
      </w:r>
      <w:r>
        <w:t xml:space="preserve"> and avoiding significant adverse effects and avoiding, </w:t>
      </w:r>
      <w:proofErr w:type="gramStart"/>
      <w:r>
        <w:t>remedying</w:t>
      </w:r>
      <w:proofErr w:type="gramEnd"/>
      <w:r>
        <w:t xml:space="preserve"> or mitigating other adverse effects on natural character in all other areas of the coastal environment. It also enables land use practices and restoration projects that will restore or rehabilitate natural character. </w:t>
      </w:r>
    </w:p>
    <w:p w14:paraId="3AA11D72" w14:textId="281F9A4F" w:rsidR="00DD6C46" w:rsidRDefault="00AF0B2D" w:rsidP="000B61EC">
      <w:pPr>
        <w:pStyle w:val="Heading5"/>
      </w:pPr>
      <w:r>
        <w:t>I</w:t>
      </w:r>
      <w:r w:rsidRPr="00AF0B2D">
        <w:t xml:space="preserve">ndigenous </w:t>
      </w:r>
      <w:r>
        <w:t xml:space="preserve">biodiversity </w:t>
      </w:r>
    </w:p>
    <w:p w14:paraId="0D7AB944" w14:textId="3AFCB02A" w:rsidR="00D6585D" w:rsidRDefault="00D6585D" w:rsidP="00A247C5">
      <w:pPr>
        <w:pStyle w:val="Normal2"/>
      </w:pPr>
      <w:r>
        <w:t xml:space="preserve">Policy </w:t>
      </w:r>
      <w:r w:rsidR="00AA0900">
        <w:t>CE</w:t>
      </w:r>
      <w:r w:rsidR="00691365">
        <w:t>–</w:t>
      </w:r>
      <w:r>
        <w:t>P</w:t>
      </w:r>
      <w:r w:rsidR="00AA0900">
        <w:t>5</w:t>
      </w:r>
      <w:r>
        <w:t xml:space="preserve"> requires identifying areas of biodiversity in the coastal environment and then protecting them using </w:t>
      </w:r>
      <w:r w:rsidR="006779C6">
        <w:t>an effects management hierarchy consistent with the requirements of the NZCPS.</w:t>
      </w:r>
      <w:r>
        <w:t xml:space="preserve"> Given the directive nature of Policy 11 of the NZCPS, there is little scope for the PORP</w:t>
      </w:r>
      <w:r w:rsidR="0002020D">
        <w:t>S</w:t>
      </w:r>
      <w:r>
        <w:t xml:space="preserve"> 2021 to include additional or alternative management approaches. The lack of region-specific information about the matters addressed by Policy 11 means there is also little Otago-</w:t>
      </w:r>
      <w:r>
        <w:lastRenderedPageBreak/>
        <w:t>specific direction that could assist with the application of Policy 11, although the mapping reports prepared by Wildlands will provide an important base for the review of the Coastal Plan.</w:t>
      </w:r>
    </w:p>
    <w:p w14:paraId="06F4E494" w14:textId="14DE9455" w:rsidR="00017B08" w:rsidRDefault="00017B08" w:rsidP="00A247C5">
      <w:pPr>
        <w:pStyle w:val="Normal2"/>
      </w:pPr>
      <w:r>
        <w:t>Method CE</w:t>
      </w:r>
      <w:r w:rsidR="00334BC0">
        <w:t>–</w:t>
      </w:r>
      <w:r>
        <w:t>M2(</w:t>
      </w:r>
      <w:r w:rsidR="0065385F">
        <w:t>3</w:t>
      </w:r>
      <w:r>
        <w:t xml:space="preserve">) requires that local authorities work collaboratively together to identify areas </w:t>
      </w:r>
      <w:r w:rsidR="0065385F">
        <w:t>and values of indigenous biodiversity</w:t>
      </w:r>
      <w:r>
        <w:t xml:space="preserve"> within their </w:t>
      </w:r>
      <w:proofErr w:type="gramStart"/>
      <w:r>
        <w:t>jurisdictions, and</w:t>
      </w:r>
      <w:proofErr w:type="gramEnd"/>
      <w:r>
        <w:t xml:space="preserve"> </w:t>
      </w:r>
      <w:r w:rsidRPr="00F01568">
        <w:t>map the areas</w:t>
      </w:r>
      <w:r w:rsidR="0065385F" w:rsidRPr="00F01568">
        <w:t xml:space="preserve"> and describe their values</w:t>
      </w:r>
      <w:r w:rsidRPr="00F01568">
        <w:t xml:space="preserve"> in the relevant regional and district plans. Method CE</w:t>
      </w:r>
      <w:r w:rsidR="00334BC0">
        <w:t>–</w:t>
      </w:r>
      <w:r w:rsidRPr="00F01568">
        <w:t xml:space="preserve">M2(4) requires that the identification of </w:t>
      </w:r>
      <w:r w:rsidR="0065385F" w:rsidRPr="00F01568">
        <w:t>indigenous biodiversity values and areas</w:t>
      </w:r>
      <w:r w:rsidRPr="00F01568">
        <w:t xml:space="preserve"> is prioritised in areas that are likely to face development or growth pressure over the life of the RPS, or likely to contain </w:t>
      </w:r>
      <w:r w:rsidR="0065385F" w:rsidRPr="00F01568">
        <w:t>areas of significant indigenous biodiversity</w:t>
      </w:r>
      <w:r w:rsidRPr="00F01568">
        <w:t xml:space="preserve">, </w:t>
      </w:r>
      <w:r w:rsidR="00E75C3C" w:rsidRPr="00F01568">
        <w:t>setting out a</w:t>
      </w:r>
      <w:r w:rsidRPr="00F01568">
        <w:t xml:space="preserve"> list of coastal areas in Otago that should be </w:t>
      </w:r>
      <w:r w:rsidR="00E75C3C" w:rsidRPr="00F01568">
        <w:t xml:space="preserve">specifically </w:t>
      </w:r>
      <w:r w:rsidRPr="00F01568">
        <w:t xml:space="preserve">considered. The list of areas contained CE-M2(3)(b) are the Coastal Protection Areas included in Schedule 2 of </w:t>
      </w:r>
      <w:r w:rsidR="00334BC0">
        <w:t>the Coast Plan</w:t>
      </w:r>
      <w:r w:rsidRPr="00F01568">
        <w:t xml:space="preserve">. The Coastal Protection Areas are areas that </w:t>
      </w:r>
      <w:r w:rsidR="00334BC0">
        <w:t xml:space="preserve">are likely to </w:t>
      </w:r>
      <w:r w:rsidRPr="00F01568">
        <w:t xml:space="preserve">have high or outstanding natural character or indigenous biodiversity </w:t>
      </w:r>
      <w:proofErr w:type="gramStart"/>
      <w:r w:rsidRPr="00F01568">
        <w:t>values,</w:t>
      </w:r>
      <w:r w:rsidR="00587A76">
        <w:t xml:space="preserve"> </w:t>
      </w:r>
      <w:r w:rsidRPr="00F01568">
        <w:t>and</w:t>
      </w:r>
      <w:proofErr w:type="gramEnd"/>
      <w:r w:rsidRPr="00F01568">
        <w:t xml:space="preserve"> are therefore considered to be an appropriate starting point for identifying significant areas.</w:t>
      </w:r>
    </w:p>
    <w:p w14:paraId="658A4AEB" w14:textId="170DAB81" w:rsidR="00851C93" w:rsidRPr="00095BB4" w:rsidRDefault="000974F9" w:rsidP="000B61EC">
      <w:pPr>
        <w:pStyle w:val="Heading5"/>
      </w:pPr>
      <w:r w:rsidRPr="00095BB4">
        <w:t>Surf breaks</w:t>
      </w:r>
    </w:p>
    <w:p w14:paraId="61DD24D5" w14:textId="0173F4B8" w:rsidR="002C2D13" w:rsidRDefault="00632DF4" w:rsidP="00A247C5">
      <w:pPr>
        <w:pStyle w:val="Normal2"/>
      </w:pPr>
      <w:r>
        <w:t xml:space="preserve">The </w:t>
      </w:r>
      <w:r w:rsidR="00E81F7F">
        <w:t>PORPS 2021</w:t>
      </w:r>
      <w:r>
        <w:t xml:space="preserve"> proposes </w:t>
      </w:r>
      <w:r w:rsidR="006026C1">
        <w:t>policy direction that largely replicates the existing approach for nationally significant surf breaks</w:t>
      </w:r>
      <w:r w:rsidR="005010F1">
        <w:t xml:space="preserve">, but also addresses regionally significant surf breaks.  </w:t>
      </w:r>
      <w:r w:rsidR="000E0DA6">
        <w:t>Policy CE</w:t>
      </w:r>
      <w:r w:rsidR="00334BC0">
        <w:t>–</w:t>
      </w:r>
      <w:r w:rsidR="000E0DA6">
        <w:t>P</w:t>
      </w:r>
      <w:r w:rsidR="00493BCA">
        <w:t>2</w:t>
      </w:r>
      <w:r w:rsidR="000E0DA6">
        <w:t>(</w:t>
      </w:r>
      <w:r w:rsidR="00716D5B">
        <w:t>5</w:t>
      </w:r>
      <w:r w:rsidR="000E0DA6">
        <w:t xml:space="preserve">) requires the identification of </w:t>
      </w:r>
      <w:r w:rsidR="005B1722">
        <w:t xml:space="preserve">nationally significant surf breaks at </w:t>
      </w:r>
      <w:proofErr w:type="spellStart"/>
      <w:r w:rsidR="005B1722">
        <w:t>Karitane</w:t>
      </w:r>
      <w:proofErr w:type="spellEnd"/>
      <w:r w:rsidR="005B1722">
        <w:t xml:space="preserve">, </w:t>
      </w:r>
      <w:proofErr w:type="spellStart"/>
      <w:r w:rsidR="005B1722">
        <w:t>Papatowai</w:t>
      </w:r>
      <w:proofErr w:type="spellEnd"/>
      <w:r w:rsidR="005B1722">
        <w:t xml:space="preserve">, The Spit and </w:t>
      </w:r>
      <w:proofErr w:type="spellStart"/>
      <w:r w:rsidR="005B1722">
        <w:t>Whareakeake</w:t>
      </w:r>
      <w:proofErr w:type="spellEnd"/>
      <w:r w:rsidR="005B1722">
        <w:t xml:space="preserve"> and any regionally significant surf breaks</w:t>
      </w:r>
      <w:r w:rsidR="000E0DA6" w:rsidRPr="29589E8D">
        <w:rPr>
          <w:lang w:eastAsia="en-NZ"/>
        </w:rPr>
        <w:t xml:space="preserve">. </w:t>
      </w:r>
      <w:r w:rsidR="00C64344">
        <w:t>Method CE</w:t>
      </w:r>
      <w:r w:rsidR="00334BC0">
        <w:t>–</w:t>
      </w:r>
      <w:r w:rsidR="00C64344">
        <w:t>M</w:t>
      </w:r>
      <w:r w:rsidR="005C21A5">
        <w:t>3</w:t>
      </w:r>
      <w:r w:rsidR="00C64344">
        <w:t xml:space="preserve">(2) directs </w:t>
      </w:r>
      <w:r w:rsidR="006F5EFC">
        <w:t>ORC</w:t>
      </w:r>
      <w:r w:rsidR="00C64344">
        <w:t xml:space="preserve"> </w:t>
      </w:r>
      <w:r w:rsidR="004456B3">
        <w:t>to</w:t>
      </w:r>
      <w:r w:rsidR="00C64344">
        <w:t xml:space="preserve"> map </w:t>
      </w:r>
      <w:r w:rsidR="00C57555">
        <w:t>nationally and regionally significant surf breaks</w:t>
      </w:r>
      <w:r>
        <w:t xml:space="preserve">. </w:t>
      </w:r>
    </w:p>
    <w:p w14:paraId="3A939E4A" w14:textId="2D8767A6" w:rsidR="000974F9" w:rsidRPr="00441182" w:rsidRDefault="00095BB4" w:rsidP="00A247C5">
      <w:pPr>
        <w:pStyle w:val="Normal2"/>
      </w:pPr>
      <w:r>
        <w:t>Policy CE</w:t>
      </w:r>
      <w:r w:rsidR="00334BC0">
        <w:t>–</w:t>
      </w:r>
      <w:r>
        <w:t>P</w:t>
      </w:r>
      <w:r w:rsidR="006B62BA">
        <w:t>7</w:t>
      </w:r>
      <w:r w:rsidR="00EA0F30">
        <w:t>(1)</w:t>
      </w:r>
      <w:r>
        <w:t xml:space="preserve"> </w:t>
      </w:r>
      <w:r w:rsidR="00950909">
        <w:t xml:space="preserve">directs that nationally significant breaks are protected by avoiding adverse effects on the </w:t>
      </w:r>
      <w:r w:rsidR="00E37BB2">
        <w:t>surf breaks</w:t>
      </w:r>
      <w:r w:rsidR="00FB3456">
        <w:t>,</w:t>
      </w:r>
      <w:r w:rsidR="00E37BB2">
        <w:t xml:space="preserve"> </w:t>
      </w:r>
      <w:r w:rsidR="00FB3456">
        <w:t>including</w:t>
      </w:r>
      <w:r w:rsidR="004304E6">
        <w:t xml:space="preserve"> on access to and use and enjoyment of</w:t>
      </w:r>
      <w:r w:rsidR="00FB3456">
        <w:t xml:space="preserve"> them</w:t>
      </w:r>
      <w:r w:rsidR="002C2D13">
        <w:t>, in accordance with the NZCPS</w:t>
      </w:r>
      <w:r w:rsidR="004304E6">
        <w:t>. Policy CE</w:t>
      </w:r>
      <w:r w:rsidR="00334BC0">
        <w:t>–</w:t>
      </w:r>
      <w:r w:rsidR="004304E6">
        <w:t>P</w:t>
      </w:r>
      <w:r w:rsidR="006B62BA">
        <w:t>7</w:t>
      </w:r>
      <w:r w:rsidR="00FB3456">
        <w:t>(2)</w:t>
      </w:r>
      <w:r w:rsidR="004304E6">
        <w:t xml:space="preserve"> </w:t>
      </w:r>
      <w:r w:rsidR="00796195">
        <w:t xml:space="preserve">directs that </w:t>
      </w:r>
      <w:r w:rsidR="00EA51D9">
        <w:t xml:space="preserve">the values of and access to regionally significant surf breaks </w:t>
      </w:r>
      <w:r w:rsidR="002C2D13">
        <w:t>are</w:t>
      </w:r>
      <w:r w:rsidR="00EA51D9">
        <w:t xml:space="preserve"> maintained. </w:t>
      </w:r>
      <w:r w:rsidR="006F5EFC">
        <w:t>Method CE</w:t>
      </w:r>
      <w:r w:rsidR="00334BC0">
        <w:t>–</w:t>
      </w:r>
      <w:r w:rsidR="006F5EFC">
        <w:t>M</w:t>
      </w:r>
      <w:r w:rsidR="00BB080C">
        <w:t>3</w:t>
      </w:r>
      <w:r w:rsidR="006F5EFC">
        <w:t>(</w:t>
      </w:r>
      <w:r w:rsidR="00D147C4">
        <w:t>5</w:t>
      </w:r>
      <w:r w:rsidR="006F5EFC">
        <w:t xml:space="preserve">) </w:t>
      </w:r>
      <w:r w:rsidR="002C2D13">
        <w:t xml:space="preserve">clarifies that this is to </w:t>
      </w:r>
      <w:r w:rsidR="00E13964">
        <w:t xml:space="preserve">be managed within the </w:t>
      </w:r>
      <w:r w:rsidR="002C2D13">
        <w:t>regional plan</w:t>
      </w:r>
      <w:r w:rsidR="006F5EFC">
        <w:t>.</w:t>
      </w:r>
    </w:p>
    <w:p w14:paraId="30231B0A" w14:textId="5D7487BB" w:rsidR="00814432" w:rsidRPr="00471CA7" w:rsidRDefault="00814432" w:rsidP="000B61EC">
      <w:pPr>
        <w:pStyle w:val="Heading5"/>
      </w:pPr>
      <w:r w:rsidRPr="00471CA7">
        <w:t>Public access</w:t>
      </w:r>
    </w:p>
    <w:p w14:paraId="51424724" w14:textId="49B0A540" w:rsidR="00C80F48" w:rsidRDefault="00814432" w:rsidP="00A247C5">
      <w:pPr>
        <w:pStyle w:val="Normal2"/>
      </w:pPr>
      <w:r>
        <w:t xml:space="preserve">The </w:t>
      </w:r>
      <w:r w:rsidR="00E81F7F">
        <w:t>PORPS 2021</w:t>
      </w:r>
      <w:r w:rsidR="004737BA">
        <w:t xml:space="preserve"> </w:t>
      </w:r>
      <w:r w:rsidR="0019575C">
        <w:t xml:space="preserve">largely replicates the direction within the PORPS 2019. However, </w:t>
      </w:r>
      <w:r w:rsidR="00195D71">
        <w:t>new Policy CE</w:t>
      </w:r>
      <w:r w:rsidR="00334BC0">
        <w:t>–</w:t>
      </w:r>
      <w:r w:rsidR="00223B45">
        <w:t>P</w:t>
      </w:r>
      <w:r w:rsidR="00C21910">
        <w:t>8</w:t>
      </w:r>
      <w:r w:rsidR="00195D71">
        <w:t xml:space="preserve"> </w:t>
      </w:r>
      <w:r w:rsidR="00566844">
        <w:t xml:space="preserve">limits the </w:t>
      </w:r>
      <w:r w:rsidR="00471CA7">
        <w:t xml:space="preserve">scope </w:t>
      </w:r>
      <w:r w:rsidR="00587A76">
        <w:t>of</w:t>
      </w:r>
      <w:r w:rsidR="00471CA7">
        <w:t xml:space="preserve"> public access to and along the CMA</w:t>
      </w:r>
      <w:r w:rsidR="00223B45">
        <w:t>, including</w:t>
      </w:r>
      <w:r w:rsidR="002C1B52">
        <w:t xml:space="preserve"> scenarios</w:t>
      </w:r>
      <w:r w:rsidR="00223B45">
        <w:t xml:space="preserve"> </w:t>
      </w:r>
      <w:r w:rsidR="007D1AF9">
        <w:t>where</w:t>
      </w:r>
      <w:r w:rsidR="002C1B52">
        <w:t xml:space="preserve"> </w:t>
      </w:r>
      <w:r w:rsidR="007D1AF9">
        <w:t xml:space="preserve">restricting access </w:t>
      </w:r>
      <w:r w:rsidR="00A541E5">
        <w:t xml:space="preserve">to the CMA </w:t>
      </w:r>
      <w:r w:rsidR="007D1AF9">
        <w:t xml:space="preserve">is </w:t>
      </w:r>
      <w:r w:rsidR="00A541E5">
        <w:t>necessary</w:t>
      </w:r>
      <w:r w:rsidR="00223B45">
        <w:t xml:space="preserve"> that were not included in the PORPS 2019</w:t>
      </w:r>
      <w:r w:rsidR="007D1AF9">
        <w:t>.</w:t>
      </w:r>
      <w:r w:rsidR="00B86809">
        <w:t xml:space="preserve"> In addition, </w:t>
      </w:r>
      <w:r w:rsidR="001111CE">
        <w:t>Methods CE</w:t>
      </w:r>
      <w:r w:rsidR="00334BC0">
        <w:t>–</w:t>
      </w:r>
      <w:r w:rsidR="001111CE">
        <w:t>M3(</w:t>
      </w:r>
      <w:r w:rsidR="00C21910">
        <w:t>8</w:t>
      </w:r>
      <w:r w:rsidR="001111CE">
        <w:t>)</w:t>
      </w:r>
      <w:r w:rsidR="00A74867">
        <w:t xml:space="preserve"> and</w:t>
      </w:r>
      <w:r w:rsidR="001111CE">
        <w:t xml:space="preserve"> </w:t>
      </w:r>
      <w:r w:rsidR="00A74867">
        <w:t>CE</w:t>
      </w:r>
      <w:r w:rsidR="00334BC0">
        <w:t>–</w:t>
      </w:r>
      <w:r w:rsidR="00A74867">
        <w:t>M4(6) require that regional and district plans provide for walking access to and along the coastal marine area</w:t>
      </w:r>
      <w:r w:rsidR="00D14DA7">
        <w:t>,</w:t>
      </w:r>
      <w:r w:rsidR="00A74867">
        <w:t xml:space="preserve"> in accordance with Policy 19</w:t>
      </w:r>
      <w:r w:rsidR="005B48F6">
        <w:t xml:space="preserve"> of the NZCPS</w:t>
      </w:r>
      <w:r w:rsidR="00A74867">
        <w:t>. Methods CE</w:t>
      </w:r>
      <w:r w:rsidR="00334BC0">
        <w:t>–</w:t>
      </w:r>
      <w:r w:rsidR="00A74867">
        <w:t>M3(</w:t>
      </w:r>
      <w:r w:rsidR="00C21910">
        <w:t>9</w:t>
      </w:r>
      <w:r w:rsidR="00A74867">
        <w:t>)</w:t>
      </w:r>
      <w:r w:rsidR="00DE5955">
        <w:t xml:space="preserve"> </w:t>
      </w:r>
      <w:r w:rsidR="006B7545">
        <w:t>and CE</w:t>
      </w:r>
      <w:r w:rsidR="00334BC0">
        <w:t>–</w:t>
      </w:r>
      <w:r w:rsidR="006B7545">
        <w:t>M</w:t>
      </w:r>
      <w:r w:rsidR="007758F5">
        <w:t xml:space="preserve">4(7) </w:t>
      </w:r>
      <w:r w:rsidR="00F00A03">
        <w:t xml:space="preserve">require that </w:t>
      </w:r>
      <w:r w:rsidR="009846EE">
        <w:t xml:space="preserve">regional and district plans </w:t>
      </w:r>
      <w:r w:rsidR="005B48F6">
        <w:t>control vehicle access to and along the coastal marine area in accordance with Policy 20 of the NZCPS.</w:t>
      </w:r>
    </w:p>
    <w:p w14:paraId="62AC5377" w14:textId="5822E817" w:rsidR="0073574E" w:rsidRDefault="0073574E" w:rsidP="000B61EC">
      <w:pPr>
        <w:pStyle w:val="Heading5"/>
      </w:pPr>
      <w:r>
        <w:t xml:space="preserve">Activities in the coastal </w:t>
      </w:r>
      <w:r w:rsidRPr="00223B45">
        <w:t>environment</w:t>
      </w:r>
    </w:p>
    <w:p w14:paraId="7FEADB9E" w14:textId="78C3F5BB" w:rsidR="0073574E" w:rsidRDefault="009218CC" w:rsidP="00A247C5">
      <w:pPr>
        <w:pStyle w:val="Normal2"/>
      </w:pPr>
      <w:r>
        <w:t xml:space="preserve">Policy 5.4.9 of the PORPS 2019 sought to manage a wide range of areas and values that made the policy complex. </w:t>
      </w:r>
      <w:r w:rsidR="00875939">
        <w:t>Rather tha</w:t>
      </w:r>
      <w:r w:rsidR="00E24DCD">
        <w:t>n</w:t>
      </w:r>
      <w:r w:rsidR="00875939">
        <w:t xml:space="preserve"> replicating </w:t>
      </w:r>
      <w:r>
        <w:t>this policy</w:t>
      </w:r>
      <w:r w:rsidR="00AE6AA6">
        <w:t>,</w:t>
      </w:r>
      <w:r w:rsidR="009A1084">
        <w:t xml:space="preserve"> th</w:t>
      </w:r>
      <w:r w:rsidR="00321E73">
        <w:t xml:space="preserve">e </w:t>
      </w:r>
      <w:r w:rsidR="00E81F7F">
        <w:t>PORPS 2021</w:t>
      </w:r>
      <w:r w:rsidR="00321E73">
        <w:t xml:space="preserve"> </w:t>
      </w:r>
      <w:r w:rsidR="009A1084">
        <w:t xml:space="preserve">relies on </w:t>
      </w:r>
      <w:r w:rsidR="00005A38">
        <w:t xml:space="preserve">other chapters </w:t>
      </w:r>
      <w:r w:rsidR="00AB3E85">
        <w:t xml:space="preserve">to </w:t>
      </w:r>
      <w:r w:rsidR="00C12A0B">
        <w:t>manage</w:t>
      </w:r>
      <w:r w:rsidR="00AB3E85">
        <w:t xml:space="preserve"> the </w:t>
      </w:r>
      <w:r w:rsidR="00C12A0B">
        <w:t xml:space="preserve">sensitive values within the coastal </w:t>
      </w:r>
      <w:r w:rsidR="0073574E">
        <w:t>environment</w:t>
      </w:r>
      <w:r>
        <w:t xml:space="preserve"> (for example, </w:t>
      </w:r>
      <w:r w:rsidR="006F68D9">
        <w:t>historic heritage</w:t>
      </w:r>
      <w:r>
        <w:t>)</w:t>
      </w:r>
      <w:r w:rsidR="0073574E">
        <w:t>.</w:t>
      </w:r>
      <w:r w:rsidR="00C12A0B">
        <w:t xml:space="preserve"> </w:t>
      </w:r>
      <w:r w:rsidR="00CD7300">
        <w:t xml:space="preserve">This approach </w:t>
      </w:r>
      <w:r w:rsidR="00D025C3">
        <w:t xml:space="preserve">removes the duplication </w:t>
      </w:r>
      <w:r w:rsidR="002B6762">
        <w:t xml:space="preserve">and requires that </w:t>
      </w:r>
      <w:r w:rsidR="009776FA">
        <w:t xml:space="preserve">the whole of the </w:t>
      </w:r>
      <w:r w:rsidR="00E81F7F">
        <w:t>PORPS 2021</w:t>
      </w:r>
      <w:r w:rsidR="009776FA">
        <w:t xml:space="preserve"> is read together when considering </w:t>
      </w:r>
      <w:r w:rsidR="001B0586">
        <w:t xml:space="preserve">activities within the coastal environment. </w:t>
      </w:r>
    </w:p>
    <w:p w14:paraId="74421215" w14:textId="57C2A0CB" w:rsidR="007117D1" w:rsidRDefault="00A05F8A" w:rsidP="00A247C5">
      <w:pPr>
        <w:pStyle w:val="Normal2"/>
      </w:pPr>
      <w:r>
        <w:t>Policies CE-P</w:t>
      </w:r>
      <w:r w:rsidR="00C21910">
        <w:t>9</w:t>
      </w:r>
      <w:r>
        <w:t xml:space="preserve"> </w:t>
      </w:r>
      <w:r w:rsidR="009218CC">
        <w:t>to</w:t>
      </w:r>
      <w:r>
        <w:t xml:space="preserve"> CE</w:t>
      </w:r>
      <w:r w:rsidR="007117D1">
        <w:t>-</w:t>
      </w:r>
      <w:r>
        <w:t>P1</w:t>
      </w:r>
      <w:r w:rsidR="00BB22B5">
        <w:t>2</w:t>
      </w:r>
      <w:r>
        <w:t xml:space="preserve"> provide </w:t>
      </w:r>
      <w:r w:rsidR="00B76854">
        <w:t xml:space="preserve">additional clarity </w:t>
      </w:r>
      <w:r w:rsidR="009218CC">
        <w:t>on</w:t>
      </w:r>
      <w:r w:rsidR="00B76854">
        <w:t xml:space="preserve"> how development </w:t>
      </w:r>
      <w:r w:rsidR="000469A2">
        <w:t>within</w:t>
      </w:r>
      <w:r w:rsidR="00B76854">
        <w:t xml:space="preserve"> </w:t>
      </w:r>
      <w:r w:rsidR="000469A2">
        <w:t>t</w:t>
      </w:r>
      <w:r w:rsidR="00B76854">
        <w:t xml:space="preserve">he </w:t>
      </w:r>
      <w:r w:rsidR="000469A2">
        <w:t xml:space="preserve">coastal environment is to be undertaken. </w:t>
      </w:r>
      <w:r w:rsidR="0073574E">
        <w:t>Policy CE-P</w:t>
      </w:r>
      <w:r w:rsidR="00C21910">
        <w:t>9</w:t>
      </w:r>
      <w:r w:rsidR="0073574E">
        <w:t xml:space="preserve"> </w:t>
      </w:r>
      <w:r w:rsidR="00377445">
        <w:t>ensures the strategic and co-ordinated use of land within the coastal environment</w:t>
      </w:r>
      <w:r w:rsidR="0073574E">
        <w:t xml:space="preserve">, giving effect to the direction within Policy 6(1) of the NZCPS </w:t>
      </w:r>
      <w:r w:rsidR="008A2368">
        <w:t>2010</w:t>
      </w:r>
      <w:r w:rsidR="00427904">
        <w:t>.</w:t>
      </w:r>
    </w:p>
    <w:p w14:paraId="7AAA7CDF" w14:textId="5D8FC985" w:rsidR="002F71F5" w:rsidRPr="00441182" w:rsidRDefault="0073574E" w:rsidP="00A247C5">
      <w:pPr>
        <w:pStyle w:val="Normal2"/>
      </w:pPr>
      <w:r>
        <w:lastRenderedPageBreak/>
        <w:t>Policy CE</w:t>
      </w:r>
      <w:r w:rsidR="00B8197E">
        <w:t>–</w:t>
      </w:r>
      <w:r>
        <w:t>P</w:t>
      </w:r>
      <w:r w:rsidR="00EE783C">
        <w:t>10</w:t>
      </w:r>
      <w:r>
        <w:t xml:space="preserve"> manages development within the CMA, giving effect to the direction within Policy 6(2) of the NZCPS</w:t>
      </w:r>
      <w:r w:rsidR="00D17116">
        <w:t xml:space="preserve"> by ensuring that the use and development in the </w:t>
      </w:r>
      <w:r w:rsidR="000368B6">
        <w:t>CMA</w:t>
      </w:r>
      <w:r w:rsidR="00D17116">
        <w:t xml:space="preserve"> enables multiple uses</w:t>
      </w:r>
      <w:r w:rsidR="007117D1">
        <w:t xml:space="preserve"> </w:t>
      </w:r>
      <w:r w:rsidR="00D17116">
        <w:t>wherever reasonable and practicable</w:t>
      </w:r>
      <w:r>
        <w:t>. Policy CE</w:t>
      </w:r>
      <w:r w:rsidR="00B856DA">
        <w:t>–</w:t>
      </w:r>
      <w:r>
        <w:t>P</w:t>
      </w:r>
      <w:r w:rsidR="00EE783C">
        <w:t>11</w:t>
      </w:r>
      <w:r>
        <w:t xml:space="preserve"> manages the development of aquaculture</w:t>
      </w:r>
      <w:r w:rsidR="00852293">
        <w:t>,</w:t>
      </w:r>
      <w:r w:rsidR="007617FE">
        <w:t xml:space="preserve"> giving effect to the direction within Policy </w:t>
      </w:r>
      <w:r w:rsidR="00AE6AA6">
        <w:t>8</w:t>
      </w:r>
      <w:r w:rsidR="007617FE">
        <w:t xml:space="preserve"> of the NZCPS</w:t>
      </w:r>
      <w:r>
        <w:t xml:space="preserve">. </w:t>
      </w:r>
      <w:r w:rsidR="0055015B">
        <w:t>Method CE</w:t>
      </w:r>
      <w:r w:rsidR="00B856DA">
        <w:t>–</w:t>
      </w:r>
      <w:r w:rsidR="0055015B">
        <w:t>M</w:t>
      </w:r>
      <w:r w:rsidR="008C0649">
        <w:t>3</w:t>
      </w:r>
      <w:r w:rsidR="0055015B">
        <w:t>(</w:t>
      </w:r>
      <w:r w:rsidR="00EF7E52">
        <w:t>7</w:t>
      </w:r>
      <w:r w:rsidR="0055015B">
        <w:t xml:space="preserve">) directs that the ORC will amend its regional plans to </w:t>
      </w:r>
      <w:r w:rsidR="00FF2C4A">
        <w:t>identify areas appropriate for aquaculture and the forms and limits associated with providing for aquaculture that will enable achievement of objectives CE</w:t>
      </w:r>
      <w:r w:rsidR="00B856DA">
        <w:t>–</w:t>
      </w:r>
      <w:r w:rsidR="00FF2C4A">
        <w:t>O1 to CE</w:t>
      </w:r>
      <w:r w:rsidR="00B856DA">
        <w:t>–</w:t>
      </w:r>
      <w:r w:rsidR="00FF2C4A">
        <w:t>O</w:t>
      </w:r>
      <w:r w:rsidR="00930AB7">
        <w:t>5</w:t>
      </w:r>
      <w:r w:rsidR="0055015B">
        <w:t xml:space="preserve">. </w:t>
      </w:r>
      <w:r w:rsidR="002F71F5">
        <w:t>Methods CE</w:t>
      </w:r>
      <w:r w:rsidR="00B856DA">
        <w:t>–</w:t>
      </w:r>
      <w:r w:rsidR="002F71F5">
        <w:t>M</w:t>
      </w:r>
      <w:r w:rsidR="00FF2C4A">
        <w:t>3</w:t>
      </w:r>
      <w:r w:rsidR="002F71F5">
        <w:t>(</w:t>
      </w:r>
      <w:r w:rsidR="0005641B">
        <w:t>3</w:t>
      </w:r>
      <w:r w:rsidR="002F71F5">
        <w:t>)</w:t>
      </w:r>
      <w:r w:rsidR="00B060FF">
        <w:t xml:space="preserve">, </w:t>
      </w:r>
      <w:r w:rsidR="0005641B">
        <w:t>CE</w:t>
      </w:r>
      <w:r w:rsidR="00B856DA">
        <w:t>–</w:t>
      </w:r>
      <w:r w:rsidR="0005641B">
        <w:t>M3(6)</w:t>
      </w:r>
      <w:r w:rsidR="00BB4E4D">
        <w:t>,</w:t>
      </w:r>
      <w:r w:rsidR="002F71F5">
        <w:t xml:space="preserve"> </w:t>
      </w:r>
      <w:r w:rsidR="003B3DE1">
        <w:t>CE</w:t>
      </w:r>
      <w:r w:rsidR="00B856DA">
        <w:t>–</w:t>
      </w:r>
      <w:r w:rsidR="003B3DE1">
        <w:t>M4(1)</w:t>
      </w:r>
      <w:r w:rsidR="00BB4E4D">
        <w:t xml:space="preserve">, and </w:t>
      </w:r>
      <w:r w:rsidR="002F71F5">
        <w:t>CE</w:t>
      </w:r>
      <w:r w:rsidR="00B856DA">
        <w:t>–</w:t>
      </w:r>
      <w:r w:rsidR="002F71F5">
        <w:t>M</w:t>
      </w:r>
      <w:r w:rsidR="00B060FF">
        <w:t>4</w:t>
      </w:r>
      <w:r w:rsidR="002F71F5">
        <w:t>(</w:t>
      </w:r>
      <w:r w:rsidR="00BB4E4D">
        <w:t>2</w:t>
      </w:r>
      <w:r w:rsidR="002F71F5">
        <w:t>) direct that</w:t>
      </w:r>
      <w:r w:rsidR="00852293">
        <w:t xml:space="preserve"> local authorities will amend their plans</w:t>
      </w:r>
      <w:r w:rsidR="002F71F5">
        <w:t xml:space="preserve"> to implement the actions required by Policies </w:t>
      </w:r>
      <w:r w:rsidR="00BB4E4D">
        <w:t>CE</w:t>
      </w:r>
      <w:r w:rsidR="00B856DA">
        <w:t>–</w:t>
      </w:r>
      <w:r w:rsidR="00BB4E4D">
        <w:t>P</w:t>
      </w:r>
      <w:r w:rsidR="00EE783C">
        <w:t>9</w:t>
      </w:r>
      <w:r w:rsidR="00BB4E4D">
        <w:t xml:space="preserve"> </w:t>
      </w:r>
      <w:r w:rsidR="00ED4CCE">
        <w:t>and</w:t>
      </w:r>
      <w:r w:rsidR="00BB4E4D">
        <w:t xml:space="preserve"> CE</w:t>
      </w:r>
      <w:r w:rsidR="00B856DA">
        <w:t>–</w:t>
      </w:r>
      <w:r w:rsidR="00BB4E4D">
        <w:t>P</w:t>
      </w:r>
      <w:r w:rsidR="00EE783C">
        <w:t>10</w:t>
      </w:r>
      <w:r w:rsidR="002F71F5">
        <w:t>.</w:t>
      </w:r>
      <w:r w:rsidR="00A32774">
        <w:t xml:space="preserve"> </w:t>
      </w:r>
    </w:p>
    <w:p w14:paraId="31CEE2D3" w14:textId="06A86039" w:rsidR="00D57411" w:rsidRDefault="000B6E5F" w:rsidP="00A247C5">
      <w:pPr>
        <w:pStyle w:val="Normal2"/>
      </w:pPr>
      <w:r>
        <w:t>Polic</w:t>
      </w:r>
      <w:r w:rsidR="00FC152D">
        <w:t>y CE</w:t>
      </w:r>
      <w:r w:rsidR="00B856DA">
        <w:t>–</w:t>
      </w:r>
      <w:r w:rsidR="00FC152D">
        <w:t>P12</w:t>
      </w:r>
      <w:r w:rsidR="00065EB5">
        <w:t xml:space="preserve"> </w:t>
      </w:r>
      <w:r w:rsidR="004C6F56">
        <w:t xml:space="preserve">provides </w:t>
      </w:r>
      <w:r w:rsidR="00056ECB">
        <w:t xml:space="preserve">specific direction on </w:t>
      </w:r>
      <w:r w:rsidR="00BC319E">
        <w:t xml:space="preserve">reclamation </w:t>
      </w:r>
      <w:r w:rsidR="00086730">
        <w:t xml:space="preserve">which give effect to </w:t>
      </w:r>
      <w:r w:rsidR="00AA0304">
        <w:t>Policy 10 of the NZCPS</w:t>
      </w:r>
      <w:r w:rsidR="00FB0286">
        <w:t xml:space="preserve">. </w:t>
      </w:r>
      <w:r w:rsidR="00030B5E">
        <w:t>Method</w:t>
      </w:r>
      <w:r w:rsidR="002A043D">
        <w:t xml:space="preserve"> </w:t>
      </w:r>
      <w:r w:rsidR="00030B5E">
        <w:t>CE</w:t>
      </w:r>
      <w:r w:rsidR="00B856DA">
        <w:t>–</w:t>
      </w:r>
      <w:r w:rsidR="00030B5E">
        <w:t>M3(</w:t>
      </w:r>
      <w:r w:rsidR="00730310">
        <w:t>10</w:t>
      </w:r>
      <w:r w:rsidR="00D45069">
        <w:t xml:space="preserve">) </w:t>
      </w:r>
      <w:r w:rsidR="002A043D">
        <w:t xml:space="preserve">requires that </w:t>
      </w:r>
      <w:r w:rsidR="00030B5E">
        <w:t xml:space="preserve">reclamation activities </w:t>
      </w:r>
      <w:r w:rsidR="00644CEF">
        <w:t xml:space="preserve">are managed </w:t>
      </w:r>
      <w:r w:rsidR="00030B5E">
        <w:t>in accordance with CE-P12, and when reclamation is considered suitable in accordance with CE</w:t>
      </w:r>
      <w:r w:rsidR="00B856DA">
        <w:t>–</w:t>
      </w:r>
      <w:r w:rsidR="00030B5E">
        <w:t xml:space="preserve">P12, have </w:t>
      </w:r>
      <w:proofErr w:type="gramStart"/>
      <w:r w:rsidR="00030B5E">
        <w:t>particular regard</w:t>
      </w:r>
      <w:proofErr w:type="gramEnd"/>
      <w:r w:rsidR="00030B5E">
        <w:t xml:space="preserve"> to Policy 10(2) and (3) of the NZCPS</w:t>
      </w:r>
      <w:r w:rsidR="00045D90">
        <w:t xml:space="preserve">. </w:t>
      </w:r>
    </w:p>
    <w:p w14:paraId="6FB50D54" w14:textId="791F4ACA" w:rsidR="001525A2" w:rsidRDefault="001525A2" w:rsidP="00A247C5">
      <w:pPr>
        <w:pStyle w:val="Normal2"/>
      </w:pPr>
      <w:r>
        <w:t xml:space="preserve">Policy CE–P13 provides for the kaitiaki role of Kāi </w:t>
      </w:r>
      <w:proofErr w:type="spellStart"/>
      <w:r>
        <w:t>Tahu</w:t>
      </w:r>
      <w:proofErr w:type="spellEnd"/>
      <w:r>
        <w:t xml:space="preserve"> in the coastal environment. This was included in response to clause 4A feedback and is explained in more detail in section </w:t>
      </w:r>
      <w:r>
        <w:fldChar w:fldCharType="begin"/>
      </w:r>
      <w:r>
        <w:instrText xml:space="preserve"> REF _Ref72503274 \r \h </w:instrText>
      </w:r>
      <w:r>
        <w:fldChar w:fldCharType="separate"/>
      </w:r>
      <w:r w:rsidR="002A7A16">
        <w:t>5.6.5.2</w:t>
      </w:r>
      <w:r>
        <w:fldChar w:fldCharType="end"/>
      </w:r>
      <w:r>
        <w:t xml:space="preserve"> below.</w:t>
      </w:r>
    </w:p>
    <w:p w14:paraId="6493DE30" w14:textId="77777777" w:rsidR="007E52B9" w:rsidRDefault="007E52B9" w:rsidP="0082271A">
      <w:pPr>
        <w:pStyle w:val="Heading3"/>
      </w:pPr>
      <w:r>
        <w:t>Consultation summary</w:t>
      </w:r>
    </w:p>
    <w:p w14:paraId="369A626F" w14:textId="7D4EC3FE" w:rsidR="004B5084" w:rsidRDefault="004B5084" w:rsidP="00DE069C">
      <w:pPr>
        <w:pStyle w:val="Heading4"/>
      </w:pPr>
      <w:r>
        <w:t>Clause 3</w:t>
      </w:r>
    </w:p>
    <w:p w14:paraId="1B4D5F2C" w14:textId="4C86771B" w:rsidR="00503A06" w:rsidRDefault="004B5084"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w:instrText>
      </w:r>
      <w:r>
        <w:fldChar w:fldCharType="separate"/>
      </w:r>
      <w:r w:rsidR="002A7A16">
        <w:t>2.5.1</w:t>
      </w:r>
      <w:r>
        <w:fldChar w:fldCharType="end"/>
      </w:r>
      <w:r>
        <w:t xml:space="preserve"> of this report. </w:t>
      </w:r>
      <w:r w:rsidR="00DA10BC">
        <w:t>Ten</w:t>
      </w:r>
      <w:r>
        <w:t xml:space="preserve"> parties provided feedback on the </w:t>
      </w:r>
      <w:r w:rsidR="00DA10BC" w:rsidRPr="001525A2">
        <w:rPr>
          <w:i/>
          <w:iCs/>
        </w:rPr>
        <w:t>CE</w:t>
      </w:r>
      <w:r w:rsidR="001525A2" w:rsidRPr="001525A2">
        <w:rPr>
          <w:i/>
          <w:iCs/>
        </w:rPr>
        <w:t xml:space="preserve"> – Coastal environment</w:t>
      </w:r>
      <w:r>
        <w:t xml:space="preserve"> chapter through clause 3 consultation. The feedback ranged from minor corrections to provisions through to </w:t>
      </w:r>
      <w:r w:rsidR="004C6D7A">
        <w:t xml:space="preserve">considerable </w:t>
      </w:r>
      <w:r>
        <w:t xml:space="preserve">issues with the policy approach adopted. </w:t>
      </w:r>
      <w:r w:rsidR="00D97E1F">
        <w:t xml:space="preserve">These minor changes </w:t>
      </w:r>
      <w:r w:rsidR="00A71F43">
        <w:t>related</w:t>
      </w:r>
      <w:r w:rsidR="00D97E1F">
        <w:t xml:space="preserve"> to ensuring there was appropriate links to other </w:t>
      </w:r>
      <w:r w:rsidR="00A71F43">
        <w:t xml:space="preserve">parts of the Plan, </w:t>
      </w:r>
      <w:r w:rsidR="00EE0A0F">
        <w:t xml:space="preserve">providing greater acknowledgment of cross-boundary issues, and providing </w:t>
      </w:r>
      <w:r w:rsidR="00765565">
        <w:t xml:space="preserve">greater direction as to how the NZCPS is to be given effect to. </w:t>
      </w:r>
    </w:p>
    <w:p w14:paraId="5A8EE2A9" w14:textId="706B424A" w:rsidR="004B5084" w:rsidRPr="00963D37" w:rsidRDefault="00995FA2" w:rsidP="00A247C5">
      <w:pPr>
        <w:pStyle w:val="Normal2"/>
      </w:pPr>
      <w:r>
        <w:t>Dunedin</w:t>
      </w:r>
      <w:r w:rsidR="0086434A">
        <w:t xml:space="preserve"> City Council </w:t>
      </w:r>
      <w:r w:rsidR="0030190B">
        <w:t>question</w:t>
      </w:r>
      <w:r w:rsidR="00961D74">
        <w:t>ed</w:t>
      </w:r>
      <w:r w:rsidR="00E5789B">
        <w:t xml:space="preserve"> </w:t>
      </w:r>
      <w:r w:rsidR="0030190B">
        <w:t xml:space="preserve">whether the more directive </w:t>
      </w:r>
      <w:r w:rsidR="006A32CB">
        <w:t>policy direction on the mana</w:t>
      </w:r>
      <w:r w:rsidR="003A64C2">
        <w:t xml:space="preserve">gement </w:t>
      </w:r>
      <w:r w:rsidR="006A32CB">
        <w:t xml:space="preserve">of discharges into the coastal marine area was justified. </w:t>
      </w:r>
      <w:r w:rsidR="003A64C2">
        <w:t xml:space="preserve">No changes to the provisions were made given the </w:t>
      </w:r>
      <w:r w:rsidR="00714061">
        <w:t xml:space="preserve">direction </w:t>
      </w:r>
      <w:proofErr w:type="gramStart"/>
      <w:r w:rsidR="003A64C2">
        <w:t xml:space="preserve">was considered </w:t>
      </w:r>
      <w:r w:rsidR="001525A2">
        <w:t>to be</w:t>
      </w:r>
      <w:proofErr w:type="gramEnd"/>
      <w:r w:rsidR="001525A2">
        <w:t xml:space="preserve"> </w:t>
      </w:r>
      <w:r w:rsidR="003A64C2">
        <w:t xml:space="preserve">consistent with the NZCPS. </w:t>
      </w:r>
    </w:p>
    <w:p w14:paraId="24BA98C7" w14:textId="77777777" w:rsidR="00C119A9" w:rsidRPr="00D65419" w:rsidRDefault="00C119A9" w:rsidP="00DE069C">
      <w:pPr>
        <w:pStyle w:val="Heading4"/>
      </w:pPr>
      <w:bookmarkStart w:id="77" w:name="_Ref72503274"/>
      <w:bookmarkStart w:id="78" w:name="_Hlk72326385"/>
      <w:r>
        <w:t>Clause 4A consultation</w:t>
      </w:r>
      <w:bookmarkEnd w:id="77"/>
    </w:p>
    <w:p w14:paraId="0C43EBD2" w14:textId="3C608525" w:rsidR="00C119A9" w:rsidRPr="00963D37" w:rsidRDefault="00C119A9" w:rsidP="00A247C5">
      <w:pPr>
        <w:pStyle w:val="Normal2"/>
      </w:pPr>
      <w:r>
        <w:t xml:space="preserve">The feedback provided by </w:t>
      </w:r>
      <w:r w:rsidR="001525A2">
        <w:t>i</w:t>
      </w:r>
      <w:r>
        <w:t xml:space="preserve">wi on the </w:t>
      </w:r>
      <w:r w:rsidRPr="001525A2">
        <w:rPr>
          <w:i/>
          <w:iCs/>
        </w:rPr>
        <w:t xml:space="preserve">CE </w:t>
      </w:r>
      <w:r w:rsidR="001525A2" w:rsidRPr="001525A2">
        <w:rPr>
          <w:i/>
          <w:iCs/>
        </w:rPr>
        <w:t>– Coastal environment</w:t>
      </w:r>
      <w:r w:rsidR="001525A2">
        <w:t xml:space="preserve"> </w:t>
      </w:r>
      <w:r>
        <w:t xml:space="preserve">chapter was concerned with </w:t>
      </w:r>
      <w:r w:rsidR="000D27F7">
        <w:t xml:space="preserve">providing greater recognition of </w:t>
      </w:r>
      <w:r w:rsidR="00BD3B07">
        <w:rPr>
          <w:lang w:eastAsia="en-NZ"/>
        </w:rPr>
        <w:t xml:space="preserve">Kāi </w:t>
      </w:r>
      <w:proofErr w:type="spellStart"/>
      <w:r w:rsidR="00BD3B07">
        <w:rPr>
          <w:lang w:eastAsia="en-NZ"/>
        </w:rPr>
        <w:t>Tahu</w:t>
      </w:r>
      <w:proofErr w:type="spellEnd"/>
      <w:r w:rsidR="00BD3B07">
        <w:rPr>
          <w:lang w:eastAsia="en-NZ"/>
        </w:rPr>
        <w:t xml:space="preserve"> as kaitiaki of </w:t>
      </w:r>
      <w:r>
        <w:rPr>
          <w:lang w:eastAsia="en-NZ"/>
        </w:rPr>
        <w:t xml:space="preserve">the </w:t>
      </w:r>
      <w:r w:rsidR="00BD3B07">
        <w:rPr>
          <w:lang w:eastAsia="en-NZ"/>
        </w:rPr>
        <w:t xml:space="preserve">coastal environment. This included </w:t>
      </w:r>
      <w:r w:rsidR="002A4882">
        <w:rPr>
          <w:lang w:eastAsia="en-NZ"/>
        </w:rPr>
        <w:t>additions to CE</w:t>
      </w:r>
      <w:r w:rsidR="001525A2">
        <w:t>–</w:t>
      </w:r>
      <w:r w:rsidR="002A4882">
        <w:rPr>
          <w:lang w:eastAsia="en-NZ"/>
        </w:rPr>
        <w:t xml:space="preserve">O2 to provide </w:t>
      </w:r>
      <w:r w:rsidR="002A4882">
        <w:t xml:space="preserve">recognition that mana whenua are able to exercise their kaitiaki role within </w:t>
      </w:r>
      <w:r w:rsidR="00BD3B07">
        <w:t xml:space="preserve">the </w:t>
      </w:r>
      <w:r w:rsidR="002A4882">
        <w:t>coastal environment</w:t>
      </w:r>
      <w:r w:rsidR="00D0498F">
        <w:t>,</w:t>
      </w:r>
      <w:r w:rsidR="00D0498F">
        <w:rPr>
          <w:lang w:eastAsia="en-NZ"/>
        </w:rPr>
        <w:t xml:space="preserve"> the </w:t>
      </w:r>
      <w:r w:rsidR="00D0498F">
        <w:t>introduction</w:t>
      </w:r>
      <w:r>
        <w:rPr>
          <w:lang w:eastAsia="en-NZ"/>
        </w:rPr>
        <w:t xml:space="preserve"> </w:t>
      </w:r>
      <w:r>
        <w:t xml:space="preserve">of </w:t>
      </w:r>
      <w:r w:rsidR="00D0498F">
        <w:t xml:space="preserve">a new policy </w:t>
      </w:r>
      <w:r w:rsidR="003379E5">
        <w:t>CE</w:t>
      </w:r>
      <w:r w:rsidR="001525A2">
        <w:t>–</w:t>
      </w:r>
      <w:r w:rsidR="003379E5">
        <w:t>P1</w:t>
      </w:r>
      <w:r w:rsidR="0003028F">
        <w:t>3</w:t>
      </w:r>
      <w:r w:rsidR="00A8745B">
        <w:t xml:space="preserve"> that </w:t>
      </w:r>
      <w:r w:rsidR="00A8745B">
        <w:rPr>
          <w:lang w:eastAsia="en-NZ"/>
        </w:rPr>
        <w:t>recognises and provide</w:t>
      </w:r>
      <w:r w:rsidR="0084029B">
        <w:rPr>
          <w:lang w:eastAsia="en-NZ"/>
        </w:rPr>
        <w:t xml:space="preserve">s </w:t>
      </w:r>
      <w:r w:rsidR="00A8745B">
        <w:rPr>
          <w:lang w:eastAsia="en-NZ"/>
        </w:rPr>
        <w:t>for</w:t>
      </w:r>
      <w:r w:rsidR="00BD3B07">
        <w:rPr>
          <w:lang w:eastAsia="en-NZ"/>
        </w:rPr>
        <w:t xml:space="preserve"> the </w:t>
      </w:r>
      <w:r w:rsidR="00A8745B">
        <w:rPr>
          <w:lang w:eastAsia="en-NZ"/>
        </w:rPr>
        <w:t>role</w:t>
      </w:r>
      <w:r w:rsidR="00BD3B07">
        <w:rPr>
          <w:lang w:eastAsia="en-NZ"/>
        </w:rPr>
        <w:t xml:space="preserve"> </w:t>
      </w:r>
      <w:r>
        <w:t xml:space="preserve">of </w:t>
      </w:r>
      <w:r w:rsidR="00A8745B">
        <w:rPr>
          <w:lang w:eastAsia="en-NZ"/>
        </w:rPr>
        <w:t xml:space="preserve">Kāi </w:t>
      </w:r>
      <w:proofErr w:type="spellStart"/>
      <w:r w:rsidR="00A8745B">
        <w:rPr>
          <w:lang w:eastAsia="en-NZ"/>
        </w:rPr>
        <w:t>Tahu</w:t>
      </w:r>
      <w:proofErr w:type="spellEnd"/>
      <w:r w:rsidR="00A8745B">
        <w:rPr>
          <w:lang w:eastAsia="en-NZ"/>
        </w:rPr>
        <w:t xml:space="preserve"> as kaitiaki</w:t>
      </w:r>
      <w:r>
        <w:rPr>
          <w:lang w:eastAsia="en-NZ"/>
        </w:rPr>
        <w:t xml:space="preserve"> of </w:t>
      </w:r>
      <w:r w:rsidR="00A8745B">
        <w:rPr>
          <w:lang w:eastAsia="en-NZ"/>
        </w:rPr>
        <w:t>the coastal environment</w:t>
      </w:r>
      <w:r w:rsidR="002841AC">
        <w:rPr>
          <w:lang w:eastAsia="en-NZ"/>
        </w:rPr>
        <w:t xml:space="preserve">, and </w:t>
      </w:r>
      <w:r w:rsidR="00EC24D0">
        <w:rPr>
          <w:lang w:eastAsia="en-NZ"/>
        </w:rPr>
        <w:t>an additional limb</w:t>
      </w:r>
      <w:r>
        <w:rPr>
          <w:lang w:eastAsia="en-NZ"/>
        </w:rPr>
        <w:t xml:space="preserve"> in </w:t>
      </w:r>
      <w:r w:rsidR="00EC24D0">
        <w:rPr>
          <w:lang w:eastAsia="en-NZ"/>
        </w:rPr>
        <w:t>CE</w:t>
      </w:r>
      <w:r w:rsidR="0003028F">
        <w:t>–</w:t>
      </w:r>
      <w:r w:rsidR="00EC24D0">
        <w:rPr>
          <w:lang w:eastAsia="en-NZ"/>
        </w:rPr>
        <w:t>P10</w:t>
      </w:r>
      <w:r>
        <w:rPr>
          <w:lang w:eastAsia="en-NZ"/>
        </w:rPr>
        <w:t xml:space="preserve"> that </w:t>
      </w:r>
      <w:r w:rsidR="00866265">
        <w:rPr>
          <w:lang w:eastAsia="en-NZ"/>
        </w:rPr>
        <w:t xml:space="preserve">ensures </w:t>
      </w:r>
      <w:r w:rsidR="0003028F">
        <w:rPr>
          <w:lang w:eastAsia="en-NZ"/>
        </w:rPr>
        <w:t>u</w:t>
      </w:r>
      <w:r w:rsidR="00866265">
        <w:rPr>
          <w:lang w:eastAsia="en-NZ"/>
        </w:rPr>
        <w:t xml:space="preserve">se and development in the CMA </w:t>
      </w:r>
      <w:r w:rsidR="00866265" w:rsidRPr="00866265">
        <w:rPr>
          <w:lang w:eastAsia="en-NZ"/>
        </w:rPr>
        <w:t>maintain</w:t>
      </w:r>
      <w:r w:rsidR="00866265">
        <w:rPr>
          <w:lang w:eastAsia="en-NZ"/>
        </w:rPr>
        <w:t>s</w:t>
      </w:r>
      <w:r w:rsidR="00866265" w:rsidRPr="00866265">
        <w:rPr>
          <w:lang w:eastAsia="en-NZ"/>
        </w:rPr>
        <w:t xml:space="preserve"> or enhance</w:t>
      </w:r>
      <w:r w:rsidR="00866265">
        <w:rPr>
          <w:lang w:eastAsia="en-NZ"/>
        </w:rPr>
        <w:t>s</w:t>
      </w:r>
      <w:r w:rsidR="00866265" w:rsidRPr="00866265">
        <w:rPr>
          <w:lang w:eastAsia="en-NZ"/>
        </w:rPr>
        <w:t xml:space="preserve"> customary uses such as </w:t>
      </w:r>
      <w:proofErr w:type="spellStart"/>
      <w:r w:rsidR="00866265" w:rsidRPr="00866265">
        <w:rPr>
          <w:lang w:eastAsia="en-NZ"/>
        </w:rPr>
        <w:t>mahika</w:t>
      </w:r>
      <w:proofErr w:type="spellEnd"/>
      <w:r w:rsidR="00866265" w:rsidRPr="00866265">
        <w:rPr>
          <w:lang w:eastAsia="en-NZ"/>
        </w:rPr>
        <w:t xml:space="preserve"> kai and harvesting of </w:t>
      </w:r>
      <w:proofErr w:type="spellStart"/>
      <w:r w:rsidR="00866265" w:rsidRPr="00866265">
        <w:rPr>
          <w:lang w:eastAsia="en-NZ"/>
        </w:rPr>
        <w:t>kaimoana</w:t>
      </w:r>
      <w:proofErr w:type="spellEnd"/>
      <w:r>
        <w:t xml:space="preserve">. </w:t>
      </w:r>
      <w:r w:rsidR="00577071">
        <w:t xml:space="preserve">The feedback provided by </w:t>
      </w:r>
      <w:r w:rsidR="005D5348">
        <w:t>i</w:t>
      </w:r>
      <w:r w:rsidR="00577071">
        <w:t>wi</w:t>
      </w:r>
      <w:r w:rsidR="000A11D0">
        <w:t xml:space="preserve"> also </w:t>
      </w:r>
      <w:r w:rsidR="004B3EB8">
        <w:t xml:space="preserve">suggested that additions are required </w:t>
      </w:r>
      <w:r w:rsidR="00764946">
        <w:t xml:space="preserve">to </w:t>
      </w:r>
      <w:r w:rsidR="00764946" w:rsidRPr="00764946">
        <w:t xml:space="preserve">recognise </w:t>
      </w:r>
      <w:proofErr w:type="spellStart"/>
      <w:r w:rsidR="00764946" w:rsidRPr="00764946">
        <w:t>takata</w:t>
      </w:r>
      <w:proofErr w:type="spellEnd"/>
      <w:r w:rsidR="00764946" w:rsidRPr="00764946">
        <w:t xml:space="preserve"> whenua needs for </w:t>
      </w:r>
      <w:proofErr w:type="spellStart"/>
      <w:r w:rsidR="00764946" w:rsidRPr="00764946">
        <w:t>papakāika</w:t>
      </w:r>
      <w:proofErr w:type="spellEnd"/>
      <w:r w:rsidR="00764946" w:rsidRPr="00764946">
        <w:t>, marae and associated developments within the coastal environment</w:t>
      </w:r>
      <w:r w:rsidR="00FE640C">
        <w:t xml:space="preserve">. </w:t>
      </w:r>
      <w:r w:rsidR="00577071">
        <w:t>Finally, t</w:t>
      </w:r>
      <w:r w:rsidR="00D248CF">
        <w:t xml:space="preserve">he feedback provided by </w:t>
      </w:r>
      <w:r w:rsidR="005D5348">
        <w:t>i</w:t>
      </w:r>
      <w:r w:rsidR="00D248CF">
        <w:t xml:space="preserve">wi </w:t>
      </w:r>
      <w:r w:rsidR="006B65E5">
        <w:t xml:space="preserve">included </w:t>
      </w:r>
      <w:proofErr w:type="gramStart"/>
      <w:r w:rsidR="006B65E5">
        <w:t>a number of</w:t>
      </w:r>
      <w:proofErr w:type="gramEnd"/>
      <w:r w:rsidR="006B65E5">
        <w:t xml:space="preserve"> technical drafting </w:t>
      </w:r>
      <w:r w:rsidR="00961F86">
        <w:t>suggestions</w:t>
      </w:r>
      <w:r w:rsidR="00660047">
        <w:t xml:space="preserve"> that </w:t>
      </w:r>
      <w:r w:rsidR="009B7AD7">
        <w:t xml:space="preserve">assisted with the </w:t>
      </w:r>
      <w:r w:rsidR="00577071">
        <w:t>readably and structure of the chapter</w:t>
      </w:r>
      <w:r w:rsidR="005D5348">
        <w:t xml:space="preserve"> which were adopted.</w:t>
      </w:r>
      <w:r w:rsidR="00123007">
        <w:t xml:space="preserve"> </w:t>
      </w:r>
      <w:bookmarkEnd w:id="78"/>
    </w:p>
    <w:p w14:paraId="3ED8B292" w14:textId="2125DB15" w:rsidR="003F0D8D" w:rsidRDefault="003F0D8D" w:rsidP="0082271A">
      <w:pPr>
        <w:pStyle w:val="Heading3"/>
      </w:pPr>
      <w:r>
        <w:lastRenderedPageBreak/>
        <w:t>Efficiency and effectiveness evaluation</w:t>
      </w:r>
    </w:p>
    <w:p w14:paraId="5CDB4E96" w14:textId="22124508" w:rsidR="00512B36" w:rsidRDefault="004D3EB3" w:rsidP="00A247C5">
      <w:pPr>
        <w:pStyle w:val="Normal2"/>
      </w:pPr>
      <w:r>
        <w:rPr>
          <w:highlight w:val="yellow"/>
        </w:rPr>
        <w:fldChar w:fldCharType="begin"/>
      </w:r>
      <w:r>
        <w:rPr>
          <w:highlight w:val="yellow"/>
        </w:rPr>
        <w:instrText xml:space="preserve"> REF _Ref53655475 \h </w:instrText>
      </w:r>
      <w:r>
        <w:rPr>
          <w:highlight w:val="yellow"/>
        </w:rPr>
      </w:r>
      <w:r>
        <w:rPr>
          <w:highlight w:val="yellow"/>
        </w:rPr>
        <w:fldChar w:fldCharType="separate"/>
      </w:r>
      <w:r w:rsidR="002A7A16">
        <w:t xml:space="preserve">Table </w:t>
      </w:r>
      <w:r w:rsidR="002A7A16">
        <w:rPr>
          <w:noProof/>
        </w:rPr>
        <w:t>32</w:t>
      </w:r>
      <w:r>
        <w:fldChar w:fldCharType="end"/>
      </w:r>
      <w:r w:rsidR="00862B83">
        <w:t xml:space="preserve"> below identifies and assesses the benefits and costs of the environmental, cultural, </w:t>
      </w:r>
      <w:proofErr w:type="gramStart"/>
      <w:r w:rsidR="00862B83">
        <w:t>social</w:t>
      </w:r>
      <w:proofErr w:type="gramEnd"/>
      <w:r w:rsidR="00862B83">
        <w:t xml:space="preserve"> and economic effects that are anticipated from the implementation of the provisions proposed under Option </w:t>
      </w:r>
      <w:r w:rsidR="006638DE">
        <w:t xml:space="preserve">3 </w:t>
      </w:r>
      <w:r w:rsidR="00862B83">
        <w:t>above.</w:t>
      </w:r>
      <w:bookmarkStart w:id="79" w:name="_Hlk49255514"/>
    </w:p>
    <w:p w14:paraId="2180A107" w14:textId="04FD34FC" w:rsidR="004D3EB3" w:rsidRPr="004D3EB3" w:rsidRDefault="004D3EB3" w:rsidP="004D3EB3">
      <w:pPr>
        <w:pStyle w:val="Caption"/>
      </w:pPr>
      <w:bookmarkStart w:id="80" w:name="_Ref53655475"/>
      <w:r>
        <w:t xml:space="preserve">Table </w:t>
      </w:r>
      <w:r>
        <w:fldChar w:fldCharType="begin"/>
      </w:r>
      <w:r>
        <w:instrText>SEQ Table \* ARABIC</w:instrText>
      </w:r>
      <w:r>
        <w:fldChar w:fldCharType="separate"/>
      </w:r>
      <w:r w:rsidR="002A7A16">
        <w:rPr>
          <w:noProof/>
        </w:rPr>
        <w:t>32</w:t>
      </w:r>
      <w:r>
        <w:fldChar w:fldCharType="end"/>
      </w:r>
      <w:bookmarkEnd w:id="80"/>
      <w:r>
        <w:t>: Benefits and costs for the coastal environment</w:t>
      </w:r>
    </w:p>
    <w:tbl>
      <w:tblPr>
        <w:tblStyle w:val="ListTable1Light-Accent1"/>
        <w:tblW w:w="0" w:type="auto"/>
        <w:tblLook w:val="04A0" w:firstRow="1" w:lastRow="0" w:firstColumn="1" w:lastColumn="0" w:noHBand="0" w:noVBand="1"/>
      </w:tblPr>
      <w:tblGrid>
        <w:gridCol w:w="4508"/>
        <w:gridCol w:w="4508"/>
      </w:tblGrid>
      <w:tr w:rsidR="00E22CD2" w:rsidRPr="00AE42AF" w14:paraId="65BC3977" w14:textId="77777777" w:rsidTr="00396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EB7EBF1" w14:textId="77777777" w:rsidR="00E22CD2" w:rsidRPr="00AE42AF" w:rsidRDefault="00E22CD2" w:rsidP="00396421">
            <w:pPr>
              <w:jc w:val="center"/>
              <w:rPr>
                <w:sz w:val="20"/>
              </w:rPr>
            </w:pPr>
            <w:r w:rsidRPr="00AE42AF">
              <w:rPr>
                <w:sz w:val="20"/>
              </w:rPr>
              <w:t>BENEFITS</w:t>
            </w:r>
          </w:p>
        </w:tc>
        <w:tc>
          <w:tcPr>
            <w:tcW w:w="4508" w:type="dxa"/>
          </w:tcPr>
          <w:p w14:paraId="40E32982" w14:textId="77777777" w:rsidR="00E22CD2" w:rsidRPr="00AE42AF" w:rsidRDefault="00E22CD2" w:rsidP="00396421">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22CD2" w:rsidRPr="00AE42AF" w14:paraId="62F86218" w14:textId="77777777" w:rsidTr="00396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0F570E3" w14:textId="77777777" w:rsidR="00E22CD2" w:rsidRPr="00AE42AF" w:rsidRDefault="00E22CD2" w:rsidP="00396421">
            <w:pPr>
              <w:jc w:val="center"/>
              <w:rPr>
                <w:sz w:val="20"/>
              </w:rPr>
            </w:pPr>
            <w:r w:rsidRPr="00AE42AF">
              <w:rPr>
                <w:sz w:val="20"/>
              </w:rPr>
              <w:t>Environmental</w:t>
            </w:r>
          </w:p>
        </w:tc>
      </w:tr>
      <w:tr w:rsidR="00E22CD2" w:rsidRPr="002A53C9" w14:paraId="38D94E65" w14:textId="77777777" w:rsidTr="00396421">
        <w:tc>
          <w:tcPr>
            <w:cnfStyle w:val="001000000000" w:firstRow="0" w:lastRow="0" w:firstColumn="1" w:lastColumn="0" w:oddVBand="0" w:evenVBand="0" w:oddHBand="0" w:evenHBand="0" w:firstRowFirstColumn="0" w:firstRowLastColumn="0" w:lastRowFirstColumn="0" w:lastRowLastColumn="0"/>
            <w:tcW w:w="4508" w:type="dxa"/>
          </w:tcPr>
          <w:p w14:paraId="2EBD8427" w14:textId="6E066393" w:rsidR="00C27546" w:rsidRPr="002A53C9" w:rsidRDefault="000E6031"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Identifying the extent and characteristics of the coastal environment</w:t>
            </w:r>
            <w:r w:rsidR="00C27546" w:rsidRPr="002A53C9">
              <w:rPr>
                <w:b w:val="0"/>
                <w:bCs w:val="0"/>
                <w:sz w:val="20"/>
                <w:szCs w:val="20"/>
              </w:rPr>
              <w:t xml:space="preserve"> and mapping </w:t>
            </w:r>
            <w:r w:rsidR="002D3912" w:rsidRPr="002A53C9">
              <w:rPr>
                <w:b w:val="0"/>
                <w:bCs w:val="0"/>
                <w:sz w:val="20"/>
                <w:szCs w:val="20"/>
              </w:rPr>
              <w:t xml:space="preserve">in plans will </w:t>
            </w:r>
            <w:r w:rsidR="00EF7CCB" w:rsidRPr="002A53C9">
              <w:rPr>
                <w:b w:val="0"/>
                <w:bCs w:val="0"/>
                <w:sz w:val="20"/>
                <w:szCs w:val="20"/>
              </w:rPr>
              <w:t>provide more certainty for managing activities and uses</w:t>
            </w:r>
            <w:r w:rsidR="00CD0E03" w:rsidRPr="002A53C9">
              <w:rPr>
                <w:b w:val="0"/>
                <w:bCs w:val="0"/>
                <w:sz w:val="20"/>
                <w:szCs w:val="20"/>
              </w:rPr>
              <w:t>, resulting in better environmental outcomes.</w:t>
            </w:r>
          </w:p>
          <w:p w14:paraId="6DD8244F" w14:textId="2BE1325A" w:rsidR="00E22CD2" w:rsidRPr="002A53C9" w:rsidRDefault="00E22CD2"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 xml:space="preserve">Identification of areas of degraded water quality </w:t>
            </w:r>
            <w:r w:rsidR="00BB4579" w:rsidRPr="002A53C9">
              <w:rPr>
                <w:b w:val="0"/>
                <w:bCs w:val="0"/>
                <w:sz w:val="20"/>
                <w:szCs w:val="20"/>
              </w:rPr>
              <w:t>and values in the regional coastal plan will support more effective mana</w:t>
            </w:r>
            <w:r w:rsidR="006A5D3C" w:rsidRPr="002A53C9">
              <w:rPr>
                <w:b w:val="0"/>
                <w:bCs w:val="0"/>
                <w:sz w:val="20"/>
                <w:szCs w:val="20"/>
              </w:rPr>
              <w:t>gement by improving information about these areas and clarifying actions required to improve them.</w:t>
            </w:r>
          </w:p>
          <w:p w14:paraId="30207317" w14:textId="57EDC11B" w:rsidR="0079389B" w:rsidRPr="002A53C9" w:rsidRDefault="0079389B"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 xml:space="preserve">Maintained and improved water quality in the CMA, and appropriate management of subdivision, use and development in the coastal environment will protect ecosystems, indigenous habitats, migration pathways and species. </w:t>
            </w:r>
          </w:p>
          <w:p w14:paraId="7A745BFE" w14:textId="3A9E2959" w:rsidR="007B643D" w:rsidRPr="002A53C9" w:rsidRDefault="007B643D" w:rsidP="00961D74">
            <w:pPr>
              <w:pStyle w:val="ListParagraph"/>
              <w:numPr>
                <w:ilvl w:val="0"/>
                <w:numId w:val="22"/>
              </w:numPr>
              <w:spacing w:before="60" w:after="60"/>
              <w:contextualSpacing w:val="0"/>
              <w:jc w:val="both"/>
              <w:rPr>
                <w:b w:val="0"/>
                <w:bCs w:val="0"/>
                <w:sz w:val="20"/>
                <w:szCs w:val="20"/>
              </w:rPr>
            </w:pPr>
            <w:r w:rsidRPr="002A53C9">
              <w:rPr>
                <w:b w:val="0"/>
                <w:bCs w:val="0"/>
                <w:sz w:val="20"/>
                <w:szCs w:val="20"/>
              </w:rPr>
              <w:t>Identification of areas of natural character</w:t>
            </w:r>
            <w:r w:rsidR="000A0906" w:rsidRPr="002A53C9">
              <w:rPr>
                <w:b w:val="0"/>
                <w:bCs w:val="0"/>
                <w:sz w:val="20"/>
                <w:szCs w:val="20"/>
              </w:rPr>
              <w:t>,</w:t>
            </w:r>
            <w:r w:rsidR="000A0906" w:rsidRPr="002A53C9">
              <w:rPr>
                <w:b w:val="0"/>
                <w:bCs w:val="0"/>
              </w:rPr>
              <w:t xml:space="preserve"> </w:t>
            </w:r>
            <w:r w:rsidR="000A0906" w:rsidRPr="002A53C9">
              <w:rPr>
                <w:b w:val="0"/>
                <w:bCs w:val="0"/>
                <w:sz w:val="20"/>
                <w:szCs w:val="20"/>
              </w:rPr>
              <w:t>significant indigenous vegetation and significant habitats of indigenous fauna, natural features, landscapes and seascapes</w:t>
            </w:r>
            <w:r w:rsidR="00BA3E28">
              <w:rPr>
                <w:b w:val="0"/>
                <w:bCs w:val="0"/>
                <w:sz w:val="20"/>
                <w:szCs w:val="20"/>
              </w:rPr>
              <w:t xml:space="preserve">, </w:t>
            </w:r>
            <w:r w:rsidRPr="002A53C9">
              <w:rPr>
                <w:b w:val="0"/>
                <w:bCs w:val="0"/>
                <w:sz w:val="20"/>
                <w:szCs w:val="20"/>
              </w:rPr>
              <w:t>and values</w:t>
            </w:r>
            <w:r w:rsidR="00BA3E28">
              <w:rPr>
                <w:b w:val="0"/>
                <w:bCs w:val="0"/>
                <w:sz w:val="20"/>
                <w:szCs w:val="20"/>
              </w:rPr>
              <w:t>,</w:t>
            </w:r>
            <w:r w:rsidRPr="002A53C9">
              <w:rPr>
                <w:b w:val="0"/>
                <w:bCs w:val="0"/>
                <w:sz w:val="20"/>
                <w:szCs w:val="20"/>
              </w:rPr>
              <w:t xml:space="preserve"> in both regional and district plans will support more effective information and clarify what actions are required </w:t>
            </w:r>
            <w:r w:rsidR="00384464" w:rsidRPr="002A53C9">
              <w:rPr>
                <w:b w:val="0"/>
                <w:bCs w:val="0"/>
                <w:sz w:val="20"/>
                <w:szCs w:val="20"/>
              </w:rPr>
              <w:t xml:space="preserve">to appropriately manage these values </w:t>
            </w:r>
            <w:r w:rsidRPr="002A53C9">
              <w:rPr>
                <w:b w:val="0"/>
                <w:bCs w:val="0"/>
                <w:sz w:val="20"/>
                <w:szCs w:val="20"/>
              </w:rPr>
              <w:t>in different areas.</w:t>
            </w:r>
          </w:p>
          <w:p w14:paraId="501C8A7B" w14:textId="77777777" w:rsidR="00E22CD2" w:rsidRPr="002A53C9" w:rsidRDefault="00E62C6A"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 xml:space="preserve">Local authorities will have improved clarity over the actions they are required to take </w:t>
            </w:r>
            <w:proofErr w:type="gramStart"/>
            <w:r w:rsidRPr="002A53C9">
              <w:rPr>
                <w:b w:val="0"/>
                <w:bCs w:val="0"/>
                <w:sz w:val="20"/>
                <w:szCs w:val="20"/>
              </w:rPr>
              <w:t>in order to</w:t>
            </w:r>
            <w:proofErr w:type="gramEnd"/>
            <w:r w:rsidRPr="002A53C9">
              <w:rPr>
                <w:b w:val="0"/>
                <w:bCs w:val="0"/>
                <w:sz w:val="20"/>
                <w:szCs w:val="20"/>
              </w:rPr>
              <w:t xml:space="preserve"> manage subdivision, use and development in the coastal environment, which will improve its management overall.</w:t>
            </w:r>
          </w:p>
          <w:p w14:paraId="2AD509F7" w14:textId="63DE535B" w:rsidR="0046459E" w:rsidRPr="002A53C9" w:rsidRDefault="0046459E"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 xml:space="preserve">Protecting additional </w:t>
            </w:r>
            <w:r w:rsidR="00411359" w:rsidRPr="002A53C9">
              <w:rPr>
                <w:b w:val="0"/>
                <w:bCs w:val="0"/>
                <w:sz w:val="20"/>
                <w:szCs w:val="20"/>
              </w:rPr>
              <w:t xml:space="preserve">regionally significant </w:t>
            </w:r>
            <w:r w:rsidRPr="002A53C9">
              <w:rPr>
                <w:b w:val="0"/>
                <w:bCs w:val="0"/>
                <w:sz w:val="20"/>
                <w:szCs w:val="20"/>
              </w:rPr>
              <w:t xml:space="preserve">surf breaks </w:t>
            </w:r>
            <w:r w:rsidR="002C64E1" w:rsidRPr="002A53C9">
              <w:rPr>
                <w:b w:val="0"/>
                <w:bCs w:val="0"/>
                <w:sz w:val="20"/>
                <w:szCs w:val="20"/>
              </w:rPr>
              <w:t>will</w:t>
            </w:r>
            <w:r w:rsidRPr="002A53C9">
              <w:rPr>
                <w:b w:val="0"/>
                <w:bCs w:val="0"/>
                <w:sz w:val="20"/>
                <w:szCs w:val="20"/>
              </w:rPr>
              <w:t xml:space="preserve"> result in further protection of several aspects of the environment that contribute to their quality including coastal water quality, benthic habitats, and other natural features and underwater landscapes.</w:t>
            </w:r>
          </w:p>
          <w:p w14:paraId="50A6CBF1" w14:textId="0D1C114F" w:rsidR="00E57A7E" w:rsidRPr="002A53C9" w:rsidRDefault="00E57A7E" w:rsidP="00961D74">
            <w:pPr>
              <w:pStyle w:val="ListParagraph"/>
              <w:numPr>
                <w:ilvl w:val="0"/>
                <w:numId w:val="22"/>
              </w:numPr>
              <w:spacing w:before="60" w:after="60"/>
              <w:ind w:left="357" w:hanging="357"/>
              <w:contextualSpacing w:val="0"/>
              <w:jc w:val="both"/>
              <w:rPr>
                <w:b w:val="0"/>
                <w:bCs w:val="0"/>
                <w:sz w:val="20"/>
                <w:szCs w:val="20"/>
              </w:rPr>
            </w:pPr>
            <w:r w:rsidRPr="002A53C9">
              <w:rPr>
                <w:b w:val="0"/>
                <w:bCs w:val="0"/>
                <w:sz w:val="20"/>
                <w:szCs w:val="20"/>
              </w:rPr>
              <w:t>Clear direction on the location and management of activities</w:t>
            </w:r>
            <w:r w:rsidR="00026A13" w:rsidRPr="002A53C9">
              <w:rPr>
                <w:b w:val="0"/>
                <w:bCs w:val="0"/>
                <w:sz w:val="20"/>
                <w:szCs w:val="20"/>
              </w:rPr>
              <w:t>, including aquaculture,</w:t>
            </w:r>
            <w:r w:rsidRPr="002A53C9">
              <w:rPr>
                <w:b w:val="0"/>
                <w:bCs w:val="0"/>
                <w:sz w:val="20"/>
                <w:szCs w:val="20"/>
              </w:rPr>
              <w:t xml:space="preserve"> in the coastal environment will provide more certainty, resulting in better environmental outcomes.  </w:t>
            </w:r>
          </w:p>
        </w:tc>
        <w:tc>
          <w:tcPr>
            <w:tcW w:w="4508" w:type="dxa"/>
          </w:tcPr>
          <w:p w14:paraId="29EAB771" w14:textId="38A558AA" w:rsidR="00E22CD2" w:rsidRDefault="00161333"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2A53C9">
              <w:rPr>
                <w:sz w:val="20"/>
                <w:szCs w:val="20"/>
              </w:rPr>
              <w:t>Identification and mapping areas of high and outstanding natural character,</w:t>
            </w:r>
            <w:r w:rsidRPr="002A53C9">
              <w:t xml:space="preserve"> </w:t>
            </w:r>
            <w:r w:rsidR="000A0906" w:rsidRPr="002A53C9">
              <w:rPr>
                <w:sz w:val="20"/>
                <w:szCs w:val="20"/>
              </w:rPr>
              <w:t xml:space="preserve">significant indigenous vegetation and significant habitats of indigenous fauna, natural features, </w:t>
            </w:r>
            <w:proofErr w:type="gramStart"/>
            <w:r w:rsidR="000A0906" w:rsidRPr="002A53C9">
              <w:rPr>
                <w:sz w:val="20"/>
                <w:szCs w:val="20"/>
              </w:rPr>
              <w:t>landscapes</w:t>
            </w:r>
            <w:proofErr w:type="gramEnd"/>
            <w:r w:rsidR="000A0906" w:rsidRPr="002A53C9">
              <w:rPr>
                <w:sz w:val="20"/>
                <w:szCs w:val="20"/>
              </w:rPr>
              <w:t xml:space="preserve"> and seascapes</w:t>
            </w:r>
            <w:r w:rsidRPr="002A53C9">
              <w:rPr>
                <w:sz w:val="20"/>
                <w:szCs w:val="20"/>
              </w:rPr>
              <w:t>, and degraded coastal water</w:t>
            </w:r>
            <w:r w:rsidR="00063F93" w:rsidRPr="002A53C9">
              <w:rPr>
                <w:sz w:val="20"/>
                <w:szCs w:val="20"/>
              </w:rPr>
              <w:t xml:space="preserve"> in the coastal environment</w:t>
            </w:r>
            <w:r w:rsidRPr="002A53C9">
              <w:rPr>
                <w:sz w:val="20"/>
                <w:szCs w:val="20"/>
              </w:rPr>
              <w:t xml:space="preserve">, </w:t>
            </w:r>
            <w:r w:rsidR="00C143B7" w:rsidRPr="002A53C9">
              <w:rPr>
                <w:sz w:val="20"/>
                <w:szCs w:val="20"/>
              </w:rPr>
              <w:t xml:space="preserve">has not occurred in </w:t>
            </w:r>
            <w:r w:rsidR="000E0EBD" w:rsidRPr="002A53C9">
              <w:rPr>
                <w:sz w:val="20"/>
                <w:szCs w:val="20"/>
              </w:rPr>
              <w:t>parts of Otag</w:t>
            </w:r>
            <w:r w:rsidR="00BC4BBB" w:rsidRPr="002A53C9">
              <w:rPr>
                <w:sz w:val="20"/>
                <w:szCs w:val="20"/>
              </w:rPr>
              <w:t>o and it is likely to take a number of years for this to occur</w:t>
            </w:r>
            <w:r w:rsidR="00540E28" w:rsidRPr="002A53C9">
              <w:rPr>
                <w:sz w:val="20"/>
                <w:szCs w:val="20"/>
              </w:rPr>
              <w:t xml:space="preserve"> (particularly for the latter)</w:t>
            </w:r>
            <w:r w:rsidR="00BC4BBB" w:rsidRPr="002A53C9">
              <w:rPr>
                <w:sz w:val="20"/>
                <w:szCs w:val="20"/>
              </w:rPr>
              <w:t xml:space="preserve">. </w:t>
            </w:r>
            <w:r w:rsidR="00DD1DDC" w:rsidRPr="002A53C9">
              <w:rPr>
                <w:sz w:val="20"/>
                <w:szCs w:val="20"/>
              </w:rPr>
              <w:t>This means that there may be areas in the coastal environment</w:t>
            </w:r>
            <w:r w:rsidR="00540E28" w:rsidRPr="002A53C9">
              <w:rPr>
                <w:sz w:val="20"/>
                <w:szCs w:val="20"/>
              </w:rPr>
              <w:t xml:space="preserve"> where appropriate protection and/or enhancement is not facilitated</w:t>
            </w:r>
            <w:r w:rsidR="00722D2F" w:rsidRPr="002A53C9">
              <w:rPr>
                <w:sz w:val="20"/>
                <w:szCs w:val="20"/>
              </w:rPr>
              <w:t xml:space="preserve"> in the interim period.</w:t>
            </w:r>
          </w:p>
          <w:p w14:paraId="0A50BBF5" w14:textId="41B0B79F" w:rsidR="00CE27AD" w:rsidRPr="002A53C9" w:rsidRDefault="00CE27AD"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 delay between the PORPS 2021 being notified and mapping occurring may mean there is a risk of a ‘gold rush’ where potentially significant areas are altered</w:t>
            </w:r>
            <w:r w:rsidR="00490E7A">
              <w:rPr>
                <w:sz w:val="20"/>
                <w:szCs w:val="20"/>
              </w:rPr>
              <w:t xml:space="preserve"> or modified in advance of their identification as significant, or to avoid that identification. That may reduce the areas or values of some important parts of the coastal environment.</w:t>
            </w:r>
          </w:p>
          <w:p w14:paraId="2199924A" w14:textId="77777777" w:rsidR="0004400B" w:rsidRPr="002A53C9" w:rsidRDefault="0004400B" w:rsidP="00961D74">
            <w:pPr>
              <w:pStyle w:val="ListParagraph"/>
              <w:spacing w:before="60" w:after="60"/>
              <w:ind w:left="357"/>
              <w:contextualSpacing w:val="0"/>
              <w:jc w:val="both"/>
              <w:cnfStyle w:val="000000000000" w:firstRow="0" w:lastRow="0" w:firstColumn="0" w:lastColumn="0" w:oddVBand="0" w:evenVBand="0" w:oddHBand="0" w:evenHBand="0" w:firstRowFirstColumn="0" w:firstRowLastColumn="0" w:lastRowFirstColumn="0" w:lastRowLastColumn="0"/>
              <w:rPr>
                <w:sz w:val="20"/>
              </w:rPr>
            </w:pPr>
          </w:p>
          <w:p w14:paraId="183B5FDD" w14:textId="768712D8" w:rsidR="00E22CD2" w:rsidRPr="002A53C9" w:rsidRDefault="00E22CD2" w:rsidP="00961D74">
            <w:pPr>
              <w:pStyle w:val="ListParagraph"/>
              <w:spacing w:before="60" w:after="60"/>
              <w:ind w:left="357"/>
              <w:contextualSpacing w:val="0"/>
              <w:jc w:val="both"/>
              <w:cnfStyle w:val="000000000000" w:firstRow="0" w:lastRow="0" w:firstColumn="0" w:lastColumn="0" w:oddVBand="0" w:evenVBand="0" w:oddHBand="0" w:evenHBand="0" w:firstRowFirstColumn="0" w:firstRowLastColumn="0" w:lastRowFirstColumn="0" w:lastRowLastColumn="0"/>
              <w:rPr>
                <w:sz w:val="20"/>
              </w:rPr>
            </w:pPr>
          </w:p>
        </w:tc>
      </w:tr>
      <w:tr w:rsidR="00E22CD2" w:rsidRPr="00AE42AF" w14:paraId="5B27E846" w14:textId="77777777" w:rsidTr="00396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3A13982" w14:textId="77777777" w:rsidR="00E22CD2" w:rsidRPr="00AE42AF" w:rsidRDefault="00E22CD2" w:rsidP="00396421">
            <w:pPr>
              <w:jc w:val="center"/>
              <w:rPr>
                <w:sz w:val="20"/>
              </w:rPr>
            </w:pPr>
            <w:r>
              <w:rPr>
                <w:sz w:val="20"/>
              </w:rPr>
              <w:t>Cultural</w:t>
            </w:r>
          </w:p>
        </w:tc>
      </w:tr>
      <w:tr w:rsidR="00E22CD2" w:rsidRPr="00490E7A" w14:paraId="34369B7B" w14:textId="77777777" w:rsidTr="00396421">
        <w:tc>
          <w:tcPr>
            <w:cnfStyle w:val="001000000000" w:firstRow="0" w:lastRow="0" w:firstColumn="1" w:lastColumn="0" w:oddVBand="0" w:evenVBand="0" w:oddHBand="0" w:evenHBand="0" w:firstRowFirstColumn="0" w:firstRowLastColumn="0" w:lastRowFirstColumn="0" w:lastRowLastColumn="0"/>
            <w:tcW w:w="4508" w:type="dxa"/>
          </w:tcPr>
          <w:p w14:paraId="168AA7F4" w14:textId="54B4B112" w:rsidR="00004CAE" w:rsidRPr="00490E7A" w:rsidRDefault="00004CAE"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 xml:space="preserve">Mana whenua will be able to exercise </w:t>
            </w:r>
            <w:proofErr w:type="spellStart"/>
            <w:r w:rsidRPr="00490E7A">
              <w:rPr>
                <w:b w:val="0"/>
                <w:bCs w:val="0"/>
                <w:sz w:val="20"/>
                <w:szCs w:val="20"/>
              </w:rPr>
              <w:t>kaitiataka</w:t>
            </w:r>
            <w:proofErr w:type="spellEnd"/>
            <w:r w:rsidR="00A36FC3" w:rsidRPr="00490E7A">
              <w:rPr>
                <w:b w:val="0"/>
                <w:bCs w:val="0"/>
                <w:sz w:val="20"/>
                <w:szCs w:val="20"/>
              </w:rPr>
              <w:t xml:space="preserve"> through </w:t>
            </w:r>
            <w:r w:rsidR="00723AA4" w:rsidRPr="00490E7A">
              <w:rPr>
                <w:b w:val="0"/>
                <w:bCs w:val="0"/>
                <w:sz w:val="20"/>
                <w:szCs w:val="20"/>
              </w:rPr>
              <w:t>their involvement in decision making and management processes in respect to the coast</w:t>
            </w:r>
            <w:r w:rsidR="007D75F8" w:rsidRPr="00490E7A">
              <w:rPr>
                <w:b w:val="0"/>
                <w:bCs w:val="0"/>
                <w:sz w:val="20"/>
                <w:szCs w:val="20"/>
              </w:rPr>
              <w:t xml:space="preserve"> (including customary </w:t>
            </w:r>
            <w:r w:rsidR="00F67D80" w:rsidRPr="00490E7A">
              <w:rPr>
                <w:b w:val="0"/>
                <w:bCs w:val="0"/>
                <w:sz w:val="20"/>
                <w:szCs w:val="20"/>
              </w:rPr>
              <w:t>fisheries</w:t>
            </w:r>
            <w:r w:rsidR="007A796E" w:rsidRPr="00490E7A">
              <w:rPr>
                <w:b w:val="0"/>
                <w:bCs w:val="0"/>
                <w:sz w:val="20"/>
                <w:szCs w:val="20"/>
              </w:rPr>
              <w:t>).</w:t>
            </w:r>
          </w:p>
          <w:p w14:paraId="5DBB023A" w14:textId="18C06504" w:rsidR="007A39A8" w:rsidRPr="00490E7A" w:rsidRDefault="007A39A8"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lastRenderedPageBreak/>
              <w:t>Sites</w:t>
            </w:r>
            <w:r w:rsidR="00587A76">
              <w:rPr>
                <w:b w:val="0"/>
                <w:bCs w:val="0"/>
                <w:sz w:val="20"/>
                <w:szCs w:val="20"/>
              </w:rPr>
              <w:t>,</w:t>
            </w:r>
            <w:r w:rsidR="00F86A72" w:rsidRPr="00490E7A">
              <w:rPr>
                <w:b w:val="0"/>
                <w:bCs w:val="0"/>
                <w:sz w:val="20"/>
                <w:szCs w:val="20"/>
              </w:rPr>
              <w:t xml:space="preserve"> </w:t>
            </w:r>
            <w:proofErr w:type="gramStart"/>
            <w:r w:rsidR="00F86A72" w:rsidRPr="00490E7A">
              <w:rPr>
                <w:b w:val="0"/>
                <w:bCs w:val="0"/>
                <w:sz w:val="20"/>
                <w:szCs w:val="20"/>
              </w:rPr>
              <w:t>areas</w:t>
            </w:r>
            <w:proofErr w:type="gramEnd"/>
            <w:r w:rsidR="00F86A72" w:rsidRPr="00490E7A">
              <w:rPr>
                <w:b w:val="0"/>
                <w:bCs w:val="0"/>
                <w:sz w:val="20"/>
                <w:szCs w:val="20"/>
              </w:rPr>
              <w:t xml:space="preserve"> and values of importance to </w:t>
            </w:r>
            <w:r w:rsidR="00F17241" w:rsidRPr="00490E7A">
              <w:rPr>
                <w:b w:val="0"/>
                <w:bCs w:val="0"/>
                <w:sz w:val="20"/>
                <w:szCs w:val="20"/>
              </w:rPr>
              <w:t xml:space="preserve">Kāi </w:t>
            </w:r>
            <w:proofErr w:type="spellStart"/>
            <w:r w:rsidR="00F17241" w:rsidRPr="00490E7A">
              <w:rPr>
                <w:b w:val="0"/>
                <w:bCs w:val="0"/>
                <w:sz w:val="20"/>
                <w:szCs w:val="20"/>
              </w:rPr>
              <w:t>Tahu</w:t>
            </w:r>
            <w:proofErr w:type="spellEnd"/>
            <w:r w:rsidR="00F17241" w:rsidRPr="00490E7A">
              <w:rPr>
                <w:b w:val="0"/>
                <w:bCs w:val="0"/>
                <w:sz w:val="20"/>
                <w:szCs w:val="20"/>
              </w:rPr>
              <w:t xml:space="preserve"> within the coastal environment</w:t>
            </w:r>
            <w:r w:rsidR="006D61FC" w:rsidRPr="00490E7A">
              <w:rPr>
                <w:b w:val="0"/>
                <w:bCs w:val="0"/>
                <w:sz w:val="20"/>
                <w:szCs w:val="20"/>
              </w:rPr>
              <w:t xml:space="preserve"> will be identified</w:t>
            </w:r>
            <w:r w:rsidR="009602E5" w:rsidRPr="00490E7A">
              <w:rPr>
                <w:b w:val="0"/>
                <w:bCs w:val="0"/>
                <w:sz w:val="20"/>
                <w:szCs w:val="20"/>
              </w:rPr>
              <w:t xml:space="preserve"> and protected. </w:t>
            </w:r>
          </w:p>
          <w:p w14:paraId="76C470AE" w14:textId="18626DD4" w:rsidR="00E22CD2" w:rsidRPr="00490E7A" w:rsidRDefault="00616E7B"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 xml:space="preserve">Iwi and </w:t>
            </w:r>
            <w:proofErr w:type="spellStart"/>
            <w:r w:rsidRPr="00490E7A">
              <w:rPr>
                <w:b w:val="0"/>
                <w:bCs w:val="0"/>
                <w:sz w:val="20"/>
                <w:szCs w:val="20"/>
              </w:rPr>
              <w:t>r</w:t>
            </w:r>
            <w:r w:rsidR="00616824">
              <w:rPr>
                <w:rFonts w:cstheme="minorHAnsi"/>
                <w:b w:val="0"/>
                <w:bCs w:val="0"/>
                <w:sz w:val="20"/>
                <w:szCs w:val="20"/>
              </w:rPr>
              <w:t>ū</w:t>
            </w:r>
            <w:r w:rsidRPr="00490E7A">
              <w:rPr>
                <w:b w:val="0"/>
                <w:bCs w:val="0"/>
                <w:sz w:val="20"/>
                <w:szCs w:val="20"/>
              </w:rPr>
              <w:t>naka</w:t>
            </w:r>
            <w:proofErr w:type="spellEnd"/>
            <w:r w:rsidRPr="00490E7A">
              <w:rPr>
                <w:b w:val="0"/>
                <w:bCs w:val="0"/>
                <w:sz w:val="20"/>
                <w:szCs w:val="20"/>
              </w:rPr>
              <w:t xml:space="preserve"> </w:t>
            </w:r>
            <w:r w:rsidR="004B0AE4" w:rsidRPr="00490E7A">
              <w:rPr>
                <w:b w:val="0"/>
                <w:bCs w:val="0"/>
                <w:sz w:val="20"/>
                <w:szCs w:val="20"/>
              </w:rPr>
              <w:t xml:space="preserve">will have the ability to be involved in identification processes </w:t>
            </w:r>
            <w:r w:rsidR="00D74EA1" w:rsidRPr="00490E7A">
              <w:rPr>
                <w:b w:val="0"/>
                <w:bCs w:val="0"/>
                <w:sz w:val="20"/>
                <w:szCs w:val="20"/>
              </w:rPr>
              <w:t>when the extent and characteristics of the coastal environment</w:t>
            </w:r>
            <w:r w:rsidR="004B0AE4" w:rsidRPr="00490E7A">
              <w:rPr>
                <w:b w:val="0"/>
                <w:bCs w:val="0"/>
                <w:sz w:val="20"/>
                <w:szCs w:val="20"/>
              </w:rPr>
              <w:t xml:space="preserve"> </w:t>
            </w:r>
            <w:r w:rsidR="00D74EA1" w:rsidRPr="00490E7A">
              <w:rPr>
                <w:b w:val="0"/>
                <w:bCs w:val="0"/>
                <w:sz w:val="20"/>
                <w:szCs w:val="20"/>
              </w:rPr>
              <w:t>are identified</w:t>
            </w:r>
            <w:r w:rsidR="00BA51D5" w:rsidRPr="00490E7A">
              <w:rPr>
                <w:b w:val="0"/>
                <w:bCs w:val="0"/>
                <w:sz w:val="20"/>
                <w:szCs w:val="20"/>
              </w:rPr>
              <w:t xml:space="preserve">. </w:t>
            </w:r>
          </w:p>
          <w:p w14:paraId="1AAC496B" w14:textId="2CB74176" w:rsidR="008129AD" w:rsidRPr="00490E7A" w:rsidRDefault="007A4FA4"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 xml:space="preserve">Incorporating </w:t>
            </w:r>
            <w:r w:rsidR="00D36732" w:rsidRPr="00490E7A">
              <w:rPr>
                <w:b w:val="0"/>
                <w:bCs w:val="0"/>
                <w:sz w:val="20"/>
                <w:szCs w:val="20"/>
              </w:rPr>
              <w:t>mātaura</w:t>
            </w:r>
            <w:r w:rsidR="00490E7A">
              <w:rPr>
                <w:b w:val="0"/>
                <w:bCs w:val="0"/>
                <w:sz w:val="20"/>
                <w:szCs w:val="20"/>
              </w:rPr>
              <w:t>k</w:t>
            </w:r>
            <w:r w:rsidR="00D36732" w:rsidRPr="00490E7A">
              <w:rPr>
                <w:b w:val="0"/>
                <w:bCs w:val="0"/>
                <w:sz w:val="20"/>
                <w:szCs w:val="20"/>
              </w:rPr>
              <w:t xml:space="preserve">a </w:t>
            </w:r>
            <w:proofErr w:type="spellStart"/>
            <w:r w:rsidR="00D36732" w:rsidRPr="00490E7A">
              <w:rPr>
                <w:b w:val="0"/>
                <w:bCs w:val="0"/>
                <w:sz w:val="20"/>
                <w:szCs w:val="20"/>
              </w:rPr>
              <w:t>Maōri</w:t>
            </w:r>
            <w:proofErr w:type="spellEnd"/>
            <w:r w:rsidR="00D36732" w:rsidRPr="00490E7A">
              <w:rPr>
                <w:b w:val="0"/>
                <w:bCs w:val="0"/>
                <w:sz w:val="20"/>
                <w:szCs w:val="20"/>
              </w:rPr>
              <w:t xml:space="preserve"> into the management and monitoring of activities in the coastal environment will </w:t>
            </w:r>
            <w:r w:rsidR="00A50E66" w:rsidRPr="00490E7A">
              <w:rPr>
                <w:b w:val="0"/>
                <w:bCs w:val="0"/>
                <w:sz w:val="20"/>
                <w:szCs w:val="20"/>
              </w:rPr>
              <w:t>support</w:t>
            </w:r>
            <w:r w:rsidR="00D36732" w:rsidRPr="00490E7A">
              <w:rPr>
                <w:b w:val="0"/>
                <w:bCs w:val="0"/>
                <w:sz w:val="20"/>
                <w:szCs w:val="20"/>
              </w:rPr>
              <w:t xml:space="preserve"> mana whenua </w:t>
            </w:r>
            <w:r w:rsidR="00BF1DC1" w:rsidRPr="00490E7A">
              <w:rPr>
                <w:b w:val="0"/>
                <w:bCs w:val="0"/>
                <w:sz w:val="20"/>
                <w:szCs w:val="20"/>
              </w:rPr>
              <w:t>in their role as kaitiaki of the coastal environment.</w:t>
            </w:r>
          </w:p>
          <w:p w14:paraId="18F2357D" w14:textId="7337164C" w:rsidR="00C469D9" w:rsidRPr="00490E7A" w:rsidRDefault="00C469D9"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Identifying the extent and characteristics of the coastal environment requires consideration of ite</w:t>
            </w:r>
            <w:r w:rsidR="006B38F2" w:rsidRPr="00490E7A">
              <w:rPr>
                <w:b w:val="0"/>
                <w:bCs w:val="0"/>
                <w:sz w:val="20"/>
                <w:szCs w:val="20"/>
              </w:rPr>
              <w:t>m</w:t>
            </w:r>
            <w:r w:rsidRPr="00490E7A">
              <w:rPr>
                <w:b w:val="0"/>
                <w:bCs w:val="0"/>
                <w:sz w:val="20"/>
                <w:szCs w:val="20"/>
              </w:rPr>
              <w:t xml:space="preserve">s of </w:t>
            </w:r>
            <w:r w:rsidR="006B38F2" w:rsidRPr="00490E7A">
              <w:rPr>
                <w:b w:val="0"/>
                <w:bCs w:val="0"/>
                <w:sz w:val="20"/>
                <w:szCs w:val="20"/>
              </w:rPr>
              <w:t>cultural and historic</w:t>
            </w:r>
            <w:r w:rsidRPr="00490E7A">
              <w:rPr>
                <w:b w:val="0"/>
                <w:bCs w:val="0"/>
                <w:sz w:val="20"/>
                <w:szCs w:val="20"/>
              </w:rPr>
              <w:t xml:space="preserve"> </w:t>
            </w:r>
            <w:r w:rsidR="006B38F2" w:rsidRPr="00490E7A">
              <w:rPr>
                <w:b w:val="0"/>
                <w:bCs w:val="0"/>
                <w:sz w:val="20"/>
                <w:szCs w:val="20"/>
              </w:rPr>
              <w:t xml:space="preserve">heritage in the CMA </w:t>
            </w:r>
            <w:r w:rsidR="00D83600" w:rsidRPr="00490E7A">
              <w:rPr>
                <w:b w:val="0"/>
                <w:bCs w:val="0"/>
                <w:sz w:val="20"/>
                <w:szCs w:val="20"/>
              </w:rPr>
              <w:t>or on the coast</w:t>
            </w:r>
            <w:r w:rsidR="006B38F2" w:rsidRPr="00490E7A">
              <w:rPr>
                <w:b w:val="0"/>
                <w:bCs w:val="0"/>
                <w:sz w:val="20"/>
                <w:szCs w:val="20"/>
              </w:rPr>
              <w:t xml:space="preserve">. Mapping these features in district plans will provide additional protection. </w:t>
            </w:r>
          </w:p>
          <w:p w14:paraId="02795846" w14:textId="144BC514" w:rsidR="00C741F5" w:rsidRPr="00490E7A" w:rsidRDefault="00C741F5"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Protecting areas of natural character</w:t>
            </w:r>
            <w:r w:rsidR="00EE18CE" w:rsidRPr="00490E7A">
              <w:rPr>
                <w:b w:val="0"/>
                <w:bCs w:val="0"/>
                <w:sz w:val="20"/>
                <w:szCs w:val="20"/>
              </w:rPr>
              <w:t xml:space="preserve"> and enabling uses and activities to </w:t>
            </w:r>
            <w:r w:rsidR="00786C9C" w:rsidRPr="00490E7A">
              <w:rPr>
                <w:b w:val="0"/>
                <w:bCs w:val="0"/>
                <w:sz w:val="20"/>
                <w:szCs w:val="20"/>
              </w:rPr>
              <w:t xml:space="preserve">restore natural character will also assist with protecting </w:t>
            </w:r>
            <w:r w:rsidR="00E54BA5" w:rsidRPr="00490E7A">
              <w:rPr>
                <w:b w:val="0"/>
                <w:bCs w:val="0"/>
                <w:sz w:val="20"/>
                <w:szCs w:val="20"/>
              </w:rPr>
              <w:t xml:space="preserve">and restoring </w:t>
            </w:r>
            <w:r w:rsidR="00786C9C" w:rsidRPr="00490E7A">
              <w:rPr>
                <w:b w:val="0"/>
                <w:bCs w:val="0"/>
                <w:sz w:val="20"/>
                <w:szCs w:val="20"/>
              </w:rPr>
              <w:t>cultural values.</w:t>
            </w:r>
          </w:p>
          <w:p w14:paraId="2E646A7C" w14:textId="580BA847" w:rsidR="001F56FB" w:rsidRPr="00490E7A" w:rsidRDefault="00786C9C" w:rsidP="00961D74">
            <w:pPr>
              <w:pStyle w:val="ListParagraph"/>
              <w:numPr>
                <w:ilvl w:val="0"/>
                <w:numId w:val="22"/>
              </w:numPr>
              <w:spacing w:before="60" w:after="60"/>
              <w:ind w:left="357" w:hanging="357"/>
              <w:contextualSpacing w:val="0"/>
              <w:jc w:val="both"/>
              <w:rPr>
                <w:b w:val="0"/>
                <w:bCs w:val="0"/>
                <w:sz w:val="20"/>
                <w:szCs w:val="20"/>
              </w:rPr>
            </w:pPr>
            <w:r w:rsidRPr="00490E7A">
              <w:rPr>
                <w:b w:val="0"/>
                <w:bCs w:val="0"/>
                <w:sz w:val="20"/>
                <w:szCs w:val="20"/>
              </w:rPr>
              <w:t xml:space="preserve">Maintaining healthy coastal ecosystems and improving areas of degraded water quality will better provide for cultural values and </w:t>
            </w:r>
            <w:r w:rsidR="007A5F8F" w:rsidRPr="00490E7A">
              <w:rPr>
                <w:b w:val="0"/>
                <w:bCs w:val="0"/>
                <w:sz w:val="20"/>
                <w:szCs w:val="20"/>
              </w:rPr>
              <w:t>customary use of the CMA.</w:t>
            </w:r>
            <w:r w:rsidR="000C6D8E" w:rsidRPr="00490E7A">
              <w:rPr>
                <w:b w:val="0"/>
                <w:bCs w:val="0"/>
                <w:sz w:val="20"/>
                <w:szCs w:val="20"/>
              </w:rPr>
              <w:t xml:space="preserve"> </w:t>
            </w:r>
          </w:p>
        </w:tc>
        <w:tc>
          <w:tcPr>
            <w:tcW w:w="4508" w:type="dxa"/>
          </w:tcPr>
          <w:p w14:paraId="47205F2D" w14:textId="4E00A6BA" w:rsidR="002A605B" w:rsidRPr="00490E7A" w:rsidRDefault="002A605B"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490E7A">
              <w:rPr>
                <w:sz w:val="20"/>
                <w:szCs w:val="20"/>
              </w:rPr>
              <w:lastRenderedPageBreak/>
              <w:t>There</w:t>
            </w:r>
            <w:r w:rsidR="006138B0" w:rsidRPr="00490E7A">
              <w:rPr>
                <w:sz w:val="20"/>
                <w:szCs w:val="20"/>
              </w:rPr>
              <w:t xml:space="preserve"> </w:t>
            </w:r>
            <w:r w:rsidRPr="00490E7A">
              <w:rPr>
                <w:sz w:val="20"/>
                <w:szCs w:val="20"/>
              </w:rPr>
              <w:t xml:space="preserve">will be costs to iwi and </w:t>
            </w:r>
            <w:proofErr w:type="spellStart"/>
            <w:r w:rsidRPr="00490E7A">
              <w:rPr>
                <w:sz w:val="20"/>
                <w:szCs w:val="20"/>
              </w:rPr>
              <w:t>r</w:t>
            </w:r>
            <w:r w:rsidR="00616824">
              <w:rPr>
                <w:rFonts w:cstheme="minorHAnsi"/>
                <w:sz w:val="20"/>
                <w:szCs w:val="20"/>
              </w:rPr>
              <w:t>ū</w:t>
            </w:r>
            <w:r w:rsidRPr="00490E7A">
              <w:rPr>
                <w:sz w:val="20"/>
                <w:szCs w:val="20"/>
              </w:rPr>
              <w:t>naka</w:t>
            </w:r>
            <w:proofErr w:type="spellEnd"/>
            <w:r w:rsidRPr="00490E7A">
              <w:rPr>
                <w:sz w:val="20"/>
                <w:szCs w:val="20"/>
              </w:rPr>
              <w:t xml:space="preserve"> in engaging in planning </w:t>
            </w:r>
            <w:r w:rsidR="006138B0" w:rsidRPr="00490E7A">
              <w:rPr>
                <w:sz w:val="20"/>
                <w:szCs w:val="20"/>
              </w:rPr>
              <w:t>processes</w:t>
            </w:r>
            <w:r w:rsidRPr="00490E7A">
              <w:rPr>
                <w:sz w:val="20"/>
                <w:szCs w:val="20"/>
              </w:rPr>
              <w:t xml:space="preserve"> to identify </w:t>
            </w:r>
            <w:r w:rsidR="00E36DEC" w:rsidRPr="00490E7A">
              <w:rPr>
                <w:sz w:val="20"/>
                <w:szCs w:val="20"/>
              </w:rPr>
              <w:t>a range of different areas</w:t>
            </w:r>
            <w:r w:rsidR="006138B0" w:rsidRPr="00490E7A">
              <w:rPr>
                <w:sz w:val="20"/>
                <w:szCs w:val="20"/>
              </w:rPr>
              <w:t>, and in the plan provisions for how these areas are managed.</w:t>
            </w:r>
          </w:p>
          <w:p w14:paraId="2B6444FB" w14:textId="2CB5B2FB" w:rsidR="00E22CD2" w:rsidRPr="00490E7A" w:rsidRDefault="00786C9C" w:rsidP="00961D74">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sidRPr="00490E7A">
              <w:rPr>
                <w:sz w:val="20"/>
                <w:szCs w:val="20"/>
              </w:rPr>
              <w:lastRenderedPageBreak/>
              <w:t xml:space="preserve">Due to locational constraints for activities and uses that may adversely affect natural character and coastal water quality, it is possible there may be adverse effects on places or areas of significance to Kāi </w:t>
            </w:r>
            <w:proofErr w:type="spellStart"/>
            <w:r w:rsidRPr="00490E7A">
              <w:rPr>
                <w:sz w:val="20"/>
                <w:szCs w:val="20"/>
              </w:rPr>
              <w:t>Tahu</w:t>
            </w:r>
            <w:proofErr w:type="spellEnd"/>
            <w:r w:rsidRPr="00490E7A">
              <w:rPr>
                <w:sz w:val="20"/>
                <w:szCs w:val="20"/>
              </w:rPr>
              <w:t>.</w:t>
            </w:r>
          </w:p>
          <w:p w14:paraId="0C304E40" w14:textId="00AF5610" w:rsidR="00501F8E" w:rsidRPr="00490E7A" w:rsidRDefault="00501F8E" w:rsidP="00961D74">
            <w:pPr>
              <w:pStyle w:val="ListParagraph"/>
              <w:spacing w:before="60" w:after="60"/>
              <w:ind w:left="360"/>
              <w:jc w:val="both"/>
              <w:cnfStyle w:val="000000000000" w:firstRow="0" w:lastRow="0" w:firstColumn="0" w:lastColumn="0" w:oddVBand="0" w:evenVBand="0" w:oddHBand="0" w:evenHBand="0" w:firstRowFirstColumn="0" w:firstRowLastColumn="0" w:lastRowFirstColumn="0" w:lastRowLastColumn="0"/>
              <w:rPr>
                <w:sz w:val="20"/>
              </w:rPr>
            </w:pPr>
          </w:p>
        </w:tc>
      </w:tr>
      <w:tr w:rsidR="00E22CD2" w:rsidRPr="00AE42AF" w14:paraId="0EE71C92" w14:textId="77777777" w:rsidTr="00396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DF79A4C" w14:textId="77777777" w:rsidR="00E22CD2" w:rsidRPr="00AE42AF" w:rsidRDefault="00E22CD2" w:rsidP="00396421">
            <w:pPr>
              <w:jc w:val="center"/>
              <w:rPr>
                <w:sz w:val="20"/>
              </w:rPr>
            </w:pPr>
            <w:r w:rsidRPr="00AE42AF">
              <w:rPr>
                <w:sz w:val="20"/>
              </w:rPr>
              <w:lastRenderedPageBreak/>
              <w:t>Social</w:t>
            </w:r>
          </w:p>
        </w:tc>
      </w:tr>
      <w:tr w:rsidR="00E22CD2" w:rsidRPr="00616824" w14:paraId="1EBB7A20" w14:textId="77777777" w:rsidTr="00396421">
        <w:tc>
          <w:tcPr>
            <w:cnfStyle w:val="001000000000" w:firstRow="0" w:lastRow="0" w:firstColumn="1" w:lastColumn="0" w:oddVBand="0" w:evenVBand="0" w:oddHBand="0" w:evenHBand="0" w:firstRowFirstColumn="0" w:firstRowLastColumn="0" w:lastRowFirstColumn="0" w:lastRowLastColumn="0"/>
            <w:tcW w:w="4508" w:type="dxa"/>
          </w:tcPr>
          <w:p w14:paraId="3C1D09B2" w14:textId="28E9EB00" w:rsidR="00E22CD2" w:rsidRPr="00616824" w:rsidRDefault="00CE6579"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Mapping </w:t>
            </w:r>
            <w:r w:rsidR="00CB3B88" w:rsidRPr="00616824">
              <w:rPr>
                <w:b w:val="0"/>
                <w:bCs w:val="0"/>
                <w:sz w:val="20"/>
                <w:szCs w:val="20"/>
              </w:rPr>
              <w:t xml:space="preserve">the extent of the coastal environment, </w:t>
            </w:r>
            <w:r w:rsidR="00557730" w:rsidRPr="00616824">
              <w:rPr>
                <w:b w:val="0"/>
                <w:bCs w:val="0"/>
                <w:sz w:val="20"/>
                <w:szCs w:val="20"/>
              </w:rPr>
              <w:t xml:space="preserve">significant indigenous vegetation and significant habitats of indigenous fauna, </w:t>
            </w:r>
            <w:r w:rsidR="004B6F11" w:rsidRPr="00616824">
              <w:rPr>
                <w:b w:val="0"/>
                <w:bCs w:val="0"/>
                <w:sz w:val="20"/>
                <w:szCs w:val="20"/>
              </w:rPr>
              <w:t>natural</w:t>
            </w:r>
            <w:r w:rsidR="005F1ECA" w:rsidRPr="00616824">
              <w:rPr>
                <w:b w:val="0"/>
                <w:bCs w:val="0"/>
                <w:sz w:val="20"/>
                <w:szCs w:val="20"/>
              </w:rPr>
              <w:t xml:space="preserve"> </w:t>
            </w:r>
            <w:r w:rsidR="004B6F11" w:rsidRPr="00616824">
              <w:rPr>
                <w:b w:val="0"/>
                <w:bCs w:val="0"/>
                <w:sz w:val="20"/>
                <w:szCs w:val="20"/>
              </w:rPr>
              <w:t xml:space="preserve">features, landscapes and seascapes, </w:t>
            </w:r>
            <w:r w:rsidRPr="00616824">
              <w:rPr>
                <w:b w:val="0"/>
                <w:bCs w:val="0"/>
                <w:sz w:val="20"/>
                <w:szCs w:val="20"/>
              </w:rPr>
              <w:t xml:space="preserve">areas </w:t>
            </w:r>
            <w:r w:rsidR="00E25316" w:rsidRPr="00616824">
              <w:rPr>
                <w:b w:val="0"/>
                <w:bCs w:val="0"/>
                <w:sz w:val="20"/>
                <w:szCs w:val="20"/>
              </w:rPr>
              <w:t xml:space="preserve">of natural character and degraded coastal water quality provides certainty to the public about the location and extent of these areas. </w:t>
            </w:r>
            <w:r w:rsidR="00BF40F1" w:rsidRPr="00616824">
              <w:rPr>
                <w:b w:val="0"/>
                <w:bCs w:val="0"/>
                <w:sz w:val="20"/>
                <w:szCs w:val="20"/>
              </w:rPr>
              <w:t>This is particularly important where areas are on private land.</w:t>
            </w:r>
          </w:p>
          <w:p w14:paraId="7E55E50C" w14:textId="77777777" w:rsidR="00786C9C" w:rsidRPr="00616824" w:rsidRDefault="00211BBD"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Identifying and protecting areas of natural character and coastal water will ensure that their values are maintained for public enjoyment and recreation. </w:t>
            </w:r>
          </w:p>
          <w:p w14:paraId="7E6D0DBF" w14:textId="71E6FC61" w:rsidR="005E5D54" w:rsidRPr="00616824" w:rsidRDefault="000C6D8E"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Recognising and protecting additional surf breaks </w:t>
            </w:r>
            <w:r w:rsidR="00BB6954" w:rsidRPr="00616824">
              <w:rPr>
                <w:b w:val="0"/>
                <w:bCs w:val="0"/>
                <w:sz w:val="20"/>
                <w:szCs w:val="20"/>
              </w:rPr>
              <w:t xml:space="preserve">will better provide for recreational </w:t>
            </w:r>
            <w:r w:rsidR="00CA5F34" w:rsidRPr="00616824">
              <w:rPr>
                <w:b w:val="0"/>
                <w:bCs w:val="0"/>
                <w:sz w:val="20"/>
                <w:szCs w:val="20"/>
              </w:rPr>
              <w:t xml:space="preserve">surf </w:t>
            </w:r>
            <w:r w:rsidR="00BB6954" w:rsidRPr="00616824">
              <w:rPr>
                <w:b w:val="0"/>
                <w:bCs w:val="0"/>
                <w:sz w:val="20"/>
                <w:szCs w:val="20"/>
              </w:rPr>
              <w:t xml:space="preserve">activities in the coastal environment. </w:t>
            </w:r>
          </w:p>
        </w:tc>
        <w:tc>
          <w:tcPr>
            <w:tcW w:w="4508" w:type="dxa"/>
          </w:tcPr>
          <w:p w14:paraId="5A8E4AA7" w14:textId="1FD2DB3C" w:rsidR="00E22CD2" w:rsidRPr="00616824" w:rsidRDefault="004D37EE"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There will be restrictions on use and development</w:t>
            </w:r>
            <w:r w:rsidR="00211BBD" w:rsidRPr="00616824">
              <w:rPr>
                <w:sz w:val="20"/>
                <w:szCs w:val="20"/>
              </w:rPr>
              <w:t xml:space="preserve"> </w:t>
            </w:r>
            <w:r w:rsidR="00BB6954" w:rsidRPr="00616824">
              <w:rPr>
                <w:sz w:val="20"/>
                <w:szCs w:val="20"/>
              </w:rPr>
              <w:t xml:space="preserve">within or adjacent to </w:t>
            </w:r>
            <w:r w:rsidR="00464060" w:rsidRPr="00616824">
              <w:rPr>
                <w:sz w:val="20"/>
                <w:szCs w:val="20"/>
              </w:rPr>
              <w:t>certain</w:t>
            </w:r>
            <w:r w:rsidRPr="00616824">
              <w:rPr>
                <w:sz w:val="20"/>
                <w:szCs w:val="20"/>
              </w:rPr>
              <w:t xml:space="preserve"> areas, which may affect the potential for land in the coastal environment to be used for purposes that support social well-being, for example for housing or recreational purposes. </w:t>
            </w:r>
          </w:p>
          <w:p w14:paraId="38B54F99" w14:textId="057B2443" w:rsidR="00BB6954" w:rsidRPr="00616824" w:rsidRDefault="00BB6954" w:rsidP="00961D74">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 xml:space="preserve">Further restrictions on public access </w:t>
            </w:r>
            <w:r w:rsidR="0097370D" w:rsidRPr="00616824">
              <w:rPr>
                <w:sz w:val="20"/>
                <w:szCs w:val="20"/>
              </w:rPr>
              <w:t xml:space="preserve">to the CMA may </w:t>
            </w:r>
            <w:r w:rsidR="00BF1DC1" w:rsidRPr="00616824">
              <w:rPr>
                <w:sz w:val="20"/>
                <w:szCs w:val="20"/>
              </w:rPr>
              <w:t>limit</w:t>
            </w:r>
            <w:r w:rsidR="0097370D" w:rsidRPr="00616824">
              <w:rPr>
                <w:sz w:val="20"/>
                <w:szCs w:val="20"/>
              </w:rPr>
              <w:t xml:space="preserve"> </w:t>
            </w:r>
            <w:r w:rsidR="00721A26" w:rsidRPr="00616824">
              <w:rPr>
                <w:sz w:val="20"/>
                <w:szCs w:val="20"/>
              </w:rPr>
              <w:t xml:space="preserve">public use and enjoyment of more parts of the coastal environment. </w:t>
            </w:r>
          </w:p>
        </w:tc>
      </w:tr>
      <w:tr w:rsidR="00E22CD2" w:rsidRPr="00AE42AF" w14:paraId="19E3C01C" w14:textId="77777777" w:rsidTr="00396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948D36D" w14:textId="77777777" w:rsidR="00E22CD2" w:rsidRPr="00AE42AF" w:rsidRDefault="00E22CD2" w:rsidP="00396421">
            <w:pPr>
              <w:jc w:val="center"/>
              <w:rPr>
                <w:sz w:val="20"/>
              </w:rPr>
            </w:pPr>
            <w:r>
              <w:rPr>
                <w:sz w:val="20"/>
              </w:rPr>
              <w:t>Economic</w:t>
            </w:r>
          </w:p>
        </w:tc>
      </w:tr>
      <w:tr w:rsidR="00E22CD2" w:rsidRPr="00616824" w14:paraId="60828CED" w14:textId="77777777" w:rsidTr="00E22CD2">
        <w:trPr>
          <w:trHeight w:val="1701"/>
        </w:trPr>
        <w:tc>
          <w:tcPr>
            <w:cnfStyle w:val="001000000000" w:firstRow="0" w:lastRow="0" w:firstColumn="1" w:lastColumn="0" w:oddVBand="0" w:evenVBand="0" w:oddHBand="0" w:evenHBand="0" w:firstRowFirstColumn="0" w:firstRowLastColumn="0" w:lastRowFirstColumn="0" w:lastRowLastColumn="0"/>
            <w:tcW w:w="4508" w:type="dxa"/>
          </w:tcPr>
          <w:p w14:paraId="04B7AD50" w14:textId="3AC06124" w:rsidR="00A11B77" w:rsidRPr="00616824" w:rsidRDefault="00A11B77"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The methodolog</w:t>
            </w:r>
            <w:r w:rsidR="00480972" w:rsidRPr="00616824">
              <w:rPr>
                <w:b w:val="0"/>
                <w:bCs w:val="0"/>
                <w:sz w:val="20"/>
                <w:szCs w:val="20"/>
              </w:rPr>
              <w:t>ies</w:t>
            </w:r>
            <w:r w:rsidRPr="00616824">
              <w:rPr>
                <w:b w:val="0"/>
                <w:bCs w:val="0"/>
                <w:sz w:val="20"/>
                <w:szCs w:val="20"/>
              </w:rPr>
              <w:t xml:space="preserve"> for </w:t>
            </w:r>
            <w:r w:rsidR="0015092C" w:rsidRPr="00616824">
              <w:rPr>
                <w:b w:val="0"/>
                <w:bCs w:val="0"/>
                <w:sz w:val="20"/>
                <w:szCs w:val="20"/>
              </w:rPr>
              <w:t>the identif</w:t>
            </w:r>
            <w:r w:rsidR="004C49CD" w:rsidRPr="00616824">
              <w:rPr>
                <w:b w:val="0"/>
                <w:bCs w:val="0"/>
                <w:sz w:val="20"/>
                <w:szCs w:val="20"/>
              </w:rPr>
              <w:t>ying</w:t>
            </w:r>
            <w:r w:rsidR="0015092C" w:rsidRPr="00616824">
              <w:rPr>
                <w:b w:val="0"/>
                <w:bCs w:val="0"/>
                <w:sz w:val="20"/>
                <w:szCs w:val="20"/>
              </w:rPr>
              <w:t xml:space="preserve"> the</w:t>
            </w:r>
            <w:r w:rsidR="004C49CD" w:rsidRPr="00616824">
              <w:rPr>
                <w:b w:val="0"/>
                <w:bCs w:val="0"/>
                <w:sz w:val="20"/>
                <w:szCs w:val="20"/>
              </w:rPr>
              <w:t xml:space="preserve"> extent of the</w:t>
            </w:r>
            <w:r w:rsidR="0015092C" w:rsidRPr="00616824">
              <w:rPr>
                <w:b w:val="0"/>
                <w:bCs w:val="0"/>
                <w:sz w:val="20"/>
                <w:szCs w:val="20"/>
              </w:rPr>
              <w:t xml:space="preserve"> coastal environment</w:t>
            </w:r>
            <w:r w:rsidR="00480972" w:rsidRPr="00616824">
              <w:rPr>
                <w:b w:val="0"/>
                <w:bCs w:val="0"/>
                <w:sz w:val="20"/>
                <w:szCs w:val="20"/>
              </w:rPr>
              <w:t xml:space="preserve"> and natural character </w:t>
            </w:r>
            <w:r w:rsidR="00616824">
              <w:rPr>
                <w:b w:val="0"/>
                <w:bCs w:val="0"/>
                <w:sz w:val="20"/>
                <w:szCs w:val="20"/>
              </w:rPr>
              <w:t xml:space="preserve">are </w:t>
            </w:r>
            <w:r w:rsidR="00480972" w:rsidRPr="00616824">
              <w:rPr>
                <w:b w:val="0"/>
                <w:bCs w:val="0"/>
                <w:sz w:val="20"/>
                <w:szCs w:val="20"/>
              </w:rPr>
              <w:t xml:space="preserve">not changed under Option </w:t>
            </w:r>
            <w:r w:rsidR="00CA5F34" w:rsidRPr="00616824">
              <w:rPr>
                <w:b w:val="0"/>
                <w:bCs w:val="0"/>
                <w:sz w:val="20"/>
                <w:szCs w:val="20"/>
              </w:rPr>
              <w:t>3.</w:t>
            </w:r>
            <w:r w:rsidR="00480972" w:rsidRPr="00616824">
              <w:rPr>
                <w:b w:val="0"/>
                <w:bCs w:val="0"/>
                <w:sz w:val="20"/>
                <w:szCs w:val="20"/>
              </w:rPr>
              <w:t xml:space="preserve"> Therefore, </w:t>
            </w:r>
            <w:r w:rsidR="00CB3B88" w:rsidRPr="00616824">
              <w:rPr>
                <w:b w:val="0"/>
                <w:bCs w:val="0"/>
                <w:sz w:val="20"/>
                <w:szCs w:val="20"/>
              </w:rPr>
              <w:t xml:space="preserve">current work to implement the PORPS 2019 </w:t>
            </w:r>
            <w:r w:rsidR="00587A76">
              <w:rPr>
                <w:b w:val="0"/>
                <w:bCs w:val="0"/>
                <w:sz w:val="20"/>
                <w:szCs w:val="20"/>
              </w:rPr>
              <w:t>is valid and does not need to be redone.</w:t>
            </w:r>
          </w:p>
          <w:p w14:paraId="2A4C0989" w14:textId="1B466C93" w:rsidR="00782582" w:rsidRPr="00616824" w:rsidRDefault="00782582"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The requirement for integrated management between local authorities to identify the extent and characteristics of the coastal environment, </w:t>
            </w:r>
            <w:r w:rsidR="005E6100" w:rsidRPr="00616824">
              <w:rPr>
                <w:b w:val="0"/>
                <w:bCs w:val="0"/>
                <w:sz w:val="20"/>
                <w:szCs w:val="20"/>
              </w:rPr>
              <w:t xml:space="preserve">and areas of natural character will reduce overall costs from unnecessary duplication of efforts. </w:t>
            </w:r>
          </w:p>
          <w:p w14:paraId="7622DB55" w14:textId="77777777" w:rsidR="00D12E4A" w:rsidRPr="00616824" w:rsidRDefault="00D12E4A"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lastRenderedPageBreak/>
              <w:t>Consistent criteria and direction across the region will reduce administrative costs and provide greater certainty for communities.</w:t>
            </w:r>
          </w:p>
          <w:p w14:paraId="7E4C848B" w14:textId="77777777" w:rsidR="006607B7" w:rsidRPr="00616824" w:rsidRDefault="003E08F6"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Protecting </w:t>
            </w:r>
            <w:r w:rsidR="000613F7" w:rsidRPr="00616824">
              <w:rPr>
                <w:b w:val="0"/>
                <w:bCs w:val="0"/>
                <w:sz w:val="20"/>
                <w:szCs w:val="20"/>
              </w:rPr>
              <w:t>values in Otago’s coastal environment will support industries that rely on them</w:t>
            </w:r>
            <w:r w:rsidR="00BB1022" w:rsidRPr="00616824">
              <w:rPr>
                <w:b w:val="0"/>
                <w:bCs w:val="0"/>
                <w:sz w:val="20"/>
                <w:szCs w:val="20"/>
              </w:rPr>
              <w:t xml:space="preserve"> (for example, tourism) and related employment opportunities. </w:t>
            </w:r>
          </w:p>
          <w:p w14:paraId="7397CE37" w14:textId="77777777" w:rsidR="00CE20F0" w:rsidRPr="00616824" w:rsidRDefault="00CE20F0"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 xml:space="preserve">Mapping areas provides certainty about where management approaches apply, potentially reducing the costs of processing and deciding resource consent applications. </w:t>
            </w:r>
          </w:p>
          <w:p w14:paraId="09EC4D9C" w14:textId="77777777" w:rsidR="00B70D3C" w:rsidRPr="00616824" w:rsidRDefault="00B70D3C" w:rsidP="00961D74">
            <w:pPr>
              <w:pStyle w:val="ListParagraph"/>
              <w:numPr>
                <w:ilvl w:val="0"/>
                <w:numId w:val="22"/>
              </w:numPr>
              <w:spacing w:before="60" w:after="60"/>
              <w:ind w:left="357" w:hanging="357"/>
              <w:contextualSpacing w:val="0"/>
              <w:rPr>
                <w:b w:val="0"/>
                <w:bCs w:val="0"/>
                <w:sz w:val="20"/>
                <w:szCs w:val="20"/>
              </w:rPr>
            </w:pPr>
            <w:r w:rsidRPr="00616824">
              <w:rPr>
                <w:b w:val="0"/>
                <w:bCs w:val="0"/>
                <w:sz w:val="20"/>
                <w:szCs w:val="20"/>
              </w:rPr>
              <w:t>Mapping areas provides certainty to landowners about the types of activities they can undertake on their properties.</w:t>
            </w:r>
          </w:p>
          <w:p w14:paraId="5A7E4F3B" w14:textId="77777777" w:rsidR="005E5D54" w:rsidRPr="00616824" w:rsidRDefault="005E5D54" w:rsidP="00961D74">
            <w:pPr>
              <w:pStyle w:val="ListParagraph"/>
              <w:numPr>
                <w:ilvl w:val="0"/>
                <w:numId w:val="22"/>
              </w:numPr>
              <w:spacing w:before="60" w:after="60"/>
              <w:ind w:left="357" w:hanging="357"/>
              <w:contextualSpacing w:val="0"/>
              <w:jc w:val="both"/>
              <w:rPr>
                <w:b w:val="0"/>
                <w:bCs w:val="0"/>
                <w:sz w:val="20"/>
                <w:szCs w:val="20"/>
              </w:rPr>
            </w:pPr>
            <w:r w:rsidRPr="00616824">
              <w:rPr>
                <w:b w:val="0"/>
                <w:bCs w:val="0"/>
                <w:sz w:val="20"/>
                <w:szCs w:val="20"/>
              </w:rPr>
              <w:t>Clear direction to provide for</w:t>
            </w:r>
            <w:r w:rsidR="005077AF" w:rsidRPr="00616824">
              <w:rPr>
                <w:b w:val="0"/>
                <w:bCs w:val="0"/>
                <w:sz w:val="20"/>
                <w:szCs w:val="20"/>
              </w:rPr>
              <w:t xml:space="preserve"> activities, including</w:t>
            </w:r>
            <w:r w:rsidRPr="00616824">
              <w:rPr>
                <w:b w:val="0"/>
                <w:bCs w:val="0"/>
                <w:sz w:val="20"/>
                <w:szCs w:val="20"/>
              </w:rPr>
              <w:t xml:space="preserve"> </w:t>
            </w:r>
            <w:r w:rsidR="006535CB" w:rsidRPr="00616824">
              <w:rPr>
                <w:b w:val="0"/>
                <w:bCs w:val="0"/>
                <w:sz w:val="20"/>
                <w:szCs w:val="20"/>
              </w:rPr>
              <w:t xml:space="preserve">port activities and </w:t>
            </w:r>
            <w:r w:rsidRPr="00616824">
              <w:rPr>
                <w:b w:val="0"/>
                <w:bCs w:val="0"/>
                <w:sz w:val="20"/>
                <w:szCs w:val="20"/>
              </w:rPr>
              <w:t>aquacultur</w:t>
            </w:r>
            <w:r w:rsidR="005077AF" w:rsidRPr="00616824">
              <w:rPr>
                <w:b w:val="0"/>
                <w:bCs w:val="0"/>
                <w:sz w:val="20"/>
                <w:szCs w:val="20"/>
              </w:rPr>
              <w:t xml:space="preserve">e, </w:t>
            </w:r>
            <w:r w:rsidRPr="00616824">
              <w:rPr>
                <w:b w:val="0"/>
                <w:bCs w:val="0"/>
                <w:sz w:val="20"/>
                <w:szCs w:val="20"/>
              </w:rPr>
              <w:t xml:space="preserve">will increase their economic viability and </w:t>
            </w:r>
            <w:r w:rsidR="00FF7CDD" w:rsidRPr="00616824">
              <w:rPr>
                <w:b w:val="0"/>
                <w:bCs w:val="0"/>
                <w:sz w:val="20"/>
                <w:szCs w:val="20"/>
              </w:rPr>
              <w:t xml:space="preserve">provide greater certainty for consenting processes. </w:t>
            </w:r>
          </w:p>
          <w:p w14:paraId="3D62BC2D" w14:textId="3A5142D9" w:rsidR="005E5D54" w:rsidRPr="00616824" w:rsidRDefault="005E5D54" w:rsidP="00961D74">
            <w:pPr>
              <w:pStyle w:val="ListParagraph"/>
              <w:spacing w:before="60" w:after="60"/>
              <w:ind w:left="357"/>
              <w:contextualSpacing w:val="0"/>
              <w:rPr>
                <w:b w:val="0"/>
                <w:bCs w:val="0"/>
                <w:sz w:val="20"/>
              </w:rPr>
            </w:pPr>
          </w:p>
        </w:tc>
        <w:tc>
          <w:tcPr>
            <w:tcW w:w="4508" w:type="dxa"/>
          </w:tcPr>
          <w:p w14:paraId="618A7CA9" w14:textId="0238503A" w:rsidR="00E22CD2" w:rsidRPr="00616824" w:rsidRDefault="009F6D42"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lastRenderedPageBreak/>
              <w:t>Identifying areas of natural character</w:t>
            </w:r>
            <w:r w:rsidR="00AD2870" w:rsidRPr="00616824">
              <w:rPr>
                <w:sz w:val="20"/>
                <w:szCs w:val="20"/>
              </w:rPr>
              <w:t>,</w:t>
            </w:r>
            <w:r w:rsidR="00AD2870" w:rsidRPr="00616824">
              <w:t xml:space="preserve"> </w:t>
            </w:r>
            <w:r w:rsidR="00AD2870" w:rsidRPr="00616824">
              <w:rPr>
                <w:sz w:val="20"/>
                <w:szCs w:val="20"/>
              </w:rPr>
              <w:t xml:space="preserve">significant indigenous vegetation and significant habitats of indigenous fauna, natural features, landscapes and </w:t>
            </w:r>
            <w:proofErr w:type="gramStart"/>
            <w:r w:rsidR="00AD2870" w:rsidRPr="00616824">
              <w:rPr>
                <w:sz w:val="20"/>
                <w:szCs w:val="20"/>
              </w:rPr>
              <w:t xml:space="preserve">seascapes, </w:t>
            </w:r>
            <w:r w:rsidRPr="00616824">
              <w:rPr>
                <w:sz w:val="20"/>
                <w:szCs w:val="20"/>
              </w:rPr>
              <w:t xml:space="preserve"> will</w:t>
            </w:r>
            <w:proofErr w:type="gramEnd"/>
            <w:r w:rsidRPr="00616824">
              <w:rPr>
                <w:sz w:val="20"/>
                <w:szCs w:val="20"/>
              </w:rPr>
              <w:t xml:space="preserve"> come at a cost for ORC and territorial authorities, however that cost is already required by the PORPS 2019, and some local authorities have already completed the identification process.</w:t>
            </w:r>
          </w:p>
          <w:p w14:paraId="7E9622D5" w14:textId="46777359" w:rsidR="00DF3BD6" w:rsidRPr="00616824" w:rsidRDefault="00412E36"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Identifying areas of degraded coastal water will come at a cost for ORC</w:t>
            </w:r>
            <w:r w:rsidR="00943704" w:rsidRPr="00616824">
              <w:rPr>
                <w:sz w:val="20"/>
                <w:szCs w:val="20"/>
              </w:rPr>
              <w:t xml:space="preserve">. Monitoring of </w:t>
            </w:r>
            <w:r w:rsidR="00B41945" w:rsidRPr="00616824">
              <w:rPr>
                <w:sz w:val="20"/>
                <w:szCs w:val="20"/>
              </w:rPr>
              <w:t xml:space="preserve">coastal </w:t>
            </w:r>
            <w:r w:rsidR="00943704" w:rsidRPr="00616824">
              <w:rPr>
                <w:sz w:val="20"/>
                <w:szCs w:val="20"/>
              </w:rPr>
              <w:t xml:space="preserve">water quality will likely be required </w:t>
            </w:r>
            <w:r w:rsidR="00B41945" w:rsidRPr="00616824">
              <w:rPr>
                <w:sz w:val="20"/>
                <w:szCs w:val="20"/>
              </w:rPr>
              <w:t xml:space="preserve">to track </w:t>
            </w:r>
            <w:r w:rsidR="00B41945" w:rsidRPr="00616824">
              <w:rPr>
                <w:sz w:val="20"/>
                <w:szCs w:val="20"/>
              </w:rPr>
              <w:lastRenderedPageBreak/>
              <w:t xml:space="preserve">progress </w:t>
            </w:r>
            <w:r w:rsidR="00943704" w:rsidRPr="00616824">
              <w:rPr>
                <w:sz w:val="20"/>
                <w:szCs w:val="20"/>
              </w:rPr>
              <w:t xml:space="preserve">which </w:t>
            </w:r>
            <w:r w:rsidR="005077AF" w:rsidRPr="00616824">
              <w:rPr>
                <w:sz w:val="20"/>
                <w:szCs w:val="20"/>
              </w:rPr>
              <w:t>will require ongoing</w:t>
            </w:r>
            <w:r w:rsidR="00B41945" w:rsidRPr="00616824">
              <w:rPr>
                <w:sz w:val="20"/>
                <w:szCs w:val="20"/>
              </w:rPr>
              <w:t xml:space="preserve"> cost</w:t>
            </w:r>
            <w:r w:rsidR="005077AF" w:rsidRPr="00616824">
              <w:rPr>
                <w:sz w:val="20"/>
                <w:szCs w:val="20"/>
              </w:rPr>
              <w:t>s</w:t>
            </w:r>
            <w:r w:rsidR="00607825" w:rsidRPr="00616824">
              <w:rPr>
                <w:sz w:val="20"/>
                <w:szCs w:val="20"/>
              </w:rPr>
              <w:t xml:space="preserve"> for ORC</w:t>
            </w:r>
            <w:r w:rsidR="00943704" w:rsidRPr="00616824">
              <w:rPr>
                <w:sz w:val="20"/>
                <w:szCs w:val="20"/>
              </w:rPr>
              <w:t xml:space="preserve">. </w:t>
            </w:r>
          </w:p>
          <w:p w14:paraId="52D46D69" w14:textId="6F90FE49" w:rsidR="00132480" w:rsidRPr="00616824" w:rsidRDefault="00132480"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 xml:space="preserve">Identifying regionally significant </w:t>
            </w:r>
            <w:r w:rsidR="00F31E91" w:rsidRPr="00616824">
              <w:rPr>
                <w:sz w:val="20"/>
                <w:szCs w:val="20"/>
              </w:rPr>
              <w:t>surf breaks</w:t>
            </w:r>
            <w:r w:rsidRPr="00616824">
              <w:rPr>
                <w:sz w:val="20"/>
                <w:szCs w:val="20"/>
              </w:rPr>
              <w:t xml:space="preserve"> </w:t>
            </w:r>
            <w:r w:rsidR="00F31E91" w:rsidRPr="00616824">
              <w:rPr>
                <w:sz w:val="20"/>
                <w:szCs w:val="20"/>
              </w:rPr>
              <w:t xml:space="preserve">will </w:t>
            </w:r>
            <w:r w:rsidRPr="00616824">
              <w:rPr>
                <w:sz w:val="20"/>
                <w:szCs w:val="20"/>
              </w:rPr>
              <w:t xml:space="preserve">come at a cost for ORC. </w:t>
            </w:r>
          </w:p>
          <w:p w14:paraId="48AEE718" w14:textId="1FE61D70" w:rsidR="009F6D42" w:rsidRPr="00616824" w:rsidRDefault="00D6627E"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Owners of land within areas of natural character</w:t>
            </w:r>
            <w:r w:rsidR="00B25588" w:rsidRPr="00616824">
              <w:rPr>
                <w:sz w:val="20"/>
                <w:szCs w:val="20"/>
              </w:rPr>
              <w:t xml:space="preserve">, </w:t>
            </w:r>
            <w:r w:rsidR="0070416D" w:rsidRPr="00616824">
              <w:rPr>
                <w:sz w:val="20"/>
                <w:szCs w:val="20"/>
              </w:rPr>
              <w:t xml:space="preserve">significant indigenous vegetation and significant habitats of indigenous fauna, natural features, </w:t>
            </w:r>
            <w:proofErr w:type="gramStart"/>
            <w:r w:rsidR="0070416D" w:rsidRPr="00616824">
              <w:rPr>
                <w:sz w:val="20"/>
                <w:szCs w:val="20"/>
              </w:rPr>
              <w:t>landscapes</w:t>
            </w:r>
            <w:proofErr w:type="gramEnd"/>
            <w:r w:rsidR="0070416D" w:rsidRPr="00616824">
              <w:rPr>
                <w:sz w:val="20"/>
                <w:szCs w:val="20"/>
              </w:rPr>
              <w:t xml:space="preserve"> and seascapes, </w:t>
            </w:r>
            <w:r w:rsidR="00B25588" w:rsidRPr="00616824">
              <w:rPr>
                <w:sz w:val="20"/>
                <w:szCs w:val="20"/>
              </w:rPr>
              <w:t xml:space="preserve">or </w:t>
            </w:r>
            <w:r w:rsidR="00417D5C" w:rsidRPr="00616824">
              <w:rPr>
                <w:sz w:val="20"/>
                <w:szCs w:val="20"/>
              </w:rPr>
              <w:t>in areas that contribute to degraded water quality,</w:t>
            </w:r>
            <w:r w:rsidR="00FE42B9" w:rsidRPr="00616824">
              <w:rPr>
                <w:sz w:val="20"/>
                <w:szCs w:val="20"/>
              </w:rPr>
              <w:t xml:space="preserve"> will be restricted in the ways they can use and develop their land. </w:t>
            </w:r>
          </w:p>
          <w:p w14:paraId="3AF2F172" w14:textId="43783075" w:rsidR="00CD30A0" w:rsidRPr="00616824" w:rsidRDefault="00CD30A0" w:rsidP="00961D74">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616824">
              <w:rPr>
                <w:sz w:val="20"/>
                <w:szCs w:val="20"/>
              </w:rPr>
              <w:t>Reduced flexibility in the range of possible land uses</w:t>
            </w:r>
            <w:r w:rsidR="0096646A" w:rsidRPr="00616824">
              <w:rPr>
                <w:sz w:val="20"/>
                <w:szCs w:val="20"/>
              </w:rPr>
              <w:t xml:space="preserve"> and activities in the coastal environment</w:t>
            </w:r>
            <w:r w:rsidRPr="00616824">
              <w:rPr>
                <w:sz w:val="20"/>
                <w:szCs w:val="20"/>
              </w:rPr>
              <w:t xml:space="preserve"> may negatively affect land values</w:t>
            </w:r>
            <w:r w:rsidR="002B491D" w:rsidRPr="00616824">
              <w:rPr>
                <w:sz w:val="20"/>
                <w:szCs w:val="20"/>
              </w:rPr>
              <w:t xml:space="preserve"> </w:t>
            </w:r>
            <w:r w:rsidR="00693870" w:rsidRPr="00616824">
              <w:rPr>
                <w:sz w:val="20"/>
                <w:szCs w:val="20"/>
              </w:rPr>
              <w:t>or limit productive uses of the coastal environment</w:t>
            </w:r>
            <w:r w:rsidRPr="00616824">
              <w:rPr>
                <w:sz w:val="20"/>
                <w:szCs w:val="20"/>
              </w:rPr>
              <w:t xml:space="preserve">. </w:t>
            </w:r>
          </w:p>
          <w:p w14:paraId="48C8F597" w14:textId="50644EF6" w:rsidR="00BB1022" w:rsidRPr="00A32A37" w:rsidRDefault="00BB1022" w:rsidP="00A32A37">
            <w:p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p>
        </w:tc>
      </w:tr>
      <w:bookmarkEnd w:id="79"/>
    </w:tbl>
    <w:p w14:paraId="49408ED5" w14:textId="61BA578E" w:rsidR="00512B36" w:rsidRDefault="00512B36" w:rsidP="00512B36"/>
    <w:p w14:paraId="4CB44E54" w14:textId="43B0253E" w:rsidR="00512B36" w:rsidRDefault="002D4170" w:rsidP="00A247C5">
      <w:pPr>
        <w:pStyle w:val="Normal2"/>
      </w:pPr>
      <w:r>
        <w:rPr>
          <w:highlight w:val="yellow"/>
        </w:rPr>
        <w:fldChar w:fldCharType="begin"/>
      </w:r>
      <w:r>
        <w:instrText xml:space="preserve"> REF _Ref53656309 \h </w:instrText>
      </w:r>
      <w:r>
        <w:rPr>
          <w:highlight w:val="yellow"/>
        </w:rPr>
      </w:r>
      <w:r>
        <w:rPr>
          <w:highlight w:val="yellow"/>
        </w:rPr>
        <w:fldChar w:fldCharType="separate"/>
      </w:r>
      <w:r w:rsidR="002A7A16">
        <w:t xml:space="preserve">Table </w:t>
      </w:r>
      <w:r w:rsidR="002A7A16">
        <w:rPr>
          <w:noProof/>
        </w:rPr>
        <w:t>33</w:t>
      </w:r>
      <w:r>
        <w:fldChar w:fldCharType="end"/>
      </w:r>
      <w:r>
        <w:t xml:space="preserve"> </w:t>
      </w:r>
      <w:r w:rsidR="00512B36">
        <w:t>below assesses the effectiveness and efficiency of the proposed provisions in achieving the objectives.</w:t>
      </w:r>
    </w:p>
    <w:p w14:paraId="6C955BB0" w14:textId="49F73672" w:rsidR="002D4170" w:rsidRPr="002D4170" w:rsidRDefault="002D4170" w:rsidP="002D4170">
      <w:pPr>
        <w:pStyle w:val="Caption"/>
      </w:pPr>
      <w:bookmarkStart w:id="81" w:name="_Ref53656309"/>
      <w:r>
        <w:t xml:space="preserve">Table </w:t>
      </w:r>
      <w:r>
        <w:fldChar w:fldCharType="begin"/>
      </w:r>
      <w:r>
        <w:instrText>SEQ Table \* ARABIC</w:instrText>
      </w:r>
      <w:r>
        <w:fldChar w:fldCharType="separate"/>
      </w:r>
      <w:r w:rsidR="002A7A16">
        <w:rPr>
          <w:noProof/>
        </w:rPr>
        <w:t>33</w:t>
      </w:r>
      <w:r>
        <w:fldChar w:fldCharType="end"/>
      </w:r>
      <w:bookmarkEnd w:id="81"/>
      <w:r>
        <w:t xml:space="preserve">: </w:t>
      </w:r>
      <w:r w:rsidRPr="00EA385B">
        <w:t>Efficiency and effectiveness evaluation for natural character in the coastal environment</w:t>
      </w:r>
    </w:p>
    <w:tbl>
      <w:tblPr>
        <w:tblW w:w="0" w:type="auto"/>
        <w:tblLook w:val="04A0" w:firstRow="1" w:lastRow="0" w:firstColumn="1" w:lastColumn="0" w:noHBand="0" w:noVBand="1"/>
      </w:tblPr>
      <w:tblGrid>
        <w:gridCol w:w="1413"/>
        <w:gridCol w:w="7603"/>
      </w:tblGrid>
      <w:tr w:rsidR="00DA6C0C" w:rsidRPr="00C767B5" w14:paraId="55AC8BF2" w14:textId="77777777" w:rsidTr="005C31F0">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18E4A424" w14:textId="77777777" w:rsidR="00DA6C0C" w:rsidRPr="00C767B5" w:rsidRDefault="00DA6C0C" w:rsidP="005C31F0">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11B2521D" w14:textId="30ABF7DE" w:rsidR="005819BC" w:rsidRDefault="0030592C" w:rsidP="005C31F0">
            <w:pPr>
              <w:jc w:val="both"/>
              <w:rPr>
                <w:sz w:val="20"/>
              </w:rPr>
            </w:pPr>
            <w:r>
              <w:rPr>
                <w:sz w:val="20"/>
              </w:rPr>
              <w:t xml:space="preserve">Identifying the extent and characteristics of the coastal environment, areas of high and outstanding natural character, </w:t>
            </w:r>
            <w:r w:rsidR="005743A5" w:rsidRPr="005743A5">
              <w:rPr>
                <w:sz w:val="20"/>
              </w:rPr>
              <w:t xml:space="preserve">significant indigenous vegetation and significant habitats of indigenous fauna, natural features, landscapes and seascapes, </w:t>
            </w:r>
            <w:r>
              <w:rPr>
                <w:sz w:val="20"/>
              </w:rPr>
              <w:t>areas of degraded coastal water</w:t>
            </w:r>
            <w:r w:rsidR="007164D1">
              <w:rPr>
                <w:sz w:val="20"/>
              </w:rPr>
              <w:t xml:space="preserve">, </w:t>
            </w:r>
            <w:r w:rsidR="00C95A0F">
              <w:rPr>
                <w:sz w:val="20"/>
              </w:rPr>
              <w:t>regionally significant surf breaks</w:t>
            </w:r>
            <w:r w:rsidR="00672ECD">
              <w:rPr>
                <w:sz w:val="20"/>
              </w:rPr>
              <w:t>,</w:t>
            </w:r>
            <w:r w:rsidR="00C95A0F">
              <w:rPr>
                <w:sz w:val="20"/>
              </w:rPr>
              <w:t xml:space="preserve"> </w:t>
            </w:r>
            <w:r w:rsidR="007164D1">
              <w:rPr>
                <w:sz w:val="20"/>
              </w:rPr>
              <w:t>and subsequent mapping,</w:t>
            </w:r>
            <w:r>
              <w:rPr>
                <w:sz w:val="20"/>
              </w:rPr>
              <w:t xml:space="preserve"> results in costs </w:t>
            </w:r>
            <w:r w:rsidR="00EB572A">
              <w:rPr>
                <w:sz w:val="20"/>
              </w:rPr>
              <w:t xml:space="preserve">for local authorities </w:t>
            </w:r>
            <w:r>
              <w:rPr>
                <w:sz w:val="20"/>
              </w:rPr>
              <w:t xml:space="preserve">but provides certainty about the extent of these areas, the values that </w:t>
            </w:r>
            <w:r w:rsidR="000C4BB4">
              <w:rPr>
                <w:sz w:val="20"/>
              </w:rPr>
              <w:t xml:space="preserve">they provide for, and where and how protection will </w:t>
            </w:r>
            <w:r w:rsidR="00EB572A">
              <w:rPr>
                <w:sz w:val="20"/>
              </w:rPr>
              <w:t>occu</w:t>
            </w:r>
            <w:r w:rsidR="005819BC">
              <w:rPr>
                <w:sz w:val="20"/>
              </w:rPr>
              <w:t>r</w:t>
            </w:r>
            <w:r w:rsidR="00AC351D">
              <w:rPr>
                <w:sz w:val="20"/>
              </w:rPr>
              <w:t>. The benefits in providing additional certainty about what is being managed</w:t>
            </w:r>
            <w:r w:rsidR="00055CB5">
              <w:rPr>
                <w:sz w:val="20"/>
              </w:rPr>
              <w:t xml:space="preserve"> is considered to outweigh the costs. Further, given that the identification </w:t>
            </w:r>
            <w:r w:rsidR="00CA72AE">
              <w:rPr>
                <w:sz w:val="20"/>
              </w:rPr>
              <w:t xml:space="preserve">criteria set out within the NZCPS </w:t>
            </w:r>
            <w:r w:rsidR="005819BC">
              <w:rPr>
                <w:sz w:val="20"/>
              </w:rPr>
              <w:t>are</w:t>
            </w:r>
            <w:r w:rsidR="00D04292">
              <w:rPr>
                <w:sz w:val="20"/>
              </w:rPr>
              <w:t xml:space="preserve"> unchanged from the status quo, there are efficiencies gained in that current or previous work completed by local authorities will not have to be redone. </w:t>
            </w:r>
          </w:p>
          <w:p w14:paraId="1679B1F4" w14:textId="5473429F" w:rsidR="00DA6C0C" w:rsidRPr="00C767B5" w:rsidRDefault="00792248" w:rsidP="005C31F0">
            <w:pPr>
              <w:jc w:val="both"/>
              <w:rPr>
                <w:sz w:val="20"/>
              </w:rPr>
            </w:pPr>
            <w:r>
              <w:rPr>
                <w:sz w:val="20"/>
              </w:rPr>
              <w:t>The policy direction in the rest of the chapter is not a significant change from the PORPS 201</w:t>
            </w:r>
            <w:r w:rsidR="001952A9">
              <w:rPr>
                <w:sz w:val="20"/>
              </w:rPr>
              <w:t>9</w:t>
            </w:r>
            <w:r>
              <w:rPr>
                <w:sz w:val="20"/>
              </w:rPr>
              <w:t xml:space="preserve"> but is considered more efficient due to improvements in clarity. </w:t>
            </w:r>
            <w:r w:rsidR="00941CE3">
              <w:rPr>
                <w:sz w:val="20"/>
              </w:rPr>
              <w:t xml:space="preserve">Broadly, </w:t>
            </w:r>
            <w:r w:rsidR="00D04292">
              <w:rPr>
                <w:sz w:val="20"/>
              </w:rPr>
              <w:t xml:space="preserve">Option </w:t>
            </w:r>
            <w:r w:rsidR="002F2B4E">
              <w:rPr>
                <w:sz w:val="20"/>
              </w:rPr>
              <w:t>3</w:t>
            </w:r>
            <w:r w:rsidR="00D04292">
              <w:rPr>
                <w:sz w:val="20"/>
              </w:rPr>
              <w:t xml:space="preserve"> is </w:t>
            </w:r>
            <w:r w:rsidR="00000C55">
              <w:rPr>
                <w:sz w:val="20"/>
              </w:rPr>
              <w:t xml:space="preserve">also </w:t>
            </w:r>
            <w:r w:rsidR="00D04292">
              <w:rPr>
                <w:sz w:val="20"/>
              </w:rPr>
              <w:t>more efficient than Option 1 (status quo) as it clearly specifies the</w:t>
            </w:r>
            <w:r w:rsidR="0054043A">
              <w:rPr>
                <w:sz w:val="20"/>
              </w:rPr>
              <w:t xml:space="preserve"> roles of the different local authorities and avoids potential uncertainties and inconsistencies during implementation, reducing the costs of </w:t>
            </w:r>
            <w:r w:rsidR="00000C55">
              <w:rPr>
                <w:sz w:val="20"/>
              </w:rPr>
              <w:t>achieving the objectives.</w:t>
            </w:r>
            <w:r w:rsidR="003A0FF0">
              <w:rPr>
                <w:sz w:val="20"/>
              </w:rPr>
              <w:t xml:space="preserve"> Option 3 is also considered to be more efficient than Option 2 on the basis that</w:t>
            </w:r>
            <w:r w:rsidR="004128EE">
              <w:rPr>
                <w:sz w:val="20"/>
              </w:rPr>
              <w:t xml:space="preserve"> </w:t>
            </w:r>
            <w:r w:rsidR="004128EE" w:rsidRPr="00A32A37">
              <w:rPr>
                <w:sz w:val="20"/>
              </w:rPr>
              <w:t xml:space="preserve">provisions </w:t>
            </w:r>
            <w:r w:rsidR="00327583" w:rsidRPr="00A32A37">
              <w:rPr>
                <w:sz w:val="20"/>
              </w:rPr>
              <w:t xml:space="preserve">are likely to be </w:t>
            </w:r>
            <w:r w:rsidR="004128EE" w:rsidRPr="00A32A37">
              <w:rPr>
                <w:sz w:val="20"/>
              </w:rPr>
              <w:t xml:space="preserve">easier to understand when the management of biodiversity and landscapes within the coastal environment </w:t>
            </w:r>
            <w:r w:rsidR="00327583" w:rsidRPr="00A32A37">
              <w:rPr>
                <w:sz w:val="20"/>
              </w:rPr>
              <w:t>are</w:t>
            </w:r>
            <w:r w:rsidR="004128EE" w:rsidRPr="00A32A37">
              <w:rPr>
                <w:sz w:val="20"/>
              </w:rPr>
              <w:t xml:space="preserve"> contained within the coastal chapter</w:t>
            </w:r>
            <w:r w:rsidR="00327583" w:rsidRPr="00A32A37">
              <w:rPr>
                <w:sz w:val="20"/>
              </w:rPr>
              <w:t xml:space="preserve">, </w:t>
            </w:r>
            <w:r w:rsidR="00D40F13" w:rsidRPr="00A32A37">
              <w:rPr>
                <w:sz w:val="20"/>
              </w:rPr>
              <w:t xml:space="preserve">so </w:t>
            </w:r>
            <w:r w:rsidR="00B40616" w:rsidRPr="00A32A37">
              <w:rPr>
                <w:sz w:val="20"/>
              </w:rPr>
              <w:t>there is a clear line of sight between the RPS and</w:t>
            </w:r>
            <w:r w:rsidR="00D40F13" w:rsidRPr="00A32A37">
              <w:rPr>
                <w:sz w:val="20"/>
              </w:rPr>
              <w:t xml:space="preserve"> the NZCPS</w:t>
            </w:r>
            <w:r w:rsidR="00B40616" w:rsidRPr="00A32A37">
              <w:rPr>
                <w:sz w:val="20"/>
              </w:rPr>
              <w:t>.</w:t>
            </w:r>
            <w:r w:rsidR="00D40F13">
              <w:t xml:space="preserve"> </w:t>
            </w:r>
          </w:p>
        </w:tc>
      </w:tr>
      <w:tr w:rsidR="00DA6C0C" w:rsidRPr="00C767B5" w14:paraId="7413E331" w14:textId="77777777" w:rsidTr="005C31F0">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781A67E" w14:textId="77777777" w:rsidR="00DA6C0C" w:rsidRPr="00C767B5" w:rsidRDefault="00DA6C0C" w:rsidP="005C31F0">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23DD18FA" w14:textId="52F90A9B" w:rsidR="00DA6C0C" w:rsidRPr="00C767B5" w:rsidRDefault="00B7682C" w:rsidP="005C31F0">
            <w:pPr>
              <w:jc w:val="both"/>
              <w:rPr>
                <w:sz w:val="20"/>
              </w:rPr>
            </w:pPr>
            <w:r>
              <w:rPr>
                <w:sz w:val="20"/>
              </w:rPr>
              <w:t>Clear direction on the mapping of</w:t>
            </w:r>
            <w:r w:rsidR="009D7D81">
              <w:rPr>
                <w:sz w:val="20"/>
              </w:rPr>
              <w:t xml:space="preserve"> the extent and characteristics of the coastal environment,</w:t>
            </w:r>
            <w:r>
              <w:rPr>
                <w:sz w:val="20"/>
              </w:rPr>
              <w:t xml:space="preserve"> </w:t>
            </w:r>
            <w:r w:rsidR="00BF75A9">
              <w:rPr>
                <w:sz w:val="20"/>
              </w:rPr>
              <w:t xml:space="preserve">high and </w:t>
            </w:r>
            <w:r w:rsidR="00FB52CA">
              <w:rPr>
                <w:sz w:val="20"/>
              </w:rPr>
              <w:t>outstanding natural character</w:t>
            </w:r>
            <w:r w:rsidR="009D7D81">
              <w:rPr>
                <w:sz w:val="20"/>
              </w:rPr>
              <w:t xml:space="preserve">, </w:t>
            </w:r>
            <w:r w:rsidR="00171FC8" w:rsidRPr="00171FC8">
              <w:rPr>
                <w:sz w:val="20"/>
              </w:rPr>
              <w:t xml:space="preserve">significant indigenous vegetation and significant habitats of indigenous fauna, natural features, landscapes and seascapes, </w:t>
            </w:r>
            <w:r w:rsidR="00112F12">
              <w:rPr>
                <w:sz w:val="20"/>
              </w:rPr>
              <w:t xml:space="preserve">regionally significant surf breaks, </w:t>
            </w:r>
            <w:r w:rsidR="009D7D81">
              <w:rPr>
                <w:sz w:val="20"/>
              </w:rPr>
              <w:t xml:space="preserve">and degraded coastal water </w:t>
            </w:r>
            <w:r w:rsidR="00FB52CA">
              <w:rPr>
                <w:sz w:val="20"/>
              </w:rPr>
              <w:t>will imp</w:t>
            </w:r>
            <w:r w:rsidR="00B03B6C">
              <w:rPr>
                <w:sz w:val="20"/>
              </w:rPr>
              <w:t xml:space="preserve">rove the certainty about their location and management approach to be applied, </w:t>
            </w:r>
            <w:r w:rsidR="00335991">
              <w:rPr>
                <w:sz w:val="20"/>
              </w:rPr>
              <w:t>increasing the certainty that the objectives will be met.</w:t>
            </w:r>
            <w:r w:rsidR="00AD239C">
              <w:rPr>
                <w:sz w:val="20"/>
              </w:rPr>
              <w:t xml:space="preserve"> Further, policy direction </w:t>
            </w:r>
            <w:r w:rsidR="00891BEB">
              <w:rPr>
                <w:sz w:val="20"/>
              </w:rPr>
              <w:t xml:space="preserve">on the management of natural character before identification in plans will ensure that </w:t>
            </w:r>
            <w:r w:rsidR="00CA17CC">
              <w:rPr>
                <w:sz w:val="20"/>
              </w:rPr>
              <w:t xml:space="preserve">any values within these areas are protected in </w:t>
            </w:r>
            <w:r w:rsidR="00CA17CC">
              <w:rPr>
                <w:sz w:val="20"/>
              </w:rPr>
              <w:lastRenderedPageBreak/>
              <w:t xml:space="preserve">the implementation phase of the </w:t>
            </w:r>
            <w:r w:rsidR="00E81F7F">
              <w:rPr>
                <w:sz w:val="20"/>
              </w:rPr>
              <w:t>PORPS 2021</w:t>
            </w:r>
            <w:r w:rsidR="00CA17CC">
              <w:rPr>
                <w:sz w:val="20"/>
              </w:rPr>
              <w:t xml:space="preserve">, </w:t>
            </w:r>
            <w:r w:rsidR="00C2342F">
              <w:rPr>
                <w:sz w:val="20"/>
              </w:rPr>
              <w:t>contributing to the achievement of Objectives CE</w:t>
            </w:r>
            <w:r w:rsidR="00533F00">
              <w:t>–</w:t>
            </w:r>
            <w:r w:rsidR="00C2342F">
              <w:rPr>
                <w:sz w:val="20"/>
              </w:rPr>
              <w:t>O1 and CE</w:t>
            </w:r>
            <w:r w:rsidR="00533F00">
              <w:t>–</w:t>
            </w:r>
            <w:r w:rsidR="00C2342F">
              <w:rPr>
                <w:sz w:val="20"/>
              </w:rPr>
              <w:t>O</w:t>
            </w:r>
            <w:r w:rsidR="005F12A0">
              <w:rPr>
                <w:sz w:val="20"/>
              </w:rPr>
              <w:t>5</w:t>
            </w:r>
            <w:r w:rsidR="00C2342F">
              <w:rPr>
                <w:sz w:val="20"/>
              </w:rPr>
              <w:t>.</w:t>
            </w:r>
            <w:r w:rsidR="00335991">
              <w:rPr>
                <w:sz w:val="20"/>
              </w:rPr>
              <w:t xml:space="preserve"> </w:t>
            </w:r>
            <w:r w:rsidR="009D7D81">
              <w:rPr>
                <w:sz w:val="20"/>
              </w:rPr>
              <w:t>A more focused approach to maintaining and/or improving water quality in specified areas will improve the implementation of the policies, which in turn improves the achievement of Objectives CE</w:t>
            </w:r>
            <w:r w:rsidR="00533F00">
              <w:t>–</w:t>
            </w:r>
            <w:r w:rsidR="009D7D81">
              <w:rPr>
                <w:sz w:val="20"/>
              </w:rPr>
              <w:t>O1 and CE</w:t>
            </w:r>
            <w:r w:rsidR="00533F00">
              <w:t>–</w:t>
            </w:r>
            <w:r w:rsidR="009D7D81">
              <w:rPr>
                <w:sz w:val="20"/>
              </w:rPr>
              <w:t xml:space="preserve">O2. </w:t>
            </w:r>
            <w:r w:rsidR="00D17088">
              <w:rPr>
                <w:sz w:val="20"/>
              </w:rPr>
              <w:t xml:space="preserve">Clarifying the specific roles and responsibilities of Otago’s local authorities </w:t>
            </w:r>
            <w:r w:rsidR="00EE09FD">
              <w:rPr>
                <w:sz w:val="20"/>
              </w:rPr>
              <w:t>will improve the implementation of the policies</w:t>
            </w:r>
            <w:r w:rsidR="009F2692">
              <w:rPr>
                <w:sz w:val="20"/>
              </w:rPr>
              <w:t>, which in turn improves the achievement of the objectives.</w:t>
            </w:r>
            <w:r w:rsidR="00AE6CDC">
              <w:rPr>
                <w:sz w:val="20"/>
              </w:rPr>
              <w:t xml:space="preserve"> Other than these matters, the policy direction is considered more effective than the status quo due to improvements in clarity and purpose.</w:t>
            </w:r>
          </w:p>
        </w:tc>
      </w:tr>
    </w:tbl>
    <w:p w14:paraId="2E091959" w14:textId="0C319B0B" w:rsidR="0027253C" w:rsidRDefault="00DA6C0C" w:rsidP="0082271A">
      <w:pPr>
        <w:pStyle w:val="Heading3"/>
      </w:pPr>
      <w:r>
        <w:lastRenderedPageBreak/>
        <w:t>Risk of acting or not acting</w:t>
      </w:r>
    </w:p>
    <w:p w14:paraId="56F22174" w14:textId="6A61C125" w:rsidR="009F52D7" w:rsidRPr="009F52D7" w:rsidRDefault="008439D6"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4D5DD4">
        <w:t xml:space="preserve"> </w:t>
      </w:r>
      <w:r w:rsidR="00292274">
        <w:t>In this case, there is limited</w:t>
      </w:r>
      <w:r w:rsidR="00533F00">
        <w:t xml:space="preserve"> recent</w:t>
      </w:r>
      <w:r w:rsidR="00292274">
        <w:t xml:space="preserve"> information about the coastal environment. </w:t>
      </w:r>
      <w:proofErr w:type="gramStart"/>
      <w:r w:rsidR="00292274">
        <w:t>In particular, there</w:t>
      </w:r>
      <w:proofErr w:type="gramEnd"/>
      <w:r w:rsidR="00292274">
        <w:t xml:space="preserve"> is uncertainty about </w:t>
      </w:r>
      <w:r w:rsidR="004D5DD4">
        <w:t>the extent of areas of high and outstanding natural character</w:t>
      </w:r>
      <w:r w:rsidR="00D35C1D">
        <w:t>,</w:t>
      </w:r>
      <w:r w:rsidR="006A626C">
        <w:t xml:space="preserve"> </w:t>
      </w:r>
      <w:r w:rsidR="00D35C1D">
        <w:t xml:space="preserve">degraded water quality </w:t>
      </w:r>
      <w:r w:rsidR="00181A7D">
        <w:t>in Otago</w:t>
      </w:r>
      <w:r w:rsidR="006A626C">
        <w:t xml:space="preserve"> and the appropriate locations for aquaculture</w:t>
      </w:r>
      <w:r w:rsidR="00181A7D">
        <w:t xml:space="preserve">. </w:t>
      </w:r>
      <w:r w:rsidR="00DA6FE4">
        <w:t>This means that</w:t>
      </w:r>
      <w:r w:rsidR="00E94517">
        <w:t xml:space="preserve"> there</w:t>
      </w:r>
      <w:r w:rsidR="00DA6FE4">
        <w:t xml:space="preserve"> is some </w:t>
      </w:r>
      <w:r w:rsidR="000C5EED">
        <w:t>uncertainty about the areas these provisions will apply to and therefore the level of restriction on subdivision, use or development.</w:t>
      </w:r>
      <w:r w:rsidR="004D5DD4">
        <w:t xml:space="preserve"> </w:t>
      </w:r>
    </w:p>
    <w:p w14:paraId="36FB9DD0" w14:textId="56CF243E" w:rsidR="005E13E2" w:rsidRDefault="00BD749F" w:rsidP="00A247C5">
      <w:pPr>
        <w:pStyle w:val="Normal2"/>
      </w:pPr>
      <w:r>
        <w:t xml:space="preserve">The risk of acting or not acting </w:t>
      </w:r>
      <w:proofErr w:type="gramStart"/>
      <w:r>
        <w:t>is considered to be</w:t>
      </w:r>
      <w:proofErr w:type="gramEnd"/>
      <w:r>
        <w:t xml:space="preserve"> </w:t>
      </w:r>
      <w:r w:rsidR="00FD625D">
        <w:t xml:space="preserve">largely the same under both options as the </w:t>
      </w:r>
      <w:r>
        <w:t>PORPS</w:t>
      </w:r>
      <w:r w:rsidR="006B5DA6">
        <w:t xml:space="preserve"> </w:t>
      </w:r>
      <w:r>
        <w:t>2019 requires identification of the</w:t>
      </w:r>
      <w:r w:rsidR="00FD625D">
        <w:t>se</w:t>
      </w:r>
      <w:r>
        <w:t xml:space="preserve"> areas based on the same </w:t>
      </w:r>
      <w:r w:rsidR="00FD625D">
        <w:t xml:space="preserve">criteria and </w:t>
      </w:r>
      <w:r>
        <w:t xml:space="preserve">amount of information. </w:t>
      </w:r>
      <w:r w:rsidR="00B053E2">
        <w:t xml:space="preserve">Despite the lack of information, </w:t>
      </w:r>
      <w:r w:rsidR="000F25F2">
        <w:t xml:space="preserve">identifying these areas is an important </w:t>
      </w:r>
      <w:r w:rsidR="006D1972">
        <w:t>step towards implementing the NZCPS so it is considered appropriate to act in this case.</w:t>
      </w:r>
    </w:p>
    <w:p w14:paraId="46F134F3" w14:textId="03C0E066" w:rsidR="001C4A3F" w:rsidRDefault="001C4A3F" w:rsidP="0082271A">
      <w:pPr>
        <w:pStyle w:val="Heading3"/>
      </w:pPr>
      <w:r>
        <w:t>Conclusion</w:t>
      </w:r>
    </w:p>
    <w:p w14:paraId="68632431" w14:textId="4C7548FD" w:rsidR="00E77AE2" w:rsidRPr="00C0590D" w:rsidRDefault="00B331AF" w:rsidP="00A247C5">
      <w:pPr>
        <w:pStyle w:val="Normal2"/>
      </w:pPr>
      <w:r>
        <w:t>T</w:t>
      </w:r>
      <w:r w:rsidR="008157B9">
        <w:t xml:space="preserve">he proposed policy approach in the </w:t>
      </w:r>
      <w:r w:rsidR="00E81F7F">
        <w:t>PORPS 2021</w:t>
      </w:r>
      <w:r w:rsidR="008157B9">
        <w:t xml:space="preserve"> </w:t>
      </w:r>
      <w:r w:rsidR="00B76D92">
        <w:t xml:space="preserve">is not significantly different to that included in the PORPS 2019. However, the provisions are clearer, implement </w:t>
      </w:r>
      <w:r w:rsidR="002638D8">
        <w:t xml:space="preserve">the Planning Standards, and give </w:t>
      </w:r>
      <w:r w:rsidR="006D1972">
        <w:t xml:space="preserve">better </w:t>
      </w:r>
      <w:r w:rsidR="002638D8">
        <w:t>effect to the NZCPS</w:t>
      </w:r>
      <w:r w:rsidR="00CA502B">
        <w:t xml:space="preserve"> </w:t>
      </w:r>
      <w:r w:rsidR="00222BEE">
        <w:t>and</w:t>
      </w:r>
      <w:r w:rsidR="00D13B29">
        <w:t xml:space="preserve"> other</w:t>
      </w:r>
      <w:r w:rsidR="00222BEE">
        <w:t xml:space="preserve"> national policy statements</w:t>
      </w:r>
      <w:r w:rsidR="002638D8">
        <w:t xml:space="preserve">. </w:t>
      </w:r>
      <w:r w:rsidR="00A51592">
        <w:t xml:space="preserve">Some </w:t>
      </w:r>
      <w:r w:rsidR="00862978">
        <w:t xml:space="preserve">additions </w:t>
      </w:r>
      <w:r w:rsidR="00AF2DFF">
        <w:t xml:space="preserve">to the </w:t>
      </w:r>
      <w:r w:rsidR="00B526B8">
        <w:t>policy direction</w:t>
      </w:r>
      <w:r w:rsidR="00BF5F28">
        <w:t xml:space="preserve"> are included to ensure that the roles and responsibilities of different local authorities are clearly set out, </w:t>
      </w:r>
      <w:r w:rsidR="00AD1723">
        <w:t>alongside</w:t>
      </w:r>
      <w:r w:rsidR="00BF5F28">
        <w:t xml:space="preserve"> an integrated approach </w:t>
      </w:r>
      <w:r w:rsidR="00AD1723">
        <w:t>for</w:t>
      </w:r>
      <w:r w:rsidR="00BF5F28">
        <w:t xml:space="preserve"> </w:t>
      </w:r>
      <w:r w:rsidR="009B4550">
        <w:t xml:space="preserve">the management of the coastal </w:t>
      </w:r>
      <w:proofErr w:type="gramStart"/>
      <w:r w:rsidR="009B4550">
        <w:t>environment as a whole</w:t>
      </w:r>
      <w:proofErr w:type="gramEnd"/>
      <w:r w:rsidR="009B4550">
        <w:t xml:space="preserve">. </w:t>
      </w:r>
      <w:r w:rsidR="00301999">
        <w:t xml:space="preserve">Overall, the </w:t>
      </w:r>
      <w:r w:rsidR="00E81F7F">
        <w:t>PORPS 2021</w:t>
      </w:r>
      <w:r w:rsidR="00301999">
        <w:t xml:space="preserve"> provisions are </w:t>
      </w:r>
      <w:r w:rsidR="00E20807">
        <w:t xml:space="preserve">generally more efficient than the status quo and more effective at achieving the objectives </w:t>
      </w:r>
      <w:r w:rsidR="006C0CD3">
        <w:t xml:space="preserve">of the </w:t>
      </w:r>
      <w:r w:rsidR="00E81F7F">
        <w:t>PORPS 2021</w:t>
      </w:r>
      <w:r w:rsidR="006C0CD3">
        <w:t xml:space="preserve">. </w:t>
      </w:r>
      <w:r w:rsidR="00AA6513">
        <w:t xml:space="preserve"> </w:t>
      </w:r>
    </w:p>
    <w:p w14:paraId="77C21384" w14:textId="77777777" w:rsidR="00FB03A6" w:rsidRDefault="00FB03A6">
      <w:pPr>
        <w:rPr>
          <w:rFonts w:asciiTheme="majorHAnsi" w:eastAsiaTheme="majorEastAsia" w:hAnsiTheme="majorHAnsi" w:cstheme="majorBidi"/>
          <w:color w:val="2F5496" w:themeColor="accent1" w:themeShade="BF"/>
          <w:sz w:val="26"/>
          <w:szCs w:val="26"/>
        </w:rPr>
      </w:pPr>
      <w:r>
        <w:br w:type="page"/>
      </w:r>
    </w:p>
    <w:p w14:paraId="77D0AAEE" w14:textId="1AD0BDEB" w:rsidR="00E9552F" w:rsidRDefault="00A97861" w:rsidP="000F043E">
      <w:pPr>
        <w:pStyle w:val="Heading2"/>
        <w:shd w:val="clear" w:color="auto" w:fill="DEEAF6" w:themeFill="accent5" w:themeFillTint="33"/>
      </w:pPr>
      <w:bookmarkStart w:id="82" w:name="_Ref72323177"/>
      <w:bookmarkStart w:id="83" w:name="_Ref72325325"/>
      <w:bookmarkStart w:id="84" w:name="_Ref72325873"/>
      <w:bookmarkStart w:id="85" w:name="_Ref72327279"/>
      <w:bookmarkStart w:id="86" w:name="_Toc72507640"/>
      <w:r>
        <w:lastRenderedPageBreak/>
        <w:t xml:space="preserve">LF – </w:t>
      </w:r>
      <w:r w:rsidR="00E9552F">
        <w:t>Land and fresh water</w:t>
      </w:r>
      <w:bookmarkEnd w:id="82"/>
      <w:bookmarkEnd w:id="83"/>
      <w:bookmarkEnd w:id="84"/>
      <w:bookmarkEnd w:id="85"/>
      <w:bookmarkEnd w:id="86"/>
    </w:p>
    <w:p w14:paraId="6909614C" w14:textId="2A361F02" w:rsidR="006B70B6" w:rsidRPr="004F0EBE" w:rsidRDefault="00E9552F" w:rsidP="000F043E">
      <w:pPr>
        <w:pStyle w:val="Heading3"/>
        <w:shd w:val="clear" w:color="auto" w:fill="DEEAF6" w:themeFill="accent5" w:themeFillTint="33"/>
      </w:pPr>
      <w:r w:rsidRPr="00D3206A">
        <w:t>Introduction</w:t>
      </w:r>
    </w:p>
    <w:p w14:paraId="4EA373D5" w14:textId="170B8B93" w:rsidR="00FB03A6" w:rsidRDefault="00CE3202" w:rsidP="000F043E">
      <w:pPr>
        <w:pStyle w:val="Normal2"/>
        <w:shd w:val="clear" w:color="auto" w:fill="DEEAF6" w:themeFill="accent5" w:themeFillTint="33"/>
      </w:pPr>
      <w:r>
        <w:t xml:space="preserve">The health of freshwater is vital for the health of our environment, </w:t>
      </w:r>
      <w:proofErr w:type="gramStart"/>
      <w:r>
        <w:t>people</w:t>
      </w:r>
      <w:proofErr w:type="gramEnd"/>
      <w:r>
        <w:t xml:space="preserve"> and economy. It is at the heart of our culture and identity. Nationally, </w:t>
      </w:r>
      <w:r w:rsidR="00CB424B">
        <w:t xml:space="preserve">including </w:t>
      </w:r>
      <w:r>
        <w:t xml:space="preserve">in parts of Otago, freshwater is facing significant pressure. Population growth and land-use intensification in urban and rural environments has increased demand for water for drinking water, </w:t>
      </w:r>
      <w:proofErr w:type="gramStart"/>
      <w:r>
        <w:t>irrigation</w:t>
      </w:r>
      <w:proofErr w:type="gramEnd"/>
      <w:r>
        <w:t xml:space="preserve"> and other economic uses. It has also impacted on the quality of our water, increasing contamination such as by nutrients and sediment and harming ecosystems. In Otago, there are </w:t>
      </w:r>
      <w:proofErr w:type="gramStart"/>
      <w:r>
        <w:t>particular challenges</w:t>
      </w:r>
      <w:proofErr w:type="gramEnd"/>
      <w:r>
        <w:t xml:space="preserve"> arising from extensive and unregulated historic water use associated with mining privileges. </w:t>
      </w:r>
    </w:p>
    <w:p w14:paraId="32F4333B" w14:textId="4125B1DF" w:rsidR="00471176" w:rsidRPr="00471176" w:rsidRDefault="00471176" w:rsidP="000F043E">
      <w:pPr>
        <w:pStyle w:val="Normal2"/>
        <w:shd w:val="clear" w:color="auto" w:fill="DEEAF6" w:themeFill="accent5" w:themeFillTint="33"/>
        <w:rPr>
          <w:lang w:val="en-MY"/>
        </w:rPr>
      </w:pPr>
      <w:r>
        <w:t xml:space="preserve">Agricultural, forestry and fishing </w:t>
      </w:r>
      <w:proofErr w:type="gramStart"/>
      <w:r>
        <w:t>is</w:t>
      </w:r>
      <w:proofErr w:type="gramEnd"/>
      <w:r>
        <w:t xml:space="preserve"> the second largest industry in Otago at 6.6% of GDP.</w:t>
      </w:r>
      <w:r>
        <w:rPr>
          <w:rStyle w:val="FootnoteReference"/>
          <w:rFonts w:ascii="Calibri" w:hAnsi="Calibri" w:cs="Calibri"/>
          <w:lang w:val="en-MY"/>
        </w:rPr>
        <w:footnoteReference w:id="28"/>
      </w:r>
      <w:r>
        <w:t xml:space="preserve"> </w:t>
      </w:r>
      <w:r w:rsidRPr="001C5E1F">
        <w:rPr>
          <w:lang w:val="en-MY"/>
        </w:rPr>
        <w:t>Otago’s primary sector</w:t>
      </w:r>
      <w:r w:rsidRPr="001C5E1F">
        <w:rPr>
          <w:vertAlign w:val="superscript"/>
          <w:lang w:val="en-MY"/>
        </w:rPr>
        <w:footnoteReference w:id="29"/>
      </w:r>
      <w:r w:rsidRPr="001C5E1F">
        <w:rPr>
          <w:lang w:val="en-MY"/>
        </w:rPr>
        <w:t xml:space="preserve"> is relatively big compared to New Zealand average. In 2020, 11.2% of the region’s GDP was attributable to the primary industry; in comparison the figure was 6.2% for New Zealand. When measured by employment, 7.9% of total employment in Otago was attributable to the primary industries; in comparison the figure was 5.7% for New Zealand.</w:t>
      </w:r>
      <w:r>
        <w:rPr>
          <w:lang w:val="en-MY"/>
        </w:rPr>
        <w:t xml:space="preserve"> Primary industries rely heavily on land, </w:t>
      </w:r>
      <w:proofErr w:type="gramStart"/>
      <w:r>
        <w:rPr>
          <w:lang w:val="en-MY"/>
        </w:rPr>
        <w:t>soil</w:t>
      </w:r>
      <w:proofErr w:type="gramEnd"/>
      <w:r>
        <w:rPr>
          <w:lang w:val="en-MY"/>
        </w:rPr>
        <w:t xml:space="preserve"> and water resources</w:t>
      </w:r>
      <w:r w:rsidR="00697318">
        <w:rPr>
          <w:lang w:val="en-MY"/>
        </w:rPr>
        <w:t>,</w:t>
      </w:r>
      <w:r>
        <w:rPr>
          <w:lang w:val="en-MY"/>
        </w:rPr>
        <w:t xml:space="preserve"> but can have adverse effects on them.</w:t>
      </w:r>
    </w:p>
    <w:p w14:paraId="56601730" w14:textId="3F585238" w:rsidR="00FB03A6" w:rsidRDefault="00274D18" w:rsidP="000F043E">
      <w:pPr>
        <w:pStyle w:val="Normal2"/>
        <w:shd w:val="clear" w:color="auto" w:fill="DEEAF6" w:themeFill="accent5" w:themeFillTint="33"/>
      </w:pPr>
      <w:r>
        <w:t>Since the PORPS 2019 w</w:t>
      </w:r>
      <w:r w:rsidR="00F42A4B">
        <w:t>as</w:t>
      </w:r>
      <w:r>
        <w:t xml:space="preserve"> written, there ha</w:t>
      </w:r>
      <w:r w:rsidR="005A2E2B">
        <w:t>ve</w:t>
      </w:r>
      <w:r>
        <w:t xml:space="preserve"> been significant change</w:t>
      </w:r>
      <w:r w:rsidR="005A2E2B">
        <w:t>s</w:t>
      </w:r>
      <w:r>
        <w:t xml:space="preserve"> in the regulatory and policy environment for freshwater management. Nationally, there is a new NPSFM</w:t>
      </w:r>
      <w:r w:rsidR="001229F4">
        <w:t xml:space="preserve">, </w:t>
      </w:r>
      <w:r w:rsidR="006F26D0">
        <w:t>NESF</w:t>
      </w:r>
      <w:r w:rsidR="001229F4">
        <w:t xml:space="preserve"> and </w:t>
      </w:r>
      <w:r w:rsidR="00CB424B">
        <w:t xml:space="preserve">Resource Management (Stock Exclusion) Regulations </w:t>
      </w:r>
      <w:r w:rsidR="001229F4">
        <w:t xml:space="preserve">that collectively </w:t>
      </w:r>
      <w:r w:rsidR="001D1EE4">
        <w:t>increase the focus on the ecological health of freshwater bodies and control activities known to have detrimental effects on water quality. In Otago, the investigation by Prof</w:t>
      </w:r>
      <w:r w:rsidR="00CB424B">
        <w:t>essor</w:t>
      </w:r>
      <w:r w:rsidR="001D1EE4">
        <w:t xml:space="preserve"> Skelton on behalf of the Minister for the Environment found that the current planning framework is deficient</w:t>
      </w:r>
      <w:r w:rsidR="00F43D36">
        <w:t xml:space="preserve"> and needs to be replaced</w:t>
      </w:r>
      <w:r w:rsidR="003B374E">
        <w:t xml:space="preserve"> (see Appendix 1)</w:t>
      </w:r>
      <w:r w:rsidR="00F43D36">
        <w:t>. As outlined in the findings of that investigation, the PORPS 2021 is the primary vehicle for setting out the region-wide framework for managing freshwater.</w:t>
      </w:r>
    </w:p>
    <w:p w14:paraId="52EB8650" w14:textId="74E049BC" w:rsidR="000227B6" w:rsidRDefault="005A2E2B" w:rsidP="000F043E">
      <w:pPr>
        <w:pStyle w:val="Normal2"/>
        <w:shd w:val="clear" w:color="auto" w:fill="DEEAF6" w:themeFill="accent5" w:themeFillTint="33"/>
      </w:pPr>
      <w:r>
        <w:t xml:space="preserve">This </w:t>
      </w:r>
      <w:r w:rsidR="000227B6">
        <w:t xml:space="preserve">chapter has four sections: </w:t>
      </w:r>
      <w:r w:rsidR="009C04A0">
        <w:t>LF–</w:t>
      </w:r>
      <w:r w:rsidR="000227B6">
        <w:t xml:space="preserve">WAI – Te Mana o </w:t>
      </w:r>
      <w:r w:rsidR="001C1090">
        <w:t>t</w:t>
      </w:r>
      <w:r w:rsidR="000227B6">
        <w:t xml:space="preserve">e Wai, </w:t>
      </w:r>
      <w:r w:rsidR="009C04A0">
        <w:t>LF–</w:t>
      </w:r>
      <w:r w:rsidR="00244428">
        <w:t xml:space="preserve">VM – Visions and </w:t>
      </w:r>
      <w:r w:rsidR="00A23A07">
        <w:t>m</w:t>
      </w:r>
      <w:r w:rsidR="00244428">
        <w:t>anagement</w:t>
      </w:r>
      <w:r w:rsidR="00A23A07">
        <w:t xml:space="preserve">, </w:t>
      </w:r>
      <w:r w:rsidR="009C04A0">
        <w:t>LF–</w:t>
      </w:r>
      <w:r w:rsidR="00A23A07">
        <w:t xml:space="preserve">FW – Freshwater and </w:t>
      </w:r>
      <w:r w:rsidR="009C04A0">
        <w:t>LF–</w:t>
      </w:r>
      <w:r w:rsidR="00A23A07">
        <w:t xml:space="preserve">LS – Land and soils. </w:t>
      </w:r>
      <w:r w:rsidR="00677106">
        <w:t>The</w:t>
      </w:r>
      <w:r w:rsidR="00C171D6">
        <w:t xml:space="preserve"> LF–VM, LF–FW and LF–LS</w:t>
      </w:r>
      <w:r w:rsidR="00CD7944">
        <w:t xml:space="preserve"> </w:t>
      </w:r>
      <w:r w:rsidR="00677106">
        <w:t xml:space="preserve">sections </w:t>
      </w:r>
      <w:r w:rsidR="00CD7944">
        <w:t>must give effect to the objectives and policies in LF–WAI.</w:t>
      </w:r>
      <w:r w:rsidR="003D38AD">
        <w:t xml:space="preserve"> This is in accordance with </w:t>
      </w:r>
      <w:r w:rsidR="00677106">
        <w:t xml:space="preserve">Policy 1 of the NPSFM which requires freshwater management to give effect to Te Mana o </w:t>
      </w:r>
      <w:r w:rsidR="001C1090">
        <w:t>t</w:t>
      </w:r>
      <w:r w:rsidR="00677106">
        <w:t>e Wai.</w:t>
      </w:r>
      <w:r w:rsidR="00EE6BCA">
        <w:t xml:space="preserve"> Unlike other chapters of this RPS with multiple sections, the evaluation of the LF chapter </w:t>
      </w:r>
      <w:r w:rsidR="00495E6F">
        <w:t xml:space="preserve">has been undertaken across the </w:t>
      </w:r>
      <w:proofErr w:type="gramStart"/>
      <w:r w:rsidR="00495E6F">
        <w:t>chapter as a whole</w:t>
      </w:r>
      <w:proofErr w:type="gramEnd"/>
      <w:r w:rsidR="00495E6F">
        <w:t>. This is because the sections are interconnected and work together to achieve common objectives.</w:t>
      </w:r>
    </w:p>
    <w:p w14:paraId="2414274B" w14:textId="06DFD00A" w:rsidR="006F2BD7" w:rsidRDefault="00B64B72" w:rsidP="000F043E">
      <w:pPr>
        <w:pStyle w:val="Normal2"/>
        <w:shd w:val="clear" w:color="auto" w:fill="DEEAF6" w:themeFill="accent5" w:themeFillTint="33"/>
      </w:pPr>
      <w:r>
        <w:t xml:space="preserve">The </w:t>
      </w:r>
      <w:r w:rsidR="006F2BD7">
        <w:t>relevant provisions for this section are:</w:t>
      </w:r>
    </w:p>
    <w:p w14:paraId="533CD697" w14:textId="1EC57CDE" w:rsidR="006473AA" w:rsidRPr="001C1090" w:rsidRDefault="006473AA" w:rsidP="000F043E">
      <w:pPr>
        <w:pStyle w:val="Normal2"/>
        <w:numPr>
          <w:ilvl w:val="0"/>
          <w:numId w:val="0"/>
        </w:numPr>
        <w:shd w:val="clear" w:color="auto" w:fill="DEEAF6" w:themeFill="accent5" w:themeFillTint="33"/>
        <w:ind w:left="709"/>
        <w:rPr>
          <w:u w:val="single"/>
        </w:rPr>
      </w:pPr>
      <w:r w:rsidRPr="001C1090">
        <w:rPr>
          <w:u w:val="single"/>
        </w:rPr>
        <w:t xml:space="preserve">LF–WAI – Te Mana o </w:t>
      </w:r>
      <w:r w:rsidR="001C1090" w:rsidRPr="001C1090">
        <w:rPr>
          <w:u w:val="single"/>
        </w:rPr>
        <w:t>t</w:t>
      </w:r>
      <w:r w:rsidRPr="001C1090">
        <w:rPr>
          <w:u w:val="single"/>
        </w:rPr>
        <w:t>e Wai</w:t>
      </w:r>
    </w:p>
    <w:p w14:paraId="2DDF27E7" w14:textId="6A090D9B" w:rsidR="00066C7F" w:rsidRDefault="00066C7F" w:rsidP="000F043E">
      <w:pPr>
        <w:pStyle w:val="Normal3"/>
        <w:shd w:val="clear" w:color="auto" w:fill="DEEAF6" w:themeFill="accent5" w:themeFillTint="33"/>
      </w:pPr>
      <w:r>
        <w:t xml:space="preserve">LF–WAI–P1 – Prioritisation </w:t>
      </w:r>
    </w:p>
    <w:p w14:paraId="785BF2E9" w14:textId="184D44BE" w:rsidR="00066C7F" w:rsidRDefault="00066C7F" w:rsidP="000F043E">
      <w:pPr>
        <w:pStyle w:val="Normal3"/>
        <w:shd w:val="clear" w:color="auto" w:fill="DEEAF6" w:themeFill="accent5" w:themeFillTint="33"/>
      </w:pPr>
      <w:r>
        <w:t xml:space="preserve">LF–WAI–P2 – Mana </w:t>
      </w:r>
      <w:proofErr w:type="spellStart"/>
      <w:r>
        <w:t>whakahaere</w:t>
      </w:r>
      <w:proofErr w:type="spellEnd"/>
    </w:p>
    <w:p w14:paraId="6752F806" w14:textId="25AE1EF1" w:rsidR="00066C7F" w:rsidRDefault="00066C7F" w:rsidP="000F043E">
      <w:pPr>
        <w:pStyle w:val="Normal3"/>
        <w:shd w:val="clear" w:color="auto" w:fill="DEEAF6" w:themeFill="accent5" w:themeFillTint="33"/>
      </w:pPr>
      <w:r>
        <w:t>LF–WAI–P3 – Integrated management / ki uta ki tai</w:t>
      </w:r>
    </w:p>
    <w:p w14:paraId="23E5C291" w14:textId="176B3063" w:rsidR="00066C7F" w:rsidRDefault="00066C7F" w:rsidP="000F043E">
      <w:pPr>
        <w:pStyle w:val="Normal3"/>
        <w:shd w:val="clear" w:color="auto" w:fill="DEEAF6" w:themeFill="accent5" w:themeFillTint="33"/>
      </w:pPr>
      <w:r>
        <w:t xml:space="preserve">LF–WAI–P4 – Giving effect to Te Mana o </w:t>
      </w:r>
      <w:r w:rsidR="001C1090">
        <w:t>t</w:t>
      </w:r>
      <w:r>
        <w:t>e Wai</w:t>
      </w:r>
    </w:p>
    <w:p w14:paraId="7F726954" w14:textId="4DF47C94" w:rsidR="00066C7F" w:rsidRDefault="00066C7F" w:rsidP="000F043E">
      <w:pPr>
        <w:pStyle w:val="Normal3"/>
        <w:shd w:val="clear" w:color="auto" w:fill="DEEAF6" w:themeFill="accent5" w:themeFillTint="33"/>
      </w:pPr>
      <w:r>
        <w:t>LF–WAI–M1 – Mana whenua involvement</w:t>
      </w:r>
    </w:p>
    <w:p w14:paraId="2EB1E3E4" w14:textId="6A07C138" w:rsidR="00066C7F" w:rsidRDefault="00066C7F" w:rsidP="000F043E">
      <w:pPr>
        <w:pStyle w:val="Normal3"/>
        <w:shd w:val="clear" w:color="auto" w:fill="DEEAF6" w:themeFill="accent5" w:themeFillTint="33"/>
        <w:spacing w:before="0"/>
        <w:contextualSpacing w:val="0"/>
      </w:pPr>
      <w:r>
        <w:lastRenderedPageBreak/>
        <w:t>LF–WAI–M2 – Other methods</w:t>
      </w:r>
    </w:p>
    <w:p w14:paraId="4E1B6310" w14:textId="0F8B1CFC" w:rsidR="00066C7F" w:rsidRPr="001C1090" w:rsidRDefault="00066C7F" w:rsidP="000F043E">
      <w:pPr>
        <w:pStyle w:val="Normal3"/>
        <w:numPr>
          <w:ilvl w:val="0"/>
          <w:numId w:val="0"/>
        </w:numPr>
        <w:shd w:val="clear" w:color="auto" w:fill="DEEAF6" w:themeFill="accent5" w:themeFillTint="33"/>
        <w:ind w:left="709"/>
        <w:contextualSpacing w:val="0"/>
        <w:rPr>
          <w:u w:val="single"/>
        </w:rPr>
      </w:pPr>
      <w:r w:rsidRPr="001C1090">
        <w:rPr>
          <w:u w:val="single"/>
        </w:rPr>
        <w:t xml:space="preserve">LF–VM – Visions and </w:t>
      </w:r>
      <w:r w:rsidR="00573EBE" w:rsidRPr="001C1090">
        <w:rPr>
          <w:u w:val="single"/>
        </w:rPr>
        <w:t>m</w:t>
      </w:r>
      <w:r w:rsidRPr="001C1090">
        <w:rPr>
          <w:u w:val="single"/>
        </w:rPr>
        <w:t>anagement</w:t>
      </w:r>
    </w:p>
    <w:p w14:paraId="26C32F86" w14:textId="1F9F1D09" w:rsidR="00942848" w:rsidRDefault="00942848" w:rsidP="000F043E">
      <w:pPr>
        <w:pStyle w:val="Normal3"/>
        <w:shd w:val="clear" w:color="auto" w:fill="DEEAF6" w:themeFill="accent5" w:themeFillTint="33"/>
      </w:pPr>
      <w:r>
        <w:t xml:space="preserve">LF–VM–P5 – Freshwater management units and </w:t>
      </w:r>
      <w:proofErr w:type="spellStart"/>
      <w:r>
        <w:t>rohe</w:t>
      </w:r>
      <w:proofErr w:type="spellEnd"/>
    </w:p>
    <w:p w14:paraId="36299E96" w14:textId="5EA10ED1" w:rsidR="00942848" w:rsidRDefault="00942848" w:rsidP="000F043E">
      <w:pPr>
        <w:pStyle w:val="Normal3"/>
        <w:shd w:val="clear" w:color="auto" w:fill="DEEAF6" w:themeFill="accent5" w:themeFillTint="33"/>
      </w:pPr>
      <w:r>
        <w:t xml:space="preserve">LF–VM–P6 – Relationship between FMUs and </w:t>
      </w:r>
      <w:proofErr w:type="spellStart"/>
      <w:r>
        <w:t>rohe</w:t>
      </w:r>
      <w:proofErr w:type="spellEnd"/>
    </w:p>
    <w:p w14:paraId="30199A17" w14:textId="66E0D5D2" w:rsidR="00942848" w:rsidRDefault="00942848" w:rsidP="000F043E">
      <w:pPr>
        <w:pStyle w:val="Normal3"/>
        <w:shd w:val="clear" w:color="auto" w:fill="DEEAF6" w:themeFill="accent5" w:themeFillTint="33"/>
      </w:pPr>
      <w:r>
        <w:t>LF–VM–</w:t>
      </w:r>
      <w:r w:rsidR="007F57F1">
        <w:t>M3</w:t>
      </w:r>
      <w:r>
        <w:t xml:space="preserve"> – </w:t>
      </w:r>
      <w:r w:rsidR="007F57F1">
        <w:t>Community involvement</w:t>
      </w:r>
    </w:p>
    <w:p w14:paraId="4010E8C7" w14:textId="17E7565F" w:rsidR="007F57F1" w:rsidRDefault="007F57F1" w:rsidP="000F043E">
      <w:pPr>
        <w:pStyle w:val="Normal3"/>
        <w:shd w:val="clear" w:color="auto" w:fill="DEEAF6" w:themeFill="accent5" w:themeFillTint="33"/>
      </w:pPr>
      <w:r>
        <w:t>LF–VM–M4 – Other methods</w:t>
      </w:r>
    </w:p>
    <w:p w14:paraId="20E937CE" w14:textId="2C405F1B" w:rsidR="00504992" w:rsidRDefault="00504992" w:rsidP="000F043E">
      <w:pPr>
        <w:pStyle w:val="Normal3"/>
        <w:shd w:val="clear" w:color="auto" w:fill="DEEAF6" w:themeFill="accent5" w:themeFillTint="33"/>
      </w:pPr>
      <w:r>
        <w:t>MAP1 – Freshwater management units</w:t>
      </w:r>
    </w:p>
    <w:p w14:paraId="1D2263E9" w14:textId="1599D14F" w:rsidR="00573EBE" w:rsidRPr="001C1090" w:rsidRDefault="00573EBE" w:rsidP="000F043E">
      <w:pPr>
        <w:pStyle w:val="Normal2"/>
        <w:numPr>
          <w:ilvl w:val="0"/>
          <w:numId w:val="0"/>
        </w:numPr>
        <w:shd w:val="clear" w:color="auto" w:fill="DEEAF6" w:themeFill="accent5" w:themeFillTint="33"/>
        <w:ind w:left="709"/>
        <w:rPr>
          <w:u w:val="single"/>
        </w:rPr>
      </w:pPr>
      <w:r w:rsidRPr="001C1090">
        <w:rPr>
          <w:u w:val="single"/>
        </w:rPr>
        <w:t>LF–FW – Freshwater</w:t>
      </w:r>
    </w:p>
    <w:p w14:paraId="48387618" w14:textId="16684002" w:rsidR="00474DC7" w:rsidRDefault="00474DC7" w:rsidP="000F043E">
      <w:pPr>
        <w:pStyle w:val="Normal3"/>
        <w:shd w:val="clear" w:color="auto" w:fill="DEEAF6" w:themeFill="accent5" w:themeFillTint="33"/>
      </w:pPr>
      <w:r>
        <w:t xml:space="preserve">LF–FW–P7 – </w:t>
      </w:r>
      <w:r w:rsidR="00CB424B">
        <w:t>Freshwater</w:t>
      </w:r>
    </w:p>
    <w:p w14:paraId="68E86409" w14:textId="084BE81F" w:rsidR="00474DC7" w:rsidRDefault="00474DC7" w:rsidP="000F043E">
      <w:pPr>
        <w:pStyle w:val="Normal3"/>
        <w:shd w:val="clear" w:color="auto" w:fill="DEEAF6" w:themeFill="accent5" w:themeFillTint="33"/>
      </w:pPr>
      <w:r>
        <w:t xml:space="preserve">LF–FW–P8 – </w:t>
      </w:r>
      <w:r w:rsidR="00CB424B">
        <w:t>Identifying natural wetlands</w:t>
      </w:r>
    </w:p>
    <w:p w14:paraId="0D0C6787" w14:textId="46136BB4" w:rsidR="00474DC7" w:rsidRDefault="00474DC7" w:rsidP="000F043E">
      <w:pPr>
        <w:pStyle w:val="Normal3"/>
        <w:shd w:val="clear" w:color="auto" w:fill="DEEAF6" w:themeFill="accent5" w:themeFillTint="33"/>
      </w:pPr>
      <w:r>
        <w:t xml:space="preserve">LF–FW–P9 – </w:t>
      </w:r>
      <w:r w:rsidR="00CB424B">
        <w:t>Protecting natural wetlands</w:t>
      </w:r>
    </w:p>
    <w:p w14:paraId="4B5627CF" w14:textId="5F1F0324" w:rsidR="00474DC7" w:rsidRDefault="00474DC7" w:rsidP="000F043E">
      <w:pPr>
        <w:pStyle w:val="Normal3"/>
        <w:shd w:val="clear" w:color="auto" w:fill="DEEAF6" w:themeFill="accent5" w:themeFillTint="33"/>
      </w:pPr>
      <w:r>
        <w:t xml:space="preserve">LF–FW–P10 – </w:t>
      </w:r>
      <w:r w:rsidR="00C859DB">
        <w:t xml:space="preserve">Restoring natural </w:t>
      </w:r>
      <w:r w:rsidR="00CB424B">
        <w:t>wetlands</w:t>
      </w:r>
    </w:p>
    <w:p w14:paraId="4959BDB7" w14:textId="59B9A468" w:rsidR="00C859DB" w:rsidRDefault="00C859DB" w:rsidP="000F043E">
      <w:pPr>
        <w:pStyle w:val="Normal3"/>
        <w:shd w:val="clear" w:color="auto" w:fill="DEEAF6" w:themeFill="accent5" w:themeFillTint="33"/>
      </w:pPr>
      <w:r>
        <w:t xml:space="preserve">LF–FW–P11 – </w:t>
      </w:r>
      <w:r w:rsidR="00CB424B">
        <w:t>Identifying outstanding water bodies</w:t>
      </w:r>
    </w:p>
    <w:p w14:paraId="37C6BE6A" w14:textId="094FE47B" w:rsidR="00C859DB" w:rsidRDefault="00C859DB" w:rsidP="000F043E">
      <w:pPr>
        <w:pStyle w:val="Normal3"/>
        <w:shd w:val="clear" w:color="auto" w:fill="DEEAF6" w:themeFill="accent5" w:themeFillTint="33"/>
      </w:pPr>
      <w:r>
        <w:t xml:space="preserve">LF–FW–P12 – </w:t>
      </w:r>
      <w:r w:rsidR="00CB424B">
        <w:t>Protecting outstanding water bodies</w:t>
      </w:r>
    </w:p>
    <w:p w14:paraId="58FD0AEA" w14:textId="3B63C86C" w:rsidR="00CB424B" w:rsidRDefault="00CB424B" w:rsidP="000F043E">
      <w:pPr>
        <w:pStyle w:val="Normal3"/>
        <w:shd w:val="clear" w:color="auto" w:fill="DEEAF6" w:themeFill="accent5" w:themeFillTint="33"/>
      </w:pPr>
      <w:r>
        <w:t>LF–FW–P13 – Preserving natural character</w:t>
      </w:r>
    </w:p>
    <w:p w14:paraId="7E0CADB3" w14:textId="6A08A4A5" w:rsidR="00CB424B" w:rsidRDefault="00CB424B" w:rsidP="000F043E">
      <w:pPr>
        <w:pStyle w:val="Normal3"/>
        <w:shd w:val="clear" w:color="auto" w:fill="DEEAF6" w:themeFill="accent5" w:themeFillTint="33"/>
      </w:pPr>
      <w:r>
        <w:t>LF–FW–P14 – Restoring natural character</w:t>
      </w:r>
    </w:p>
    <w:p w14:paraId="68A12CCC" w14:textId="4C709596" w:rsidR="00CB424B" w:rsidRDefault="00CB424B" w:rsidP="000F043E">
      <w:pPr>
        <w:pStyle w:val="Normal3"/>
        <w:shd w:val="clear" w:color="auto" w:fill="DEEAF6" w:themeFill="accent5" w:themeFillTint="33"/>
      </w:pPr>
      <w:r>
        <w:t>LF–FW–P15 – Stormwater and wastewater discharges</w:t>
      </w:r>
    </w:p>
    <w:p w14:paraId="44C9FBA1" w14:textId="7BD4F078" w:rsidR="00C859DB" w:rsidRDefault="00C859DB" w:rsidP="000F043E">
      <w:pPr>
        <w:pStyle w:val="Normal3"/>
        <w:shd w:val="clear" w:color="auto" w:fill="DEEAF6" w:themeFill="accent5" w:themeFillTint="33"/>
      </w:pPr>
      <w:r>
        <w:t>LF–FW–M5 – Outstanding water bodies</w:t>
      </w:r>
    </w:p>
    <w:p w14:paraId="331A38AF" w14:textId="5A3EE9BE" w:rsidR="00C859DB" w:rsidRDefault="00C859DB" w:rsidP="000F043E">
      <w:pPr>
        <w:pStyle w:val="Normal3"/>
        <w:shd w:val="clear" w:color="auto" w:fill="DEEAF6" w:themeFill="accent5" w:themeFillTint="33"/>
      </w:pPr>
      <w:r>
        <w:t>LF–FW–M6 – Regional plans</w:t>
      </w:r>
    </w:p>
    <w:p w14:paraId="3A99FEC2" w14:textId="2FDDA1F8" w:rsidR="00C859DB" w:rsidRDefault="00C859DB" w:rsidP="000F043E">
      <w:pPr>
        <w:pStyle w:val="Normal3"/>
        <w:shd w:val="clear" w:color="auto" w:fill="DEEAF6" w:themeFill="accent5" w:themeFillTint="33"/>
      </w:pPr>
      <w:r>
        <w:t>LF–FW–M7 – District plans</w:t>
      </w:r>
    </w:p>
    <w:p w14:paraId="649B7C49" w14:textId="13F6EED6" w:rsidR="00C859DB" w:rsidRDefault="00C859DB" w:rsidP="000F043E">
      <w:pPr>
        <w:pStyle w:val="Normal3"/>
        <w:shd w:val="clear" w:color="auto" w:fill="DEEAF6" w:themeFill="accent5" w:themeFillTint="33"/>
      </w:pPr>
      <w:r>
        <w:t>LF–FW–M8 – Action plans</w:t>
      </w:r>
    </w:p>
    <w:p w14:paraId="033542F1" w14:textId="23ED3499" w:rsidR="00C859DB" w:rsidRDefault="00C859DB" w:rsidP="000F043E">
      <w:pPr>
        <w:pStyle w:val="Normal3"/>
        <w:shd w:val="clear" w:color="auto" w:fill="DEEAF6" w:themeFill="accent5" w:themeFillTint="33"/>
      </w:pPr>
      <w:r>
        <w:t>LF–FW–M9 – Monitoring</w:t>
      </w:r>
    </w:p>
    <w:p w14:paraId="5E07A367" w14:textId="180FA4F5" w:rsidR="00C859DB" w:rsidRDefault="00C859DB" w:rsidP="000F043E">
      <w:pPr>
        <w:pStyle w:val="Normal3"/>
        <w:shd w:val="clear" w:color="auto" w:fill="DEEAF6" w:themeFill="accent5" w:themeFillTint="33"/>
      </w:pPr>
      <w:r>
        <w:t>LF–FW–M10 – Other methods</w:t>
      </w:r>
    </w:p>
    <w:p w14:paraId="2D6705F1" w14:textId="640035C6" w:rsidR="003717F4" w:rsidRDefault="003717F4" w:rsidP="000F043E">
      <w:pPr>
        <w:pStyle w:val="Normal3"/>
        <w:shd w:val="clear" w:color="auto" w:fill="DEEAF6" w:themeFill="accent5" w:themeFillTint="33"/>
      </w:pPr>
      <w:r>
        <w:t>APP1 – Criteria for identifying outstanding water bodies</w:t>
      </w:r>
    </w:p>
    <w:p w14:paraId="71B72832" w14:textId="667CC7A8" w:rsidR="00C859DB" w:rsidRPr="001C1090" w:rsidRDefault="00C859DB" w:rsidP="000F043E">
      <w:pPr>
        <w:pStyle w:val="Normal2"/>
        <w:numPr>
          <w:ilvl w:val="0"/>
          <w:numId w:val="0"/>
        </w:numPr>
        <w:shd w:val="clear" w:color="auto" w:fill="DEEAF6" w:themeFill="accent5" w:themeFillTint="33"/>
        <w:ind w:left="709"/>
        <w:rPr>
          <w:u w:val="single"/>
        </w:rPr>
      </w:pPr>
      <w:r w:rsidRPr="001C1090">
        <w:rPr>
          <w:u w:val="single"/>
        </w:rPr>
        <w:t>LF–LS – Land and soil</w:t>
      </w:r>
    </w:p>
    <w:p w14:paraId="611F0F2D" w14:textId="696A6B06" w:rsidR="00C859DB" w:rsidRDefault="00C859DB" w:rsidP="000F043E">
      <w:pPr>
        <w:pStyle w:val="Normal3"/>
        <w:shd w:val="clear" w:color="auto" w:fill="DEEAF6" w:themeFill="accent5" w:themeFillTint="33"/>
      </w:pPr>
      <w:r>
        <w:t>LF–FW–P1</w:t>
      </w:r>
      <w:r w:rsidR="00CD627B">
        <w:t>6</w:t>
      </w:r>
      <w:r>
        <w:t xml:space="preserve"> – Integrated management</w:t>
      </w:r>
    </w:p>
    <w:p w14:paraId="58AD893E" w14:textId="25FF1EA2" w:rsidR="00C859DB" w:rsidRDefault="00C859DB" w:rsidP="000F043E">
      <w:pPr>
        <w:pStyle w:val="Normal3"/>
        <w:shd w:val="clear" w:color="auto" w:fill="DEEAF6" w:themeFill="accent5" w:themeFillTint="33"/>
      </w:pPr>
      <w:r>
        <w:t>LF–FW–P1</w:t>
      </w:r>
      <w:r w:rsidR="00CD627B">
        <w:t>7</w:t>
      </w:r>
      <w:r>
        <w:t xml:space="preserve"> </w:t>
      </w:r>
      <w:r w:rsidR="00B65B6C">
        <w:t>–</w:t>
      </w:r>
      <w:r>
        <w:t xml:space="preserve"> </w:t>
      </w:r>
      <w:r w:rsidR="00B65B6C">
        <w:t>Soil values</w:t>
      </w:r>
    </w:p>
    <w:p w14:paraId="12BB9986" w14:textId="09E430F8" w:rsidR="00B65B6C" w:rsidRDefault="0053595B" w:rsidP="000F043E">
      <w:pPr>
        <w:pStyle w:val="Normal3"/>
        <w:shd w:val="clear" w:color="auto" w:fill="DEEAF6" w:themeFill="accent5" w:themeFillTint="33"/>
      </w:pPr>
      <w:r>
        <w:t>LF–FW–P1</w:t>
      </w:r>
      <w:r w:rsidR="00CD627B">
        <w:t>8</w:t>
      </w:r>
      <w:r>
        <w:t xml:space="preserve"> – Soil erosion</w:t>
      </w:r>
    </w:p>
    <w:p w14:paraId="073BBD14" w14:textId="6F5703D2" w:rsidR="0053595B" w:rsidRDefault="0053595B" w:rsidP="000F043E">
      <w:pPr>
        <w:pStyle w:val="Normal3"/>
        <w:shd w:val="clear" w:color="auto" w:fill="DEEAF6" w:themeFill="accent5" w:themeFillTint="33"/>
      </w:pPr>
      <w:r>
        <w:t>LF–FW–P1</w:t>
      </w:r>
      <w:r w:rsidR="00CD627B">
        <w:t>9</w:t>
      </w:r>
      <w:r>
        <w:t xml:space="preserve"> – Highly productive land</w:t>
      </w:r>
    </w:p>
    <w:p w14:paraId="0F561E54" w14:textId="3FAFA230" w:rsidR="0053595B" w:rsidRDefault="0053595B" w:rsidP="000F043E">
      <w:pPr>
        <w:pStyle w:val="Normal3"/>
        <w:shd w:val="clear" w:color="auto" w:fill="DEEAF6" w:themeFill="accent5" w:themeFillTint="33"/>
      </w:pPr>
      <w:r>
        <w:t>LF–FW–P</w:t>
      </w:r>
      <w:r w:rsidR="00CD627B">
        <w:t>20</w:t>
      </w:r>
      <w:r>
        <w:t xml:space="preserve"> – Land use change</w:t>
      </w:r>
    </w:p>
    <w:p w14:paraId="043FF6FF" w14:textId="41D088D4" w:rsidR="0053595B" w:rsidRDefault="0053595B" w:rsidP="000F043E">
      <w:pPr>
        <w:pStyle w:val="Normal3"/>
        <w:shd w:val="clear" w:color="auto" w:fill="DEEAF6" w:themeFill="accent5" w:themeFillTint="33"/>
      </w:pPr>
      <w:r>
        <w:t>LF–FW–P</w:t>
      </w:r>
      <w:r w:rsidR="00CD627B">
        <w:t>21</w:t>
      </w:r>
      <w:r>
        <w:t xml:space="preserve"> – Land use and freshwater</w:t>
      </w:r>
    </w:p>
    <w:p w14:paraId="39562E94" w14:textId="0F6DC653" w:rsidR="0053595B" w:rsidRDefault="0053595B" w:rsidP="000F043E">
      <w:pPr>
        <w:pStyle w:val="Normal3"/>
        <w:shd w:val="clear" w:color="auto" w:fill="DEEAF6" w:themeFill="accent5" w:themeFillTint="33"/>
      </w:pPr>
      <w:r>
        <w:t>LF–FW–P</w:t>
      </w:r>
      <w:r w:rsidR="00CD627B">
        <w:t>22</w:t>
      </w:r>
      <w:r>
        <w:t xml:space="preserve"> – Public access</w:t>
      </w:r>
    </w:p>
    <w:p w14:paraId="068DFB37" w14:textId="26957ECF" w:rsidR="0053595B" w:rsidRDefault="0053595B" w:rsidP="000F043E">
      <w:pPr>
        <w:pStyle w:val="Normal3"/>
        <w:shd w:val="clear" w:color="auto" w:fill="DEEAF6" w:themeFill="accent5" w:themeFillTint="33"/>
      </w:pPr>
      <w:r>
        <w:t>LF–FW–M11 – Regional plans</w:t>
      </w:r>
    </w:p>
    <w:p w14:paraId="502E857E" w14:textId="0754344F" w:rsidR="0053595B" w:rsidRDefault="0053595B" w:rsidP="000F043E">
      <w:pPr>
        <w:pStyle w:val="Normal3"/>
        <w:shd w:val="clear" w:color="auto" w:fill="DEEAF6" w:themeFill="accent5" w:themeFillTint="33"/>
      </w:pPr>
      <w:r>
        <w:t>LF–FW–M12 – District plans</w:t>
      </w:r>
    </w:p>
    <w:p w14:paraId="44676CD4" w14:textId="49C59C0A" w:rsidR="0053595B" w:rsidRDefault="0053595B" w:rsidP="000F043E">
      <w:pPr>
        <w:pStyle w:val="Normal3"/>
        <w:shd w:val="clear" w:color="auto" w:fill="DEEAF6" w:themeFill="accent5" w:themeFillTint="33"/>
      </w:pPr>
      <w:r>
        <w:t>LF–FW–M13 – Management of beds and riparian margins</w:t>
      </w:r>
    </w:p>
    <w:p w14:paraId="3D001103" w14:textId="605F5F61" w:rsidR="00EE6BCA" w:rsidRDefault="00EE6BCA" w:rsidP="000F043E">
      <w:pPr>
        <w:pStyle w:val="Normal3"/>
        <w:shd w:val="clear" w:color="auto" w:fill="DEEAF6" w:themeFill="accent5" w:themeFillTint="33"/>
      </w:pPr>
      <w:r>
        <w:t>LF–FW–M14 – Other methods</w:t>
      </w:r>
    </w:p>
    <w:p w14:paraId="7B685E8D" w14:textId="377B12DE" w:rsidR="00E9552F" w:rsidRDefault="00E9552F" w:rsidP="000F043E">
      <w:pPr>
        <w:pStyle w:val="Heading3"/>
        <w:shd w:val="clear" w:color="auto" w:fill="DEEAF6" w:themeFill="accent5" w:themeFillTint="33"/>
      </w:pPr>
      <w:bookmarkStart w:id="87" w:name="_Ref63331577"/>
      <w:r>
        <w:t>Current issues</w:t>
      </w:r>
      <w:bookmarkEnd w:id="87"/>
    </w:p>
    <w:p w14:paraId="418D2056" w14:textId="77777777" w:rsidR="00B20139" w:rsidRPr="00B20139" w:rsidRDefault="008B185B"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For Kāi </w:t>
      </w:r>
      <w:proofErr w:type="spellStart"/>
      <w:r>
        <w:t>Tahu</w:t>
      </w:r>
      <w:proofErr w:type="spellEnd"/>
      <w:r>
        <w:t xml:space="preserve">, freshwater management is a significant issue. Water is recognised as the foundation and source of all life. It plays a significant role in Kāi </w:t>
      </w:r>
      <w:proofErr w:type="spellStart"/>
      <w:r>
        <w:t>Tahu</w:t>
      </w:r>
      <w:proofErr w:type="spellEnd"/>
      <w:r>
        <w:t xml:space="preserve"> spiritual beliefs and cultural traditions and Kāi </w:t>
      </w:r>
      <w:proofErr w:type="spellStart"/>
      <w:r>
        <w:t>Tahu</w:t>
      </w:r>
      <w:proofErr w:type="spellEnd"/>
      <w:r>
        <w:t xml:space="preserve"> have an obligation through whakapapa to protect wai and all the life it supports. The condition of the water is seen as a reflection of the cultural and physical condition of the people. Historical and contemporary land uses have degraded waterbodies in Otago, both in terms of their quantity and quality, leading to adverse effects on the mauri of water bodies and the diversity and abundance of </w:t>
      </w:r>
      <w:proofErr w:type="spellStart"/>
      <w:r>
        <w:t>mahika</w:t>
      </w:r>
      <w:proofErr w:type="spellEnd"/>
      <w:r>
        <w:t xml:space="preserve"> kai resources. </w:t>
      </w:r>
    </w:p>
    <w:p w14:paraId="34B00509" w14:textId="776571D5" w:rsidR="008B185B" w:rsidRPr="0070669C" w:rsidRDefault="00E471B1"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lastRenderedPageBreak/>
        <w:t xml:space="preserve">Kāi </w:t>
      </w:r>
      <w:proofErr w:type="spellStart"/>
      <w:r>
        <w:t>Tahu</w:t>
      </w:r>
      <w:proofErr w:type="spellEnd"/>
      <w:r>
        <w:t xml:space="preserve"> consider that c</w:t>
      </w:r>
      <w:r w:rsidR="008B185B">
        <w:t xml:space="preserve">urrent water management does not adequately consider the interconnections between water and land and does not address Kāi </w:t>
      </w:r>
      <w:proofErr w:type="spellStart"/>
      <w:r w:rsidR="008B185B">
        <w:t>Tahu</w:t>
      </w:r>
      <w:proofErr w:type="spellEnd"/>
      <w:r w:rsidR="008B185B">
        <w:t xml:space="preserve"> values and interests or recognise mātaura</w:t>
      </w:r>
      <w:r w:rsidR="0001218B">
        <w:t>k</w:t>
      </w:r>
      <w:r w:rsidR="008B185B">
        <w:t xml:space="preserve">a, hampering Kāi </w:t>
      </w:r>
      <w:proofErr w:type="spellStart"/>
      <w:r w:rsidR="008B185B">
        <w:t>Tahu’s</w:t>
      </w:r>
      <w:proofErr w:type="spellEnd"/>
      <w:r w:rsidR="008B185B">
        <w:t xml:space="preserve"> effective participation and impacting on the mana of water and people.</w:t>
      </w:r>
      <w:r w:rsidR="00B20139">
        <w:t xml:space="preserve"> This is exacerbated by the introduction of the NPSFM 2020 which contains </w:t>
      </w:r>
      <w:r w:rsidR="00E854B2">
        <w:t>clear</w:t>
      </w:r>
      <w:r w:rsidR="00DA4C9C">
        <w:t xml:space="preserve"> direction on the concept of Te Mana o </w:t>
      </w:r>
      <w:r w:rsidR="00CD627B">
        <w:t>t</w:t>
      </w:r>
      <w:r w:rsidR="00DA4C9C">
        <w:t>e Wai and how it must be given effect. None of Otago’s planning documents currently express</w:t>
      </w:r>
      <w:r w:rsidR="00412038">
        <w:t xml:space="preserve"> an understanding of Te Mana o </w:t>
      </w:r>
      <w:r w:rsidR="00CD627B">
        <w:t>t</w:t>
      </w:r>
      <w:r w:rsidR="00412038">
        <w:t>e Wai</w:t>
      </w:r>
      <w:r w:rsidR="00576409">
        <w:t xml:space="preserve"> </w:t>
      </w:r>
      <w:r w:rsidR="0027788C">
        <w:t>or implement it in the way expected by the NPSFM</w:t>
      </w:r>
      <w:r w:rsidR="0039197E">
        <w:t xml:space="preserve">, </w:t>
      </w:r>
      <w:proofErr w:type="gramStart"/>
      <w:r w:rsidR="0039197E">
        <w:t>in particular the</w:t>
      </w:r>
      <w:proofErr w:type="gramEnd"/>
      <w:r w:rsidR="0039197E">
        <w:t xml:space="preserve"> prioritisation of decision-making set out in Objective 1. </w:t>
      </w:r>
      <w:r w:rsidR="00651A3C">
        <w:t>These are fundamental issues which can only be resolved through a reconsideration of the policy frameworks in each planning document, including the PORPS 2019.</w:t>
      </w:r>
    </w:p>
    <w:p w14:paraId="4CD1CCAD" w14:textId="4E14F89A" w:rsidR="008E4F6B" w:rsidRDefault="008E4F6B" w:rsidP="000F043E">
      <w:pPr>
        <w:pStyle w:val="Normal2"/>
        <w:shd w:val="clear" w:color="auto" w:fill="DEEAF6" w:themeFill="accent5" w:themeFillTint="33"/>
      </w:pPr>
      <w:r>
        <w:t>The structure of the PORPS 2019 means there are provisions affecting land use and freshwater management found throughout the document, although the primary provisions are contained in Chapter 3. Professor Skelton’s s24A investigation report notes Council’s acknowledgement that the RPS does not fully implement national direction on freshwater management</w:t>
      </w:r>
      <w:r w:rsidR="008D7B31">
        <w:t xml:space="preserve"> at the time</w:t>
      </w:r>
      <w:r w:rsidR="00BF77CE">
        <w:t xml:space="preserve"> (</w:t>
      </w:r>
      <w:r w:rsidR="00BF77CE" w:rsidRPr="009770A5">
        <w:t>see Appendi</w:t>
      </w:r>
      <w:r w:rsidR="00CD627B" w:rsidRPr="009770A5">
        <w:t xml:space="preserve">x </w:t>
      </w:r>
      <w:r w:rsidR="003B374E" w:rsidRPr="009770A5">
        <w:t>1)</w:t>
      </w:r>
      <w:r w:rsidRPr="009770A5">
        <w:t>.</w:t>
      </w:r>
      <w:r>
        <w:t xml:space="preserve"> </w:t>
      </w:r>
      <w:r w:rsidR="000B1EA2">
        <w:t xml:space="preserve">The objectives are broadly </w:t>
      </w:r>
      <w:r w:rsidR="008F6B79">
        <w:t>stated,</w:t>
      </w:r>
      <w:r w:rsidR="000B1EA2">
        <w:t xml:space="preserve"> and </w:t>
      </w:r>
      <w:r w:rsidR="005D383A">
        <w:t xml:space="preserve">the policies focus more on </w:t>
      </w:r>
      <w:r w:rsidR="008F6B79">
        <w:t>outlining environmental</w:t>
      </w:r>
      <w:r w:rsidR="005D383A">
        <w:t xml:space="preserve"> outcomes to be achieved rather than courses of action. </w:t>
      </w:r>
      <w:r w:rsidR="00FD5968">
        <w:t xml:space="preserve">The methods are similarly broad and lack specificity about the actions needed to implement the policies. </w:t>
      </w:r>
    </w:p>
    <w:p w14:paraId="39B74564" w14:textId="7163E4DC" w:rsidR="0070669C" w:rsidRPr="004F78A3" w:rsidRDefault="0070669C"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In addition to </w:t>
      </w:r>
      <w:r w:rsidR="005D383A">
        <w:t>the issues with the current planning framework</w:t>
      </w:r>
      <w:r>
        <w:t>, there are a range of more specific issues with the management of water quantity and water quality in Otago</w:t>
      </w:r>
      <w:r w:rsidR="00241477">
        <w:t>, as well as the management of land and soils. These are set out below.</w:t>
      </w:r>
    </w:p>
    <w:p w14:paraId="79EE8208" w14:textId="4E709753" w:rsidR="00F3624E" w:rsidRPr="00421300" w:rsidRDefault="00F3624E" w:rsidP="000F043E">
      <w:pPr>
        <w:pStyle w:val="Heading4"/>
        <w:shd w:val="clear" w:color="auto" w:fill="DEEAF6" w:themeFill="accent5" w:themeFillTint="33"/>
        <w:rPr>
          <w:sz w:val="24"/>
        </w:rPr>
      </w:pPr>
      <w:bookmarkStart w:id="88" w:name="_Ref64030793"/>
      <w:r>
        <w:t xml:space="preserve">Water </w:t>
      </w:r>
      <w:r w:rsidRPr="00B83424">
        <w:t>quantity</w:t>
      </w:r>
      <w:bookmarkEnd w:id="88"/>
    </w:p>
    <w:p w14:paraId="5CDE395D" w14:textId="5D7E0C4C" w:rsidR="00D44154" w:rsidRPr="00D44154" w:rsidRDefault="00360594" w:rsidP="000F043E">
      <w:pPr>
        <w:pStyle w:val="Normal2"/>
        <w:shd w:val="clear" w:color="auto" w:fill="DEEAF6" w:themeFill="accent5" w:themeFillTint="33"/>
      </w:pPr>
      <w:r>
        <w:t xml:space="preserve">A limited number of Otago’s catchments have tailored primary allocation limits set in the Water Plan. </w:t>
      </w:r>
      <w:r w:rsidR="00D44154">
        <w:t xml:space="preserve">Currently, the limits in the Water Plan do not apply to surface water takes from Lakes Dunstan, </w:t>
      </w:r>
      <w:proofErr w:type="spellStart"/>
      <w:r w:rsidR="00D44154">
        <w:t>Hawea</w:t>
      </w:r>
      <w:proofErr w:type="spellEnd"/>
      <w:r w:rsidR="00D44154">
        <w:t>, Roxburgh, Wanaka or Wakatipu or the main stems of the Clutha Mata-au or Kawarau Rivers. Collectively, those water bodies are the largest freshwater resource in Otago, meaning that there is no allocation limit or guidance on setting environmental flows or levels for the majority of Otago’s freshwater</w:t>
      </w:r>
      <w:sdt>
        <w:sdtPr>
          <w:id w:val="-1745088685"/>
          <w:placeholder>
            <w:docPart w:val="DefaultPlaceholder_1081868574"/>
          </w:placeholder>
          <w:citation/>
        </w:sdtPr>
        <w:sdtContent>
          <w:r w:rsidR="00D44154">
            <w:fldChar w:fldCharType="begin"/>
          </w:r>
          <w:r w:rsidR="00D44154">
            <w:instrText xml:space="preserve"> CITATION Pel20 \l 5129 </w:instrText>
          </w:r>
          <w:r w:rsidR="00D44154">
            <w:fldChar w:fldCharType="separate"/>
          </w:r>
          <w:r w:rsidR="00246D02">
            <w:rPr>
              <w:noProof/>
            </w:rPr>
            <w:t xml:space="preserve"> (Statement of evidence of Tom de Pelsemaeker on behalf of Otago Regional Council, 2020)</w:t>
          </w:r>
          <w:r w:rsidR="00D44154">
            <w:fldChar w:fldCharType="end"/>
          </w:r>
        </w:sdtContent>
      </w:sdt>
      <w:r w:rsidR="00D44154">
        <w:t xml:space="preserve">. </w:t>
      </w:r>
    </w:p>
    <w:p w14:paraId="635F426F" w14:textId="0576D472" w:rsidR="00FB3D9E" w:rsidRPr="00FB3D9E" w:rsidRDefault="0015530F"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A comparison </w:t>
      </w:r>
      <w:r w:rsidR="008D212A">
        <w:t>of consented primarily allocation against the Water Plan’s primary allocation limits indicates that there is potentially significant over</w:t>
      </w:r>
      <w:r w:rsidR="00CD627B">
        <w:t>-</w:t>
      </w:r>
      <w:r w:rsidR="008D212A">
        <w:t xml:space="preserve">allocation in some of </w:t>
      </w:r>
      <w:r w:rsidR="004C0A7D">
        <w:t>these</w:t>
      </w:r>
      <w:r w:rsidR="008D212A">
        <w:t xml:space="preserve"> catchments</w:t>
      </w:r>
      <w:r w:rsidR="0012637A">
        <w:t xml:space="preserve"> </w:t>
      </w:r>
      <w:sdt>
        <w:sdtPr>
          <w:id w:val="-2000260998"/>
          <w:placeholder>
            <w:docPart w:val="DefaultPlaceholder_1081868574"/>
          </w:placeholder>
          <w:citation/>
        </w:sdtPr>
        <w:sdtContent>
          <w:r w:rsidR="0012637A">
            <w:fldChar w:fldCharType="begin"/>
          </w:r>
          <w:r w:rsidR="0012637A">
            <w:instrText xml:space="preserve"> CITATION Pel20 \l 5129 </w:instrText>
          </w:r>
          <w:r w:rsidR="0012637A">
            <w:fldChar w:fldCharType="separate"/>
          </w:r>
          <w:r w:rsidR="00246D02">
            <w:rPr>
              <w:noProof/>
            </w:rPr>
            <w:t>(Statement of evidence of Tom de Pelsemaeker on behalf of Otago Regional Council, 2020)</w:t>
          </w:r>
          <w:r w:rsidR="0012637A">
            <w:fldChar w:fldCharType="end"/>
          </w:r>
        </w:sdtContent>
      </w:sdt>
      <w:r w:rsidR="008D212A">
        <w:t xml:space="preserve">. </w:t>
      </w:r>
      <w:r w:rsidR="005B256C">
        <w:t xml:space="preserve">This has occurred, in part, due to </w:t>
      </w:r>
      <w:r w:rsidR="00FF2A13">
        <w:t xml:space="preserve">water takes authorised by mining privileges (or deemed permits) </w:t>
      </w:r>
      <w:r w:rsidR="00CD627B">
        <w:t xml:space="preserve">originally </w:t>
      </w:r>
      <w:r w:rsidR="00FF2A13">
        <w:t>issued under the Mining Act 1926</w:t>
      </w:r>
      <w:r w:rsidR="00D71D50">
        <w:t xml:space="preserve"> and other licences or permits for </w:t>
      </w:r>
      <w:r w:rsidR="002E589E">
        <w:t>the construction of water races and dams</w:t>
      </w:r>
      <w:r w:rsidR="00266344">
        <w:t>.</w:t>
      </w:r>
      <w:r w:rsidR="002E589E">
        <w:rPr>
          <w:rStyle w:val="FootnoteReference"/>
        </w:rPr>
        <w:footnoteReference w:id="30"/>
      </w:r>
      <w:r w:rsidR="00266344">
        <w:t xml:space="preserve"> </w:t>
      </w:r>
      <w:r w:rsidR="00FB3D9E">
        <w:t>There are also some catchments that are fully, or very close to fully, allocated which will need to be managed carefully to ensure over</w:t>
      </w:r>
      <w:r w:rsidR="00CD627B">
        <w:t>-</w:t>
      </w:r>
      <w:r w:rsidR="00FB3D9E">
        <w:t xml:space="preserve">allocation is avoided. </w:t>
      </w:r>
      <w:r w:rsidR="00855033">
        <w:t xml:space="preserve">The Water Plan provides direction on managing </w:t>
      </w:r>
      <w:r w:rsidR="00EE5656">
        <w:t xml:space="preserve">“under allocated” and “fully allocated” catchments but is </w:t>
      </w:r>
      <w:r w:rsidR="00CD627B">
        <w:t xml:space="preserve">unlikely to </w:t>
      </w:r>
      <w:r w:rsidR="00EE5656">
        <w:t>give effect to the direction in the NPSFM to</w:t>
      </w:r>
      <w:r w:rsidR="00F15FE0">
        <w:t xml:space="preserve"> avoid over</w:t>
      </w:r>
      <w:r w:rsidR="00CD627B">
        <w:t>-</w:t>
      </w:r>
      <w:r w:rsidR="00F15FE0">
        <w:t>allocation, including by phasing out existing over</w:t>
      </w:r>
      <w:r w:rsidR="00CD627B">
        <w:t>-</w:t>
      </w:r>
      <w:r w:rsidR="00F15FE0">
        <w:t>allocation.</w:t>
      </w:r>
    </w:p>
    <w:p w14:paraId="596494C2" w14:textId="4A084193" w:rsidR="0012637A" w:rsidRPr="0009027C" w:rsidRDefault="00490ACC"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Establishing environmental flows and levels across Otago and addressing any over</w:t>
      </w:r>
      <w:r w:rsidR="00CD627B">
        <w:t>-</w:t>
      </w:r>
      <w:r>
        <w:t>allocation will be challenging. Work is currently underway to develop a new Land and Water Regional Plan that will fully implement the requirements of the NPSFM</w:t>
      </w:r>
      <w:r w:rsidR="004E2B2C">
        <w:t xml:space="preserve"> and replace the current planning framework</w:t>
      </w:r>
      <w:r w:rsidR="004851CC">
        <w:t>.</w:t>
      </w:r>
      <w:r w:rsidR="001D428A">
        <w:t xml:space="preserve"> This work is intended to result in Otago’s planning framework giving full </w:t>
      </w:r>
      <w:r w:rsidR="001D428A">
        <w:lastRenderedPageBreak/>
        <w:t xml:space="preserve">effect to the NPSFM, however it is some time away currently. </w:t>
      </w:r>
      <w:r w:rsidR="00E65D1C">
        <w:t xml:space="preserve">In the interim period, </w:t>
      </w:r>
      <w:r w:rsidR="00CF0878">
        <w:t>two</w:t>
      </w:r>
      <w:r w:rsidR="00E65D1C">
        <w:t xml:space="preserve"> targeted plan changes</w:t>
      </w:r>
      <w:r w:rsidR="00CF0878">
        <w:rPr>
          <w:rStyle w:val="FootnoteReference"/>
        </w:rPr>
        <w:footnoteReference w:id="31"/>
      </w:r>
      <w:r w:rsidR="00E65D1C">
        <w:t xml:space="preserve"> aim to address some of the most significant </w:t>
      </w:r>
      <w:r w:rsidR="00FF4C44">
        <w:t>deficiencies</w:t>
      </w:r>
      <w:r w:rsidR="00E65D1C">
        <w:t xml:space="preserve"> with the Water Plan</w:t>
      </w:r>
      <w:r w:rsidR="00F3624E">
        <w:t xml:space="preserve">. </w:t>
      </w:r>
    </w:p>
    <w:p w14:paraId="1B12A04E" w14:textId="748A4104" w:rsidR="0009027C" w:rsidRPr="00CF0878" w:rsidRDefault="00CF0878"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Kāi </w:t>
      </w:r>
      <w:proofErr w:type="spellStart"/>
      <w:r>
        <w:t>Tahu</w:t>
      </w:r>
      <w:proofErr w:type="spellEnd"/>
      <w:r>
        <w:t xml:space="preserve"> consider that many of Otago’s waterways are over-allocated from a cultural perspective and issues with water quantity are a component of </w:t>
      </w:r>
      <w:proofErr w:type="gramStart"/>
      <w:r>
        <w:t>all of</w:t>
      </w:r>
      <w:proofErr w:type="gramEnd"/>
      <w:r>
        <w:t xml:space="preserve"> the issues identified by Kāi </w:t>
      </w:r>
      <w:proofErr w:type="spellStart"/>
      <w:r>
        <w:t>Tahu</w:t>
      </w:r>
      <w:proofErr w:type="spellEnd"/>
      <w:r>
        <w:t xml:space="preserve"> with water management (see RMIA–WAI–I1 to RMIA–WAI–I5). </w:t>
      </w:r>
      <w:r w:rsidR="0009027C">
        <w:t>S</w:t>
      </w:r>
      <w:r w:rsidR="00C86304">
        <w:t>RMR</w:t>
      </w:r>
      <w:r w:rsidR="00FD4386">
        <w:t>–I</w:t>
      </w:r>
      <w:r w:rsidR="00C86304">
        <w:t xml:space="preserve">5 in the PORPS 2021 summarises these issues when it states that water demand exceeds capacity in some places. In addition, there are a number of other issues of regional significance that are </w:t>
      </w:r>
      <w:r w:rsidR="001525DE">
        <w:t>contributed to by water quantity: SRMR</w:t>
      </w:r>
      <w:r w:rsidR="00FD4386">
        <w:t>–I</w:t>
      </w:r>
      <w:r w:rsidR="001525DE">
        <w:t>4 (poorly managed urban and residential growth affects productive land, treasured natural assets, infrastructure and community wellbeing), SRMR</w:t>
      </w:r>
      <w:r w:rsidR="00FD4386">
        <w:t>–I</w:t>
      </w:r>
      <w:r w:rsidR="001525DE">
        <w:t xml:space="preserve">7 (rich and varied biodiversity has been lost of degraded due to human activities or the presence of pests and predators), </w:t>
      </w:r>
      <w:r w:rsidR="00D33392">
        <w:t>SRMR</w:t>
      </w:r>
      <w:r w:rsidR="00FD4386">
        <w:t>–I</w:t>
      </w:r>
      <w:r w:rsidR="00D33392">
        <w:t>10 (economic and domestic activities use natural resources but do not always properly account for the environmental stresses or the future effects they cause) and SRMR</w:t>
      </w:r>
      <w:r w:rsidR="00FD4386">
        <w:t>–I</w:t>
      </w:r>
      <w:r w:rsidR="00D33392">
        <w:t>11 (the environmental costs of our activities are stacking up and may soon reach a tipping point).</w:t>
      </w:r>
    </w:p>
    <w:p w14:paraId="5B0FDC54" w14:textId="54B94A55" w:rsidR="00F3624E" w:rsidRPr="0012637A" w:rsidRDefault="00F3624E" w:rsidP="000F043E">
      <w:pPr>
        <w:pStyle w:val="Heading4"/>
        <w:shd w:val="clear" w:color="auto" w:fill="DEEAF6" w:themeFill="accent5" w:themeFillTint="33"/>
        <w:rPr>
          <w:sz w:val="24"/>
        </w:rPr>
      </w:pPr>
      <w:bookmarkStart w:id="89" w:name="_Ref64030796"/>
      <w:r>
        <w:t>Water quality</w:t>
      </w:r>
      <w:bookmarkEnd w:id="89"/>
    </w:p>
    <w:p w14:paraId="47C96589" w14:textId="77777777" w:rsidR="00CF0878" w:rsidRPr="00CF0878" w:rsidRDefault="00FD06A8"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The Water Plan sets out numerical limits and targets for achieving acceptable water quality across Otago</w:t>
      </w:r>
      <w:r w:rsidR="00677E62">
        <w:t>. These were prepared prior to the introduction of the National Objectives Framework</w:t>
      </w:r>
      <w:r w:rsidR="00CF0878">
        <w:t xml:space="preserve"> (NOF)</w:t>
      </w:r>
      <w:r w:rsidR="00677E62">
        <w:t xml:space="preserve"> to the NPSFM</w:t>
      </w:r>
      <w:r w:rsidR="00625BA8">
        <w:t xml:space="preserve">. As these limits and targets have not been developed using the process set out in the NPSFM, </w:t>
      </w:r>
      <w:r w:rsidR="000976E5">
        <w:t>it is unclear whether they are sufficient for achieving the objective and policies of the NPSFM.</w:t>
      </w:r>
      <w:r w:rsidR="00CF0878">
        <w:t xml:space="preserve"> </w:t>
      </w:r>
    </w:p>
    <w:p w14:paraId="304BB233" w14:textId="7F8D1048" w:rsidR="000C1069" w:rsidRPr="00CF0878" w:rsidRDefault="000976E5"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Water quality monitoring records data on </w:t>
      </w:r>
      <w:r w:rsidR="00B0254E">
        <w:t xml:space="preserve">nitrite-nitrate nitrogen, dissolved reactive phosphorus, ammoniacal nitrogen, </w:t>
      </w:r>
      <w:proofErr w:type="gramStart"/>
      <w:r w:rsidR="00B0254E" w:rsidRPr="00CF0878">
        <w:rPr>
          <w:i/>
          <w:iCs/>
        </w:rPr>
        <w:t>E.coli</w:t>
      </w:r>
      <w:proofErr w:type="gramEnd"/>
      <w:r w:rsidR="00B0254E">
        <w:t>, turbidity, total nitrogen and total phosphorus, although not consistently across the catchments</w:t>
      </w:r>
      <w:r w:rsidR="00A5175C">
        <w:t xml:space="preserve"> – for example, </w:t>
      </w:r>
      <w:r w:rsidR="000C1069">
        <w:t xml:space="preserve">total nitrogen is only recorded in groups 4 and 5. Using data from 2015 to 2020, </w:t>
      </w:r>
      <w:r w:rsidR="007350BA">
        <w:t xml:space="preserve">more than half of the monitored sites were classified as having “excellent” or “good” water quality in accordance with the Water Plan standards. </w:t>
      </w:r>
      <w:r w:rsidR="00EB71E7">
        <w:t xml:space="preserve">Most rivers graded “excellent” </w:t>
      </w:r>
      <w:proofErr w:type="gramStart"/>
      <w:r w:rsidR="00EB71E7">
        <w:t>were located in</w:t>
      </w:r>
      <w:proofErr w:type="gramEnd"/>
      <w:r w:rsidR="00EB71E7">
        <w:t xml:space="preserve"> Central Otago and the upper Clutha where land use tends to be low intensity</w:t>
      </w:r>
      <w:r w:rsidR="001E46D5">
        <w:t xml:space="preserve"> (including conservation land). </w:t>
      </w:r>
      <w:r w:rsidR="004F699D">
        <w:t>Poorer water quality was found in river catchments with higher intensity land uses</w:t>
      </w:r>
      <w:r w:rsidR="007658DD">
        <w:t>, including farming and urban environments</w:t>
      </w:r>
      <w:sdt>
        <w:sdtPr>
          <w:id w:val="1501075283"/>
          <w:placeholder>
            <w:docPart w:val="DefaultPlaceholder_1081868574"/>
          </w:placeholder>
          <w:citation/>
        </w:sdtPr>
        <w:sdtContent>
          <w:r w:rsidR="00663B61">
            <w:fldChar w:fldCharType="begin"/>
          </w:r>
          <w:r w:rsidR="00663B61">
            <w:instrText xml:space="preserve"> CITATION Ota20 \l 5129 </w:instrText>
          </w:r>
          <w:r w:rsidR="00663B61">
            <w:fldChar w:fldCharType="separate"/>
          </w:r>
          <w:r w:rsidR="00246D02">
            <w:rPr>
              <w:noProof/>
            </w:rPr>
            <w:t xml:space="preserve"> (Otago Regional Council, 2020)</w:t>
          </w:r>
          <w:r w:rsidR="00663B61">
            <w:fldChar w:fldCharType="end"/>
          </w:r>
        </w:sdtContent>
      </w:sdt>
      <w:r w:rsidR="008D18BF">
        <w:t xml:space="preserve">. </w:t>
      </w:r>
      <w:r w:rsidR="00201A37">
        <w:t xml:space="preserve">The Water Plan has a very limited policy framework for managing land uses that contribute to </w:t>
      </w:r>
      <w:r w:rsidR="009748D3">
        <w:t>water quality issues.</w:t>
      </w:r>
    </w:p>
    <w:p w14:paraId="15607B9B" w14:textId="55A9E0EC" w:rsidR="00D33392" w:rsidRPr="009A51DD" w:rsidRDefault="00CF0878" w:rsidP="000F043E">
      <w:pPr>
        <w:pStyle w:val="Normal2"/>
        <w:shd w:val="clear" w:color="auto" w:fill="DEEAF6" w:themeFill="accent5" w:themeFillTint="33"/>
        <w:rPr>
          <w:rFonts w:asciiTheme="majorHAnsi" w:eastAsiaTheme="majorEastAsia" w:hAnsiTheme="majorHAnsi" w:cstheme="majorBidi"/>
          <w:color w:val="1F3864" w:themeColor="accent1" w:themeShade="80"/>
          <w:sz w:val="24"/>
          <w:szCs w:val="24"/>
        </w:rPr>
      </w:pPr>
      <w:r>
        <w:t xml:space="preserve">Degraded water quality underpins </w:t>
      </w:r>
      <w:proofErr w:type="gramStart"/>
      <w:r>
        <w:t>a number of</w:t>
      </w:r>
      <w:proofErr w:type="gramEnd"/>
      <w:r>
        <w:t xml:space="preserve"> the issues of significance to Kāi </w:t>
      </w:r>
      <w:proofErr w:type="spellStart"/>
      <w:r>
        <w:t>Tahu</w:t>
      </w:r>
      <w:proofErr w:type="spellEnd"/>
      <w:r>
        <w:t xml:space="preserve"> (see RMIA–WAI–I1 to RMIA–WAI–I5). </w:t>
      </w:r>
      <w:r w:rsidR="00D33392">
        <w:t xml:space="preserve">These issues are </w:t>
      </w:r>
      <w:r w:rsidR="003E0D56">
        <w:t xml:space="preserve">also </w:t>
      </w:r>
      <w:r w:rsidR="00D33392">
        <w:t>summarised in SRMR</w:t>
      </w:r>
      <w:r w:rsidR="00FD4386">
        <w:t>–</w:t>
      </w:r>
      <w:r w:rsidR="003948A2">
        <w:t>I</w:t>
      </w:r>
      <w:r w:rsidR="00D33392">
        <w:t xml:space="preserve">6: declining water quality has adverse effects on the environment, our </w:t>
      </w:r>
      <w:proofErr w:type="gramStart"/>
      <w:r w:rsidR="00D33392">
        <w:t>communities</w:t>
      </w:r>
      <w:proofErr w:type="gramEnd"/>
      <w:r w:rsidR="00D33392">
        <w:t xml:space="preserve"> and the economy. </w:t>
      </w:r>
      <w:proofErr w:type="gramStart"/>
      <w:r w:rsidR="00117FED">
        <w:t>Similarly</w:t>
      </w:r>
      <w:proofErr w:type="gramEnd"/>
      <w:r w:rsidR="00117FED">
        <w:t xml:space="preserve"> to water quantity, issues with water quality also contribute to other issues identified as regionally significant, particularly SRMR</w:t>
      </w:r>
      <w:r w:rsidR="00FD4386">
        <w:t>–I</w:t>
      </w:r>
      <w:r w:rsidR="00E15F9D">
        <w:t>4, SRMR</w:t>
      </w:r>
      <w:r w:rsidR="00FD4386">
        <w:t>–I</w:t>
      </w:r>
      <w:r w:rsidR="00E15F9D">
        <w:t>7, SRMR</w:t>
      </w:r>
      <w:r w:rsidR="00FD4386">
        <w:t>–I</w:t>
      </w:r>
      <w:r w:rsidR="00E15F9D">
        <w:t>8, SRMR</w:t>
      </w:r>
      <w:r w:rsidR="00FD4386">
        <w:t>–I</w:t>
      </w:r>
      <w:r w:rsidR="00E15F9D">
        <w:t>10 and SRMR</w:t>
      </w:r>
      <w:r w:rsidR="00FD4386">
        <w:t>–I</w:t>
      </w:r>
      <w:r w:rsidR="00E15F9D">
        <w:t>11.</w:t>
      </w:r>
    </w:p>
    <w:p w14:paraId="190391E7" w14:textId="42363585" w:rsidR="00E9552F" w:rsidRDefault="00E9552F" w:rsidP="000F043E">
      <w:pPr>
        <w:pStyle w:val="Heading3"/>
        <w:shd w:val="clear" w:color="auto" w:fill="DEEAF6" w:themeFill="accent5" w:themeFillTint="33"/>
      </w:pPr>
      <w:r>
        <w:t>Objectives</w:t>
      </w:r>
    </w:p>
    <w:p w14:paraId="3D7677EA" w14:textId="2C4BFFA9" w:rsidR="00CA4111" w:rsidRDefault="00CA4111" w:rsidP="000F043E">
      <w:pPr>
        <w:pStyle w:val="Normal2"/>
        <w:shd w:val="clear" w:color="auto" w:fill="DEEAF6" w:themeFill="accent5" w:themeFillTint="33"/>
      </w:pPr>
      <w:r>
        <w:t xml:space="preserve">Section 32(1)(b) requires an examination of whether the provisions in a proposal </w:t>
      </w:r>
      <w:proofErr w:type="gramStart"/>
      <w:r>
        <w:t>are the most appropriate way</w:t>
      </w:r>
      <w:proofErr w:type="gramEnd"/>
      <w:r>
        <w:t xml:space="preserve"> to achieve the objectives. The relevant objectives for this topic are included in </w:t>
      </w:r>
      <w:r>
        <w:fldChar w:fldCharType="begin"/>
      </w:r>
      <w:r>
        <w:instrText xml:space="preserve"> REF _Ref68858716 \h </w:instrText>
      </w:r>
      <w:r w:rsidR="00CF0142">
        <w:instrText xml:space="preserve"> \* MERGEFORMAT </w:instrText>
      </w:r>
      <w:r>
        <w:fldChar w:fldCharType="separate"/>
      </w:r>
      <w:r w:rsidR="002A7A16">
        <w:t xml:space="preserve">Table </w:t>
      </w:r>
      <w:r w:rsidR="002A7A16">
        <w:rPr>
          <w:noProof/>
        </w:rPr>
        <w:t>34</w:t>
      </w:r>
      <w:r>
        <w:fldChar w:fldCharType="end"/>
      </w:r>
      <w:r>
        <w:t xml:space="preserve"> below.</w:t>
      </w:r>
    </w:p>
    <w:p w14:paraId="53573307" w14:textId="4745963B" w:rsidR="00CA4111" w:rsidRDefault="002A2CA4" w:rsidP="000F043E">
      <w:pPr>
        <w:pStyle w:val="Caption"/>
        <w:shd w:val="clear" w:color="auto" w:fill="DEEAF6" w:themeFill="accent5" w:themeFillTint="33"/>
        <w:ind w:left="709"/>
      </w:pPr>
      <w:bookmarkStart w:id="90" w:name="_Ref68858716"/>
      <w:r>
        <w:t xml:space="preserve">Table </w:t>
      </w:r>
      <w:r>
        <w:fldChar w:fldCharType="begin"/>
      </w:r>
      <w:r>
        <w:instrText>SEQ Table \* ARABIC</w:instrText>
      </w:r>
      <w:r>
        <w:fldChar w:fldCharType="separate"/>
      </w:r>
      <w:r w:rsidR="002A7A16">
        <w:rPr>
          <w:noProof/>
        </w:rPr>
        <w:t>34</w:t>
      </w:r>
      <w:r>
        <w:fldChar w:fldCharType="end"/>
      </w:r>
      <w:bookmarkEnd w:id="90"/>
      <w:r>
        <w:t>: L</w:t>
      </w:r>
      <w:r w:rsidR="008B03AE">
        <w:t xml:space="preserve">and and </w:t>
      </w:r>
      <w:r>
        <w:t>F</w:t>
      </w:r>
      <w:r w:rsidR="008B03AE">
        <w:t>reshwater</w:t>
      </w:r>
      <w:r>
        <w:t xml:space="preserve"> objectives</w:t>
      </w:r>
    </w:p>
    <w:tbl>
      <w:tblPr>
        <w:tblStyle w:val="TableGrid"/>
        <w:tblW w:w="0" w:type="auto"/>
        <w:tblInd w:w="720" w:type="dxa"/>
        <w:tblLook w:val="04A0" w:firstRow="1" w:lastRow="0" w:firstColumn="1" w:lastColumn="0" w:noHBand="0" w:noVBand="1"/>
      </w:tblPr>
      <w:tblGrid>
        <w:gridCol w:w="1685"/>
        <w:gridCol w:w="6611"/>
      </w:tblGrid>
      <w:tr w:rsidR="003E0D56" w14:paraId="63036BA5" w14:textId="77777777" w:rsidTr="000F043E">
        <w:tc>
          <w:tcPr>
            <w:tcW w:w="1685" w:type="dxa"/>
            <w:shd w:val="clear" w:color="auto" w:fill="DEEAF6" w:themeFill="accent5" w:themeFillTint="33"/>
          </w:tcPr>
          <w:p w14:paraId="534D86DB" w14:textId="3C160DED" w:rsidR="003E0D56" w:rsidRPr="00557EEE" w:rsidRDefault="003E0D56" w:rsidP="00A247C5">
            <w:pPr>
              <w:pStyle w:val="Table1"/>
            </w:pPr>
            <w:r>
              <w:lastRenderedPageBreak/>
              <w:t>LF–WAI–O1 – Te Mana o Te Wai</w:t>
            </w:r>
          </w:p>
        </w:tc>
        <w:tc>
          <w:tcPr>
            <w:tcW w:w="6611" w:type="dxa"/>
            <w:shd w:val="clear" w:color="auto" w:fill="DEEAF6" w:themeFill="accent5" w:themeFillTint="33"/>
          </w:tcPr>
          <w:p w14:paraId="5A4C1376" w14:textId="77777777" w:rsidR="003E0D56" w:rsidRPr="005C161A" w:rsidRDefault="003E0D56" w:rsidP="00A247C5">
            <w:pPr>
              <w:pStyle w:val="Table1"/>
            </w:pPr>
            <w:r w:rsidRPr="005C161A">
              <w:t>The mauri of Otago’s water bodies and their health and well-being is protected, restored where it is degraded, and the management of land and water recognises and reflects that:</w:t>
            </w:r>
          </w:p>
          <w:p w14:paraId="33937E51" w14:textId="77777777" w:rsidR="003E0D56" w:rsidRPr="00FA7F89" w:rsidRDefault="003E0D56" w:rsidP="001C1090">
            <w:pPr>
              <w:pStyle w:val="Table1"/>
              <w:ind w:left="306" w:hanging="306"/>
            </w:pPr>
            <w:r w:rsidRPr="009B54A5">
              <w:t>(1)</w:t>
            </w:r>
            <w:r w:rsidRPr="009B54A5">
              <w:tab/>
            </w:r>
            <w:r w:rsidRPr="005C161A">
              <w:t>water</w:t>
            </w:r>
            <w:r w:rsidRPr="00FA7F89">
              <w:t xml:space="preserve"> is the foundation and source of all life - </w:t>
            </w:r>
            <w:proofErr w:type="spellStart"/>
            <w:r>
              <w:t>na</w:t>
            </w:r>
            <w:proofErr w:type="spellEnd"/>
            <w:r>
              <w:t xml:space="preserve"> te wai ko te hauora</w:t>
            </w:r>
            <w:r w:rsidRPr="00FA7F89">
              <w:t xml:space="preserve"> o </w:t>
            </w:r>
            <w:proofErr w:type="spellStart"/>
            <w:r w:rsidRPr="00FA7F89">
              <w:t>ngā</w:t>
            </w:r>
            <w:proofErr w:type="spellEnd"/>
            <w:r w:rsidRPr="00FA7F89">
              <w:t xml:space="preserve"> </w:t>
            </w:r>
            <w:proofErr w:type="spellStart"/>
            <w:r w:rsidRPr="00FA7F89">
              <w:t>mea</w:t>
            </w:r>
            <w:proofErr w:type="spellEnd"/>
            <w:r w:rsidRPr="00FA7F89">
              <w:t xml:space="preserve"> </w:t>
            </w:r>
            <w:proofErr w:type="spellStart"/>
            <w:r w:rsidRPr="00FA7F89">
              <w:t>katoa</w:t>
            </w:r>
            <w:proofErr w:type="spellEnd"/>
            <w:r w:rsidRPr="00FA7F89">
              <w:t>,</w:t>
            </w:r>
          </w:p>
          <w:p w14:paraId="3C61CB35" w14:textId="77777777" w:rsidR="003E0D56" w:rsidRDefault="003E0D56" w:rsidP="001C1090">
            <w:pPr>
              <w:pStyle w:val="Table1"/>
              <w:ind w:left="306" w:hanging="306"/>
            </w:pPr>
            <w:r>
              <w:t>(2)</w:t>
            </w:r>
            <w:r>
              <w:tab/>
              <w:t xml:space="preserve">there is an integral kinship relationship between water and Kāi </w:t>
            </w:r>
            <w:proofErr w:type="spellStart"/>
            <w:r>
              <w:t>Tahu</w:t>
            </w:r>
            <w:proofErr w:type="spellEnd"/>
            <w:r>
              <w:t xml:space="preserve"> </w:t>
            </w:r>
            <w:proofErr w:type="spellStart"/>
            <w:r>
              <w:t>whānui</w:t>
            </w:r>
            <w:proofErr w:type="spellEnd"/>
            <w:r>
              <w:t>, and this relationship endures through time, connecting past, present and future,</w:t>
            </w:r>
          </w:p>
          <w:p w14:paraId="0EBD8BAB" w14:textId="77777777" w:rsidR="003E0D56" w:rsidRPr="00FA7F89" w:rsidRDefault="003E0D56" w:rsidP="001C1090">
            <w:pPr>
              <w:pStyle w:val="Table1"/>
              <w:ind w:left="306" w:hanging="306"/>
            </w:pPr>
            <w:r>
              <w:t>(3)</w:t>
            </w:r>
            <w:r>
              <w:tab/>
            </w:r>
            <w:r w:rsidRPr="00FA7F89">
              <w:t xml:space="preserve">each </w:t>
            </w:r>
            <w:r w:rsidRPr="005C161A">
              <w:t>water body</w:t>
            </w:r>
            <w:r w:rsidRPr="00FA7F89">
              <w:t xml:space="preserve"> has a unique whakapapa and characteristics,</w:t>
            </w:r>
          </w:p>
          <w:p w14:paraId="18A3E9AD" w14:textId="77777777" w:rsidR="003E0D56" w:rsidRPr="00FA7F89" w:rsidRDefault="003E0D56" w:rsidP="001C1090">
            <w:pPr>
              <w:pStyle w:val="Table1"/>
              <w:ind w:left="306" w:hanging="306"/>
            </w:pPr>
            <w:r>
              <w:t>(4)</w:t>
            </w:r>
            <w:r>
              <w:tab/>
            </w:r>
            <w:r w:rsidRPr="00FA7F89">
              <w:t xml:space="preserve">water and </w:t>
            </w:r>
            <w:r w:rsidRPr="005C161A">
              <w:t>land</w:t>
            </w:r>
            <w:r w:rsidRPr="00FA7F89">
              <w:t xml:space="preserve"> have a connectedness that supports and perpetuates life,</w:t>
            </w:r>
            <w:r>
              <w:t xml:space="preserve"> and</w:t>
            </w:r>
          </w:p>
          <w:p w14:paraId="603B6E4D" w14:textId="6348616B" w:rsidR="003E0D56" w:rsidRPr="00F22FDB" w:rsidRDefault="003E0D56" w:rsidP="001C1090">
            <w:pPr>
              <w:pStyle w:val="Table1"/>
              <w:ind w:left="306" w:hanging="306"/>
            </w:pPr>
            <w:r>
              <w:t>(5)</w:t>
            </w:r>
            <w:r>
              <w:tab/>
            </w:r>
            <w:r w:rsidRPr="00FA7F89">
              <w:t xml:space="preserve">Kāi </w:t>
            </w:r>
            <w:proofErr w:type="spellStart"/>
            <w:r w:rsidRPr="00FA7F89">
              <w:t>Tahu</w:t>
            </w:r>
            <w:proofErr w:type="spellEnd"/>
            <w:r w:rsidRPr="00FA7F89">
              <w:t xml:space="preserve"> </w:t>
            </w:r>
            <w:r>
              <w:t>have</w:t>
            </w:r>
            <w:r w:rsidRPr="00FA7F89">
              <w:t xml:space="preserve"> </w:t>
            </w:r>
            <w:proofErr w:type="spellStart"/>
            <w:r w:rsidRPr="005C161A">
              <w:t>kaitiakitaka</w:t>
            </w:r>
            <w:proofErr w:type="spellEnd"/>
            <w:r w:rsidRPr="00FA7F89">
              <w:t xml:space="preserve"> duty of care and attention over wai and all the life it supports. </w:t>
            </w:r>
          </w:p>
        </w:tc>
      </w:tr>
      <w:tr w:rsidR="003E0D56" w14:paraId="27DD0E4D" w14:textId="77777777" w:rsidTr="000F043E">
        <w:tc>
          <w:tcPr>
            <w:tcW w:w="1685" w:type="dxa"/>
            <w:shd w:val="clear" w:color="auto" w:fill="DEEAF6" w:themeFill="accent5" w:themeFillTint="33"/>
          </w:tcPr>
          <w:p w14:paraId="15457375" w14:textId="09D583C8" w:rsidR="003E0D56" w:rsidRPr="00557EEE" w:rsidRDefault="003E0D56" w:rsidP="00A247C5">
            <w:pPr>
              <w:pStyle w:val="Table1"/>
            </w:pPr>
            <w:r>
              <w:t>LF–VM–O2 – Clutha / Mata-au FMU vision</w:t>
            </w:r>
          </w:p>
        </w:tc>
        <w:tc>
          <w:tcPr>
            <w:tcW w:w="6611" w:type="dxa"/>
            <w:shd w:val="clear" w:color="auto" w:fill="DEEAF6" w:themeFill="accent5" w:themeFillTint="33"/>
          </w:tcPr>
          <w:p w14:paraId="3367545D" w14:textId="77777777" w:rsidR="003E0D56" w:rsidRDefault="003E0D56" w:rsidP="00A247C5">
            <w:pPr>
              <w:pStyle w:val="Table1"/>
              <w:ind w:left="306"/>
            </w:pPr>
            <w:r>
              <w:t>In the Clutha Mata-au FMU:</w:t>
            </w:r>
          </w:p>
          <w:p w14:paraId="766E56BF" w14:textId="77777777" w:rsidR="003E0D56" w:rsidRDefault="003E0D56" w:rsidP="001C1090">
            <w:pPr>
              <w:pStyle w:val="Table1"/>
              <w:ind w:left="306" w:hanging="306"/>
            </w:pPr>
            <w:r>
              <w:t>(1)</w:t>
            </w:r>
            <w:r>
              <w:tab/>
              <w:t xml:space="preserve">management of the FMU recognises that: </w:t>
            </w:r>
          </w:p>
          <w:p w14:paraId="0202DE0B" w14:textId="7197F68E" w:rsidR="003E0D56" w:rsidRDefault="003E0D56" w:rsidP="001C1090">
            <w:pPr>
              <w:pStyle w:val="Table1"/>
              <w:ind w:left="744" w:hanging="426"/>
            </w:pPr>
            <w:r>
              <w:t>(a)</w:t>
            </w:r>
            <w:r>
              <w:tab/>
              <w:t xml:space="preserve">the Clutha River / Mata-au is managed as a single connected system ki uta ki tai, and </w:t>
            </w:r>
          </w:p>
          <w:p w14:paraId="430CFAD4" w14:textId="6DDAABA2" w:rsidR="003E0D56" w:rsidRDefault="003E0D56" w:rsidP="001C1090">
            <w:pPr>
              <w:pStyle w:val="Table1"/>
              <w:ind w:left="744" w:hanging="426"/>
            </w:pPr>
            <w:r>
              <w:t>(b)</w:t>
            </w:r>
            <w:r w:rsidR="001C1090">
              <w:tab/>
            </w:r>
            <w:r>
              <w:t xml:space="preserve">the source of the wai is pure, coming directly from </w:t>
            </w:r>
            <w:proofErr w:type="spellStart"/>
            <w:r>
              <w:t>Tawhirimatea</w:t>
            </w:r>
            <w:proofErr w:type="spellEnd"/>
            <w:r>
              <w:t xml:space="preserve"> to the top of the mauka and into the awa,</w:t>
            </w:r>
          </w:p>
          <w:p w14:paraId="63FF5EA6" w14:textId="77777777" w:rsidR="003E0D56" w:rsidRDefault="003E0D56" w:rsidP="001C1090">
            <w:pPr>
              <w:pStyle w:val="Table1"/>
              <w:ind w:left="306" w:hanging="306"/>
            </w:pPr>
            <w:r>
              <w:t>(2)</w:t>
            </w:r>
            <w:r>
              <w:tab/>
              <w:t>freshwater is managed in accordance with the LF–WAI objectives and policies,</w:t>
            </w:r>
          </w:p>
          <w:p w14:paraId="56DEE9A9" w14:textId="77777777" w:rsidR="003E0D56" w:rsidRDefault="003E0D56" w:rsidP="001C1090">
            <w:pPr>
              <w:pStyle w:val="Table1"/>
              <w:ind w:left="306" w:hanging="306"/>
            </w:pPr>
            <w:r>
              <w:t>(3)</w:t>
            </w:r>
            <w:r>
              <w:tab/>
              <w:t xml:space="preserve">the ongoing relationship of Kāi </w:t>
            </w:r>
            <w:proofErr w:type="spellStart"/>
            <w:r>
              <w:t>Tahu</w:t>
            </w:r>
            <w:proofErr w:type="spellEnd"/>
            <w:r>
              <w:t xml:space="preserve"> with </w:t>
            </w:r>
            <w:proofErr w:type="spellStart"/>
            <w:r>
              <w:t>wāhi</w:t>
            </w:r>
            <w:proofErr w:type="spellEnd"/>
            <w:r>
              <w:t xml:space="preserve"> tūpuna is sustained,</w:t>
            </w:r>
          </w:p>
          <w:p w14:paraId="40B6CCB0" w14:textId="77777777" w:rsidR="003E0D56" w:rsidRDefault="003E0D56" w:rsidP="001C1090">
            <w:pPr>
              <w:pStyle w:val="Table1"/>
              <w:ind w:left="306" w:hanging="306"/>
            </w:pPr>
            <w:r>
              <w:t>(4)</w:t>
            </w:r>
            <w:r>
              <w:tab/>
              <w:t xml:space="preserve">water bodies support thriving </w:t>
            </w:r>
            <w:proofErr w:type="spellStart"/>
            <w:r>
              <w:t>mahika</w:t>
            </w:r>
            <w:proofErr w:type="spellEnd"/>
            <w:r>
              <w:t xml:space="preserve"> kai and Kāi </w:t>
            </w:r>
            <w:proofErr w:type="spellStart"/>
            <w:r>
              <w:t>Tahu</w:t>
            </w:r>
            <w:proofErr w:type="spellEnd"/>
            <w:r>
              <w:t xml:space="preserve"> </w:t>
            </w:r>
            <w:proofErr w:type="spellStart"/>
            <w:r>
              <w:t>whānui</w:t>
            </w:r>
            <w:proofErr w:type="spellEnd"/>
            <w:r>
              <w:t xml:space="preserve"> have access to </w:t>
            </w:r>
            <w:proofErr w:type="spellStart"/>
            <w:r>
              <w:t>mahika</w:t>
            </w:r>
            <w:proofErr w:type="spellEnd"/>
            <w:r>
              <w:t xml:space="preserve"> kai,</w:t>
            </w:r>
          </w:p>
          <w:p w14:paraId="3FD7630A" w14:textId="77777777" w:rsidR="003E0D56" w:rsidRDefault="003E0D56" w:rsidP="001C1090">
            <w:pPr>
              <w:pStyle w:val="Table1"/>
              <w:ind w:left="306" w:hanging="306"/>
            </w:pPr>
            <w:r>
              <w:t>(5)</w:t>
            </w:r>
            <w:r>
              <w:tab/>
              <w:t>indigenous species migrate easily and as naturally as possible along and within the river system,</w:t>
            </w:r>
          </w:p>
          <w:p w14:paraId="44FF4E13" w14:textId="77777777" w:rsidR="003E0D56" w:rsidRDefault="003E0D56" w:rsidP="001C1090">
            <w:pPr>
              <w:pStyle w:val="Table1"/>
              <w:ind w:left="306" w:hanging="306"/>
            </w:pPr>
            <w:r>
              <w:t>(6)</w:t>
            </w:r>
            <w:r>
              <w:tab/>
              <w:t>the national significance of the Clutha hydro-electricity generation scheme is recognised,</w:t>
            </w:r>
          </w:p>
          <w:p w14:paraId="116307C5" w14:textId="77777777" w:rsidR="003E0D56" w:rsidRDefault="003E0D56" w:rsidP="001C1090">
            <w:pPr>
              <w:pStyle w:val="Table1"/>
              <w:ind w:left="306" w:hanging="306"/>
            </w:pPr>
            <w:r>
              <w:t>(7)</w:t>
            </w:r>
            <w:r>
              <w:tab/>
              <w:t>in addition to (1) to (6) above:</w:t>
            </w:r>
          </w:p>
          <w:p w14:paraId="1F2DD461" w14:textId="77777777" w:rsidR="003E0D56" w:rsidRDefault="003E0D56" w:rsidP="001C1090">
            <w:pPr>
              <w:pStyle w:val="Table1"/>
              <w:ind w:left="744" w:hanging="426"/>
            </w:pPr>
            <w:r>
              <w:t>(a)</w:t>
            </w:r>
            <w:r>
              <w:tab/>
              <w:t xml:space="preserve">in the Upper Lakes </w:t>
            </w:r>
            <w:proofErr w:type="spellStart"/>
            <w:r>
              <w:t>rohe</w:t>
            </w:r>
            <w:proofErr w:type="spellEnd"/>
            <w:r>
              <w:t xml:space="preserve">, the </w:t>
            </w:r>
            <w:proofErr w:type="gramStart"/>
            <w:r>
              <w:t>high quality</w:t>
            </w:r>
            <w:proofErr w:type="gramEnd"/>
            <w:r>
              <w:t xml:space="preserve"> waters of the lakes and their tributaries are protected, recognising the significance of the purity of these waters to Kāi </w:t>
            </w:r>
            <w:proofErr w:type="spellStart"/>
            <w:r>
              <w:t>Tahu</w:t>
            </w:r>
            <w:proofErr w:type="spellEnd"/>
            <w:r>
              <w:t xml:space="preserve"> and to the wider community,</w:t>
            </w:r>
          </w:p>
          <w:p w14:paraId="3C394F7A" w14:textId="77777777" w:rsidR="003E0D56" w:rsidRDefault="003E0D56" w:rsidP="001C1090">
            <w:pPr>
              <w:pStyle w:val="Table1"/>
              <w:ind w:left="744" w:hanging="426"/>
            </w:pPr>
            <w:r>
              <w:t>(b)</w:t>
            </w:r>
            <w:r>
              <w:tab/>
              <w:t xml:space="preserve">in the Dunstan, </w:t>
            </w:r>
            <w:proofErr w:type="spellStart"/>
            <w:r>
              <w:t>Manuherekia</w:t>
            </w:r>
            <w:proofErr w:type="spellEnd"/>
            <w:r>
              <w:t xml:space="preserve"> and Roxburgh </w:t>
            </w:r>
            <w:proofErr w:type="spellStart"/>
            <w:r>
              <w:t>rohe</w:t>
            </w:r>
            <w:proofErr w:type="spellEnd"/>
            <w:r>
              <w:t>:</w:t>
            </w:r>
          </w:p>
          <w:p w14:paraId="7DAAC4AC" w14:textId="77777777" w:rsidR="003E0D56" w:rsidRDefault="003E0D56" w:rsidP="001C1090">
            <w:pPr>
              <w:pStyle w:val="Table1"/>
              <w:ind w:left="1169" w:hanging="425"/>
            </w:pPr>
            <w:r>
              <w:t>(</w:t>
            </w:r>
            <w:proofErr w:type="spellStart"/>
            <w:r>
              <w:t>i</w:t>
            </w:r>
            <w:proofErr w:type="spellEnd"/>
            <w:r>
              <w:t>)</w:t>
            </w:r>
            <w:r>
              <w:tab/>
              <w:t xml:space="preserve">flows in water bodies sustain and, wherever possible, restore the natural form and function of main stems and tributaries to support Kāi </w:t>
            </w:r>
            <w:proofErr w:type="spellStart"/>
            <w:r>
              <w:t>Tahu</w:t>
            </w:r>
            <w:proofErr w:type="spellEnd"/>
            <w:r>
              <w:t xml:space="preserve"> values and practices, and</w:t>
            </w:r>
          </w:p>
          <w:p w14:paraId="1B47F405" w14:textId="77777777" w:rsidR="003E0D56" w:rsidRDefault="003E0D56" w:rsidP="001C1090">
            <w:pPr>
              <w:pStyle w:val="Table1"/>
              <w:ind w:left="1169" w:hanging="425"/>
            </w:pPr>
            <w:r>
              <w:t>(ii)</w:t>
            </w:r>
            <w:r>
              <w:tab/>
              <w:t>innovative and sustainable land and water management practices support food production in the area and reduce discharges of nutrients and other contaminants to water bodies so that they are safe for human contact, and</w:t>
            </w:r>
          </w:p>
          <w:p w14:paraId="32692F45" w14:textId="77777777" w:rsidR="003E0D56" w:rsidRDefault="003E0D56" w:rsidP="001C1090">
            <w:pPr>
              <w:pStyle w:val="Table1"/>
              <w:ind w:left="1169" w:hanging="425"/>
            </w:pPr>
            <w:r>
              <w:t>(iii)</w:t>
            </w:r>
            <w:r>
              <w:tab/>
              <w:t>sustainable abstraction occurs from main stems or groundwater in preference to tributaries,</w:t>
            </w:r>
          </w:p>
          <w:p w14:paraId="0847408A" w14:textId="77777777" w:rsidR="003E0D56" w:rsidRDefault="003E0D56" w:rsidP="001C1090">
            <w:pPr>
              <w:pStyle w:val="Table1"/>
              <w:ind w:left="744" w:hanging="426"/>
            </w:pPr>
            <w:r>
              <w:t>(c)</w:t>
            </w:r>
            <w:r>
              <w:tab/>
              <w:t xml:space="preserve">in the Lower Clutha </w:t>
            </w:r>
            <w:proofErr w:type="spellStart"/>
            <w:r>
              <w:t>rohe</w:t>
            </w:r>
            <w:proofErr w:type="spellEnd"/>
            <w:r>
              <w:t>:</w:t>
            </w:r>
          </w:p>
          <w:p w14:paraId="308392C6" w14:textId="77777777" w:rsidR="003E0D56" w:rsidRDefault="003E0D56" w:rsidP="001C1090">
            <w:pPr>
              <w:pStyle w:val="Table1"/>
              <w:ind w:left="1169" w:hanging="425"/>
            </w:pPr>
            <w:r>
              <w:t>(</w:t>
            </w:r>
            <w:proofErr w:type="spellStart"/>
            <w:r>
              <w:t>i</w:t>
            </w:r>
            <w:proofErr w:type="spellEnd"/>
            <w:r>
              <w:t>)</w:t>
            </w:r>
            <w:r>
              <w:tab/>
              <w:t xml:space="preserve">there is no further modification of the shape and behaviour of the water bodies and opportunities to restore the natural form and function of water bodies are promoted wherever possible, </w:t>
            </w:r>
          </w:p>
          <w:p w14:paraId="42A288F3" w14:textId="77777777" w:rsidR="003E0D56" w:rsidRDefault="003E0D56" w:rsidP="001C1090">
            <w:pPr>
              <w:pStyle w:val="Table1"/>
              <w:ind w:left="1169" w:hanging="425"/>
            </w:pPr>
            <w:r>
              <w:t>(ii)</w:t>
            </w:r>
            <w:r>
              <w:tab/>
              <w:t xml:space="preserve">preserving and restoring the ecosystem connections between freshwater, </w:t>
            </w:r>
            <w:proofErr w:type="gramStart"/>
            <w:r>
              <w:t>wetlands</w:t>
            </w:r>
            <w:proofErr w:type="gramEnd"/>
            <w:r>
              <w:t xml:space="preserve"> and the coastal environment, </w:t>
            </w:r>
          </w:p>
          <w:p w14:paraId="706CB601" w14:textId="77777777" w:rsidR="003E0D56" w:rsidRDefault="003E0D56" w:rsidP="001C1090">
            <w:pPr>
              <w:pStyle w:val="Table1"/>
              <w:ind w:left="1169" w:hanging="425"/>
            </w:pPr>
            <w:r>
              <w:lastRenderedPageBreak/>
              <w:t>(iii)</w:t>
            </w:r>
            <w:r>
              <w:tab/>
              <w:t>land management practices reduce discharges of nutrients and other contaminants to water bodies so that they are safe for human contact, and</w:t>
            </w:r>
          </w:p>
          <w:p w14:paraId="158F3B81" w14:textId="77777777" w:rsidR="003E0D56" w:rsidRDefault="003E0D56" w:rsidP="001C1090">
            <w:pPr>
              <w:pStyle w:val="Table1"/>
              <w:ind w:left="1169" w:hanging="425"/>
            </w:pPr>
            <w:r>
              <w:t>(iv)</w:t>
            </w:r>
            <w:r>
              <w:tab/>
              <w:t>there are no direct discharges of wastewater to water bodies, and</w:t>
            </w:r>
          </w:p>
          <w:p w14:paraId="32EA7026" w14:textId="77777777" w:rsidR="003E0D56" w:rsidRDefault="003E0D56" w:rsidP="001C1090">
            <w:pPr>
              <w:pStyle w:val="Table1"/>
              <w:ind w:left="306" w:hanging="306"/>
            </w:pPr>
            <w:r>
              <w:t>(8)</w:t>
            </w:r>
            <w:r>
              <w:tab/>
              <w:t>the outcomes sought in (7) are to be achieved within the following timeframes:</w:t>
            </w:r>
          </w:p>
          <w:p w14:paraId="216CB037" w14:textId="3C26C9B3" w:rsidR="003E0D56" w:rsidRDefault="003E0D56" w:rsidP="001C1090">
            <w:pPr>
              <w:pStyle w:val="Table1"/>
              <w:ind w:left="744" w:hanging="426"/>
            </w:pPr>
            <w:r>
              <w:t>(a)</w:t>
            </w:r>
            <w:r>
              <w:tab/>
              <w:t xml:space="preserve">by 2030 in the Upper Lakes </w:t>
            </w:r>
            <w:proofErr w:type="spellStart"/>
            <w:r>
              <w:t>rohe</w:t>
            </w:r>
            <w:proofErr w:type="spellEnd"/>
            <w:r>
              <w:t>,</w:t>
            </w:r>
          </w:p>
          <w:p w14:paraId="61B0EC05" w14:textId="77777777" w:rsidR="003E0D56" w:rsidRDefault="003E0D56" w:rsidP="001C1090">
            <w:pPr>
              <w:pStyle w:val="Table1"/>
              <w:ind w:left="744" w:hanging="426"/>
            </w:pPr>
            <w:r>
              <w:t>(b)</w:t>
            </w:r>
            <w:r>
              <w:tab/>
              <w:t xml:space="preserve">by 2045 in the Dunstan, </w:t>
            </w:r>
            <w:proofErr w:type="gramStart"/>
            <w:r>
              <w:t>Roxburgh</w:t>
            </w:r>
            <w:proofErr w:type="gramEnd"/>
            <w:r>
              <w:t xml:space="preserve"> and Lower Clutha </w:t>
            </w:r>
            <w:proofErr w:type="spellStart"/>
            <w:r>
              <w:t>rohe</w:t>
            </w:r>
            <w:proofErr w:type="spellEnd"/>
            <w:r>
              <w:t>, and</w:t>
            </w:r>
          </w:p>
          <w:p w14:paraId="1ABB8B55" w14:textId="5B5B64F1" w:rsidR="003E0D56" w:rsidRPr="004831A5" w:rsidRDefault="003E0D56" w:rsidP="001C1090">
            <w:pPr>
              <w:pStyle w:val="Table1"/>
              <w:ind w:left="744" w:hanging="426"/>
            </w:pPr>
            <w:r>
              <w:t>(c)</w:t>
            </w:r>
            <w:r>
              <w:tab/>
              <w:t xml:space="preserve">by 2050 in the </w:t>
            </w:r>
            <w:proofErr w:type="spellStart"/>
            <w:r>
              <w:t>Manuherekia</w:t>
            </w:r>
            <w:proofErr w:type="spellEnd"/>
            <w:r>
              <w:t xml:space="preserve"> </w:t>
            </w:r>
            <w:proofErr w:type="spellStart"/>
            <w:r>
              <w:t>rohe</w:t>
            </w:r>
            <w:proofErr w:type="spellEnd"/>
            <w:r>
              <w:t>.</w:t>
            </w:r>
          </w:p>
        </w:tc>
      </w:tr>
      <w:tr w:rsidR="003E0D56" w14:paraId="169B641F" w14:textId="77777777" w:rsidTr="000F043E">
        <w:tc>
          <w:tcPr>
            <w:tcW w:w="1685" w:type="dxa"/>
            <w:shd w:val="clear" w:color="auto" w:fill="DEEAF6" w:themeFill="accent5" w:themeFillTint="33"/>
          </w:tcPr>
          <w:p w14:paraId="667A7251" w14:textId="4B6DA8B2" w:rsidR="003E0D56" w:rsidRDefault="003E0D56" w:rsidP="00A247C5">
            <w:pPr>
              <w:pStyle w:val="Table1"/>
            </w:pPr>
            <w:r>
              <w:lastRenderedPageBreak/>
              <w:t>LF–VM–O3 – North Otago FMU vision</w:t>
            </w:r>
          </w:p>
        </w:tc>
        <w:tc>
          <w:tcPr>
            <w:tcW w:w="6611" w:type="dxa"/>
            <w:shd w:val="clear" w:color="auto" w:fill="DEEAF6" w:themeFill="accent5" w:themeFillTint="33"/>
          </w:tcPr>
          <w:p w14:paraId="5A5CF842" w14:textId="77777777" w:rsidR="003E0D56" w:rsidRDefault="003E0D56" w:rsidP="001C1090">
            <w:pPr>
              <w:pStyle w:val="Table1"/>
              <w:ind w:left="35"/>
            </w:pPr>
            <w:r>
              <w:t xml:space="preserve">By 2050 in the North Otago </w:t>
            </w:r>
            <w:r w:rsidRPr="00347784">
              <w:t>FMU</w:t>
            </w:r>
            <w:r>
              <w:t>:</w:t>
            </w:r>
          </w:p>
          <w:p w14:paraId="485EE3FA" w14:textId="77777777" w:rsidR="003E0D56" w:rsidRDefault="003E0D56" w:rsidP="001C1090">
            <w:pPr>
              <w:pStyle w:val="Table1"/>
              <w:ind w:left="306" w:hanging="306"/>
            </w:pPr>
            <w:r>
              <w:t>(1)</w:t>
            </w:r>
            <w:r>
              <w:tab/>
            </w:r>
            <w:r w:rsidRPr="00347784">
              <w:t>freshwater</w:t>
            </w:r>
            <w:r>
              <w:t xml:space="preserve"> is managed in accordance with the LF–WAI objectives and policies, while recognising that the Waitaki River is influenced in part by catchment areas within the Canterbury region, </w:t>
            </w:r>
          </w:p>
          <w:p w14:paraId="7B5CBEE4" w14:textId="77777777" w:rsidR="003E0D56" w:rsidRDefault="003E0D56" w:rsidP="001C1090">
            <w:pPr>
              <w:pStyle w:val="Table1"/>
              <w:ind w:left="306" w:hanging="306"/>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 and Kāi </w:t>
            </w:r>
            <w:proofErr w:type="spellStart"/>
            <w:r>
              <w:t>Tahu</w:t>
            </w:r>
            <w:proofErr w:type="spellEnd"/>
            <w:r>
              <w:t xml:space="preserve"> maintain their connection with and use of the </w:t>
            </w:r>
            <w:r w:rsidRPr="00347784">
              <w:t>water bodies</w:t>
            </w:r>
            <w:r>
              <w:t>,</w:t>
            </w:r>
          </w:p>
          <w:p w14:paraId="30141F33" w14:textId="77777777" w:rsidR="003E0D56" w:rsidRDefault="003E0D56" w:rsidP="001C1090">
            <w:pPr>
              <w:pStyle w:val="Table1"/>
              <w:ind w:left="306" w:hanging="306"/>
            </w:pPr>
            <w:r>
              <w:t>(3)</w:t>
            </w:r>
            <w:r>
              <w:tab/>
              <w:t xml:space="preserve">healthy riparian margins, </w:t>
            </w:r>
            <w:r w:rsidRPr="00347784">
              <w:t>wetlands</w:t>
            </w:r>
            <w:r>
              <w:t xml:space="preserve">, </w:t>
            </w:r>
            <w:proofErr w:type="gramStart"/>
            <w:r>
              <w:t>estuaries</w:t>
            </w:r>
            <w:proofErr w:type="gramEnd"/>
            <w:r>
              <w:t xml:space="preserve"> and lagoons support thriving </w:t>
            </w:r>
            <w:proofErr w:type="spellStart"/>
            <w:r>
              <w:t>mahika</w:t>
            </w:r>
            <w:proofErr w:type="spellEnd"/>
            <w:r>
              <w:t xml:space="preserve"> kai, indigenous habitats and downstream coastal ecosystems,</w:t>
            </w:r>
          </w:p>
          <w:p w14:paraId="0EFDB070" w14:textId="77777777" w:rsidR="003E0D56" w:rsidRDefault="003E0D56" w:rsidP="001C1090">
            <w:pPr>
              <w:pStyle w:val="Table1"/>
              <w:ind w:left="306" w:hanging="306"/>
            </w:pPr>
            <w:r>
              <w:t>(4)</w:t>
            </w:r>
            <w:r>
              <w:tab/>
              <w:t>indigenous species can migrate easily and as naturally as possible to and from the coastal environment,</w:t>
            </w:r>
          </w:p>
          <w:p w14:paraId="3566620D" w14:textId="77777777" w:rsidR="003E0D56" w:rsidRDefault="003E0D56" w:rsidP="001C1090">
            <w:pPr>
              <w:pStyle w:val="Table1"/>
              <w:ind w:left="306" w:hanging="306"/>
            </w:pPr>
            <w:r>
              <w:t>(5)</w:t>
            </w:r>
            <w:r>
              <w:tab/>
            </w:r>
            <w:r w:rsidRPr="00347784">
              <w:t>land</w:t>
            </w:r>
            <w:r>
              <w:t xml:space="preserve"> management practices reduce </w:t>
            </w:r>
            <w:r w:rsidRPr="00347784">
              <w:t>discharges</w:t>
            </w:r>
            <w:r>
              <w:t xml:space="preserve"> of nutrients and other </w:t>
            </w:r>
            <w:r w:rsidRPr="00347784">
              <w:t>contaminants</w:t>
            </w:r>
            <w:r>
              <w:t xml:space="preserve"> to </w:t>
            </w:r>
            <w:r w:rsidRPr="00347784">
              <w:t>water bodies</w:t>
            </w:r>
            <w:r>
              <w:t xml:space="preserve"> so that they are safe for </w:t>
            </w:r>
            <w:r w:rsidRPr="00386168">
              <w:t>human</w:t>
            </w:r>
            <w:r>
              <w:t xml:space="preserve"> contact, and</w:t>
            </w:r>
          </w:p>
          <w:p w14:paraId="02807F2C" w14:textId="6CBE6B80" w:rsidR="003E0D56" w:rsidRPr="00DD66D4" w:rsidRDefault="003E0D56" w:rsidP="001C1090">
            <w:pPr>
              <w:pStyle w:val="Table1"/>
              <w:ind w:left="306" w:hanging="306"/>
            </w:pPr>
            <w:r>
              <w:t>(6)</w:t>
            </w:r>
            <w:r>
              <w:tab/>
              <w:t xml:space="preserve">innovative and sustainable </w:t>
            </w:r>
            <w:r w:rsidRPr="00347784">
              <w:t>land</w:t>
            </w:r>
            <w:r>
              <w:t xml:space="preserve"> and </w:t>
            </w:r>
            <w:r w:rsidRPr="00347784">
              <w:t>water</w:t>
            </w:r>
            <w:r>
              <w:t xml:space="preserve"> management practices support food production in the area and improve resilience to the </w:t>
            </w:r>
            <w:r w:rsidRPr="00347784">
              <w:t>effects</w:t>
            </w:r>
            <w:r>
              <w:t xml:space="preserve"> of </w:t>
            </w:r>
            <w:r w:rsidRPr="00347784">
              <w:t>climate change</w:t>
            </w:r>
            <w:r>
              <w:t>.</w:t>
            </w:r>
          </w:p>
        </w:tc>
      </w:tr>
      <w:tr w:rsidR="003E0D56" w14:paraId="67F7FD68" w14:textId="77777777" w:rsidTr="000F043E">
        <w:tc>
          <w:tcPr>
            <w:tcW w:w="1685" w:type="dxa"/>
            <w:shd w:val="clear" w:color="auto" w:fill="DEEAF6" w:themeFill="accent5" w:themeFillTint="33"/>
          </w:tcPr>
          <w:p w14:paraId="625CC863" w14:textId="1AC2C8A7" w:rsidR="003E0D56" w:rsidRDefault="003E0D56" w:rsidP="00A247C5">
            <w:pPr>
              <w:pStyle w:val="Table1"/>
            </w:pPr>
            <w:r>
              <w:t>LF–VM–O4 – Taieri FMU vision</w:t>
            </w:r>
          </w:p>
        </w:tc>
        <w:tc>
          <w:tcPr>
            <w:tcW w:w="6611" w:type="dxa"/>
            <w:shd w:val="clear" w:color="auto" w:fill="DEEAF6" w:themeFill="accent5" w:themeFillTint="33"/>
          </w:tcPr>
          <w:p w14:paraId="52DE282E" w14:textId="77777777" w:rsidR="003E0D56" w:rsidRDefault="003E0D56" w:rsidP="001C1090">
            <w:pPr>
              <w:pStyle w:val="Table1"/>
            </w:pPr>
            <w:r>
              <w:t xml:space="preserve">By 2050 in the Taieri </w:t>
            </w:r>
            <w:r w:rsidRPr="00347784">
              <w:t>FMU</w:t>
            </w:r>
            <w:r>
              <w:t>:</w:t>
            </w:r>
          </w:p>
          <w:p w14:paraId="71648EB6" w14:textId="77777777" w:rsidR="003E0D56" w:rsidRDefault="003E0D56" w:rsidP="001C1090">
            <w:pPr>
              <w:pStyle w:val="Table1"/>
              <w:ind w:left="306" w:hanging="306"/>
            </w:pPr>
            <w:r>
              <w:t>(1)</w:t>
            </w:r>
            <w:r>
              <w:tab/>
            </w:r>
            <w:r w:rsidRPr="00347784">
              <w:t>freshwater</w:t>
            </w:r>
            <w:r>
              <w:t xml:space="preserve"> is managed in accordance with the LF–WAI objectives and policies, </w:t>
            </w:r>
          </w:p>
          <w:p w14:paraId="39C3BFEC" w14:textId="77777777" w:rsidR="003E0D56" w:rsidRDefault="003E0D56" w:rsidP="001C1090">
            <w:pPr>
              <w:pStyle w:val="Table1"/>
              <w:ind w:left="306" w:hanging="306"/>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 </w:t>
            </w:r>
          </w:p>
          <w:p w14:paraId="25A6987A" w14:textId="77777777" w:rsidR="003E0D56" w:rsidRDefault="003E0D56" w:rsidP="001C1090">
            <w:pPr>
              <w:pStyle w:val="Table1"/>
              <w:ind w:left="306" w:hanging="306"/>
            </w:pPr>
            <w:r>
              <w:t>(3)</w:t>
            </w:r>
            <w:r>
              <w:tab/>
              <w:t xml:space="preserve">healthy </w:t>
            </w:r>
            <w:r w:rsidRPr="00347784">
              <w:t>wetlands</w:t>
            </w:r>
            <w:r>
              <w:t xml:space="preserve"> are restored in the upper and lower catchment </w:t>
            </w:r>
            <w:r w:rsidRPr="00347784">
              <w:t>wetland</w:t>
            </w:r>
            <w:r>
              <w:t xml:space="preserve"> complexes, including the </w:t>
            </w:r>
            <w:proofErr w:type="spellStart"/>
            <w:r>
              <w:t>Waipori</w:t>
            </w:r>
            <w:proofErr w:type="spellEnd"/>
            <w:r>
              <w:t>/</w:t>
            </w:r>
            <w:proofErr w:type="spellStart"/>
            <w:r>
              <w:t>Waihola</w:t>
            </w:r>
            <w:proofErr w:type="spellEnd"/>
            <w:r>
              <w:t xml:space="preserve"> wetlands, </w:t>
            </w:r>
            <w:proofErr w:type="spellStart"/>
            <w:r>
              <w:t>Tunaheketaka</w:t>
            </w:r>
            <w:proofErr w:type="spellEnd"/>
            <w:r>
              <w:t xml:space="preserve"> / Lake Taieri, scroll plain, and tussock areas,</w:t>
            </w:r>
          </w:p>
          <w:p w14:paraId="03344EB3" w14:textId="77777777" w:rsidR="003E0D56" w:rsidRDefault="003E0D56" w:rsidP="001C1090">
            <w:pPr>
              <w:pStyle w:val="Table1"/>
              <w:ind w:left="306" w:hanging="306"/>
            </w:pPr>
            <w:r>
              <w:t>(4)</w:t>
            </w:r>
            <w:r>
              <w:tab/>
              <w:t xml:space="preserve">the gravel </w:t>
            </w:r>
            <w:r w:rsidRPr="00347784">
              <w:t>bed</w:t>
            </w:r>
            <w:r>
              <w:t xml:space="preserve"> of the lower Taieri is restored and sedimentation of the </w:t>
            </w:r>
            <w:proofErr w:type="spellStart"/>
            <w:r>
              <w:t>Waipori</w:t>
            </w:r>
            <w:proofErr w:type="spellEnd"/>
            <w:r>
              <w:t>/</w:t>
            </w:r>
            <w:proofErr w:type="spellStart"/>
            <w:r>
              <w:t>Waihola</w:t>
            </w:r>
            <w:proofErr w:type="spellEnd"/>
            <w:r>
              <w:t xml:space="preserve"> complex is reduced,</w:t>
            </w:r>
          </w:p>
          <w:p w14:paraId="08BBDC5B" w14:textId="77777777" w:rsidR="003E0D56" w:rsidRDefault="003E0D56" w:rsidP="001C1090">
            <w:pPr>
              <w:pStyle w:val="Table1"/>
              <w:ind w:left="306" w:hanging="306"/>
            </w:pPr>
            <w:r>
              <w:t>(5)</w:t>
            </w:r>
            <w:r>
              <w:tab/>
              <w:t>creative ecological approaches contribute to reduced occurrence of didymo,</w:t>
            </w:r>
          </w:p>
          <w:p w14:paraId="2A0152CC" w14:textId="77777777" w:rsidR="003E0D56" w:rsidRDefault="003E0D56" w:rsidP="001C1090">
            <w:pPr>
              <w:pStyle w:val="Table1"/>
              <w:ind w:left="306" w:hanging="306"/>
            </w:pPr>
            <w:r>
              <w:t>(6)</w:t>
            </w:r>
            <w:r>
              <w:tab/>
              <w:t xml:space="preserve">the </w:t>
            </w:r>
            <w:r w:rsidRPr="00347784">
              <w:t>water bodies</w:t>
            </w:r>
            <w:r>
              <w:t xml:space="preserve"> </w:t>
            </w:r>
            <w:r w:rsidRPr="00D804CC">
              <w:t>support</w:t>
            </w:r>
            <w:r>
              <w:t xml:space="preserve"> healthy populations of </w:t>
            </w:r>
            <w:r w:rsidRPr="00347784">
              <w:t>galaxiid</w:t>
            </w:r>
            <w:r>
              <w:t xml:space="preserve"> species, </w:t>
            </w:r>
          </w:p>
          <w:p w14:paraId="0FD22E60" w14:textId="77777777" w:rsidR="003E0D56" w:rsidRPr="000C67BB" w:rsidRDefault="003E0D56" w:rsidP="001C1090">
            <w:pPr>
              <w:pStyle w:val="Table1"/>
              <w:ind w:left="306" w:hanging="306"/>
            </w:pPr>
            <w:r>
              <w:t>(7)</w:t>
            </w:r>
            <w:r>
              <w:tab/>
              <w:t xml:space="preserve">there are no direct </w:t>
            </w:r>
            <w:r w:rsidRPr="00347784">
              <w:t>discharges</w:t>
            </w:r>
            <w:r>
              <w:t xml:space="preserve"> of </w:t>
            </w:r>
            <w:r w:rsidRPr="00347784">
              <w:t>wastewater</w:t>
            </w:r>
            <w:r>
              <w:t xml:space="preserve"> to </w:t>
            </w:r>
            <w:r w:rsidRPr="00347784">
              <w:t>water bodies</w:t>
            </w:r>
            <w:r>
              <w:t>, and</w:t>
            </w:r>
          </w:p>
          <w:p w14:paraId="6427DA8B" w14:textId="0D49CE0A" w:rsidR="003E0D56" w:rsidRPr="00767EAF" w:rsidRDefault="003E0D56" w:rsidP="001C1090">
            <w:pPr>
              <w:pStyle w:val="Table1"/>
              <w:ind w:left="306" w:hanging="306"/>
            </w:pPr>
            <w:r>
              <w:t>(8)</w:t>
            </w:r>
            <w:r>
              <w:tab/>
              <w:t xml:space="preserve">innovative and sustainable </w:t>
            </w:r>
            <w:r w:rsidRPr="00347784">
              <w:t>land</w:t>
            </w:r>
            <w:r>
              <w:t xml:space="preserve"> and </w:t>
            </w:r>
            <w:r w:rsidRPr="00347784">
              <w:t>water</w:t>
            </w:r>
            <w:r>
              <w:t xml:space="preserve"> management practices support food production in the area and improve resilience to the </w:t>
            </w:r>
            <w:r w:rsidRPr="00347784">
              <w:t>effects</w:t>
            </w:r>
            <w:r>
              <w:t xml:space="preserve"> of </w:t>
            </w:r>
            <w:r w:rsidRPr="00347784">
              <w:t>climate change</w:t>
            </w:r>
            <w:r>
              <w:t>.</w:t>
            </w:r>
          </w:p>
        </w:tc>
      </w:tr>
      <w:tr w:rsidR="003E0D56" w14:paraId="73D35BF3" w14:textId="77777777" w:rsidTr="000F043E">
        <w:tc>
          <w:tcPr>
            <w:tcW w:w="1685" w:type="dxa"/>
            <w:shd w:val="clear" w:color="auto" w:fill="DEEAF6" w:themeFill="accent5" w:themeFillTint="33"/>
          </w:tcPr>
          <w:p w14:paraId="2FC162BD" w14:textId="59A3E043" w:rsidR="003E0D56" w:rsidRDefault="003E0D56" w:rsidP="00A247C5">
            <w:pPr>
              <w:pStyle w:val="Table1"/>
            </w:pPr>
            <w:r>
              <w:t>LF–VM–O5 – Dunedin &amp; Coast FMU vision</w:t>
            </w:r>
          </w:p>
        </w:tc>
        <w:tc>
          <w:tcPr>
            <w:tcW w:w="6611" w:type="dxa"/>
            <w:shd w:val="clear" w:color="auto" w:fill="DEEAF6" w:themeFill="accent5" w:themeFillTint="33"/>
          </w:tcPr>
          <w:p w14:paraId="00B4F83D" w14:textId="77777777" w:rsidR="003E0D56" w:rsidRDefault="003E0D56" w:rsidP="001C1090">
            <w:pPr>
              <w:pStyle w:val="Table1"/>
            </w:pPr>
            <w:r>
              <w:t xml:space="preserve">By 2040 in the Dunedin &amp; Coast </w:t>
            </w:r>
            <w:r w:rsidRPr="00347784">
              <w:t>FMU</w:t>
            </w:r>
            <w:r>
              <w:t>:</w:t>
            </w:r>
          </w:p>
          <w:p w14:paraId="393247AE" w14:textId="77777777" w:rsidR="003E0D56" w:rsidRDefault="003E0D56" w:rsidP="001C1090">
            <w:pPr>
              <w:pStyle w:val="Table1"/>
              <w:ind w:left="306" w:hanging="306"/>
            </w:pPr>
            <w:r>
              <w:t>(1)</w:t>
            </w:r>
            <w:r>
              <w:tab/>
            </w:r>
            <w:r w:rsidRPr="00347784">
              <w:t>freshwater</w:t>
            </w:r>
            <w:r>
              <w:t xml:space="preserve"> is managed in accordance with the LF-WAI objectives and policies, </w:t>
            </w:r>
          </w:p>
          <w:p w14:paraId="58F49E80" w14:textId="77777777" w:rsidR="003E0D56" w:rsidRDefault="003E0D56" w:rsidP="001C1090">
            <w:pPr>
              <w:pStyle w:val="Table1"/>
              <w:ind w:left="306" w:hanging="306"/>
            </w:pPr>
            <w:r>
              <w:t>(2)</w:t>
            </w:r>
            <w:r>
              <w:tab/>
              <w:t xml:space="preserve">the ongoing relationship of Kāi </w:t>
            </w:r>
            <w:proofErr w:type="spellStart"/>
            <w:r>
              <w:t>Tahu</w:t>
            </w:r>
            <w:proofErr w:type="spellEnd"/>
            <w:r>
              <w:t xml:space="preserve"> with </w:t>
            </w:r>
            <w:proofErr w:type="spellStart"/>
            <w:r w:rsidRPr="00347784">
              <w:t>wāhi</w:t>
            </w:r>
            <w:proofErr w:type="spellEnd"/>
            <w:r w:rsidRPr="00347784">
              <w:t xml:space="preserve"> tūpuna</w:t>
            </w:r>
            <w:r>
              <w:t xml:space="preserve"> is sustained,</w:t>
            </w:r>
          </w:p>
          <w:p w14:paraId="3B71687F" w14:textId="77777777" w:rsidR="003E0D56" w:rsidRDefault="003E0D56" w:rsidP="001C1090">
            <w:pPr>
              <w:pStyle w:val="Table1"/>
              <w:ind w:left="306" w:hanging="306"/>
            </w:pPr>
            <w:r>
              <w:t>(3)</w:t>
            </w:r>
            <w:r>
              <w:tab/>
              <w:t xml:space="preserve">healthy estuaries, lagoons and </w:t>
            </w:r>
            <w:r w:rsidRPr="00347784">
              <w:t>coastal waters</w:t>
            </w:r>
            <w:r>
              <w:t xml:space="preserve"> support thriving </w:t>
            </w:r>
            <w:proofErr w:type="spellStart"/>
            <w:r>
              <w:t>mahika</w:t>
            </w:r>
            <w:proofErr w:type="spellEnd"/>
            <w:r>
              <w:t xml:space="preserve"> kai and downstream coastal ecosystems, and indigenous species can migrate easily and as naturally as possible to and from these areas,</w:t>
            </w:r>
          </w:p>
          <w:p w14:paraId="08C29B5E" w14:textId="77777777" w:rsidR="003E0D56" w:rsidRDefault="003E0D56" w:rsidP="001C1090">
            <w:pPr>
              <w:pStyle w:val="Table1"/>
              <w:ind w:left="306" w:hanging="306"/>
            </w:pPr>
            <w:r>
              <w:lastRenderedPageBreak/>
              <w:t>(4)</w:t>
            </w:r>
            <w:r>
              <w:tab/>
              <w:t xml:space="preserve">there is no further modification of the shape and behaviour of the </w:t>
            </w:r>
            <w:r w:rsidRPr="00347784">
              <w:t>water bodies</w:t>
            </w:r>
            <w:r>
              <w:t xml:space="preserve"> and opportunities to restore the natural form and function of </w:t>
            </w:r>
            <w:r w:rsidRPr="00347784">
              <w:t>water bodies</w:t>
            </w:r>
            <w:r>
              <w:t xml:space="preserve"> are promoted wherever possible, and</w:t>
            </w:r>
          </w:p>
          <w:p w14:paraId="28F5ABFA" w14:textId="219F4F55" w:rsidR="003E0D56" w:rsidRPr="00502F8D" w:rsidRDefault="003E0D56" w:rsidP="001C1090">
            <w:pPr>
              <w:pStyle w:val="Table1"/>
              <w:ind w:left="306" w:hanging="306"/>
            </w:pPr>
            <w:r>
              <w:t>(5)</w:t>
            </w:r>
            <w:r>
              <w:tab/>
            </w:r>
            <w:r w:rsidRPr="00347784">
              <w:t>discharges</w:t>
            </w:r>
            <w:r>
              <w:t xml:space="preserve"> of </w:t>
            </w:r>
            <w:r w:rsidRPr="00347784">
              <w:t>contaminants</w:t>
            </w:r>
            <w:r>
              <w:t xml:space="preserve"> from urban environments are reduced so that </w:t>
            </w:r>
            <w:r w:rsidRPr="00347784">
              <w:t>water bodies</w:t>
            </w:r>
            <w:r>
              <w:t xml:space="preserve"> are safe for human contact.</w:t>
            </w:r>
          </w:p>
        </w:tc>
      </w:tr>
      <w:tr w:rsidR="003E0D56" w14:paraId="4F3812B3" w14:textId="77777777" w:rsidTr="000F043E">
        <w:tc>
          <w:tcPr>
            <w:tcW w:w="1685" w:type="dxa"/>
            <w:shd w:val="clear" w:color="auto" w:fill="DEEAF6" w:themeFill="accent5" w:themeFillTint="33"/>
          </w:tcPr>
          <w:p w14:paraId="5B9D6479" w14:textId="7E8C64CC" w:rsidR="003E0D56" w:rsidRDefault="003E0D56" w:rsidP="00A247C5">
            <w:pPr>
              <w:pStyle w:val="Table1"/>
            </w:pPr>
            <w:r>
              <w:lastRenderedPageBreak/>
              <w:t>LF–VM–O6 – Catlins FMU vision</w:t>
            </w:r>
          </w:p>
        </w:tc>
        <w:tc>
          <w:tcPr>
            <w:tcW w:w="6611" w:type="dxa"/>
            <w:shd w:val="clear" w:color="auto" w:fill="DEEAF6" w:themeFill="accent5" w:themeFillTint="33"/>
          </w:tcPr>
          <w:p w14:paraId="5CF870CD" w14:textId="77777777" w:rsidR="003E0D56" w:rsidRPr="00347784" w:rsidRDefault="003E0D56" w:rsidP="001C1090">
            <w:pPr>
              <w:pStyle w:val="Table1"/>
            </w:pPr>
            <w:r w:rsidRPr="00347784">
              <w:t>LF–VM–O6 – Catlins FMU vision</w:t>
            </w:r>
          </w:p>
          <w:p w14:paraId="79369156" w14:textId="3714A102" w:rsidR="003E0D56" w:rsidRPr="00347784" w:rsidRDefault="003E0D56" w:rsidP="003E0D56">
            <w:pPr>
              <w:pStyle w:val="JustifiedSpacing"/>
              <w:ind w:left="306" w:hanging="306"/>
              <w:rPr>
                <w:rFonts w:asciiTheme="minorHAnsi" w:hAnsiTheme="minorHAnsi" w:cstheme="minorHAnsi"/>
                <w:sz w:val="20"/>
                <w:szCs w:val="20"/>
              </w:rPr>
            </w:pPr>
            <w:r w:rsidRPr="00347784">
              <w:rPr>
                <w:rFonts w:asciiTheme="minorHAnsi" w:hAnsiTheme="minorHAnsi" w:cstheme="minorHAnsi"/>
                <w:sz w:val="20"/>
                <w:szCs w:val="20"/>
              </w:rPr>
              <w:t>By 2030 in the Catlins FMU:</w:t>
            </w:r>
          </w:p>
          <w:p w14:paraId="6FE50B5C" w14:textId="77777777" w:rsidR="003E0D56" w:rsidRPr="00347784" w:rsidRDefault="003E0D56" w:rsidP="001C1090">
            <w:pPr>
              <w:pStyle w:val="Table1"/>
              <w:ind w:left="306" w:hanging="306"/>
            </w:pPr>
            <w:r w:rsidRPr="00347784">
              <w:t>(1)</w:t>
            </w:r>
            <w:r w:rsidRPr="00347784">
              <w:tab/>
              <w:t>freshwater is managed in accordance with the LF-WAI objectives and policies,</w:t>
            </w:r>
          </w:p>
          <w:p w14:paraId="40F1ABB4" w14:textId="77777777" w:rsidR="003E0D56" w:rsidRPr="00347784" w:rsidRDefault="003E0D56" w:rsidP="001C1090">
            <w:pPr>
              <w:pStyle w:val="Table1"/>
              <w:ind w:left="306" w:hanging="306"/>
            </w:pPr>
            <w:r w:rsidRPr="00347784">
              <w:t>(2)</w:t>
            </w:r>
            <w:r w:rsidRPr="00347784">
              <w:tab/>
              <w:t xml:space="preserve">supports the ongoing relationship of Kāi </w:t>
            </w:r>
            <w:proofErr w:type="spellStart"/>
            <w:r w:rsidRPr="00347784">
              <w:t>Tahu</w:t>
            </w:r>
            <w:proofErr w:type="spellEnd"/>
            <w:r w:rsidRPr="00347784">
              <w:t xml:space="preserve"> with </w:t>
            </w:r>
            <w:proofErr w:type="spellStart"/>
            <w:r w:rsidRPr="00347784">
              <w:t>wāhi</w:t>
            </w:r>
            <w:proofErr w:type="spellEnd"/>
            <w:r w:rsidRPr="00347784">
              <w:t xml:space="preserve"> tūpuna,</w:t>
            </w:r>
          </w:p>
          <w:p w14:paraId="1254E5CB" w14:textId="77777777" w:rsidR="003E0D56" w:rsidRPr="00347784" w:rsidRDefault="003E0D56" w:rsidP="001C1090">
            <w:pPr>
              <w:pStyle w:val="Table1"/>
              <w:ind w:left="306" w:hanging="306"/>
            </w:pPr>
            <w:r w:rsidRPr="00347784">
              <w:t>(3)</w:t>
            </w:r>
            <w:r w:rsidRPr="00347784">
              <w:tab/>
              <w:t xml:space="preserve">supports thriving </w:t>
            </w:r>
            <w:proofErr w:type="spellStart"/>
            <w:r w:rsidRPr="00347784">
              <w:t>mahika</w:t>
            </w:r>
            <w:proofErr w:type="spellEnd"/>
            <w:r w:rsidRPr="00347784">
              <w:t xml:space="preserve"> kai and access of Kāi </w:t>
            </w:r>
            <w:proofErr w:type="spellStart"/>
            <w:r w:rsidRPr="00347784">
              <w:t>Tahu</w:t>
            </w:r>
            <w:proofErr w:type="spellEnd"/>
            <w:r w:rsidRPr="00347784">
              <w:t xml:space="preserve"> </w:t>
            </w:r>
            <w:proofErr w:type="spellStart"/>
            <w:r w:rsidRPr="00347784">
              <w:t>whānui</w:t>
            </w:r>
            <w:proofErr w:type="spellEnd"/>
            <w:r w:rsidRPr="00347784">
              <w:t xml:space="preserve"> to </w:t>
            </w:r>
            <w:proofErr w:type="spellStart"/>
            <w:r w:rsidRPr="00347784">
              <w:t>mahika</w:t>
            </w:r>
            <w:proofErr w:type="spellEnd"/>
            <w:r w:rsidRPr="00347784">
              <w:t xml:space="preserve"> kai,</w:t>
            </w:r>
          </w:p>
          <w:p w14:paraId="5E006892" w14:textId="77777777" w:rsidR="003E0D56" w:rsidRPr="00347784" w:rsidRDefault="003E0D56" w:rsidP="001C1090">
            <w:pPr>
              <w:pStyle w:val="Table1"/>
              <w:ind w:left="306" w:hanging="306"/>
            </w:pPr>
            <w:r w:rsidRPr="00347784">
              <w:t>(4)</w:t>
            </w:r>
            <w:r w:rsidRPr="00347784">
              <w:tab/>
              <w:t>preserving the high degree of naturalness and ecosystem connections between the forests, freshwater and coastal environment,</w:t>
            </w:r>
          </w:p>
          <w:p w14:paraId="50B8A259" w14:textId="77777777" w:rsidR="003E0D56" w:rsidRPr="00347784" w:rsidRDefault="003E0D56" w:rsidP="001C1090">
            <w:pPr>
              <w:pStyle w:val="Table1"/>
              <w:ind w:left="306" w:hanging="306"/>
            </w:pPr>
            <w:r w:rsidRPr="00347784">
              <w:t>(5)</w:t>
            </w:r>
            <w:r w:rsidRPr="00347784">
              <w:tab/>
              <w:t xml:space="preserve">water bodies and their catchment areas support the health and well-being of coastal water, </w:t>
            </w:r>
            <w:proofErr w:type="gramStart"/>
            <w:r w:rsidRPr="00347784">
              <w:t>ecosystems</w:t>
            </w:r>
            <w:proofErr w:type="gramEnd"/>
            <w:r w:rsidRPr="00347784">
              <w:t xml:space="preserve"> and indigenous species, including downstream </w:t>
            </w:r>
            <w:proofErr w:type="spellStart"/>
            <w:r w:rsidRPr="00347784">
              <w:t>kaimoana</w:t>
            </w:r>
            <w:proofErr w:type="spellEnd"/>
            <w:r w:rsidRPr="00347784">
              <w:t>, and</w:t>
            </w:r>
          </w:p>
          <w:p w14:paraId="402464B4" w14:textId="1326CC23" w:rsidR="003E0D56" w:rsidRDefault="003E0D56" w:rsidP="001C1090">
            <w:pPr>
              <w:pStyle w:val="Table1"/>
              <w:ind w:left="306" w:hanging="306"/>
            </w:pPr>
            <w:r w:rsidRPr="00347784">
              <w:t>(6)</w:t>
            </w:r>
            <w:r w:rsidRPr="00347784">
              <w:tab/>
              <w:t xml:space="preserve">healthy, </w:t>
            </w:r>
            <w:proofErr w:type="gramStart"/>
            <w:r w:rsidRPr="00347784">
              <w:t>clear</w:t>
            </w:r>
            <w:proofErr w:type="gramEnd"/>
            <w:r w:rsidRPr="00347784">
              <w:t xml:space="preserve"> and clean water supports opportunities for recreation and sustainable food production for future generations.</w:t>
            </w:r>
          </w:p>
        </w:tc>
      </w:tr>
      <w:tr w:rsidR="003E0D56" w14:paraId="18CDFE44" w14:textId="77777777" w:rsidTr="00690D38">
        <w:tc>
          <w:tcPr>
            <w:tcW w:w="1685" w:type="dxa"/>
          </w:tcPr>
          <w:p w14:paraId="52DF4032" w14:textId="5BAD0E2C" w:rsidR="003E0D56" w:rsidRDefault="003E0D56" w:rsidP="00A247C5">
            <w:pPr>
              <w:pStyle w:val="Table1"/>
            </w:pPr>
            <w:r>
              <w:t>LF–VM–O7 – Integrated management</w:t>
            </w:r>
          </w:p>
        </w:tc>
        <w:tc>
          <w:tcPr>
            <w:tcW w:w="6611" w:type="dxa"/>
          </w:tcPr>
          <w:p w14:paraId="59AE8FC2" w14:textId="661E66B1" w:rsidR="003E0D56" w:rsidRDefault="003E0D56" w:rsidP="00A247C5">
            <w:pPr>
              <w:pStyle w:val="Table1"/>
            </w:pPr>
            <w:r w:rsidRPr="00613162">
              <w:t xml:space="preserve">Land and water management applies the ethic of ki uta ki tai and land and water are managed as integrated natural resources, recognising the connections and interactions between freshwater, </w:t>
            </w:r>
            <w:proofErr w:type="gramStart"/>
            <w:r w:rsidRPr="00613162">
              <w:t>land</w:t>
            </w:r>
            <w:proofErr w:type="gramEnd"/>
            <w:r w:rsidRPr="00613162">
              <w:t xml:space="preserve"> and the coastal environment, and between surface water, groundwater and coastal water.</w:t>
            </w:r>
          </w:p>
        </w:tc>
      </w:tr>
      <w:tr w:rsidR="003E0D56" w14:paraId="2AFB1F5B" w14:textId="77777777" w:rsidTr="000F043E">
        <w:tc>
          <w:tcPr>
            <w:tcW w:w="1685" w:type="dxa"/>
            <w:shd w:val="clear" w:color="auto" w:fill="DEEAF6" w:themeFill="accent5" w:themeFillTint="33"/>
          </w:tcPr>
          <w:p w14:paraId="568A43EC" w14:textId="037CE888" w:rsidR="003E0D56" w:rsidRDefault="003E0D56" w:rsidP="00A247C5">
            <w:pPr>
              <w:pStyle w:val="Table1"/>
            </w:pPr>
            <w:r>
              <w:t>LF–FW–O8 – Freshwater</w:t>
            </w:r>
          </w:p>
        </w:tc>
        <w:tc>
          <w:tcPr>
            <w:tcW w:w="6611" w:type="dxa"/>
            <w:shd w:val="clear" w:color="auto" w:fill="DEEAF6" w:themeFill="accent5" w:themeFillTint="33"/>
          </w:tcPr>
          <w:p w14:paraId="5C1B0FF1" w14:textId="77777777" w:rsidR="003E0D56" w:rsidRPr="00C34276" w:rsidRDefault="003E0D56" w:rsidP="00A247C5">
            <w:pPr>
              <w:pStyle w:val="Table1"/>
            </w:pPr>
            <w:r w:rsidRPr="00C34276">
              <w:t>In Otago’s water bodies and their catchments:</w:t>
            </w:r>
          </w:p>
          <w:p w14:paraId="153F71E3" w14:textId="77777777" w:rsidR="003E0D56" w:rsidRPr="00C34276" w:rsidRDefault="003E0D56" w:rsidP="001C1090">
            <w:pPr>
              <w:pStyle w:val="Table1"/>
              <w:ind w:left="306" w:hanging="306"/>
            </w:pPr>
            <w:r w:rsidRPr="00C34276">
              <w:t>(1)</w:t>
            </w:r>
            <w:r w:rsidRPr="00C34276">
              <w:tab/>
              <w:t xml:space="preserve">the health of the wai supports the health of the people and thriving </w:t>
            </w:r>
            <w:proofErr w:type="spellStart"/>
            <w:r w:rsidRPr="00C34276">
              <w:t>mahika</w:t>
            </w:r>
            <w:proofErr w:type="spellEnd"/>
            <w:r w:rsidRPr="00C34276">
              <w:t xml:space="preserve"> kai,</w:t>
            </w:r>
          </w:p>
          <w:p w14:paraId="3E00C311" w14:textId="77777777" w:rsidR="003E0D56" w:rsidRPr="00C34276" w:rsidRDefault="003E0D56" w:rsidP="001C1090">
            <w:pPr>
              <w:pStyle w:val="Table1"/>
              <w:ind w:left="306" w:hanging="306"/>
            </w:pPr>
            <w:r w:rsidRPr="00C34276">
              <w:t>(2)</w:t>
            </w:r>
            <w:r w:rsidRPr="00C34276">
              <w:tab/>
              <w:t>water flow is continuous throughout the whole system,</w:t>
            </w:r>
          </w:p>
          <w:p w14:paraId="3E484675" w14:textId="77777777" w:rsidR="003E0D56" w:rsidRPr="00C34276" w:rsidRDefault="003E0D56" w:rsidP="001C1090">
            <w:pPr>
              <w:pStyle w:val="Table1"/>
              <w:ind w:left="306" w:hanging="306"/>
            </w:pPr>
            <w:r w:rsidRPr="00C34276">
              <w:t>(3)</w:t>
            </w:r>
            <w:r w:rsidRPr="00C34276">
              <w:tab/>
              <w:t xml:space="preserve">the interconnection of freshwater (including groundwater) and coastal waters is recognised, </w:t>
            </w:r>
          </w:p>
          <w:p w14:paraId="75C3C3D4" w14:textId="77777777" w:rsidR="003E0D56" w:rsidRPr="00C34276" w:rsidRDefault="003E0D56" w:rsidP="001C1090">
            <w:pPr>
              <w:pStyle w:val="Table1"/>
              <w:ind w:left="306" w:hanging="306"/>
            </w:pPr>
            <w:r w:rsidRPr="00C34276">
              <w:t>(4)</w:t>
            </w:r>
            <w:r w:rsidRPr="00C34276">
              <w:tab/>
              <w:t xml:space="preserve">native fish can migrate easily and as naturally as possible and </w:t>
            </w:r>
            <w:proofErr w:type="spellStart"/>
            <w:r w:rsidRPr="00C34276">
              <w:t>taoka</w:t>
            </w:r>
            <w:proofErr w:type="spellEnd"/>
            <w:r w:rsidRPr="00C34276">
              <w:t xml:space="preserve"> species and their habitats are protected, and</w:t>
            </w:r>
          </w:p>
          <w:p w14:paraId="115CAA3A" w14:textId="7873CB37" w:rsidR="003E0D56" w:rsidRDefault="003E0D56" w:rsidP="001C1090">
            <w:pPr>
              <w:pStyle w:val="Table1"/>
              <w:ind w:left="306" w:hanging="306"/>
            </w:pPr>
            <w:r w:rsidRPr="00C34276">
              <w:t>(5)</w:t>
            </w:r>
            <w:r w:rsidRPr="00C34276">
              <w:tab/>
              <w:t>the significant and outstanding values of Otago’s outstanding water bodies are identified and protected.</w:t>
            </w:r>
          </w:p>
        </w:tc>
      </w:tr>
      <w:tr w:rsidR="003E0D56" w14:paraId="1F42C77D" w14:textId="77777777" w:rsidTr="000F043E">
        <w:tc>
          <w:tcPr>
            <w:tcW w:w="1685" w:type="dxa"/>
            <w:shd w:val="clear" w:color="auto" w:fill="DEEAF6" w:themeFill="accent5" w:themeFillTint="33"/>
          </w:tcPr>
          <w:p w14:paraId="7BF848F1" w14:textId="5A986671" w:rsidR="003E0D56" w:rsidRDefault="003E0D56" w:rsidP="00A247C5">
            <w:pPr>
              <w:pStyle w:val="Table1"/>
            </w:pPr>
            <w:r>
              <w:t>LF–FW–O9 – Natural wetlands</w:t>
            </w:r>
          </w:p>
        </w:tc>
        <w:tc>
          <w:tcPr>
            <w:tcW w:w="6611" w:type="dxa"/>
            <w:shd w:val="clear" w:color="auto" w:fill="DEEAF6" w:themeFill="accent5" w:themeFillTint="33"/>
          </w:tcPr>
          <w:p w14:paraId="334713C0" w14:textId="77777777" w:rsidR="003E0D56" w:rsidRDefault="003E0D56" w:rsidP="00A247C5">
            <w:pPr>
              <w:pStyle w:val="Table1"/>
            </w:pPr>
            <w:r>
              <w:t>Otago’s natural wetlands are protected or restored so that:</w:t>
            </w:r>
          </w:p>
          <w:p w14:paraId="136C5AA1" w14:textId="77777777" w:rsidR="003E0D56" w:rsidRPr="00C34276" w:rsidRDefault="003E0D56" w:rsidP="001C1090">
            <w:pPr>
              <w:pStyle w:val="Table1"/>
              <w:ind w:left="306" w:hanging="306"/>
            </w:pPr>
            <w:r w:rsidRPr="00C34276">
              <w:t>(1)</w:t>
            </w:r>
            <w:r w:rsidRPr="00C34276">
              <w:tab/>
            </w:r>
            <w:proofErr w:type="spellStart"/>
            <w:r w:rsidRPr="00C34276">
              <w:t>mahika</w:t>
            </w:r>
            <w:proofErr w:type="spellEnd"/>
            <w:r w:rsidRPr="00C34276">
              <w:t xml:space="preserve"> kai and other mana whenua values are sustained and enhanced now and for future generations,</w:t>
            </w:r>
          </w:p>
          <w:p w14:paraId="3EDD8FA1" w14:textId="77777777" w:rsidR="003E0D56" w:rsidRPr="00C34276" w:rsidRDefault="003E0D56" w:rsidP="001C1090">
            <w:pPr>
              <w:pStyle w:val="Table1"/>
              <w:ind w:left="306" w:hanging="306"/>
            </w:pPr>
            <w:r w:rsidRPr="00C34276">
              <w:t>(2)</w:t>
            </w:r>
            <w:r w:rsidRPr="00C34276">
              <w:tab/>
              <w:t xml:space="preserve">there is no decrease in the range and diversity of indigenous ecosystem types and habitats in natural wetlands, </w:t>
            </w:r>
          </w:p>
          <w:p w14:paraId="54DBF5B8" w14:textId="77777777" w:rsidR="003E0D56" w:rsidRPr="00C34276" w:rsidRDefault="003E0D56" w:rsidP="001C1090">
            <w:pPr>
              <w:pStyle w:val="Table1"/>
              <w:ind w:left="306" w:hanging="306"/>
            </w:pPr>
            <w:r w:rsidRPr="00C34276">
              <w:t>(3)</w:t>
            </w:r>
            <w:r w:rsidRPr="00C34276">
              <w:tab/>
              <w:t xml:space="preserve">there is no reduction in their ecosystem health, hydrological functioning, amenity values, </w:t>
            </w:r>
            <w:proofErr w:type="gramStart"/>
            <w:r w:rsidRPr="00C34276">
              <w:t>extent</w:t>
            </w:r>
            <w:proofErr w:type="gramEnd"/>
            <w:r w:rsidRPr="00C34276">
              <w:t xml:space="preserve"> or water quality, and if degraded they are improved, and</w:t>
            </w:r>
          </w:p>
          <w:p w14:paraId="7F133770" w14:textId="230AC474" w:rsidR="003E0D56" w:rsidRDefault="003E0D56" w:rsidP="001C1090">
            <w:pPr>
              <w:pStyle w:val="Table1"/>
              <w:ind w:left="306" w:hanging="306"/>
            </w:pPr>
            <w:r w:rsidRPr="00C34276">
              <w:t>(4)</w:t>
            </w:r>
            <w:r w:rsidRPr="00C34276">
              <w:tab/>
              <w:t>their flood attenuation capacity is maintained.</w:t>
            </w:r>
          </w:p>
        </w:tc>
      </w:tr>
      <w:tr w:rsidR="003E0D56" w14:paraId="78CF01D4" w14:textId="77777777" w:rsidTr="00690D38">
        <w:tc>
          <w:tcPr>
            <w:tcW w:w="1685" w:type="dxa"/>
          </w:tcPr>
          <w:p w14:paraId="4D06A2AD" w14:textId="7F2B67B9" w:rsidR="003E0D56" w:rsidRDefault="003E0D56" w:rsidP="00A247C5">
            <w:pPr>
              <w:pStyle w:val="Table1"/>
            </w:pPr>
            <w:r>
              <w:t>LF–LS–O10 – Natural character</w:t>
            </w:r>
          </w:p>
        </w:tc>
        <w:tc>
          <w:tcPr>
            <w:tcW w:w="6611" w:type="dxa"/>
          </w:tcPr>
          <w:p w14:paraId="129BA9D5" w14:textId="21EF1C6F" w:rsidR="003E0D56" w:rsidRDefault="003E0D56" w:rsidP="00A247C5">
            <w:pPr>
              <w:pStyle w:val="Table1"/>
            </w:pPr>
            <w:r>
              <w:t>The natural character of wetlands, lakes and rivers and their margins is preserved and protected from inappropriate subdivision, use and development.</w:t>
            </w:r>
          </w:p>
        </w:tc>
      </w:tr>
      <w:tr w:rsidR="003E0D56" w14:paraId="56349C7B" w14:textId="77777777" w:rsidTr="00690D38">
        <w:tc>
          <w:tcPr>
            <w:tcW w:w="1685" w:type="dxa"/>
          </w:tcPr>
          <w:p w14:paraId="05B2D147" w14:textId="2E524FB6" w:rsidR="003E0D56" w:rsidRDefault="003E0D56" w:rsidP="00A247C5">
            <w:pPr>
              <w:pStyle w:val="Table1"/>
            </w:pPr>
            <w:r>
              <w:t>LF–LS–O11 – Land and soil</w:t>
            </w:r>
          </w:p>
        </w:tc>
        <w:tc>
          <w:tcPr>
            <w:tcW w:w="6611" w:type="dxa"/>
          </w:tcPr>
          <w:p w14:paraId="3813446B" w14:textId="799A8E27" w:rsidR="003E0D56" w:rsidRDefault="003E0D56" w:rsidP="00A247C5">
            <w:pPr>
              <w:pStyle w:val="Table1"/>
            </w:pPr>
            <w:r w:rsidRPr="00123C0C">
              <w:t>The life-supporting capacity of Otago’s soil resources is safeguarded and the availability and productive capacity of highly productive land for primary production is maintained now and for future generations.</w:t>
            </w:r>
          </w:p>
        </w:tc>
      </w:tr>
      <w:tr w:rsidR="003E0D56" w14:paraId="2FF149E4" w14:textId="77777777" w:rsidTr="00690D38">
        <w:tc>
          <w:tcPr>
            <w:tcW w:w="1685" w:type="dxa"/>
          </w:tcPr>
          <w:p w14:paraId="2584CCE6" w14:textId="28730F52" w:rsidR="003E0D56" w:rsidRDefault="003E0D56" w:rsidP="00A247C5">
            <w:pPr>
              <w:pStyle w:val="Table1"/>
            </w:pPr>
            <w:r w:rsidRPr="00956544">
              <w:t>LF–LS–O1</w:t>
            </w:r>
            <w:r>
              <w:t>2</w:t>
            </w:r>
            <w:r w:rsidRPr="00956544">
              <w:t xml:space="preserve"> – Use of land</w:t>
            </w:r>
          </w:p>
        </w:tc>
        <w:tc>
          <w:tcPr>
            <w:tcW w:w="6611" w:type="dxa"/>
          </w:tcPr>
          <w:p w14:paraId="72B54A53" w14:textId="09D6B9AB" w:rsidR="003E0D56" w:rsidRPr="00123C0C" w:rsidRDefault="003E0D56" w:rsidP="00A247C5">
            <w:pPr>
              <w:pStyle w:val="Table1"/>
            </w:pPr>
            <w:r w:rsidRPr="00956544">
              <w:t>The use of land in Otago maintains soil quality and contributes to achieving environmental outcomes for freshwater quality and quantity.</w:t>
            </w:r>
          </w:p>
        </w:tc>
      </w:tr>
    </w:tbl>
    <w:p w14:paraId="785FA103" w14:textId="7002C165" w:rsidR="00E9552F" w:rsidRDefault="00E9552F" w:rsidP="000F043E">
      <w:pPr>
        <w:pStyle w:val="Heading3"/>
        <w:shd w:val="clear" w:color="auto" w:fill="DEEAF6" w:themeFill="accent5" w:themeFillTint="33"/>
      </w:pPr>
      <w:r>
        <w:lastRenderedPageBreak/>
        <w:t>Reasonably practicable options</w:t>
      </w:r>
    </w:p>
    <w:p w14:paraId="07B0EDC0" w14:textId="6A93397A" w:rsidR="00E9552F" w:rsidRDefault="00DB3D2D" w:rsidP="000F043E">
      <w:pPr>
        <w:pStyle w:val="Normal2"/>
        <w:shd w:val="clear" w:color="auto" w:fill="DEEAF6" w:themeFill="accent5" w:themeFillTint="33"/>
      </w:pPr>
      <w:r>
        <w:t>Three</w:t>
      </w:r>
      <w:r w:rsidR="00392356">
        <w:t xml:space="preserve"> reasonably practicable options were identified to achieve the objectives:</w:t>
      </w:r>
    </w:p>
    <w:p w14:paraId="7FD562BA" w14:textId="2AE4EACE" w:rsidR="00392356" w:rsidRDefault="00392356" w:rsidP="000F043E">
      <w:pPr>
        <w:pStyle w:val="Normal3"/>
        <w:shd w:val="clear" w:color="auto" w:fill="DEEAF6" w:themeFill="accent5" w:themeFillTint="33"/>
      </w:pPr>
      <w:r w:rsidRPr="29589E8D">
        <w:rPr>
          <w:b/>
          <w:bCs/>
        </w:rPr>
        <w:t>Option 1:</w:t>
      </w:r>
      <w:r>
        <w:t xml:space="preserve"> Status quo (PORPS 2019)</w:t>
      </w:r>
    </w:p>
    <w:p w14:paraId="2B10B4FB" w14:textId="58A209A5" w:rsidR="00DB3D2D" w:rsidRDefault="00DB3D2D" w:rsidP="000F043E">
      <w:pPr>
        <w:pStyle w:val="Normal3"/>
        <w:shd w:val="clear" w:color="auto" w:fill="DEEAF6" w:themeFill="accent5" w:themeFillTint="33"/>
      </w:pPr>
      <w:r w:rsidRPr="29589E8D">
        <w:rPr>
          <w:b/>
          <w:bCs/>
        </w:rPr>
        <w:t xml:space="preserve">Option 2: </w:t>
      </w:r>
      <w:r w:rsidR="007B4FD1">
        <w:t>PORPS 2021 (clause 3 version)</w:t>
      </w:r>
    </w:p>
    <w:p w14:paraId="3C345B42" w14:textId="502B8A1B" w:rsidR="00392356" w:rsidRDefault="00392356" w:rsidP="000F043E">
      <w:pPr>
        <w:pStyle w:val="Normal3"/>
        <w:shd w:val="clear" w:color="auto" w:fill="DEEAF6" w:themeFill="accent5" w:themeFillTint="33"/>
      </w:pPr>
      <w:r w:rsidRPr="29589E8D">
        <w:rPr>
          <w:b/>
          <w:bCs/>
        </w:rPr>
        <w:t xml:space="preserve">Option 2: </w:t>
      </w:r>
      <w:r>
        <w:t>PORPS 2021</w:t>
      </w:r>
      <w:r w:rsidR="007B4FD1">
        <w:t xml:space="preserve"> (</w:t>
      </w:r>
      <w:r w:rsidR="00235F70">
        <w:t>as proposed</w:t>
      </w:r>
      <w:r w:rsidR="007B4FD1">
        <w:t>)</w:t>
      </w:r>
      <w:r w:rsidR="00235F70">
        <w:t xml:space="preserve"> – </w:t>
      </w:r>
      <w:r w:rsidR="00235F70">
        <w:rPr>
          <w:i/>
          <w:iCs/>
        </w:rPr>
        <w:t xml:space="preserve">preferred </w:t>
      </w:r>
    </w:p>
    <w:p w14:paraId="299D8364" w14:textId="77777777" w:rsidR="00E9552F" w:rsidRDefault="00E9552F" w:rsidP="000F043E">
      <w:pPr>
        <w:pStyle w:val="Heading4"/>
        <w:shd w:val="clear" w:color="auto" w:fill="DEEAF6" w:themeFill="accent5" w:themeFillTint="33"/>
      </w:pPr>
      <w:r>
        <w:t>Option 1: Status quo</w:t>
      </w:r>
    </w:p>
    <w:p w14:paraId="1AC6665A" w14:textId="7A9BB029" w:rsidR="00E9552F" w:rsidRDefault="007A6513" w:rsidP="000F043E">
      <w:pPr>
        <w:pStyle w:val="Normal2"/>
        <w:shd w:val="clear" w:color="auto" w:fill="DEEAF6" w:themeFill="accent5" w:themeFillTint="33"/>
      </w:pPr>
      <w:r>
        <w:t xml:space="preserve">The status quo and associated issues are outlined in section </w:t>
      </w:r>
      <w:r>
        <w:fldChar w:fldCharType="begin"/>
      </w:r>
      <w:r>
        <w:instrText xml:space="preserve"> REF _Ref63331577 \r \h </w:instrText>
      </w:r>
      <w:r w:rsidR="00CF0142">
        <w:instrText xml:space="preserve"> \* MERGEFORMAT </w:instrText>
      </w:r>
      <w:r>
        <w:fldChar w:fldCharType="separate"/>
      </w:r>
      <w:r w:rsidR="002A7A16">
        <w:t>5.7.2</w:t>
      </w:r>
      <w:r>
        <w:fldChar w:fldCharType="end"/>
      </w:r>
      <w:r w:rsidR="00224EAB">
        <w:t xml:space="preserve">. As set out in that section, </w:t>
      </w:r>
      <w:r w:rsidR="005B679D">
        <w:t xml:space="preserve">the current policy framework is not considered to be appropriate, particularly as it was prepared under an earlier version of the NPSFM which has now been superseded. </w:t>
      </w:r>
      <w:r w:rsidR="00CB1D29">
        <w:t xml:space="preserve">The provisions will not fully implement the current suite of national direction and </w:t>
      </w:r>
      <w:r w:rsidR="00723AFE">
        <w:t xml:space="preserve">there is considerable uncertainty in the expectations for regional and district plans </w:t>
      </w:r>
      <w:proofErr w:type="gramStart"/>
      <w:r w:rsidR="00723AFE">
        <w:t>with regard to</w:t>
      </w:r>
      <w:proofErr w:type="gramEnd"/>
      <w:r w:rsidR="00723AFE">
        <w:t xml:space="preserve"> implementation. The provisions </w:t>
      </w:r>
      <w:r w:rsidR="008148F0">
        <w:t xml:space="preserve">are therefore not </w:t>
      </w:r>
      <w:r w:rsidR="00723AFE">
        <w:t xml:space="preserve">considered </w:t>
      </w:r>
      <w:r w:rsidR="008148F0">
        <w:t>efficient or effective.</w:t>
      </w:r>
    </w:p>
    <w:p w14:paraId="3D579CB8" w14:textId="3DFBA629" w:rsidR="007B4FD1" w:rsidRDefault="007B4FD1" w:rsidP="000F043E">
      <w:pPr>
        <w:pStyle w:val="Heading4"/>
        <w:shd w:val="clear" w:color="auto" w:fill="DEEAF6" w:themeFill="accent5" w:themeFillTint="33"/>
      </w:pPr>
      <w:r>
        <w:t>Option 2: PORPS 2021 (clause 3 version)</w:t>
      </w:r>
    </w:p>
    <w:p w14:paraId="7A223A00" w14:textId="7589C1A3" w:rsidR="007B4FD1" w:rsidRDefault="00992339" w:rsidP="000F043E">
      <w:pPr>
        <w:pStyle w:val="Normal2"/>
        <w:shd w:val="clear" w:color="auto" w:fill="DEEAF6" w:themeFill="accent5" w:themeFillTint="33"/>
      </w:pPr>
      <w:r>
        <w:t xml:space="preserve">The version of the PORPS 2021 prepared for clause 3 consultation </w:t>
      </w:r>
      <w:r w:rsidR="001E46B4">
        <w:t>was considerably different</w:t>
      </w:r>
      <w:r w:rsidR="00E52A24">
        <w:t xml:space="preserve"> from the </w:t>
      </w:r>
      <w:r w:rsidR="003E0D56">
        <w:t xml:space="preserve">PORPS 2021 as </w:t>
      </w:r>
      <w:r w:rsidR="00235F70">
        <w:t>proposed</w:t>
      </w:r>
      <w:r w:rsidR="001E46B4">
        <w:t xml:space="preserve"> in two respects: the chapter was not broken into sections and there were freshwater visions for the whole of the region as well as each FMU and </w:t>
      </w:r>
      <w:proofErr w:type="spellStart"/>
      <w:r w:rsidR="001E46B4">
        <w:t>rohe</w:t>
      </w:r>
      <w:proofErr w:type="spellEnd"/>
      <w:r w:rsidR="001E46B4">
        <w:t xml:space="preserve">. </w:t>
      </w:r>
    </w:p>
    <w:p w14:paraId="31B1013A" w14:textId="6966B956" w:rsidR="00E52A24" w:rsidRDefault="00E35C29" w:rsidP="000F043E">
      <w:pPr>
        <w:pStyle w:val="Normal2"/>
        <w:shd w:val="clear" w:color="auto" w:fill="DEEAF6" w:themeFill="accent5" w:themeFillTint="33"/>
      </w:pPr>
      <w:r>
        <w:t>In Option 2, there were no sections within the LF chapter</w:t>
      </w:r>
      <w:r w:rsidR="002404F3">
        <w:t xml:space="preserve"> – provisions were grouped by provision type (</w:t>
      </w:r>
      <w:proofErr w:type="gramStart"/>
      <w:r w:rsidR="002404F3">
        <w:t>i.e.</w:t>
      </w:r>
      <w:proofErr w:type="gramEnd"/>
      <w:r w:rsidR="002404F3">
        <w:t xml:space="preserve"> objectives, policies, methods) rather than by topic. In terms of their application, this meant that all provisions were to be considered together with no provisions having greater weight than others (other than through the directiveness of their content). </w:t>
      </w:r>
      <w:r w:rsidR="00E62B0D">
        <w:t>In response to the feedback received during consultation on the freshwater visions in late 2020</w:t>
      </w:r>
      <w:r w:rsidR="004029A3">
        <w:t xml:space="preserve">, Option 2 contained a series of visions: a region-wide vision for Otago and </w:t>
      </w:r>
      <w:r w:rsidR="004C53A0">
        <w:t xml:space="preserve">more specific visions for each of the FMUs and </w:t>
      </w:r>
      <w:proofErr w:type="spellStart"/>
      <w:r w:rsidR="004C53A0">
        <w:t>rohe</w:t>
      </w:r>
      <w:proofErr w:type="spellEnd"/>
      <w:r w:rsidR="004C53A0">
        <w:t>.</w:t>
      </w:r>
    </w:p>
    <w:p w14:paraId="62046F6F" w14:textId="63CEE9A0" w:rsidR="000C448C" w:rsidRDefault="000C448C" w:rsidP="000F043E">
      <w:pPr>
        <w:pStyle w:val="Normal2"/>
        <w:shd w:val="clear" w:color="auto" w:fill="DEEAF6" w:themeFill="accent5" w:themeFillTint="33"/>
      </w:pPr>
      <w:r>
        <w:t xml:space="preserve">In January 2021, ORC received initial feedback from </w:t>
      </w:r>
      <w:proofErr w:type="spellStart"/>
      <w:r>
        <w:t>Aukaha</w:t>
      </w:r>
      <w:proofErr w:type="spellEnd"/>
      <w:r>
        <w:t xml:space="preserve"> that the structure of the LF chapter did not adequately recognise </w:t>
      </w:r>
      <w:r w:rsidR="00F77296">
        <w:t xml:space="preserve">the Kāi </w:t>
      </w:r>
      <w:proofErr w:type="spellStart"/>
      <w:r w:rsidR="00F77296">
        <w:t>Tahu</w:t>
      </w:r>
      <w:proofErr w:type="spellEnd"/>
      <w:r w:rsidR="00F77296">
        <w:t xml:space="preserve"> ki Otago expression of </w:t>
      </w:r>
      <w:r>
        <w:t xml:space="preserve">Te Mana o </w:t>
      </w:r>
      <w:r w:rsidR="003E0D56">
        <w:t>t</w:t>
      </w:r>
      <w:r>
        <w:t>e Wai</w:t>
      </w:r>
      <w:r w:rsidR="00F77296">
        <w:t xml:space="preserve">. </w:t>
      </w:r>
      <w:proofErr w:type="gramStart"/>
      <w:r w:rsidR="00F77296">
        <w:t>In particular, it</w:t>
      </w:r>
      <w:proofErr w:type="gramEnd"/>
      <w:r w:rsidR="00F77296">
        <w:t xml:space="preserve"> was considered that separating the objective for Te Mana o </w:t>
      </w:r>
      <w:r w:rsidR="003E0D56">
        <w:t>t</w:t>
      </w:r>
      <w:r w:rsidR="00F77296">
        <w:t>e Wai from the associated policies made the direction of the package of provisions less clear</w:t>
      </w:r>
      <w:r w:rsidR="001B0A7E">
        <w:t xml:space="preserve">. </w:t>
      </w:r>
      <w:proofErr w:type="spellStart"/>
      <w:r w:rsidR="001B0A7E">
        <w:t>Aukaha</w:t>
      </w:r>
      <w:proofErr w:type="spellEnd"/>
      <w:r w:rsidR="001B0A7E">
        <w:t xml:space="preserve"> suggested </w:t>
      </w:r>
      <w:r w:rsidR="00F40D38">
        <w:t xml:space="preserve">restructuring the chapter to bring the Te Mana o </w:t>
      </w:r>
      <w:r w:rsidR="003E0D56">
        <w:t>t</w:t>
      </w:r>
      <w:r w:rsidR="00F40D38">
        <w:t>e Wai objective and policies back together and clarifying that the rest of the provisions are</w:t>
      </w:r>
      <w:r w:rsidR="0076676B">
        <w:t xml:space="preserve"> subject to the objective and policies, reflecting the direction in Policy 1 of the NPSFM that freshwater management must give effect to Te Mana o </w:t>
      </w:r>
      <w:r w:rsidR="003E0D56">
        <w:t>t</w:t>
      </w:r>
      <w:r w:rsidR="0076676B">
        <w:t>e Wai.</w:t>
      </w:r>
      <w:r w:rsidR="004C53A0">
        <w:t xml:space="preserve"> </w:t>
      </w:r>
    </w:p>
    <w:p w14:paraId="4A2933D9" w14:textId="23664324" w:rsidR="00E62B0D" w:rsidRDefault="004C53A0" w:rsidP="000F043E">
      <w:pPr>
        <w:pStyle w:val="Normal2"/>
        <w:shd w:val="clear" w:color="auto" w:fill="DEEAF6" w:themeFill="accent5" w:themeFillTint="33"/>
      </w:pPr>
      <w:r>
        <w:t xml:space="preserve">Feedback on the LF chapter received during clause 3 consultation </w:t>
      </w:r>
      <w:r w:rsidR="00367D8B">
        <w:t xml:space="preserve">raised concerns with the freshwater visions, namely that having three ‘levels’ added considerable complexity to the planning framework. </w:t>
      </w:r>
      <w:r w:rsidR="008F5E06">
        <w:t>In terms of the content of the visions, some respondents queried</w:t>
      </w:r>
      <w:r w:rsidR="00367D8B">
        <w:t xml:space="preserve"> whether some of the visions conflicted with others (for example, the </w:t>
      </w:r>
      <w:proofErr w:type="spellStart"/>
      <w:r w:rsidR="00367D8B">
        <w:t>rohe</w:t>
      </w:r>
      <w:proofErr w:type="spellEnd"/>
      <w:r w:rsidR="00367D8B">
        <w:t xml:space="preserve"> and relevant FMU vision both providing direction on a similar matter but differently). </w:t>
      </w:r>
      <w:r w:rsidR="00941A67">
        <w:t xml:space="preserve">Others were concerned about the flow-on effects for the new </w:t>
      </w:r>
      <w:r w:rsidR="00235F70">
        <w:t>LWRP</w:t>
      </w:r>
      <w:r w:rsidR="00941A67">
        <w:t xml:space="preserve">, particularly about the ability of that plan to clearly </w:t>
      </w:r>
      <w:r w:rsidR="000C0F70">
        <w:t xml:space="preserve">articulate how </w:t>
      </w:r>
      <w:proofErr w:type="gramStart"/>
      <w:r w:rsidR="000C0F70">
        <w:t>all of</w:t>
      </w:r>
      <w:proofErr w:type="gramEnd"/>
      <w:r w:rsidR="000C0F70">
        <w:t xml:space="preserve"> the visions would be met. Finally, there was concern that having one timeframe for all FMUs and </w:t>
      </w:r>
      <w:proofErr w:type="spellStart"/>
      <w:r w:rsidR="000C0F70">
        <w:t>rohe</w:t>
      </w:r>
      <w:proofErr w:type="spellEnd"/>
      <w:r w:rsidR="000C0F70">
        <w:t xml:space="preserve"> did not reflect the current state of the water bodies in those areas. For example, some </w:t>
      </w:r>
      <w:r w:rsidR="00A27711">
        <w:t>catchments are near their natural state while others are degraded</w:t>
      </w:r>
      <w:r w:rsidR="00545BE1">
        <w:t xml:space="preserve"> so achieving the visions for these areas would take more or less time in comparison to each other.</w:t>
      </w:r>
    </w:p>
    <w:p w14:paraId="2D327084" w14:textId="490350EE" w:rsidR="00E62B0D" w:rsidRDefault="00545BE1" w:rsidP="000F043E">
      <w:pPr>
        <w:pStyle w:val="Normal2"/>
        <w:shd w:val="clear" w:color="auto" w:fill="DEEAF6" w:themeFill="accent5" w:themeFillTint="33"/>
      </w:pPr>
      <w:r>
        <w:lastRenderedPageBreak/>
        <w:t xml:space="preserve">Ultimately this option was discounted for the reasons </w:t>
      </w:r>
      <w:r w:rsidR="0016168D">
        <w:t xml:space="preserve">set out above. </w:t>
      </w:r>
      <w:r w:rsidR="00D04A57">
        <w:t>ORC s</w:t>
      </w:r>
      <w:r w:rsidR="0016168D">
        <w:t xml:space="preserve">taff agreed that the Te Mana o </w:t>
      </w:r>
      <w:r w:rsidR="00D04A57">
        <w:t>t</w:t>
      </w:r>
      <w:r w:rsidR="0016168D">
        <w:t xml:space="preserve">e Wai provisions needed to be housed together as a package and that making it clear that the rest of the chapter </w:t>
      </w:r>
      <w:r w:rsidR="00283F52">
        <w:t xml:space="preserve">must </w:t>
      </w:r>
      <w:r w:rsidR="0018710B">
        <w:t>give effect to those provisions w</w:t>
      </w:r>
      <w:r w:rsidR="00D878BC">
        <w:t xml:space="preserve">ould better implement the NPSFM. </w:t>
      </w:r>
      <w:r w:rsidR="00A62834">
        <w:t xml:space="preserve">Staff also agreed that the visions as drafted </w:t>
      </w:r>
      <w:r w:rsidR="00AC1228">
        <w:t xml:space="preserve">created a more complex policy framework, both in the RPS and for the resulting land and water regional plan to implement. </w:t>
      </w:r>
    </w:p>
    <w:p w14:paraId="48514810" w14:textId="109B3F56" w:rsidR="00E9552F" w:rsidRDefault="00E9552F" w:rsidP="000F043E">
      <w:pPr>
        <w:pStyle w:val="Heading4"/>
        <w:shd w:val="clear" w:color="auto" w:fill="DEEAF6" w:themeFill="accent5" w:themeFillTint="33"/>
      </w:pPr>
      <w:bookmarkStart w:id="91" w:name="_Ref69141897"/>
      <w:r>
        <w:t xml:space="preserve">Option </w:t>
      </w:r>
      <w:r w:rsidR="0055000C">
        <w:t>3</w:t>
      </w:r>
      <w:r>
        <w:t xml:space="preserve">: </w:t>
      </w:r>
      <w:r w:rsidR="00E81F7F">
        <w:t>PORPS 2021</w:t>
      </w:r>
      <w:r w:rsidR="0055000C">
        <w:t xml:space="preserve"> (</w:t>
      </w:r>
      <w:r w:rsidR="00235F70">
        <w:t>as proposed</w:t>
      </w:r>
      <w:r w:rsidR="0055000C">
        <w:t>)</w:t>
      </w:r>
      <w:bookmarkEnd w:id="91"/>
      <w:r w:rsidR="00235F70">
        <w:t xml:space="preserve"> – </w:t>
      </w:r>
      <w:r w:rsidR="00235F70">
        <w:rPr>
          <w:i/>
          <w:iCs/>
        </w:rPr>
        <w:t xml:space="preserve">preferred </w:t>
      </w:r>
    </w:p>
    <w:p w14:paraId="7DA26CDA" w14:textId="23A377FC" w:rsidR="00587362" w:rsidRDefault="004C6D10" w:rsidP="000F043E">
      <w:pPr>
        <w:pStyle w:val="Normal2"/>
        <w:shd w:val="clear" w:color="auto" w:fill="DEEAF6" w:themeFill="accent5" w:themeFillTint="33"/>
      </w:pPr>
      <w:r>
        <w:t xml:space="preserve">Option 3 is the </w:t>
      </w:r>
      <w:r w:rsidR="0046363D">
        <w:t>proposed</w:t>
      </w:r>
      <w:r>
        <w:t xml:space="preserve"> version of the PORPS 2021 with the LF chapter split into four sections: </w:t>
      </w:r>
      <w:r w:rsidR="00790A9B">
        <w:t xml:space="preserve">LF–WAI – Te Mana o Te Wai, LF–VM – Visions and management, LF–FW – Freshwater and LF–LS – Land and soils. As explained above, </w:t>
      </w:r>
      <w:r w:rsidR="00E57F46">
        <w:t xml:space="preserve">the LF–VM, LF–FW and LF–LS sections must give effect to the objectives and policies in LF–WAI. </w:t>
      </w:r>
    </w:p>
    <w:p w14:paraId="3858EDE4" w14:textId="51AAC690" w:rsidR="00656F6F" w:rsidRPr="000B61EC" w:rsidRDefault="00D74F25" w:rsidP="000F043E">
      <w:pPr>
        <w:pStyle w:val="Heading5"/>
        <w:shd w:val="clear" w:color="auto" w:fill="DEEAF6" w:themeFill="accent5" w:themeFillTint="33"/>
      </w:pPr>
      <w:r w:rsidRPr="000B61EC">
        <w:t xml:space="preserve">LF–WAI – </w:t>
      </w:r>
      <w:r w:rsidR="00656F6F" w:rsidRPr="000B61EC">
        <w:t>Te Mana o Te Wai</w:t>
      </w:r>
    </w:p>
    <w:p w14:paraId="0B6F4518" w14:textId="77777777" w:rsidR="0004088E" w:rsidRDefault="00F1548A" w:rsidP="000F043E">
      <w:pPr>
        <w:pStyle w:val="Normal2"/>
        <w:shd w:val="clear" w:color="auto" w:fill="DEEAF6" w:themeFill="accent5" w:themeFillTint="33"/>
      </w:pPr>
      <w:r>
        <w:t xml:space="preserve">Policy 1 of the NPSFM requires councils to manage freshwater in a way that gives effect to Te Mana o Te Wai. </w:t>
      </w:r>
      <w:r w:rsidR="001735B9">
        <w:t xml:space="preserve">Objective </w:t>
      </w:r>
      <w:r w:rsidR="00656F6F">
        <w:t>LF–WAI–</w:t>
      </w:r>
      <w:r w:rsidR="001735B9">
        <w:t xml:space="preserve">O1 sets out </w:t>
      </w:r>
      <w:r w:rsidR="009424AA">
        <w:t xml:space="preserve">the Kāi </w:t>
      </w:r>
      <w:proofErr w:type="spellStart"/>
      <w:r w:rsidR="009424AA">
        <w:t>Tahu</w:t>
      </w:r>
      <w:proofErr w:type="spellEnd"/>
      <w:r w:rsidR="009424AA">
        <w:t xml:space="preserve"> expression of Te Mana o Te Wai in Otago. </w:t>
      </w:r>
      <w:r w:rsidR="002336BD">
        <w:t xml:space="preserve">Objective 1 of the NPSFM requires freshwater management to prioritise first, the health and wellbeing of water bodies and freshwater ecosystems; second, the health needs of people; and third, the ability of people and communities to provide for their social, economic, and cultural wellbeing, now and in the future. This is reflected in Policy LF–WAI–P1 which requires this prioritisation to be implemented in decision-making. </w:t>
      </w:r>
    </w:p>
    <w:p w14:paraId="7473B98C" w14:textId="2C130069" w:rsidR="00F1548A" w:rsidRDefault="009424AA" w:rsidP="000F043E">
      <w:pPr>
        <w:pStyle w:val="Normal2"/>
        <w:shd w:val="clear" w:color="auto" w:fill="DEEAF6" w:themeFill="accent5" w:themeFillTint="33"/>
      </w:pPr>
      <w:r>
        <w:t>Clause</w:t>
      </w:r>
      <w:r w:rsidR="001B30CC">
        <w:t xml:space="preserve"> 1.3 of the NPSFM </w:t>
      </w:r>
      <w:r w:rsidR="001A33C3">
        <w:t>sets out the six principles encompassed by the concept of Te Mana o Te Wai</w:t>
      </w:r>
      <w:r w:rsidR="00974EE1">
        <w:t xml:space="preserve">, including mana </w:t>
      </w:r>
      <w:proofErr w:type="spellStart"/>
      <w:r w:rsidR="00974EE1">
        <w:t>whakahaere</w:t>
      </w:r>
      <w:proofErr w:type="spellEnd"/>
      <w:r w:rsidR="00465184">
        <w:t xml:space="preserve">, </w:t>
      </w:r>
      <w:proofErr w:type="spellStart"/>
      <w:r w:rsidR="00465184">
        <w:t>kaitiakitaka</w:t>
      </w:r>
      <w:proofErr w:type="spellEnd"/>
      <w:r w:rsidR="00465184">
        <w:t xml:space="preserve"> and </w:t>
      </w:r>
      <w:proofErr w:type="spellStart"/>
      <w:r w:rsidR="00465184">
        <w:t>man</w:t>
      </w:r>
      <w:r w:rsidR="004F03C5">
        <w:t>aakitaka</w:t>
      </w:r>
      <w:proofErr w:type="spellEnd"/>
      <w:r w:rsidR="001A33C3">
        <w:t xml:space="preserve">. </w:t>
      </w:r>
      <w:r w:rsidR="000A092D">
        <w:t xml:space="preserve">Policy </w:t>
      </w:r>
      <w:r w:rsidR="00CA59C0">
        <w:t>LF–WAI–</w:t>
      </w:r>
      <w:r w:rsidR="000A092D">
        <w:t>P</w:t>
      </w:r>
      <w:r w:rsidR="00060DB5">
        <w:t>2</w:t>
      </w:r>
      <w:r w:rsidR="000A092D">
        <w:t xml:space="preserve"> sets out how</w:t>
      </w:r>
      <w:r w:rsidR="00974EE1">
        <w:t xml:space="preserve"> Kāi </w:t>
      </w:r>
      <w:proofErr w:type="spellStart"/>
      <w:r w:rsidR="00974EE1">
        <w:t>Tahu</w:t>
      </w:r>
      <w:proofErr w:type="spellEnd"/>
      <w:r w:rsidR="00974EE1">
        <w:t xml:space="preserve"> </w:t>
      </w:r>
      <w:proofErr w:type="spellStart"/>
      <w:r w:rsidR="00974EE1">
        <w:t>rakatirataka</w:t>
      </w:r>
      <w:proofErr w:type="spellEnd"/>
      <w:r w:rsidR="00974EE1">
        <w:t xml:space="preserve"> will be exercised in freshwater management</w:t>
      </w:r>
      <w:r w:rsidR="004F03C5">
        <w:t xml:space="preserve"> and Policy </w:t>
      </w:r>
      <w:r w:rsidR="00CA59C0">
        <w:t>LF–WAI–</w:t>
      </w:r>
      <w:r w:rsidR="004F03C5">
        <w:t>P</w:t>
      </w:r>
      <w:r w:rsidR="002336BD">
        <w:t>3</w:t>
      </w:r>
      <w:r w:rsidR="004F03C5">
        <w:t xml:space="preserve"> </w:t>
      </w:r>
      <w:r w:rsidR="00857DFD">
        <w:t xml:space="preserve">expresses the concept of ki uta ki tai, a holistic approach to managing freshwater resources that recognises the wider environment they are within. </w:t>
      </w:r>
      <w:r w:rsidR="00B97F18">
        <w:t xml:space="preserve">Finally, LF–WAI–P4 sets out that the provisions in the remainder of the LF chapter must give effect to </w:t>
      </w:r>
      <w:r w:rsidR="0004088E">
        <w:t xml:space="preserve">the LF–WAI objective and policies when interpreting, </w:t>
      </w:r>
      <w:proofErr w:type="gramStart"/>
      <w:r w:rsidR="0004088E">
        <w:t>applying</w:t>
      </w:r>
      <w:proofErr w:type="gramEnd"/>
      <w:r w:rsidR="0004088E">
        <w:t xml:space="preserve"> and making decisions under the LF chapter. Collectively, these provisions express what Te Mana o Te Wai means in Otago and what it requires of any resulting freshwater management framework.</w:t>
      </w:r>
      <w:r w:rsidR="00BD34D7">
        <w:t xml:space="preserve"> </w:t>
      </w:r>
    </w:p>
    <w:p w14:paraId="684C6694" w14:textId="76AD4F28" w:rsidR="00B11D4C" w:rsidRDefault="00B11D4C" w:rsidP="000F043E">
      <w:pPr>
        <w:pStyle w:val="Normal2"/>
        <w:shd w:val="clear" w:color="auto" w:fill="DEEAF6" w:themeFill="accent5" w:themeFillTint="33"/>
      </w:pPr>
      <w:r>
        <w:t xml:space="preserve">The LF–WAI section contains two methods: one setting out how mana whenua will be involved in freshwater management in Otago through a partnership model and one </w:t>
      </w:r>
      <w:r w:rsidR="00C55AD8">
        <w:t xml:space="preserve">directing that all other methods in the LF–VM, LF–FW and LF–LS sections </w:t>
      </w:r>
      <w:r w:rsidR="00826441">
        <w:t>will also achieve the policies in the LF–WAI section.</w:t>
      </w:r>
    </w:p>
    <w:p w14:paraId="4DFEE397" w14:textId="42F280E4" w:rsidR="0004088E" w:rsidRDefault="00D74F25" w:rsidP="000F043E">
      <w:pPr>
        <w:pStyle w:val="Heading5"/>
        <w:shd w:val="clear" w:color="auto" w:fill="DEEAF6" w:themeFill="accent5" w:themeFillTint="33"/>
      </w:pPr>
      <w:r>
        <w:t>LF–VM – Visions and management</w:t>
      </w:r>
    </w:p>
    <w:p w14:paraId="6BEC0E37" w14:textId="41C216D2" w:rsidR="00C53C19" w:rsidRDefault="009424AA" w:rsidP="000F043E">
      <w:pPr>
        <w:pStyle w:val="Normal2"/>
        <w:shd w:val="clear" w:color="auto" w:fill="DEEAF6" w:themeFill="accent5" w:themeFillTint="33"/>
      </w:pPr>
      <w:r>
        <w:t>Clause 3.3 of the NPSFM requires regional councils to develop long-term visions for freshwater in their regions</w:t>
      </w:r>
      <w:r w:rsidR="00F27CE2">
        <w:t xml:space="preserve"> and include them in the relevant regional policy statement. </w:t>
      </w:r>
      <w:r w:rsidR="00E16BA6">
        <w:t xml:space="preserve">There are six objectives in the LF – VM section, including five freshwater visions. These provisions are explained and evaluated in section </w:t>
      </w:r>
      <w:r w:rsidR="00E16BA6">
        <w:fldChar w:fldCharType="begin"/>
      </w:r>
      <w:r w:rsidR="00E16BA6">
        <w:instrText xml:space="preserve"> REF _Ref72157743 \r \h </w:instrText>
      </w:r>
      <w:r w:rsidR="00CF0142">
        <w:instrText xml:space="preserve"> \* MERGEFORMAT </w:instrText>
      </w:r>
      <w:r w:rsidR="00E16BA6">
        <w:fldChar w:fldCharType="separate"/>
      </w:r>
      <w:r w:rsidR="002A7A16">
        <w:t>4.3.5.2</w:t>
      </w:r>
      <w:r w:rsidR="00E16BA6">
        <w:fldChar w:fldCharType="end"/>
      </w:r>
      <w:r w:rsidR="00E16BA6">
        <w:t xml:space="preserve"> of this report. </w:t>
      </w:r>
    </w:p>
    <w:p w14:paraId="481DA577" w14:textId="3CF9532C" w:rsidR="00004EF0" w:rsidRDefault="00124B41" w:rsidP="000F043E">
      <w:pPr>
        <w:pStyle w:val="Normal2"/>
        <w:shd w:val="clear" w:color="auto" w:fill="DEEAF6" w:themeFill="accent5" w:themeFillTint="33"/>
      </w:pPr>
      <w:r>
        <w:t>The</w:t>
      </w:r>
      <w:r w:rsidDel="00D338EA">
        <w:t xml:space="preserve"> </w:t>
      </w:r>
      <w:r w:rsidR="00D338EA">
        <w:t>LF–</w:t>
      </w:r>
      <w:r w:rsidR="0001329D">
        <w:t xml:space="preserve">VM policies </w:t>
      </w:r>
      <w:r w:rsidR="00D849E8">
        <w:t xml:space="preserve">are largely procedural, outlining the </w:t>
      </w:r>
      <w:r w:rsidR="00595F74">
        <w:t xml:space="preserve">FMUs and </w:t>
      </w:r>
      <w:proofErr w:type="spellStart"/>
      <w:r w:rsidR="00595F74">
        <w:t>rohe</w:t>
      </w:r>
      <w:proofErr w:type="spellEnd"/>
      <w:r w:rsidR="00595F74">
        <w:t xml:space="preserve"> and the relationship</w:t>
      </w:r>
      <w:r w:rsidR="00E16BA6">
        <w:t>s</w:t>
      </w:r>
      <w:r w:rsidR="00595F74">
        <w:t xml:space="preserve"> between them. Policy LF–VM–P</w:t>
      </w:r>
      <w:r w:rsidR="00C53C19">
        <w:t>6</w:t>
      </w:r>
      <w:r w:rsidR="00595F74">
        <w:t xml:space="preserve"> is integral in setting out this relationship and will underpin the policy framework in the LWRP. </w:t>
      </w:r>
      <w:r w:rsidR="007E0395">
        <w:t>After identifying FMUs, t</w:t>
      </w:r>
      <w:r w:rsidR="00EF067B">
        <w:t>he NPSFM</w:t>
      </w:r>
      <w:r w:rsidR="00841B99">
        <w:rPr>
          <w:rStyle w:val="FootnoteReference"/>
        </w:rPr>
        <w:footnoteReference w:id="32"/>
      </w:r>
      <w:r w:rsidR="00EF067B">
        <w:t xml:space="preserve"> requires</w:t>
      </w:r>
      <w:r w:rsidR="00581D11">
        <w:t xml:space="preserve"> regional councils to</w:t>
      </w:r>
      <w:r w:rsidR="00EF067B">
        <w:t>:</w:t>
      </w:r>
    </w:p>
    <w:p w14:paraId="77633469" w14:textId="019D5ADA" w:rsidR="00EF067B" w:rsidRDefault="007321EC" w:rsidP="000F043E">
      <w:pPr>
        <w:pStyle w:val="Normal3"/>
        <w:shd w:val="clear" w:color="auto" w:fill="DEEAF6" w:themeFill="accent5" w:themeFillTint="33"/>
      </w:pPr>
      <w:r>
        <w:lastRenderedPageBreak/>
        <w:t>Identify values for each FMU,</w:t>
      </w:r>
    </w:p>
    <w:p w14:paraId="4E63A345" w14:textId="162FF738" w:rsidR="007321EC" w:rsidRDefault="00C0062D" w:rsidP="000F043E">
      <w:pPr>
        <w:pStyle w:val="Normal3"/>
        <w:shd w:val="clear" w:color="auto" w:fill="DEEAF6" w:themeFill="accent5" w:themeFillTint="33"/>
      </w:pPr>
      <w:r>
        <w:t>set environmental outcomes for each value and include them as objectives in regional plans,</w:t>
      </w:r>
    </w:p>
    <w:p w14:paraId="32C1E2C3" w14:textId="0D7A3340" w:rsidR="00C0062D" w:rsidRDefault="001476E8" w:rsidP="000F043E">
      <w:pPr>
        <w:pStyle w:val="Normal3"/>
        <w:shd w:val="clear" w:color="auto" w:fill="DEEAF6" w:themeFill="accent5" w:themeFillTint="33"/>
      </w:pPr>
      <w:r>
        <w:t>identify attributes for each value and set baseline states for those attributes,</w:t>
      </w:r>
    </w:p>
    <w:p w14:paraId="1A46E4B6" w14:textId="178842C0" w:rsidR="00B127CE" w:rsidRPr="00B127CE" w:rsidRDefault="00841B99" w:rsidP="000F043E">
      <w:pPr>
        <w:pStyle w:val="Normal3"/>
        <w:shd w:val="clear" w:color="auto" w:fill="DEEAF6" w:themeFill="accent5" w:themeFillTint="33"/>
      </w:pPr>
      <w:r>
        <w:t>set target attribute states, environmental flows and levels, and other criteria to support the achievement of environmental outcomes, and</w:t>
      </w:r>
    </w:p>
    <w:p w14:paraId="3CBBFD94" w14:textId="70D834FE" w:rsidR="00841B99" w:rsidRDefault="00841B99" w:rsidP="000F043E">
      <w:pPr>
        <w:pStyle w:val="Normal3"/>
        <w:shd w:val="clear" w:color="auto" w:fill="DEEAF6" w:themeFill="accent5" w:themeFillTint="33"/>
      </w:pPr>
      <w:r>
        <w:t>set limits as rules and prepare action plans (as appropriate) to achieve environmental outcomes.</w:t>
      </w:r>
    </w:p>
    <w:p w14:paraId="3AB5A063" w14:textId="78C112A6" w:rsidR="00841B99" w:rsidRDefault="00893A55" w:rsidP="000F043E">
      <w:pPr>
        <w:pStyle w:val="Normal2"/>
        <w:shd w:val="clear" w:color="auto" w:fill="DEEAF6" w:themeFill="accent5" w:themeFillTint="33"/>
      </w:pPr>
      <w:proofErr w:type="gramStart"/>
      <w:r>
        <w:t>In order to</w:t>
      </w:r>
      <w:proofErr w:type="gramEnd"/>
      <w:r>
        <w:t xml:space="preserve"> implement the NPSFM in the LWRP and be clear about what provisions can be developed at the FMUs and </w:t>
      </w:r>
      <w:proofErr w:type="spellStart"/>
      <w:r>
        <w:t>rohe</w:t>
      </w:r>
      <w:proofErr w:type="spellEnd"/>
      <w:r>
        <w:t xml:space="preserve">, and how they interact, </w:t>
      </w:r>
      <w:r w:rsidR="00DA37D4">
        <w:t>Policy LF–VM–P</w:t>
      </w:r>
      <w:r w:rsidR="00C53C19">
        <w:t>6</w:t>
      </w:r>
      <w:r>
        <w:t xml:space="preserve"> states that:</w:t>
      </w:r>
    </w:p>
    <w:p w14:paraId="0A27E23E" w14:textId="2F227C45" w:rsidR="00893A55" w:rsidRDefault="00893A55" w:rsidP="000F043E">
      <w:pPr>
        <w:pStyle w:val="Normal3"/>
        <w:shd w:val="clear" w:color="auto" w:fill="DEEAF6" w:themeFill="accent5" w:themeFillTint="33"/>
      </w:pPr>
      <w:r>
        <w:t>FMUs must have environmental outcomes</w:t>
      </w:r>
      <w:r w:rsidR="000D77D8">
        <w:t xml:space="preserve"> and </w:t>
      </w:r>
      <w:r w:rsidR="00D762F1">
        <w:t xml:space="preserve">the </w:t>
      </w:r>
      <w:proofErr w:type="spellStart"/>
      <w:r w:rsidR="000D77D8">
        <w:t>rohe</w:t>
      </w:r>
      <w:proofErr w:type="spellEnd"/>
      <w:r w:rsidR="000D77D8">
        <w:t xml:space="preserve"> </w:t>
      </w:r>
      <w:r w:rsidR="00D762F1">
        <w:t xml:space="preserve">within an FMU </w:t>
      </w:r>
      <w:r w:rsidR="000D77D8">
        <w:t xml:space="preserve">may have additional </w:t>
      </w:r>
      <w:r w:rsidR="00D762F1">
        <w:t>environmental outcomes,</w:t>
      </w:r>
    </w:p>
    <w:p w14:paraId="53B31369" w14:textId="77777777" w:rsidR="00302E11" w:rsidRDefault="00D762F1" w:rsidP="000F043E">
      <w:pPr>
        <w:pStyle w:val="Normal3"/>
        <w:shd w:val="clear" w:color="auto" w:fill="DEEAF6" w:themeFill="accent5" w:themeFillTint="33"/>
      </w:pPr>
      <w:r>
        <w:t xml:space="preserve">If a </w:t>
      </w:r>
      <w:proofErr w:type="spellStart"/>
      <w:r>
        <w:t>rohe</w:t>
      </w:r>
      <w:proofErr w:type="spellEnd"/>
      <w:r>
        <w:t xml:space="preserve"> has additional environmental outcomes</w:t>
      </w:r>
      <w:r w:rsidR="00302E11">
        <w:t>:</w:t>
      </w:r>
    </w:p>
    <w:p w14:paraId="5AC696B7" w14:textId="65E9E010" w:rsidR="00D762F1" w:rsidRDefault="00485146" w:rsidP="000F043E">
      <w:pPr>
        <w:pStyle w:val="Normal4"/>
        <w:shd w:val="clear" w:color="auto" w:fill="DEEAF6" w:themeFill="accent5" w:themeFillTint="33"/>
      </w:pPr>
      <w:r>
        <w:t>i</w:t>
      </w:r>
      <w:r w:rsidR="00302E11">
        <w:t>f</w:t>
      </w:r>
      <w:r w:rsidR="00132532">
        <w:t xml:space="preserve"> the same attributes are identified at both the FMU and </w:t>
      </w:r>
      <w:proofErr w:type="spellStart"/>
      <w:r w:rsidR="00132532">
        <w:t>rohe</w:t>
      </w:r>
      <w:proofErr w:type="spellEnd"/>
      <w:r w:rsidR="00132532">
        <w:t xml:space="preserve"> level, any target attribute states in the </w:t>
      </w:r>
      <w:proofErr w:type="spellStart"/>
      <w:r w:rsidR="00132532">
        <w:t>rohe</w:t>
      </w:r>
      <w:proofErr w:type="spellEnd"/>
      <w:r w:rsidR="00132532">
        <w:t xml:space="preserve"> must be no less stringent than </w:t>
      </w:r>
      <w:r w:rsidR="00433BB5">
        <w:t>those for the same attribute at the FMU level,</w:t>
      </w:r>
      <w:r w:rsidR="00302E11">
        <w:t xml:space="preserve"> and</w:t>
      </w:r>
    </w:p>
    <w:p w14:paraId="22F4985F" w14:textId="5845C078" w:rsidR="00302E11" w:rsidRDefault="00485146" w:rsidP="000F043E">
      <w:pPr>
        <w:pStyle w:val="Normal4"/>
        <w:shd w:val="clear" w:color="auto" w:fill="DEEAF6" w:themeFill="accent5" w:themeFillTint="33"/>
      </w:pPr>
      <w:r>
        <w:t>a</w:t>
      </w:r>
      <w:r w:rsidR="00697C64">
        <w:t xml:space="preserve">dditional attributes and target attribute states may be included </w:t>
      </w:r>
      <w:proofErr w:type="gramStart"/>
      <w:r w:rsidR="00697C64">
        <w:t>provided that</w:t>
      </w:r>
      <w:proofErr w:type="gramEnd"/>
      <w:r w:rsidR="00697C64">
        <w:t xml:space="preserve"> they give effect to the environmental outcome(s) for the FMU</w:t>
      </w:r>
      <w:r w:rsidR="001A096B">
        <w:t>,</w:t>
      </w:r>
    </w:p>
    <w:p w14:paraId="1DAA52DB" w14:textId="43D2C32C" w:rsidR="001A096B" w:rsidRDefault="00366F03" w:rsidP="000F043E">
      <w:pPr>
        <w:pStyle w:val="Normal3"/>
        <w:shd w:val="clear" w:color="auto" w:fill="DEEAF6" w:themeFill="accent5" w:themeFillTint="33"/>
      </w:pPr>
      <w:r>
        <w:t xml:space="preserve">Limits and action plans may be developed for FMUs or for </w:t>
      </w:r>
      <w:proofErr w:type="spellStart"/>
      <w:r>
        <w:t>rohe</w:t>
      </w:r>
      <w:proofErr w:type="spellEnd"/>
      <w:r>
        <w:t xml:space="preserve"> or for both,</w:t>
      </w:r>
    </w:p>
    <w:p w14:paraId="2D78E114" w14:textId="7603C2EF" w:rsidR="00366F03" w:rsidRDefault="00493B3F" w:rsidP="000F043E">
      <w:pPr>
        <w:pStyle w:val="Normal3"/>
        <w:shd w:val="clear" w:color="auto" w:fill="DEEAF6" w:themeFill="accent5" w:themeFillTint="33"/>
      </w:pPr>
      <w:r>
        <w:t xml:space="preserve">Any limits or action plans that apply within a </w:t>
      </w:r>
      <w:proofErr w:type="spellStart"/>
      <w:r>
        <w:t>rohe</w:t>
      </w:r>
      <w:proofErr w:type="spellEnd"/>
      <w:r>
        <w:t>:</w:t>
      </w:r>
    </w:p>
    <w:p w14:paraId="67ACA0E9" w14:textId="06F5A2B3" w:rsidR="00493B3F" w:rsidRDefault="00485146" w:rsidP="000F043E">
      <w:pPr>
        <w:pStyle w:val="Normal4"/>
        <w:shd w:val="clear" w:color="auto" w:fill="DEEAF6" w:themeFill="accent5" w:themeFillTint="33"/>
      </w:pPr>
      <w:r>
        <w:t>p</w:t>
      </w:r>
      <w:r w:rsidR="00872A46">
        <w:t xml:space="preserve">revail over </w:t>
      </w:r>
      <w:r w:rsidR="002B5130">
        <w:t xml:space="preserve">any limit or action plan for </w:t>
      </w:r>
      <w:r w:rsidR="000A36BD">
        <w:t>the</w:t>
      </w:r>
      <w:r w:rsidR="002B5130">
        <w:t xml:space="preserve"> FMU for the same attribute, unless explicitly stated to the contrary,</w:t>
      </w:r>
    </w:p>
    <w:p w14:paraId="27595255" w14:textId="186F5E1C" w:rsidR="002B5130" w:rsidRDefault="00485146" w:rsidP="000F043E">
      <w:pPr>
        <w:pStyle w:val="Normal4"/>
        <w:shd w:val="clear" w:color="auto" w:fill="DEEAF6" w:themeFill="accent5" w:themeFillTint="33"/>
      </w:pPr>
      <w:r>
        <w:t>m</w:t>
      </w:r>
      <w:r w:rsidR="000A36BD">
        <w:t>ust be no less stringent than any limit set for the FMU for the same attribute, and</w:t>
      </w:r>
    </w:p>
    <w:p w14:paraId="2E591B44" w14:textId="037A0AAD" w:rsidR="000A36BD" w:rsidRDefault="00485146" w:rsidP="000F043E">
      <w:pPr>
        <w:pStyle w:val="Normal4"/>
        <w:shd w:val="clear" w:color="auto" w:fill="DEEAF6" w:themeFill="accent5" w:themeFillTint="33"/>
      </w:pPr>
      <w:r>
        <w:t>m</w:t>
      </w:r>
      <w:r w:rsidR="000A36BD">
        <w:t>ust not conflict with any limit set for the FMU for attributes that are not same.</w:t>
      </w:r>
    </w:p>
    <w:p w14:paraId="4C224B8D" w14:textId="7D75D998" w:rsidR="00433BB5" w:rsidRDefault="00476F62" w:rsidP="000F043E">
      <w:pPr>
        <w:pStyle w:val="Normal2"/>
        <w:shd w:val="clear" w:color="auto" w:fill="DEEAF6" w:themeFill="accent5" w:themeFillTint="33"/>
      </w:pPr>
      <w:r>
        <w:t xml:space="preserve">This policy makes it explicit that </w:t>
      </w:r>
      <w:proofErr w:type="spellStart"/>
      <w:r>
        <w:t>rohe</w:t>
      </w:r>
      <w:proofErr w:type="spellEnd"/>
      <w:r>
        <w:t xml:space="preserve"> provisions </w:t>
      </w:r>
      <w:r w:rsidR="00682E7B">
        <w:t xml:space="preserve">are expected to be no less stringent than the underlying FMU provisions, to avoid any potential for </w:t>
      </w:r>
      <w:r w:rsidR="00614A69">
        <w:t>taking an ‘</w:t>
      </w:r>
      <w:proofErr w:type="spellStart"/>
      <w:r w:rsidR="00614A69">
        <w:t>unders</w:t>
      </w:r>
      <w:proofErr w:type="spellEnd"/>
      <w:r w:rsidR="00614A69">
        <w:t xml:space="preserve"> and overs’ approach to meeting </w:t>
      </w:r>
      <w:r w:rsidR="00E45001">
        <w:t xml:space="preserve">FMU outcomes (for example, some </w:t>
      </w:r>
      <w:proofErr w:type="spellStart"/>
      <w:r w:rsidR="00E45001">
        <w:t>rohe</w:t>
      </w:r>
      <w:proofErr w:type="spellEnd"/>
      <w:r w:rsidR="00E45001">
        <w:t xml:space="preserve"> </w:t>
      </w:r>
      <w:r w:rsidR="009E0A93">
        <w:t>setting lower standards w</w:t>
      </w:r>
      <w:r w:rsidR="00363AF8">
        <w:t>ith</w:t>
      </w:r>
      <w:r w:rsidR="009E0A93">
        <w:t xml:space="preserve"> others </w:t>
      </w:r>
      <w:r w:rsidR="00363AF8">
        <w:t xml:space="preserve">‘offsetting’ those with higher standards so that, overall, the FMU outcomes can be met). </w:t>
      </w:r>
      <w:r w:rsidR="004B57BB">
        <w:t xml:space="preserve">This </w:t>
      </w:r>
      <w:proofErr w:type="gramStart"/>
      <w:r w:rsidR="004B57BB">
        <w:t>is considered to be</w:t>
      </w:r>
      <w:proofErr w:type="gramEnd"/>
      <w:r w:rsidR="004B57BB">
        <w:t xml:space="preserve"> </w:t>
      </w:r>
      <w:r w:rsidR="008A3221">
        <w:t xml:space="preserve">consistent with </w:t>
      </w:r>
      <w:r w:rsidR="008C269F">
        <w:t>the general philosophy</w:t>
      </w:r>
      <w:r w:rsidR="008A3221">
        <w:t xml:space="preserve"> of the </w:t>
      </w:r>
      <w:r w:rsidR="008C269F">
        <w:t>NPSFM 2020</w:t>
      </w:r>
      <w:r w:rsidR="00C53C19">
        <w:t xml:space="preserve"> and</w:t>
      </w:r>
      <w:r w:rsidR="008C269F">
        <w:t xml:space="preserve"> more equitable for Otago’s communities.</w:t>
      </w:r>
    </w:p>
    <w:p w14:paraId="672899B7" w14:textId="5596E774" w:rsidR="00F554BC" w:rsidRDefault="00F554BC" w:rsidP="000F043E">
      <w:pPr>
        <w:pStyle w:val="Normal2"/>
        <w:shd w:val="clear" w:color="auto" w:fill="DEEAF6" w:themeFill="accent5" w:themeFillTint="33"/>
      </w:pPr>
      <w:r>
        <w:t xml:space="preserve">In response to feedback from Reference Group members, the LF–VM chapter contains a method setting out the ways in which ORC will involve the community in </w:t>
      </w:r>
      <w:r w:rsidR="0078740A">
        <w:t xml:space="preserve">establishing and implementing the LWRP planning framework. </w:t>
      </w:r>
      <w:r w:rsidR="00BD2EA6">
        <w:t xml:space="preserve">There is an additional method </w:t>
      </w:r>
      <w:r w:rsidR="00826441">
        <w:t xml:space="preserve">directing that all other methods in the LF chapter will also implement the policies </w:t>
      </w:r>
      <w:r w:rsidR="00B77CF7">
        <w:t>in this section.</w:t>
      </w:r>
    </w:p>
    <w:p w14:paraId="45CE376E" w14:textId="5EAEF6C1" w:rsidR="00B77CF7" w:rsidRDefault="00B77CF7" w:rsidP="000F043E">
      <w:pPr>
        <w:pStyle w:val="Heading5"/>
        <w:shd w:val="clear" w:color="auto" w:fill="DEEAF6" w:themeFill="accent5" w:themeFillTint="33"/>
      </w:pPr>
      <w:r>
        <w:t>LF–FW – Freshwater</w:t>
      </w:r>
    </w:p>
    <w:p w14:paraId="68606C8F" w14:textId="4DF24EEE" w:rsidR="00B77CF7" w:rsidRDefault="00B77CF7" w:rsidP="000F043E">
      <w:pPr>
        <w:pStyle w:val="Normal2"/>
        <w:shd w:val="clear" w:color="auto" w:fill="DEEAF6" w:themeFill="accent5" w:themeFillTint="33"/>
      </w:pPr>
      <w:r>
        <w:t xml:space="preserve">In addition to the higher level, more strategic provisions contained in the LF–WAI and LF–VM sections, Option 2 contains a third section focused on freshwater, including </w:t>
      </w:r>
      <w:r w:rsidR="00A05D24">
        <w:t>both water quality and quantity a</w:t>
      </w:r>
      <w:r w:rsidR="0094756B">
        <w:t>s well as policy direction on managing</w:t>
      </w:r>
      <w:r w:rsidR="00A05D24">
        <w:t xml:space="preserve"> </w:t>
      </w:r>
      <w:r w:rsidR="00B40FB5">
        <w:t xml:space="preserve">specific types of water bodies (for example, wetlands and outstanding water bodies) or matters (for example, natural character). </w:t>
      </w:r>
      <w:r w:rsidR="00E16BA6">
        <w:t xml:space="preserve">The objectives for this section are explained and evaluated in section </w:t>
      </w:r>
      <w:r w:rsidR="00E16BA6">
        <w:fldChar w:fldCharType="begin"/>
      </w:r>
      <w:r w:rsidR="00E16BA6">
        <w:instrText xml:space="preserve"> REF _Ref72235289 \r \h </w:instrText>
      </w:r>
      <w:r w:rsidR="00CF0142">
        <w:instrText xml:space="preserve"> \* MERGEFORMAT </w:instrText>
      </w:r>
      <w:r w:rsidR="00E16BA6">
        <w:fldChar w:fldCharType="separate"/>
      </w:r>
      <w:r w:rsidR="002A7A16">
        <w:t>4.3.5.3</w:t>
      </w:r>
      <w:r w:rsidR="00E16BA6">
        <w:fldChar w:fldCharType="end"/>
      </w:r>
      <w:r w:rsidR="00E16BA6">
        <w:t xml:space="preserve"> of this report.</w:t>
      </w:r>
    </w:p>
    <w:p w14:paraId="3B237E1F" w14:textId="76A654C4" w:rsidR="00E26E8B" w:rsidRDefault="00E26E8B" w:rsidP="000F043E">
      <w:pPr>
        <w:pStyle w:val="Normal2"/>
        <w:shd w:val="clear" w:color="auto" w:fill="DEEAF6" w:themeFill="accent5" w:themeFillTint="33"/>
      </w:pPr>
      <w:r>
        <w:t xml:space="preserve">Policy LF–FW–P7 requires environmental outcomes, attribute states (including target attribute states) and limits set </w:t>
      </w:r>
      <w:r w:rsidR="00F6318D">
        <w:t>in regional plans</w:t>
      </w:r>
      <w:r>
        <w:t xml:space="preserve"> ensure that specific outcomes are met, which </w:t>
      </w:r>
      <w:r>
        <w:lastRenderedPageBreak/>
        <w:t>largely reflect requirements from the NPSFM</w:t>
      </w:r>
      <w:r w:rsidR="00F6318D">
        <w:t>. This will contribute to achieving LF–FW–O8, as well as the objectives in LF–WAI and LF–VM.</w:t>
      </w:r>
    </w:p>
    <w:p w14:paraId="24E0FBFC" w14:textId="3DD3FD35" w:rsidR="00E16BA6" w:rsidRDefault="00CF06F6" w:rsidP="000F043E">
      <w:pPr>
        <w:pStyle w:val="Normal2"/>
        <w:shd w:val="clear" w:color="auto" w:fill="DEEAF6" w:themeFill="accent5" w:themeFillTint="33"/>
      </w:pPr>
      <w:r>
        <w:t xml:space="preserve">The NPSFM, and accompanying NESF, contain clear direction on strengthening protection for natural wetlands, and </w:t>
      </w:r>
      <w:proofErr w:type="gramStart"/>
      <w:r>
        <w:t>in particular natural</w:t>
      </w:r>
      <w:proofErr w:type="gramEnd"/>
      <w:r>
        <w:t xml:space="preserve"> inland wetlands which are natural wetlands that are not in the coastal marine area. To achieve Objective LF–FW–O9, Policies LF–FW–P</w:t>
      </w:r>
      <w:proofErr w:type="gramStart"/>
      <w:r>
        <w:t>8</w:t>
      </w:r>
      <w:r w:rsidR="00E16BA6">
        <w:t>,</w:t>
      </w:r>
      <w:r>
        <w:t>LF</w:t>
      </w:r>
      <w:proofErr w:type="gramEnd"/>
      <w:r>
        <w:t xml:space="preserve">–FW–P9 </w:t>
      </w:r>
      <w:r w:rsidR="00E16BA6">
        <w:t xml:space="preserve">and LF–FW–P10 </w:t>
      </w:r>
      <w:r>
        <w:t>set out how natural wetlands are to be identified</w:t>
      </w:r>
      <w:r w:rsidR="00E16BA6">
        <w:t xml:space="preserve">, </w:t>
      </w:r>
      <w:r>
        <w:t xml:space="preserve">protected </w:t>
      </w:r>
      <w:r w:rsidR="00E16BA6">
        <w:t xml:space="preserve">and restored </w:t>
      </w:r>
      <w:r>
        <w:t>(respectively), reflecting the direction in Policy 6 and clauses 3.22(1) and 3.23(1) of the NPSFM.</w:t>
      </w:r>
      <w:r w:rsidR="003B6FFA">
        <w:t xml:space="preserve"> </w:t>
      </w:r>
      <w:r w:rsidR="00E16BA6">
        <w:t xml:space="preserve">These policies apply to natural wetlands rather than the narrower sub-category of natural inland wetlands which is used in the NPSFM, meaning the direction will apply to those natural wetlands that are partly within the coastal marine area. This was a preference expressed by </w:t>
      </w:r>
      <w:r w:rsidR="00240F53">
        <w:t xml:space="preserve">the </w:t>
      </w:r>
      <w:r w:rsidR="00E16BA6">
        <w:t>Reference Group (Land and Freshwater) who preferred a regionally consistent approach to the management of wetlands.</w:t>
      </w:r>
      <w:r w:rsidR="000D49E6">
        <w:t xml:space="preserve"> Identifying and mapping natural wetlands under LF–FW–P8 will take considerable time, hence the requirement for protection under LF–FW–P9 is not restricted to only identified natural wetlands. As implementation of LF–FW–P8 progresses, that will inform the implementation of LF–FW–P9.</w:t>
      </w:r>
    </w:p>
    <w:p w14:paraId="09005557" w14:textId="754B715A" w:rsidR="00FB1359" w:rsidRDefault="00E16BA6" w:rsidP="000F043E">
      <w:pPr>
        <w:pStyle w:val="Normal2"/>
        <w:shd w:val="clear" w:color="auto" w:fill="DEEAF6" w:themeFill="accent5" w:themeFillTint="33"/>
      </w:pPr>
      <w:r>
        <w:t xml:space="preserve">Policy LF–FW–P9 largely mirrors clause 3.22(1) of the NPSFM, however </w:t>
      </w:r>
      <w:r w:rsidR="00CE0FEF">
        <w:t>there is a distinction in the way the effects management hierarchy outlined in the NPSFM is applied. The ECO chapter of the PORPS 2021 contains a biodiversity effects management hierarchy that is adopted to protect significant natural areas and indigenous species and ecosystems (in addition to other controls) and to maintain indigenous biodiversity outside those areas. That hierarchy is more stringent than the hierarchy included in the NPSFM and includes criteria for the use of biodiversity offsetting and biodiversity compensation</w:t>
      </w:r>
      <w:r w:rsidR="00FB1359">
        <w:t xml:space="preserve"> that are also more stringent than the </w:t>
      </w:r>
      <w:r w:rsidR="00B41933">
        <w:t xml:space="preserve">comparable </w:t>
      </w:r>
      <w:r w:rsidR="00FB1359">
        <w:t>definitions of aquatic offsetting and aquatic compensation in the NPSFM. The provisions in the ECO chapter of the PORPS 2021 are largely consistent with the PORPS 2019 and reflect Environment Court decisions on that RPS.</w:t>
      </w:r>
    </w:p>
    <w:p w14:paraId="041AD1C9" w14:textId="4E0E80FD" w:rsidR="00E16BA6" w:rsidRDefault="006435B2" w:rsidP="000F043E">
      <w:pPr>
        <w:pStyle w:val="Normal2"/>
        <w:shd w:val="clear" w:color="auto" w:fill="DEEAF6" w:themeFill="accent5" w:themeFillTint="33"/>
      </w:pPr>
      <w:r>
        <w:t xml:space="preserve">Otago has an extensive network of freshwater lakes, wetlands, rivers, and streams that support diverse populations of indigenous species, including nationally significant populations of Threatened and </w:t>
      </w:r>
      <w:proofErr w:type="gramStart"/>
      <w:r>
        <w:t>At Risk</w:t>
      </w:r>
      <w:proofErr w:type="gramEnd"/>
      <w:r>
        <w:t xml:space="preserve"> freshwater fish</w:t>
      </w:r>
      <w:r w:rsidR="009770A5">
        <w:t xml:space="preserve"> (see Wildlands, 2021b in Appendix 14)</w:t>
      </w:r>
      <w:r>
        <w:t xml:space="preserve">. There has been widespread loss and modification of indigenous habitats in lowland and montane areas in the region, and wetlands </w:t>
      </w:r>
      <w:r w:rsidR="00B41933">
        <w:t>(lowland, montane and upland) continue to be vulnerable to clearance and drainage</w:t>
      </w:r>
      <w:r w:rsidR="009770A5">
        <w:t xml:space="preserve"> (see Wildlands, 2021b in Appendix 14)</w:t>
      </w:r>
      <w:r w:rsidR="00B41933">
        <w:t xml:space="preserve">. Clause 3.1(2)(a) of the NPSFM explicitly provides for local authorities to adopt more stringent measures than required by the NPSFM. Given the significance of Otago’s freshwater indigenous biodiversity and ecosystems and the importance of wetlands to a range of indigenous species, it was not considered appropriate to reduce the stringency of the requirements in the ECO chapter by adopting the NPSFM provisions. Policy LF–FW–P9(1)(b)(iv) and (v) have been drafted so that the biodiversity effects management hierarchy in the ECO chapter (including the criteria for offsets and compensation) apply instead of the NPSFM effects management hierarchy (including the definitions of aquatic offsets and aquatic compensation), but the NPSFM provisions are retained for managing other effects (for example, loss of amenity value). </w:t>
      </w:r>
    </w:p>
    <w:p w14:paraId="3969BC3B" w14:textId="662FB90D" w:rsidR="00E16BA6" w:rsidRDefault="003B6FFA" w:rsidP="000F043E">
      <w:pPr>
        <w:pStyle w:val="Normal2"/>
        <w:shd w:val="clear" w:color="auto" w:fill="DEEAF6" w:themeFill="accent5" w:themeFillTint="33"/>
      </w:pPr>
      <w:r>
        <w:t xml:space="preserve">Policy LF–FW–P10 goes beyond what is required by the NPSFM and requires restoration of natural wetlands where they have been degraded or lost. This reflects Kāi </w:t>
      </w:r>
      <w:proofErr w:type="spellStart"/>
      <w:r>
        <w:t>Tahu</w:t>
      </w:r>
      <w:proofErr w:type="spellEnd"/>
      <w:r>
        <w:t xml:space="preserve"> aspirations as well as feedback from the Reference Group that halting decline was not sufficient and Otago needed to restore what has been lost, at least in part. </w:t>
      </w:r>
      <w:r w:rsidR="004510DB">
        <w:t xml:space="preserve">Across New Zealand, approximately 90% of wetlands have been drained since pre-human settlement </w:t>
      </w:r>
      <w:sdt>
        <w:sdtPr>
          <w:id w:val="333424813"/>
          <w:citation/>
        </w:sdtPr>
        <w:sdtContent>
          <w:r w:rsidR="004510DB">
            <w:fldChar w:fldCharType="begin"/>
          </w:r>
          <w:r w:rsidR="004510DB">
            <w:instrText xml:space="preserve"> CITATION Min203 \l 5129 </w:instrText>
          </w:r>
          <w:r w:rsidR="004510DB">
            <w:fldChar w:fldCharType="separate"/>
          </w:r>
          <w:r w:rsidR="004510DB">
            <w:rPr>
              <w:noProof/>
            </w:rPr>
            <w:t>(Ministry for the Environment &amp; Stats NZ, 2020)</w:t>
          </w:r>
          <w:r w:rsidR="004510DB">
            <w:fldChar w:fldCharType="end"/>
          </w:r>
        </w:sdtContent>
      </w:sdt>
      <w:r w:rsidR="004510DB">
        <w:t xml:space="preserve">. </w:t>
      </w:r>
    </w:p>
    <w:p w14:paraId="11C08CFE" w14:textId="7AC55DE5" w:rsidR="00CB3812" w:rsidRDefault="00CB3812" w:rsidP="000F043E">
      <w:pPr>
        <w:pStyle w:val="Normal2"/>
        <w:shd w:val="clear" w:color="auto" w:fill="DEEAF6" w:themeFill="accent5" w:themeFillTint="33"/>
      </w:pPr>
      <w:r>
        <w:lastRenderedPageBreak/>
        <w:t>Policy LF</w:t>
      </w:r>
      <w:r w:rsidR="00A327EE">
        <w:t>–FW–P</w:t>
      </w:r>
      <w:r w:rsidR="004510DB">
        <w:t>11</w:t>
      </w:r>
      <w:r>
        <w:t xml:space="preserve"> identifies </w:t>
      </w:r>
      <w:proofErr w:type="gramStart"/>
      <w:r>
        <w:t>a number of</w:t>
      </w:r>
      <w:proofErr w:type="gramEnd"/>
      <w:r>
        <w:t xml:space="preserve"> outstanding water bodies in Otago</w:t>
      </w:r>
      <w:r w:rsidR="006A0C64">
        <w:t xml:space="preserve"> as well as criteria for identifying others. </w:t>
      </w:r>
      <w:r w:rsidR="00F14178">
        <w:t>The water bodies that have been identified are those which have already been subject to a process which identified their significance in the region</w:t>
      </w:r>
      <w:r w:rsidR="00FF6D84">
        <w:t xml:space="preserve">: either a Water Conservation Order under section 199 of the RMA, bespoke legislation, </w:t>
      </w:r>
      <w:r w:rsidR="00CB2E94">
        <w:t xml:space="preserve">or </w:t>
      </w:r>
      <w:r w:rsidR="00975992">
        <w:t>water bodies wholly or partly within an outstanding natural feature or landscape</w:t>
      </w:r>
      <w:r w:rsidR="00663484">
        <w:t xml:space="preserve">. </w:t>
      </w:r>
      <w:r w:rsidR="00FA1FD8">
        <w:t>Additional</w:t>
      </w:r>
      <w:r w:rsidR="00056513">
        <w:t xml:space="preserve"> water bodies </w:t>
      </w:r>
      <w:r w:rsidR="00975992">
        <w:t xml:space="preserve">can be identified as outstanding water bodies if they </w:t>
      </w:r>
      <w:r w:rsidR="00056513">
        <w:t>meet the criteria included in APP1</w:t>
      </w:r>
      <w:r w:rsidR="00975992">
        <w:t xml:space="preserve"> w</w:t>
      </w:r>
      <w:r w:rsidR="00907C6F">
        <w:t xml:space="preserve">hich lists the types of values which may be considered outstanding: cultural and spiritual, ecology, landscape, natural character, recreation and physical. </w:t>
      </w:r>
      <w:r w:rsidR="00E83149">
        <w:t xml:space="preserve">It is anticipated that any additional identification work could occur within each FMU or </w:t>
      </w:r>
      <w:proofErr w:type="spellStart"/>
      <w:r w:rsidR="00E83149">
        <w:t>rohe</w:t>
      </w:r>
      <w:proofErr w:type="spellEnd"/>
      <w:r w:rsidR="002D62EC">
        <w:t xml:space="preserve"> alongside the wider value identification programme. Policy LF</w:t>
      </w:r>
      <w:r w:rsidR="00046232">
        <w:t>–FW–P</w:t>
      </w:r>
      <w:r w:rsidR="004510DB">
        <w:t>12</w:t>
      </w:r>
      <w:r w:rsidR="002D62EC">
        <w:t xml:space="preserve"> sets out how the significant values of outstanding water bodies are to be protected, providing scope for specific restrictions or prohibitions to be determined through the LWRP.</w:t>
      </w:r>
      <w:r w:rsidR="007C2268">
        <w:t xml:space="preserve"> These policies are supported by LF–FW–M5 which sets out how</w:t>
      </w:r>
      <w:r w:rsidR="00D854CA">
        <w:t>, and by what time, ORC will identify outstanding water bodies and include provisions in regional plans to protect them.</w:t>
      </w:r>
    </w:p>
    <w:p w14:paraId="39E8E027" w14:textId="243CC787" w:rsidR="00B41933" w:rsidRDefault="008D6AC5" w:rsidP="000F043E">
      <w:pPr>
        <w:pStyle w:val="Normal2"/>
        <w:shd w:val="clear" w:color="auto" w:fill="DEEAF6" w:themeFill="accent5" w:themeFillTint="33"/>
      </w:pPr>
      <w:r>
        <w:t>Policies LF</w:t>
      </w:r>
      <w:r w:rsidR="00046232">
        <w:t>–FW–P</w:t>
      </w:r>
      <w:r w:rsidR="004510DB">
        <w:t>13</w:t>
      </w:r>
      <w:r>
        <w:t xml:space="preserve"> and LF</w:t>
      </w:r>
      <w:r w:rsidR="00046232">
        <w:t>–</w:t>
      </w:r>
      <w:r w:rsidR="00C2367D">
        <w:t>FW–P1</w:t>
      </w:r>
      <w:r w:rsidR="004510DB">
        <w:t>4</w:t>
      </w:r>
      <w:r>
        <w:t xml:space="preserve"> direct how the natural character of lakes and rivers, and their beds and margins, is to be preserv</w:t>
      </w:r>
      <w:r w:rsidR="005607D7">
        <w:t>ed and restored. Policy LF</w:t>
      </w:r>
      <w:r w:rsidR="00223646">
        <w:t>–FW–P</w:t>
      </w:r>
      <w:r w:rsidR="004510DB">
        <w:t>13</w:t>
      </w:r>
      <w:r w:rsidR="005607D7">
        <w:t xml:space="preserve"> </w:t>
      </w:r>
      <w:proofErr w:type="gramStart"/>
      <w:r w:rsidR="005607D7">
        <w:t>in particular recognises</w:t>
      </w:r>
      <w:proofErr w:type="gramEnd"/>
      <w:r w:rsidR="005607D7">
        <w:t xml:space="preserve"> </w:t>
      </w:r>
      <w:r w:rsidR="005B0FF6">
        <w:t xml:space="preserve">the requirement in the NPSFM </w:t>
      </w:r>
      <w:r w:rsidR="004510DB">
        <w:t>to avoid the loss of values or extent unless specific exclusions apply</w:t>
      </w:r>
      <w:r w:rsidR="009100B6">
        <w:t xml:space="preserve">. </w:t>
      </w:r>
      <w:r w:rsidR="00310857">
        <w:t xml:space="preserve">This also supports the expansion of the compulsory value for ecosystem health in the NOF, which specifically requires consideration </w:t>
      </w:r>
      <w:r w:rsidR="00FA1AFC">
        <w:t xml:space="preserve">of </w:t>
      </w:r>
      <w:r w:rsidR="00063639">
        <w:t>habitat</w:t>
      </w:r>
      <w:r w:rsidR="00636F1B">
        <w:t xml:space="preserve"> (including the physical form, structure and extent of the water body, its bed, </w:t>
      </w:r>
      <w:proofErr w:type="gramStart"/>
      <w:r w:rsidR="00636F1B">
        <w:t>banks</w:t>
      </w:r>
      <w:proofErr w:type="gramEnd"/>
      <w:r w:rsidR="00636F1B">
        <w:t xml:space="preserve"> and margins).</w:t>
      </w:r>
      <w:r w:rsidR="0053276B">
        <w:t xml:space="preserve"> </w:t>
      </w:r>
      <w:proofErr w:type="gramStart"/>
      <w:r w:rsidR="00045AF2">
        <w:t>Similar to</w:t>
      </w:r>
      <w:proofErr w:type="gramEnd"/>
      <w:r w:rsidR="00045AF2">
        <w:t xml:space="preserve"> Policy LF–FW–P9 for natural wetlands, Policy LF–FW–P13 reflects the direction in clause 3.24(1) of the NPSFM regarding the loss of values or extent of rivers. For the same reasons as for Policy LF–FW–P9, Policy LF–FW–P13 also adopts the more stringent biodiversity effects management hierarchy and criteria for using offsetting and compensation included in the ECO chapter of the PORPS 2021. Although Policy LF–FW–P13 applies to lakes and rivers, subclauses (1) and (2) regarding loss of values or extent are restricted to rivers, consistent with the NPSFM provisions. This recognises the intent of the NPSFM provisions which is to address issues with loss of streams (which are defined as ‘rivers’ under the RMA 1991), primarily through piping, </w:t>
      </w:r>
      <w:proofErr w:type="gramStart"/>
      <w:r w:rsidR="00045AF2">
        <w:t>reclamation</w:t>
      </w:r>
      <w:proofErr w:type="gramEnd"/>
      <w:r w:rsidR="00045AF2">
        <w:t xml:space="preserve"> or permanent diversion, in both urban and rural environments </w:t>
      </w:r>
      <w:sdt>
        <w:sdtPr>
          <w:id w:val="184180457"/>
          <w:citation/>
        </w:sdtPr>
        <w:sdtContent>
          <w:r w:rsidR="00045AF2">
            <w:fldChar w:fldCharType="begin"/>
          </w:r>
          <w:r w:rsidR="00045AF2">
            <w:instrText xml:space="preserve"> CITATION Min20 \l 5129 </w:instrText>
          </w:r>
          <w:r w:rsidR="00045AF2">
            <w:fldChar w:fldCharType="separate"/>
          </w:r>
          <w:r w:rsidR="00045AF2">
            <w:rPr>
              <w:noProof/>
            </w:rPr>
            <w:t>(Ministry for the Environment, 2020)</w:t>
          </w:r>
          <w:r w:rsidR="00045AF2">
            <w:fldChar w:fldCharType="end"/>
          </w:r>
        </w:sdtContent>
      </w:sdt>
      <w:r w:rsidR="00045AF2">
        <w:t xml:space="preserve">. </w:t>
      </w:r>
    </w:p>
    <w:p w14:paraId="4FCDFF2B" w14:textId="0FA4A209" w:rsidR="00390E45" w:rsidRDefault="003322A7" w:rsidP="000F043E">
      <w:pPr>
        <w:pStyle w:val="Normal2"/>
        <w:shd w:val="clear" w:color="auto" w:fill="DEEAF6" w:themeFill="accent5" w:themeFillTint="33"/>
      </w:pPr>
      <w:r>
        <w:t>Policy LF–FW–P1</w:t>
      </w:r>
      <w:r w:rsidR="004510DB">
        <w:t>4</w:t>
      </w:r>
      <w:r>
        <w:t xml:space="preserve"> sets out the actions to be promoted to restore natural character where it has been reduced or lost. The policy is not directive as </w:t>
      </w:r>
      <w:r w:rsidR="00F90DA1">
        <w:t>the opportunities to restore natural character will depend on individual circumstances and are therefore better addressed through lower order plans.</w:t>
      </w:r>
    </w:p>
    <w:p w14:paraId="742984DB" w14:textId="474D4CD0" w:rsidR="007F6BD8" w:rsidRDefault="007F6BD8" w:rsidP="000F043E">
      <w:pPr>
        <w:pStyle w:val="Normal2"/>
        <w:shd w:val="clear" w:color="auto" w:fill="DEEAF6" w:themeFill="accent5" w:themeFillTint="33"/>
      </w:pPr>
      <w:r>
        <w:t xml:space="preserve">The impact of discharges of stormwater and wastewater on freshwater bodies is a significant issue for mana whenua. The currently proposed Plan Change 8 to the Water Plan was developed, in part, due to a recognition within ORC that the Water Plan does not adequately manage those discharges </w:t>
      </w:r>
      <w:sdt>
        <w:sdtPr>
          <w:id w:val="929314944"/>
          <w:placeholder>
            <w:docPart w:val="DefaultPlaceholder_1081868574"/>
          </w:placeholder>
          <w:citation/>
        </w:sdtPr>
        <w:sdtContent>
          <w:r>
            <w:fldChar w:fldCharType="begin"/>
          </w:r>
          <w:r>
            <w:instrText xml:space="preserve">CITATION Ota201 \p 18 \l 5129 </w:instrText>
          </w:r>
          <w:r>
            <w:fldChar w:fldCharType="separate"/>
          </w:r>
          <w:r w:rsidR="00246D02">
            <w:rPr>
              <w:noProof/>
            </w:rPr>
            <w:t>(Otago Regional Council, 2020, p. 18)</w:t>
          </w:r>
          <w:r>
            <w:fldChar w:fldCharType="end"/>
          </w:r>
        </w:sdtContent>
      </w:sdt>
      <w:r>
        <w:t>. While Plan Change 8 is intended to improve that framework, it was developed as a temporary solution while the LWRP was being developed. Policy LF</w:t>
      </w:r>
      <w:r w:rsidR="00D930A8">
        <w:t>–FW–P1</w:t>
      </w:r>
      <w:r w:rsidR="004510DB">
        <w:t>5</w:t>
      </w:r>
      <w:r>
        <w:t xml:space="preserve"> sets out the longer-term approach to managing these discharges, which will underpin the development of the specific LWRP provisions. In particular, </w:t>
      </w:r>
      <w:r w:rsidR="00D930A8">
        <w:t>the policy</w:t>
      </w:r>
      <w:r>
        <w:t xml:space="preserve"> requires preferring discharges </w:t>
      </w:r>
      <w:r w:rsidR="00D930A8">
        <w:t xml:space="preserve">of wastewater </w:t>
      </w:r>
      <w:r>
        <w:t xml:space="preserve">to land over water, </w:t>
      </w:r>
      <w:r w:rsidR="008A03B0">
        <w:t>promoting the reticulation of stormwater and wastewater in urban communities</w:t>
      </w:r>
      <w:r>
        <w:t xml:space="preserve">, progressive reductions in overflows in existing systems, and </w:t>
      </w:r>
      <w:r w:rsidR="008A03B0">
        <w:t xml:space="preserve">progressive improvement in the quality of discharges where </w:t>
      </w:r>
      <w:r w:rsidR="00C7575B">
        <w:t>receiving waters are degraded</w:t>
      </w:r>
      <w:r>
        <w:t xml:space="preserve">. </w:t>
      </w:r>
    </w:p>
    <w:p w14:paraId="4A29B7ED" w14:textId="49EEBD8C" w:rsidR="00C53CE9" w:rsidRDefault="00D23383" w:rsidP="000F043E">
      <w:pPr>
        <w:pStyle w:val="Normal2"/>
        <w:shd w:val="clear" w:color="auto" w:fill="DEEAF6" w:themeFill="accent5" w:themeFillTint="33"/>
      </w:pPr>
      <w:r>
        <w:lastRenderedPageBreak/>
        <w:t>In addition to the method discussed previously regarding outstanding water bodies, there are four additional methods in this section setting out the specific actions required in regional plans, district plans and action plans, as well as monitoring.</w:t>
      </w:r>
      <w:r w:rsidR="00C53CE9">
        <w:t xml:space="preserve"> </w:t>
      </w:r>
      <w:proofErr w:type="gramStart"/>
      <w:r w:rsidR="00C53CE9">
        <w:t>The majority of</w:t>
      </w:r>
      <w:proofErr w:type="gramEnd"/>
      <w:r w:rsidR="00C53CE9">
        <w:t xml:space="preserve"> the policies in the LF chapter will be implemented through ORC’s new LWRP</w:t>
      </w:r>
      <w:r w:rsidR="00E91203">
        <w:t xml:space="preserve">. </w:t>
      </w:r>
      <w:r w:rsidR="00C53CE9">
        <w:t>Method LF</w:t>
      </w:r>
      <w:r w:rsidR="00E91203">
        <w:t>–FW–</w:t>
      </w:r>
      <w:r w:rsidR="00C53CE9">
        <w:t>M</w:t>
      </w:r>
      <w:r w:rsidR="00E91203">
        <w:t>6</w:t>
      </w:r>
      <w:r w:rsidR="00C53CE9">
        <w:t xml:space="preserve"> sets out in detail the provisions required in the LWRP to implement the policies in the LF</w:t>
      </w:r>
      <w:r w:rsidR="00E91203">
        <w:t xml:space="preserve">–FW section </w:t>
      </w:r>
      <w:r w:rsidR="00C53CE9">
        <w:t xml:space="preserve">and therefore achieve the objectives. This includes the main steps required to implement the NOF (such as identifying values and developing environmental outcomes) as well as more specific direction on water management (such as establishing environmental flow and level regimes, limits on resource use, </w:t>
      </w:r>
      <w:r w:rsidR="00E91203">
        <w:t xml:space="preserve">and </w:t>
      </w:r>
      <w:r w:rsidR="00C53CE9">
        <w:t xml:space="preserve">managing discharges). </w:t>
      </w:r>
    </w:p>
    <w:p w14:paraId="63343FCD" w14:textId="66EA90E1" w:rsidR="00E91203" w:rsidRDefault="00C53CE9" w:rsidP="000F043E">
      <w:pPr>
        <w:pStyle w:val="Normal2"/>
        <w:shd w:val="clear" w:color="auto" w:fill="DEEAF6" w:themeFill="accent5" w:themeFillTint="33"/>
      </w:pPr>
      <w:r>
        <w:t>District councils have a role to play in assisting with freshwater management and Method LF</w:t>
      </w:r>
      <w:r w:rsidR="00E91203">
        <w:t>–FW–</w:t>
      </w:r>
      <w:r>
        <w:t>M</w:t>
      </w:r>
      <w:r w:rsidR="00E91203">
        <w:t>7</w:t>
      </w:r>
      <w:r>
        <w:t xml:space="preserve"> sets out the requirements for provisions in district plans. This includes provisions relating to urban design requirements</w:t>
      </w:r>
      <w:r w:rsidR="00E91203">
        <w:t xml:space="preserve"> and management of </w:t>
      </w:r>
      <w:r w:rsidR="003F2013">
        <w:t>the subdivision, use and development of land to reduce the adverse effects of stormwater discharges</w:t>
      </w:r>
      <w:r w:rsidR="00D60F81">
        <w:t>.</w:t>
      </w:r>
      <w:r w:rsidR="004510DB">
        <w:t xml:space="preserve"> </w:t>
      </w:r>
    </w:p>
    <w:p w14:paraId="67C3709C" w14:textId="7FC4D627" w:rsidR="007C2268" w:rsidRDefault="00E91203" w:rsidP="000F043E">
      <w:pPr>
        <w:pStyle w:val="Normal2"/>
        <w:shd w:val="clear" w:color="auto" w:fill="DEEAF6" w:themeFill="accent5" w:themeFillTint="33"/>
      </w:pPr>
      <w:r>
        <w:t>Method LF–FW–M8 sets out when ORC must and when it may choose to develop action plans under the NPSFM.</w:t>
      </w:r>
      <w:r w:rsidR="00D60F81">
        <w:t xml:space="preserve"> </w:t>
      </w:r>
      <w:r w:rsidR="00C53CE9">
        <w:t>The NPSFM sets out requirements for monitoring freshwater resources which is reflected in Method LF</w:t>
      </w:r>
      <w:r w:rsidR="00D60F81">
        <w:t>–FW–</w:t>
      </w:r>
      <w:r w:rsidR="00C53CE9">
        <w:t>M</w:t>
      </w:r>
      <w:r w:rsidR="00D60F81">
        <w:t>9</w:t>
      </w:r>
      <w:r w:rsidR="00C53CE9">
        <w:t xml:space="preserve">. This method also includes a requirement for cultural health monitoring </w:t>
      </w:r>
      <w:proofErr w:type="gramStart"/>
      <w:r w:rsidR="00C53CE9">
        <w:t>in order to</w:t>
      </w:r>
      <w:proofErr w:type="gramEnd"/>
      <w:r w:rsidR="00C53CE9">
        <w:t xml:space="preserve"> be able to assess whether the objectives in this chapter are being achieved.</w:t>
      </w:r>
      <w:r w:rsidR="00020018">
        <w:t xml:space="preserve"> The last method, like the other sections in this chapter, directs that </w:t>
      </w:r>
      <w:proofErr w:type="gramStart"/>
      <w:r w:rsidR="00020018">
        <w:t>all of</w:t>
      </w:r>
      <w:proofErr w:type="gramEnd"/>
      <w:r w:rsidR="00020018">
        <w:t xml:space="preserve"> the other methods will also contribute to </w:t>
      </w:r>
      <w:r w:rsidR="001765C0">
        <w:t>implementing the policies.</w:t>
      </w:r>
    </w:p>
    <w:p w14:paraId="56751756" w14:textId="229B2172" w:rsidR="007C2268" w:rsidRDefault="007C2268" w:rsidP="000F043E">
      <w:pPr>
        <w:pStyle w:val="Heading5"/>
        <w:shd w:val="clear" w:color="auto" w:fill="DEEAF6" w:themeFill="accent5" w:themeFillTint="33"/>
      </w:pPr>
      <w:r>
        <w:t>LF–LS – Land and soil</w:t>
      </w:r>
    </w:p>
    <w:p w14:paraId="47DBC9DC" w14:textId="770F514B" w:rsidR="004D2EC9" w:rsidRDefault="009D28F5" w:rsidP="000F043E">
      <w:pPr>
        <w:pStyle w:val="Normal2"/>
        <w:shd w:val="clear" w:color="auto" w:fill="DEEAF6" w:themeFill="accent5" w:themeFillTint="33"/>
      </w:pPr>
      <w:r>
        <w:t>The PORPS 201</w:t>
      </w:r>
      <w:r w:rsidR="001952A9">
        <w:t xml:space="preserve">9 </w:t>
      </w:r>
      <w:r>
        <w:t xml:space="preserve">contains limited direction on managing </w:t>
      </w:r>
      <w:r w:rsidR="0012331C">
        <w:t>land uses that affect water quality and quantity</w:t>
      </w:r>
      <w:r w:rsidR="00155BC7">
        <w:t xml:space="preserve"> </w:t>
      </w:r>
      <w:r w:rsidR="003340CC">
        <w:t>despite</w:t>
      </w:r>
      <w:r w:rsidR="009D4847">
        <w:t xml:space="preserve"> the importance of this type of direction to the development of the LWRP</w:t>
      </w:r>
      <w:r w:rsidR="00155BC7">
        <w:t>.</w:t>
      </w:r>
      <w:r w:rsidR="009D4847">
        <w:t xml:space="preserve"> </w:t>
      </w:r>
      <w:r w:rsidR="0015442F">
        <w:t xml:space="preserve">Additionally, </w:t>
      </w:r>
      <w:r w:rsidR="00915275">
        <w:t>feedback received through clause 3 consultation</w:t>
      </w:r>
      <w:r w:rsidR="009D4847">
        <w:t xml:space="preserve"> </w:t>
      </w:r>
      <w:r w:rsidR="006905B3">
        <w:t xml:space="preserve">was that the chapter did not include enough of a focus on the use of Otago’s land and soils, particularly for productive purposes. In accordance with the Planning Standards, some of the policy direction on protecting rural land is housed in the UFD chapter as the greater threat to that land is </w:t>
      </w:r>
      <w:r w:rsidR="00B70ABF">
        <w:t xml:space="preserve">encroachment of urban areas which results in permanent loss of the land and soil resources. However, </w:t>
      </w:r>
      <w:r w:rsidR="0076796B">
        <w:t xml:space="preserve">the feedback highlighted some gaps in the LF chapter which have been addressed through Option 3 by including </w:t>
      </w:r>
      <w:r w:rsidR="00A42175">
        <w:t xml:space="preserve">more direction on managing these resources. </w:t>
      </w:r>
      <w:r w:rsidR="004D2EC9">
        <w:t>Objective LF–LS–O1</w:t>
      </w:r>
      <w:r w:rsidR="004510DB">
        <w:t>1</w:t>
      </w:r>
      <w:r w:rsidR="004D2EC9">
        <w:t xml:space="preserve"> </w:t>
      </w:r>
      <w:r w:rsidR="002D43B0">
        <w:t>describes the outcome sought for land and soil while Objective LF–LS</w:t>
      </w:r>
      <w:r w:rsidR="00093542">
        <w:t>–O1</w:t>
      </w:r>
      <w:r w:rsidR="004510DB">
        <w:t>0</w:t>
      </w:r>
      <w:r w:rsidR="007E0301">
        <w:t xml:space="preserve"> focuses on </w:t>
      </w:r>
      <w:r w:rsidR="00DA7EE0">
        <w:t>the need for land management to support achieving outcomes for freshwater.</w:t>
      </w:r>
    </w:p>
    <w:p w14:paraId="4379FBDD" w14:textId="44B13E64" w:rsidR="00483033" w:rsidRDefault="001312D7" w:rsidP="000F043E">
      <w:pPr>
        <w:pStyle w:val="Normal2"/>
        <w:shd w:val="clear" w:color="auto" w:fill="DEEAF6" w:themeFill="accent5" w:themeFillTint="33"/>
      </w:pPr>
      <w:r>
        <w:t>The</w:t>
      </w:r>
      <w:r w:rsidR="00DA7EE0">
        <w:t xml:space="preserve"> </w:t>
      </w:r>
      <w:r>
        <w:t xml:space="preserve">first policy in this section </w:t>
      </w:r>
      <w:r w:rsidR="00945471">
        <w:t xml:space="preserve">(LF–LS–P16) </w:t>
      </w:r>
      <w:r>
        <w:t xml:space="preserve">requires recognition of the interconnections between soil health, vegetative cover and freshwater quality and quantity. </w:t>
      </w:r>
      <w:r w:rsidR="00093542">
        <w:t>Managing soil resources</w:t>
      </w:r>
      <w:proofErr w:type="gramStart"/>
      <w:r w:rsidR="00093542">
        <w:t>, in particular, cannot</w:t>
      </w:r>
      <w:proofErr w:type="gramEnd"/>
      <w:r w:rsidR="00093542">
        <w:t xml:space="preserve"> be undertaken in isolation. Policy LF</w:t>
      </w:r>
      <w:r w:rsidR="00525EFF">
        <w:t>–LS–</w:t>
      </w:r>
      <w:r w:rsidR="00945471">
        <w:t>P17</w:t>
      </w:r>
      <w:r w:rsidR="00525EFF">
        <w:t xml:space="preserve"> requires managing the use and development of land and freshwater to maintain a specified list of soil values. This recognises that soil can be valued for more than simply its productive use</w:t>
      </w:r>
      <w:r w:rsidR="001E3230">
        <w:t xml:space="preserve"> and those values should be maintained.</w:t>
      </w:r>
      <w:r w:rsidR="00483033">
        <w:t xml:space="preserve"> </w:t>
      </w:r>
      <w:r w:rsidR="006A3AFE">
        <w:t>Soil erosion is problematic for both soil and water health. LF–LS–P1</w:t>
      </w:r>
      <w:r w:rsidR="00945471">
        <w:t>8</w:t>
      </w:r>
      <w:r w:rsidR="006A3AFE">
        <w:t xml:space="preserve"> provides specific direction on managing erosion resulting from land use activities </w:t>
      </w:r>
      <w:proofErr w:type="gramStart"/>
      <w:r w:rsidR="00061F48">
        <w:t>in order t</w:t>
      </w:r>
      <w:r w:rsidR="007C7C54">
        <w:t>o</w:t>
      </w:r>
      <w:proofErr w:type="gramEnd"/>
      <w:r w:rsidR="007C7C54">
        <w:t xml:space="preserve">, primarily, retain </w:t>
      </w:r>
      <w:r w:rsidR="00ED350A">
        <w:t xml:space="preserve">soil in place and prevent its discharge to </w:t>
      </w:r>
      <w:r w:rsidR="00483033">
        <w:t xml:space="preserve">water. </w:t>
      </w:r>
    </w:p>
    <w:p w14:paraId="50F90E5B" w14:textId="27AB12AB" w:rsidR="006A3AFE" w:rsidRDefault="00483033" w:rsidP="000F043E">
      <w:pPr>
        <w:pStyle w:val="Normal2"/>
        <w:shd w:val="clear" w:color="auto" w:fill="DEEAF6" w:themeFill="accent5" w:themeFillTint="33"/>
      </w:pPr>
      <w:r>
        <w:t>In 2020, the Government consulted on a draft NPS for Highly Productive Land</w:t>
      </w:r>
      <w:r w:rsidR="00066C12">
        <w:t xml:space="preserve"> and i</w:t>
      </w:r>
      <w:r w:rsidR="00240F53">
        <w:t xml:space="preserve">s </w:t>
      </w:r>
      <w:r w:rsidR="00066C12">
        <w:t xml:space="preserve">anticipating a final version coming into effect in the </w:t>
      </w:r>
      <w:r w:rsidR="00945471">
        <w:t>second</w:t>
      </w:r>
      <w:r w:rsidR="00066C12">
        <w:t xml:space="preserve"> half of 2021. Although the draft has no legal weight, it provides an insight into the type of land management </w:t>
      </w:r>
      <w:r w:rsidR="002F0B86">
        <w:t>envisaged by the government for productive land.</w:t>
      </w:r>
      <w:r>
        <w:t xml:space="preserve"> Policy LF–</w:t>
      </w:r>
      <w:r w:rsidR="002F0B86">
        <w:t>LS–P1</w:t>
      </w:r>
      <w:r w:rsidR="00945471">
        <w:t>9</w:t>
      </w:r>
      <w:r w:rsidR="002F0B86">
        <w:t xml:space="preserve"> adopts </w:t>
      </w:r>
      <w:r w:rsidR="00552539">
        <w:t xml:space="preserve">the term ‘highly productive land’ along with the identification criteria and management </w:t>
      </w:r>
      <w:r w:rsidR="00390319">
        <w:t xml:space="preserve">requirements outlined in the draft NPS. It also </w:t>
      </w:r>
      <w:r w:rsidR="006A1738">
        <w:t>links to the relevant policies in the UFD chapter of the PORPS which contain direction on managing urban encroachment onto rural land.</w:t>
      </w:r>
    </w:p>
    <w:p w14:paraId="3FDD012E" w14:textId="65963DC4" w:rsidR="006A1738" w:rsidRDefault="005E7284" w:rsidP="000F043E">
      <w:pPr>
        <w:pStyle w:val="Normal2"/>
        <w:shd w:val="clear" w:color="auto" w:fill="DEEAF6" w:themeFill="accent5" w:themeFillTint="33"/>
      </w:pPr>
      <w:r>
        <w:lastRenderedPageBreak/>
        <w:t xml:space="preserve">Responding to climate change and </w:t>
      </w:r>
      <w:r w:rsidR="00A97371">
        <w:t>achieving freshwater visions is likely to require changes in land uses and land management practices in parts of Otago. This is recognised in Policy LF–LS–P</w:t>
      </w:r>
      <w:r w:rsidR="00945471">
        <w:t>20</w:t>
      </w:r>
      <w:r w:rsidR="00A97371">
        <w:t xml:space="preserve"> which seeks to promote changes in land use or management that improve efficient use of water, resilience to climate change and the health and quality of soil. </w:t>
      </w:r>
      <w:r w:rsidR="00DA18CF">
        <w:t>Following on, and more specifically, Policy LF–LS–P</w:t>
      </w:r>
      <w:r w:rsidR="00945471">
        <w:t>21</w:t>
      </w:r>
      <w:r w:rsidR="00DA18CF">
        <w:t xml:space="preserve"> requires reducing discharges to water from the use and development of land and active management of land uses that may have adverse effects on water quantity, where those actions are necessary to support the achievement of environmental outcomes for FMUs or </w:t>
      </w:r>
      <w:proofErr w:type="spellStart"/>
      <w:r w:rsidR="00DA18CF">
        <w:t>rohe</w:t>
      </w:r>
      <w:proofErr w:type="spellEnd"/>
      <w:r w:rsidR="00DA18CF">
        <w:t>.</w:t>
      </w:r>
    </w:p>
    <w:p w14:paraId="1E0F1354" w14:textId="0F5E5F47" w:rsidR="00787FA6" w:rsidRDefault="00C643EB" w:rsidP="000F043E">
      <w:pPr>
        <w:pStyle w:val="Normal2"/>
        <w:shd w:val="clear" w:color="auto" w:fill="DEEAF6" w:themeFill="accent5" w:themeFillTint="33"/>
      </w:pPr>
      <w:r>
        <w:t xml:space="preserve">Maintaining public access to and </w:t>
      </w:r>
      <w:r w:rsidR="00237B22">
        <w:t>a</w:t>
      </w:r>
      <w:r>
        <w:t xml:space="preserve">long </w:t>
      </w:r>
      <w:r w:rsidR="00606F1C">
        <w:t>lakes and rivers is a matter of national importance under section 6 of the RMA that was not well provided for through the PORPS 201</w:t>
      </w:r>
      <w:r w:rsidR="001952A9">
        <w:t>9</w:t>
      </w:r>
      <w:r w:rsidR="00606F1C">
        <w:t xml:space="preserve">. </w:t>
      </w:r>
      <w:r w:rsidR="005A08C8">
        <w:t>Policy LF</w:t>
      </w:r>
      <w:r w:rsidR="00DA18CF">
        <w:t>–LS–P</w:t>
      </w:r>
      <w:r w:rsidR="00945471">
        <w:t>22</w:t>
      </w:r>
      <w:r w:rsidR="00DA18CF">
        <w:t xml:space="preserve"> </w:t>
      </w:r>
      <w:r w:rsidR="002A79CB">
        <w:t xml:space="preserve">seeks to recognise and provide for public access by maintaining existing access, </w:t>
      </w:r>
      <w:r w:rsidR="00E86191">
        <w:t xml:space="preserve">promoting opportunities to enhance public </w:t>
      </w:r>
      <w:proofErr w:type="gramStart"/>
      <w:r w:rsidR="00E86191">
        <w:t>access</w:t>
      </w:r>
      <w:proofErr w:type="gramEnd"/>
      <w:r w:rsidR="00E86191">
        <w:t xml:space="preserve"> and listing</w:t>
      </w:r>
      <w:r w:rsidR="002C6D9C">
        <w:t xml:space="preserve"> the circumstances under which public access should be restricted, including for public health and safety reasons and to protect valued parts of the environment.</w:t>
      </w:r>
    </w:p>
    <w:p w14:paraId="0C5697C6" w14:textId="12A5CA0C" w:rsidR="001765C0" w:rsidRDefault="001765C0" w:rsidP="000F043E">
      <w:pPr>
        <w:pStyle w:val="Normal2"/>
        <w:shd w:val="clear" w:color="auto" w:fill="DEEAF6" w:themeFill="accent5" w:themeFillTint="33"/>
      </w:pPr>
      <w:r>
        <w:t>Methods LF–LS–M11 and LF–LS–M12 set out the action required in regional and district plans to implement the policies</w:t>
      </w:r>
      <w:r w:rsidR="006F538E">
        <w:t xml:space="preserve">, mostly concerning the management of land for water quality and quantity purposes. Method LF–LS–M13 </w:t>
      </w:r>
      <w:r w:rsidR="007419D6">
        <w:t>sets out the joint responsibility for local authorities to manage the beds and riparian margins (in accordance with their functions under the RMA)</w:t>
      </w:r>
      <w:r w:rsidR="00A502B9">
        <w:t>.</w:t>
      </w:r>
    </w:p>
    <w:p w14:paraId="316DD318" w14:textId="6B25D3E9" w:rsidR="00E15F9D" w:rsidRDefault="00E15F9D" w:rsidP="000F043E">
      <w:pPr>
        <w:pStyle w:val="Heading3"/>
        <w:shd w:val="clear" w:color="auto" w:fill="DEEAF6" w:themeFill="accent5" w:themeFillTint="33"/>
      </w:pPr>
      <w:r>
        <w:t>Consultation summary</w:t>
      </w:r>
    </w:p>
    <w:p w14:paraId="22AEF2E8" w14:textId="65D66D3E" w:rsidR="00A502B9" w:rsidRDefault="00A502B9" w:rsidP="000F043E">
      <w:pPr>
        <w:pStyle w:val="Heading4"/>
        <w:shd w:val="clear" w:color="auto" w:fill="DEEAF6" w:themeFill="accent5" w:themeFillTint="33"/>
      </w:pPr>
      <w:r>
        <w:t>Clause 3</w:t>
      </w:r>
    </w:p>
    <w:p w14:paraId="5B55AB7E" w14:textId="63CAD5BA" w:rsidR="00344E9C" w:rsidRDefault="004712E7" w:rsidP="000F043E">
      <w:pPr>
        <w:pStyle w:val="Normal2"/>
        <w:shd w:val="clear" w:color="auto" w:fill="DEEAF6" w:themeFill="accent5" w:themeFillTint="33"/>
      </w:pPr>
      <w:r>
        <w:t>A summary of the process for consultation under</w:t>
      </w:r>
      <w:r w:rsidR="00E15F9D">
        <w:t xml:space="preserve"> clause </w:t>
      </w:r>
      <w:r>
        <w:t xml:space="preserve">3 of Schedule 1 of the RMA, including the full list of parties involved, is provided in section </w:t>
      </w:r>
      <w:r>
        <w:fldChar w:fldCharType="begin"/>
      </w:r>
      <w:r>
        <w:instrText xml:space="preserve"> REF _Ref68867783 \r \h </w:instrText>
      </w:r>
      <w:r w:rsidR="00CF0142">
        <w:instrText xml:space="preserve"> \* MERGEFORMAT </w:instrText>
      </w:r>
      <w:r>
        <w:fldChar w:fldCharType="separate"/>
      </w:r>
      <w:r w:rsidR="002A7A16">
        <w:t>2.5.1</w:t>
      </w:r>
      <w:r>
        <w:fldChar w:fldCharType="end"/>
      </w:r>
      <w:r>
        <w:t xml:space="preserve"> of this report. Fifteen parties provided feedback on the LF chapter through clause 3 consultation. The feedback ranged from minor corrections to provisions through to fundamental issues with the policy approach adopted. </w:t>
      </w:r>
    </w:p>
    <w:p w14:paraId="747A0A5B" w14:textId="535CAA65" w:rsidR="003D0BE7" w:rsidRDefault="004712E7" w:rsidP="000F043E">
      <w:pPr>
        <w:pStyle w:val="Normal2"/>
        <w:shd w:val="clear" w:color="auto" w:fill="DEEAF6" w:themeFill="accent5" w:themeFillTint="33"/>
      </w:pPr>
      <w:r>
        <w:t xml:space="preserve">The most significant feedback related to the approach to drafting the freshwater visions. </w:t>
      </w:r>
      <w:r w:rsidR="0042400D">
        <w:t>P</w:t>
      </w:r>
      <w:r>
        <w:t xml:space="preserve">rimary sector organisations </w:t>
      </w:r>
      <w:proofErr w:type="gramStart"/>
      <w:r>
        <w:t>in particular were</w:t>
      </w:r>
      <w:proofErr w:type="gramEnd"/>
      <w:r>
        <w:t xml:space="preserve"> concerned that the approach of having three ‘levels’ of freshwater visions (region-wide, FMU and </w:t>
      </w:r>
      <w:proofErr w:type="spellStart"/>
      <w:r>
        <w:t>rohe</w:t>
      </w:r>
      <w:proofErr w:type="spellEnd"/>
      <w:r>
        <w:t xml:space="preserve">) made the policy framework very complex, which would have flow-on effects for the LWRP. They also raised questions about what the relationship between the visions was (especially when two or more ‘levels’ addressed the same matter – for example, form) and whether it was possible to develop a policy framework in the LWRP that could achieve </w:t>
      </w:r>
      <w:proofErr w:type="gramStart"/>
      <w:r>
        <w:t>all of</w:t>
      </w:r>
      <w:proofErr w:type="gramEnd"/>
      <w:r>
        <w:t xml:space="preserve"> the visions. Some parties also queried the timeframes set for achieving the visions – some felt the timeframes in some areas were too generous (for example, where water bodies are in their natural state) while others considered that an ultimate deadline of 2050 was beyond the capability of the community to achieve given the issues facing some catchments.</w:t>
      </w:r>
      <w:r w:rsidR="003D0BE7">
        <w:t xml:space="preserve"> </w:t>
      </w:r>
    </w:p>
    <w:p w14:paraId="3F9F903A" w14:textId="77763588" w:rsidR="00D21793" w:rsidRDefault="00D21793" w:rsidP="000F043E">
      <w:pPr>
        <w:pStyle w:val="Normal2"/>
        <w:shd w:val="clear" w:color="auto" w:fill="DEEAF6" w:themeFill="accent5" w:themeFillTint="33"/>
      </w:pPr>
      <w:r>
        <w:t>The chapter was significant</w:t>
      </w:r>
      <w:r w:rsidR="0042400D">
        <w:t>ly</w:t>
      </w:r>
      <w:r>
        <w:t xml:space="preserve"> redrafted to address these concerns as well as those raised by iwi </w:t>
      </w:r>
      <w:r w:rsidR="008E7EB8">
        <w:t>prior to clause 3 consultation</w:t>
      </w:r>
      <w:r w:rsidR="0042400D">
        <w:t xml:space="preserve"> and later through clause 4A consultation</w:t>
      </w:r>
      <w:r w:rsidR="008E7EB8">
        <w:t xml:space="preserve">. The resulting amendments are set out in Option 3 as described in section </w:t>
      </w:r>
      <w:r>
        <w:fldChar w:fldCharType="begin"/>
      </w:r>
      <w:r>
        <w:instrText xml:space="preserve"> REF _Ref69141897 \r \h </w:instrText>
      </w:r>
      <w:r w:rsidR="00CF0142">
        <w:instrText xml:space="preserve"> \* MERGEFORMAT </w:instrText>
      </w:r>
      <w:r>
        <w:fldChar w:fldCharType="separate"/>
      </w:r>
      <w:r w:rsidR="002A7A16">
        <w:t>5.7.4.3</w:t>
      </w:r>
      <w:r>
        <w:fldChar w:fldCharType="end"/>
      </w:r>
      <w:r w:rsidR="003C2EF2">
        <w:t xml:space="preserve"> of this Report. In summary, the freshwater visions were revised so that they are all at the FMU level, their content is consistent with Te Mana o </w:t>
      </w:r>
      <w:r w:rsidR="0042400D">
        <w:t>t</w:t>
      </w:r>
      <w:r w:rsidR="003C2EF2">
        <w:t>e Wai and the timeframes for achievement align with a categorisation of the FMUs current underpinning ORC’s Science work programme. The chapter was also split into four sections</w:t>
      </w:r>
      <w:r w:rsidR="00D2755E">
        <w:t xml:space="preserve"> to improve the clarity of the provisions and the </w:t>
      </w:r>
      <w:r w:rsidR="00D2755E">
        <w:lastRenderedPageBreak/>
        <w:t xml:space="preserve">relationship between the provisions giving effect to Te Mana o </w:t>
      </w:r>
      <w:r w:rsidR="0042400D">
        <w:t>t</w:t>
      </w:r>
      <w:r w:rsidR="00D2755E">
        <w:t>e Wai and the rest of the chapter.</w:t>
      </w:r>
    </w:p>
    <w:p w14:paraId="5FDBAF6C" w14:textId="507944CC" w:rsidR="003D0BE7" w:rsidRDefault="003D0BE7" w:rsidP="000F043E">
      <w:pPr>
        <w:pStyle w:val="Normal2"/>
        <w:shd w:val="clear" w:color="auto" w:fill="DEEAF6" w:themeFill="accent5" w:themeFillTint="33"/>
      </w:pPr>
      <w:r>
        <w:t xml:space="preserve">Dunedin City Council questioned the boundaries of the FMUs and whether other FMUs outside the Clutha Mata-au should also have </w:t>
      </w:r>
      <w:proofErr w:type="spellStart"/>
      <w:r>
        <w:t>rohe</w:t>
      </w:r>
      <w:proofErr w:type="spellEnd"/>
      <w:r>
        <w:t xml:space="preserve">. No alternatives were proposed, nor any additional evidence to support either of these outcomes, so no changes were made to FMU or </w:t>
      </w:r>
      <w:proofErr w:type="spellStart"/>
      <w:r>
        <w:t>rohe</w:t>
      </w:r>
      <w:proofErr w:type="spellEnd"/>
      <w:r>
        <w:t xml:space="preserve"> boundaries.</w:t>
      </w:r>
    </w:p>
    <w:p w14:paraId="6D96850B" w14:textId="3D7539D1" w:rsidR="004712E7" w:rsidRDefault="004712E7" w:rsidP="000F043E">
      <w:pPr>
        <w:pStyle w:val="Normal2"/>
        <w:shd w:val="clear" w:color="auto" w:fill="DEEAF6" w:themeFill="accent5" w:themeFillTint="33"/>
      </w:pPr>
      <w:r>
        <w:t>Other feedback raised questions about the interpretation of the NPSFM. Providing for the health needs of people is a second order priority for decision-making under Objective 1 of the NPSFM. Meridian Energy Ltd considered that this encompasse</w:t>
      </w:r>
      <w:r w:rsidR="0042400D">
        <w:t>s</w:t>
      </w:r>
      <w:r>
        <w:t xml:space="preserve"> renewable electricity generation due to its importance in supporting the health and wellbeing of people and communities. This was not adopted as Objective 1(b) includes an example (“such as drinking water”) that indicates that the health needs are those which arise from direct contact with water (such as consumption and immersion). The LF provisions have been drafted on this basis.</w:t>
      </w:r>
    </w:p>
    <w:p w14:paraId="5F34F416" w14:textId="6FC5B043" w:rsidR="00D2755E" w:rsidRDefault="005C3C1B" w:rsidP="000F043E">
      <w:pPr>
        <w:pStyle w:val="Normal2"/>
        <w:shd w:val="clear" w:color="auto" w:fill="DEEAF6" w:themeFill="accent5" w:themeFillTint="33"/>
      </w:pPr>
      <w:r>
        <w:t xml:space="preserve">Primary sector organisations </w:t>
      </w:r>
      <w:r w:rsidR="005446AE">
        <w:t xml:space="preserve">felt </w:t>
      </w:r>
      <w:r w:rsidR="009F33D3">
        <w:t xml:space="preserve">strongly that the LF chapter provisions did not </w:t>
      </w:r>
      <w:r w:rsidR="009B75E8">
        <w:t xml:space="preserve">provide enough recognition of the value of productive land and the economic uses of soil. Other respondents </w:t>
      </w:r>
      <w:r w:rsidR="00344E9C">
        <w:t xml:space="preserve">felt that the link between land uses and freshwater health was not clear enough. </w:t>
      </w:r>
      <w:r w:rsidR="00D2755E">
        <w:t xml:space="preserve">This has been addressed by creating a separate LF–LS – Land and soil chapter as well as </w:t>
      </w:r>
      <w:proofErr w:type="gramStart"/>
      <w:r w:rsidR="00D2755E">
        <w:t>a number of</w:t>
      </w:r>
      <w:proofErr w:type="gramEnd"/>
      <w:r w:rsidR="00D2755E">
        <w:t xml:space="preserve"> new provisions relating to highly productive land and the management of land in Otago. </w:t>
      </w:r>
    </w:p>
    <w:p w14:paraId="427AE30B" w14:textId="6DBAAD77" w:rsidR="004712E7" w:rsidRDefault="004712E7" w:rsidP="000F043E">
      <w:pPr>
        <w:pStyle w:val="Normal2"/>
        <w:shd w:val="clear" w:color="auto" w:fill="DEEAF6" w:themeFill="accent5" w:themeFillTint="33"/>
      </w:pPr>
      <w:r>
        <w:t xml:space="preserve">The Department of Conservation sought specific amendment to recognise and provide for </w:t>
      </w:r>
      <w:r w:rsidR="00045AF2">
        <w:rPr>
          <w:i/>
          <w:iCs/>
        </w:rPr>
        <w:t>g</w:t>
      </w:r>
      <w:r w:rsidRPr="29589E8D">
        <w:rPr>
          <w:i/>
          <w:iCs/>
        </w:rPr>
        <w:t>alaxiid</w:t>
      </w:r>
      <w:r>
        <w:t xml:space="preserve"> species in Otago, many of which are threatened or at risk. </w:t>
      </w:r>
      <w:r w:rsidR="004F4609">
        <w:t xml:space="preserve">Policy LF–WI–P3, which </w:t>
      </w:r>
      <w:r w:rsidR="009B26C7">
        <w:t>is part of the</w:t>
      </w:r>
      <w:r w:rsidR="004F4609">
        <w:t xml:space="preserve"> Kāi </w:t>
      </w:r>
      <w:proofErr w:type="spellStart"/>
      <w:r w:rsidR="004F4609">
        <w:t>Tahu</w:t>
      </w:r>
      <w:proofErr w:type="spellEnd"/>
      <w:r w:rsidR="004F4609">
        <w:t xml:space="preserve"> expression of Te </w:t>
      </w:r>
      <w:r w:rsidR="009B26C7">
        <w:t xml:space="preserve">Mana o te Wai in Otago, requires sustaining and (wherever possible) restoring the habitats of indigenous species. That must be given effect to when implementing any (all) of the LF chapter provisions. </w:t>
      </w:r>
      <w:r w:rsidR="004F4609">
        <w:t xml:space="preserve">The freshwater vision for the Taieri FMU (LF–VM–O4) now includes specific reference to </w:t>
      </w:r>
      <w:r w:rsidR="004F4609">
        <w:rPr>
          <w:i/>
          <w:iCs/>
        </w:rPr>
        <w:t>galaxiid</w:t>
      </w:r>
      <w:r w:rsidR="004F4609">
        <w:t xml:space="preserve"> species to acknowledge the regional significance of the habitats in that FMU</w:t>
      </w:r>
      <w:r w:rsidR="009770A5">
        <w:t xml:space="preserve"> (see Wildlands, 2020a in Appendix 12).</w:t>
      </w:r>
      <w:r w:rsidR="004F4609">
        <w:t xml:space="preserve"> </w:t>
      </w:r>
      <w:r w:rsidR="009B26C7">
        <w:t>Further, the</w:t>
      </w:r>
      <w:r w:rsidR="004F4609">
        <w:t xml:space="preserve"> LF chapter contains </w:t>
      </w:r>
      <w:proofErr w:type="gramStart"/>
      <w:r w:rsidR="004E6A40">
        <w:t>a number of</w:t>
      </w:r>
      <w:proofErr w:type="gramEnd"/>
      <w:r w:rsidR="004E6A40">
        <w:t xml:space="preserve"> other</w:t>
      </w:r>
      <w:r w:rsidR="004F4609">
        <w:t xml:space="preserve"> provisions seeking to protect the habitats of indigenous species: all of the freshwater visions in the LF–VM section,</w:t>
      </w:r>
      <w:r w:rsidR="004E6A40">
        <w:t xml:space="preserve"> as well as</w:t>
      </w:r>
      <w:r w:rsidR="004F4609">
        <w:t xml:space="preserve"> </w:t>
      </w:r>
      <w:r w:rsidR="009B26C7">
        <w:t>Objective LF–FW–O8(4)</w:t>
      </w:r>
      <w:r w:rsidR="004E6A40">
        <w:t xml:space="preserve"> and</w:t>
      </w:r>
      <w:r w:rsidR="009B26C7">
        <w:t xml:space="preserve"> Policy LF–FW–P7(2)</w:t>
      </w:r>
      <w:r w:rsidR="004E6A40">
        <w:t xml:space="preserve"> in the LF–FW chapter. </w:t>
      </w:r>
    </w:p>
    <w:p w14:paraId="31427294" w14:textId="6E2788A0" w:rsidR="00A502B9" w:rsidRPr="00A502B9" w:rsidRDefault="00A502B9" w:rsidP="000F043E">
      <w:pPr>
        <w:pStyle w:val="Heading4"/>
        <w:shd w:val="clear" w:color="auto" w:fill="DEEAF6" w:themeFill="accent5" w:themeFillTint="33"/>
      </w:pPr>
      <w:r>
        <w:t>Clause 4A</w:t>
      </w:r>
    </w:p>
    <w:p w14:paraId="0672619A" w14:textId="43751C7C" w:rsidR="005B1160" w:rsidRDefault="006F1476" w:rsidP="000F043E">
      <w:pPr>
        <w:pStyle w:val="Normal2"/>
        <w:shd w:val="clear" w:color="auto" w:fill="DEEAF6" w:themeFill="accent5" w:themeFillTint="33"/>
      </w:pPr>
      <w:r w:rsidRPr="00E54D72">
        <w:t xml:space="preserve">The LF chapter was a focus of the hui with Kāi </w:t>
      </w:r>
      <w:proofErr w:type="spellStart"/>
      <w:r w:rsidRPr="00E54D72">
        <w:t>Tahu</w:t>
      </w:r>
      <w:proofErr w:type="spellEnd"/>
      <w:r w:rsidRPr="00E54D72">
        <w:t xml:space="preserve"> ki Otago and Ngāi </w:t>
      </w:r>
      <w:proofErr w:type="spellStart"/>
      <w:r w:rsidRPr="00E54D72">
        <w:t>Tahu</w:t>
      </w:r>
      <w:proofErr w:type="spellEnd"/>
      <w:r w:rsidRPr="00E54D72">
        <w:t xml:space="preserve"> ki Murihiku on 21 April 2021. There was support from representatives for the structure of the chapter, particularly having Te Mana o </w:t>
      </w:r>
      <w:r w:rsidR="004E6A40">
        <w:t>t</w:t>
      </w:r>
      <w:r w:rsidRPr="00E54D72">
        <w:t xml:space="preserve">e Wai at the forefront and clarifying that the rest of the chapter must give effect to the Te Mana o </w:t>
      </w:r>
      <w:r w:rsidR="004E6A40">
        <w:t>t</w:t>
      </w:r>
      <w:r w:rsidRPr="00E54D72">
        <w:t xml:space="preserve">e Wai objective and policies. There was general support for the intent of the </w:t>
      </w:r>
      <w:proofErr w:type="gramStart"/>
      <w:r w:rsidRPr="00E54D72">
        <w:t>chapter as a whole, and</w:t>
      </w:r>
      <w:proofErr w:type="gramEnd"/>
      <w:r w:rsidRPr="00E54D72">
        <w:t xml:space="preserve"> specific amendments to provisions were discussed and made during the hui where these clarified or improved the drafting. </w:t>
      </w:r>
      <w:r w:rsidR="004E6A40">
        <w:t>However, t</w:t>
      </w:r>
      <w:r w:rsidR="00E54D72" w:rsidRPr="00E54D72">
        <w:t>he</w:t>
      </w:r>
      <w:r w:rsidRPr="00E54D72">
        <w:t xml:space="preserve"> freshwater visions were not considered to reflect the views provided to ORC by Kāi </w:t>
      </w:r>
      <w:proofErr w:type="spellStart"/>
      <w:r w:rsidRPr="00E54D72">
        <w:t>Tahu</w:t>
      </w:r>
      <w:proofErr w:type="spellEnd"/>
      <w:r w:rsidRPr="00E54D72">
        <w:t xml:space="preserve"> ki Otago or Ngāi </w:t>
      </w:r>
      <w:proofErr w:type="spellStart"/>
      <w:r w:rsidRPr="00E54D72">
        <w:t>Tahu</w:t>
      </w:r>
      <w:proofErr w:type="spellEnd"/>
      <w:r w:rsidRPr="00E54D72">
        <w:t xml:space="preserve"> ki Murihiku as part of the freshwater </w:t>
      </w:r>
      <w:r w:rsidR="00084021" w:rsidRPr="00E54D72">
        <w:t>visions’</w:t>
      </w:r>
      <w:r w:rsidRPr="00E54D72">
        <w:t xml:space="preserve"> consultation in late 2020</w:t>
      </w:r>
      <w:r w:rsidR="00E54D72" w:rsidRPr="00E54D72">
        <w:t xml:space="preserve"> and this was discussed in detail. </w:t>
      </w:r>
    </w:p>
    <w:p w14:paraId="5D48028E" w14:textId="5F0AB737" w:rsidR="00E15F9D" w:rsidRDefault="001B097C" w:rsidP="000F043E">
      <w:pPr>
        <w:pStyle w:val="Normal2"/>
        <w:shd w:val="clear" w:color="auto" w:fill="DEEAF6" w:themeFill="accent5" w:themeFillTint="33"/>
      </w:pPr>
      <w:r>
        <w:t xml:space="preserve">It was made clear </w:t>
      </w:r>
      <w:r w:rsidR="005B1160">
        <w:t xml:space="preserve">during the hui </w:t>
      </w:r>
      <w:r>
        <w:t xml:space="preserve">that Kāi </w:t>
      </w:r>
      <w:proofErr w:type="spellStart"/>
      <w:r>
        <w:t>Tahu</w:t>
      </w:r>
      <w:proofErr w:type="spellEnd"/>
      <w:r>
        <w:t xml:space="preserve"> philosophy is not to ‘elevate’ some water bodies above others</w:t>
      </w:r>
      <w:r w:rsidR="00176B25">
        <w:t xml:space="preserve"> and so the policy framework for identifying and managing outstanding water bodies was problematic, however it was accepted that this is required by the NPSFM. </w:t>
      </w:r>
      <w:r w:rsidR="005B1160">
        <w:t>At the time</w:t>
      </w:r>
      <w:r w:rsidR="00084021">
        <w:t xml:space="preserve"> of the hui</w:t>
      </w:r>
      <w:r w:rsidR="005B1160">
        <w:t xml:space="preserve">, the identification policy included statutory acknowledgements however it was </w:t>
      </w:r>
      <w:r w:rsidR="005B1160">
        <w:lastRenderedPageBreak/>
        <w:t xml:space="preserve">the view of Kāi </w:t>
      </w:r>
      <w:proofErr w:type="spellStart"/>
      <w:r w:rsidR="005B1160">
        <w:t>Tahu</w:t>
      </w:r>
      <w:proofErr w:type="spellEnd"/>
      <w:r w:rsidR="005B1160">
        <w:t xml:space="preserve"> that the process followed to identify statutory acknowledgements under the NTSCA 1998 was considerably different to the type of process proposed for identifying outstanding water bodies in the RPS. These were therefore removed, noting that the criteria for identifying outstanding water bodies included cultural values which would still provide an avenue for assessing their cultural significance to Kāi </w:t>
      </w:r>
      <w:proofErr w:type="spellStart"/>
      <w:r w:rsidR="005B1160">
        <w:t>Tahu</w:t>
      </w:r>
      <w:proofErr w:type="spellEnd"/>
      <w:r w:rsidR="005B1160">
        <w:t>.</w:t>
      </w:r>
    </w:p>
    <w:p w14:paraId="75D3ED1F" w14:textId="27BFFC3B" w:rsidR="005B1160" w:rsidRPr="00E54D72" w:rsidRDefault="005B1160" w:rsidP="000F043E">
      <w:pPr>
        <w:pStyle w:val="Normal2"/>
        <w:shd w:val="clear" w:color="auto" w:fill="DEEAF6" w:themeFill="accent5" w:themeFillTint="33"/>
      </w:pPr>
      <w:r>
        <w:t xml:space="preserve">Coastal waters have significant cultural values and Kāi </w:t>
      </w:r>
      <w:proofErr w:type="spellStart"/>
      <w:r>
        <w:t>Tahu</w:t>
      </w:r>
      <w:proofErr w:type="spellEnd"/>
      <w:r>
        <w:t xml:space="preserve"> representatives provided feedback on ways to better align the provisions of the LF and CE chapters to ensure an integrated approach across the fresh and coastal water interface, while acknowledging that there are differences between the NZCPS and the NPSFM. Most of that feedback has been reflected in the CE chapter rather than the LF chapter.</w:t>
      </w:r>
    </w:p>
    <w:p w14:paraId="53269CF6" w14:textId="1BFF31A8" w:rsidR="00E54D72" w:rsidRDefault="00EE32E0" w:rsidP="000F043E">
      <w:pPr>
        <w:pStyle w:val="Normal2"/>
        <w:shd w:val="clear" w:color="auto" w:fill="DEEAF6" w:themeFill="accent5" w:themeFillTint="33"/>
      </w:pPr>
      <w:r>
        <w:t>No further feedback was provided</w:t>
      </w:r>
      <w:r w:rsidR="00084021">
        <w:t xml:space="preserve"> on the LF chapter</w:t>
      </w:r>
      <w:r>
        <w:t xml:space="preserve"> in the first batch of iwi feedback received by ORC on 23 April. In discussion with Kāi </w:t>
      </w:r>
      <w:proofErr w:type="spellStart"/>
      <w:r>
        <w:t>Tahu</w:t>
      </w:r>
      <w:proofErr w:type="spellEnd"/>
      <w:r>
        <w:t xml:space="preserve"> staff in the weeks after that, it</w:t>
      </w:r>
      <w:r w:rsidR="00E54D72" w:rsidRPr="00E54D72">
        <w:t xml:space="preserve"> was agreed that ORC and </w:t>
      </w:r>
      <w:proofErr w:type="spellStart"/>
      <w:r w:rsidR="00E54D72" w:rsidRPr="00E54D72">
        <w:t>Aukaha</w:t>
      </w:r>
      <w:proofErr w:type="spellEnd"/>
      <w:r w:rsidR="00E54D72" w:rsidRPr="00E54D72">
        <w:t xml:space="preserve"> staff would meet to co-draft revisions to the freshwater visions. This occurred on 7 May 2021. The focus of this session was for ORC staff to better understand Kāi </w:t>
      </w:r>
      <w:proofErr w:type="spellStart"/>
      <w:r w:rsidR="00E54D72" w:rsidRPr="00E54D72">
        <w:t>Tahu</w:t>
      </w:r>
      <w:proofErr w:type="spellEnd"/>
      <w:r w:rsidR="00E54D72" w:rsidRPr="00E54D72">
        <w:t xml:space="preserve"> views and </w:t>
      </w:r>
      <w:r w:rsidR="00E54D72">
        <w:t xml:space="preserve">reflect these in the freshwater visions. The revised </w:t>
      </w:r>
      <w:r>
        <w:t>chapter</w:t>
      </w:r>
      <w:r w:rsidR="00E54D72">
        <w:t xml:space="preserve"> was provided to Te Ao Marama staff for comment and then reviewed again by </w:t>
      </w:r>
      <w:proofErr w:type="spellStart"/>
      <w:r w:rsidR="00E54D72">
        <w:t>Aukaha</w:t>
      </w:r>
      <w:proofErr w:type="spellEnd"/>
      <w:r w:rsidR="00E54D72">
        <w:t xml:space="preserve"> staff for alignment with </w:t>
      </w:r>
      <w:proofErr w:type="spellStart"/>
      <w:r w:rsidR="00E54D72">
        <w:t>rūnaka</w:t>
      </w:r>
      <w:proofErr w:type="spellEnd"/>
      <w:r w:rsidR="00E54D72">
        <w:t xml:space="preserve"> views. The </w:t>
      </w:r>
      <w:r>
        <w:t xml:space="preserve">Te Mana o </w:t>
      </w:r>
      <w:r w:rsidR="00084021">
        <w:t>t</w:t>
      </w:r>
      <w:r>
        <w:t xml:space="preserve">e Wai provisions and freshwater </w:t>
      </w:r>
      <w:r w:rsidR="00E54D72">
        <w:t>visions included in the PORPS 2021 have therefore been co-drafted by iwi</w:t>
      </w:r>
      <w:r>
        <w:t xml:space="preserve"> and there has been considerable involvement in the drafting of the remainder of the chapter as well.</w:t>
      </w:r>
    </w:p>
    <w:p w14:paraId="0D29EAEF" w14:textId="0CF09101" w:rsidR="00FF5529" w:rsidRDefault="00764CE6" w:rsidP="000F043E">
      <w:pPr>
        <w:pStyle w:val="Normal2"/>
        <w:shd w:val="clear" w:color="auto" w:fill="DEEAF6" w:themeFill="accent5" w:themeFillTint="33"/>
      </w:pPr>
      <w:r>
        <w:t xml:space="preserve">As discussed in section </w:t>
      </w:r>
      <w:r>
        <w:fldChar w:fldCharType="begin"/>
      </w:r>
      <w:r>
        <w:instrText xml:space="preserve"> REF _Ref72224248 \r \h </w:instrText>
      </w:r>
      <w:r w:rsidR="00CF0142">
        <w:instrText xml:space="preserve"> \* MERGEFORMAT </w:instrText>
      </w:r>
      <w:r>
        <w:fldChar w:fldCharType="separate"/>
      </w:r>
      <w:r w:rsidR="002A7A16">
        <w:t>2.5.2</w:t>
      </w:r>
      <w:r>
        <w:fldChar w:fldCharType="end"/>
      </w:r>
      <w:r>
        <w:t xml:space="preserve">, Te Ao Marama has provided advice to ORC on how the PORPS 2021 meets key outcomes and aspirations of Ngāi </w:t>
      </w:r>
      <w:proofErr w:type="spellStart"/>
      <w:r>
        <w:t>Tahu</w:t>
      </w:r>
      <w:proofErr w:type="spellEnd"/>
      <w:r>
        <w:t xml:space="preserve"> ki Murihiku. Relevant to the LF chapter, this advice indicates that the PORPS 2021</w:t>
      </w:r>
      <w:r w:rsidR="009219CC">
        <w:t xml:space="preserve"> contributes well to meeting a range of high level Ngāi </w:t>
      </w:r>
      <w:proofErr w:type="spellStart"/>
      <w:r w:rsidR="009219CC">
        <w:t>Tahu</w:t>
      </w:r>
      <w:proofErr w:type="spellEnd"/>
      <w:r w:rsidR="009219CC">
        <w:t xml:space="preserve"> ki Murihiku outcomes for freshwater, including mauri, collaborative management, use of ki uta ki tai, upholding Te Mana o te Wai and providing for te hauora o te wai. </w:t>
      </w:r>
      <w:r w:rsidR="00BE1838">
        <w:t xml:space="preserve">Ngāi </w:t>
      </w:r>
      <w:proofErr w:type="spellStart"/>
      <w:r w:rsidR="00BE1838">
        <w:t>Tahu</w:t>
      </w:r>
      <w:proofErr w:type="spellEnd"/>
      <w:r w:rsidR="00BE1838">
        <w:t xml:space="preserve"> ki Murihiku consider that the PORPS </w:t>
      </w:r>
      <w:r w:rsidR="009B3CD8">
        <w:t xml:space="preserve">is acceptable but </w:t>
      </w:r>
      <w:r w:rsidR="00BE1838">
        <w:t xml:space="preserve">could go further in some areas, including recognising the significance of taonga species, mechanisms </w:t>
      </w:r>
      <w:r w:rsidR="009B3CD8">
        <w:t xml:space="preserve">for maintaining and improving </w:t>
      </w:r>
      <w:proofErr w:type="spellStart"/>
      <w:r w:rsidR="009B3CD8">
        <w:t>mahinga</w:t>
      </w:r>
      <w:proofErr w:type="spellEnd"/>
      <w:r w:rsidR="009B3CD8">
        <w:t xml:space="preserve"> kai, protecting waters of spiritual significance to Ngāi </w:t>
      </w:r>
      <w:proofErr w:type="spellStart"/>
      <w:r w:rsidR="009B3CD8">
        <w:t>Tahu</w:t>
      </w:r>
      <w:proofErr w:type="spellEnd"/>
      <w:r w:rsidR="009B3CD8">
        <w:t xml:space="preserve"> and the full range of kaitiaki responsibilities of Ngāi </w:t>
      </w:r>
      <w:proofErr w:type="spellStart"/>
      <w:r w:rsidR="009B3CD8">
        <w:t>Tahu</w:t>
      </w:r>
      <w:proofErr w:type="spellEnd"/>
      <w:r w:rsidR="009B3CD8">
        <w:t xml:space="preserve">. Finally, there are some outcomes where Ngāi </w:t>
      </w:r>
      <w:proofErr w:type="spellStart"/>
      <w:r w:rsidR="009B3CD8">
        <w:t>Tahu</w:t>
      </w:r>
      <w:proofErr w:type="spellEnd"/>
      <w:r w:rsidR="009B3CD8">
        <w:t xml:space="preserve"> ki Murihiku consider there is a lot more work to do in the PORPS, including recognising the role of </w:t>
      </w:r>
      <w:proofErr w:type="spellStart"/>
      <w:r w:rsidR="009B3CD8">
        <w:t>m</w:t>
      </w:r>
      <w:r w:rsidR="009B3CD8">
        <w:rPr>
          <w:rFonts w:cstheme="minorHAnsi"/>
        </w:rPr>
        <w:t>ā</w:t>
      </w:r>
      <w:r w:rsidR="009B3CD8">
        <w:t>taitai</w:t>
      </w:r>
      <w:proofErr w:type="spellEnd"/>
      <w:r w:rsidR="009B3CD8">
        <w:t xml:space="preserve"> and </w:t>
      </w:r>
      <w:proofErr w:type="spellStart"/>
      <w:r w:rsidR="009B3CD8">
        <w:t>tai</w:t>
      </w:r>
      <w:r w:rsidR="009B3CD8">
        <w:rPr>
          <w:rFonts w:cstheme="minorHAnsi"/>
        </w:rPr>
        <w:t>ā</w:t>
      </w:r>
      <w:r w:rsidR="009B3CD8">
        <w:t>pure</w:t>
      </w:r>
      <w:proofErr w:type="spellEnd"/>
      <w:r w:rsidR="009B3CD8">
        <w:t xml:space="preserve">, </w:t>
      </w:r>
      <w:proofErr w:type="spellStart"/>
      <w:r w:rsidR="009B3CD8">
        <w:t>mahinga</w:t>
      </w:r>
      <w:proofErr w:type="spellEnd"/>
      <w:r w:rsidR="009B3CD8">
        <w:t xml:space="preserve"> kia harvesting, representation of </w:t>
      </w:r>
      <w:proofErr w:type="spellStart"/>
      <w:r w:rsidR="009B3CD8">
        <w:t>m</w:t>
      </w:r>
      <w:r w:rsidR="009B3CD8">
        <w:rPr>
          <w:rFonts w:cstheme="minorHAnsi"/>
        </w:rPr>
        <w:t>ā</w:t>
      </w:r>
      <w:r w:rsidR="009B3CD8">
        <w:t>tauranga</w:t>
      </w:r>
      <w:proofErr w:type="spellEnd"/>
      <w:r w:rsidR="009B3CD8">
        <w:t xml:space="preserve"> in science-based analysis, </w:t>
      </w:r>
      <w:r w:rsidR="005B5797">
        <w:t xml:space="preserve">and setting timeframes for restoring wetlands and other areas, improving water quality, and phasing out direct discharges of wastewater </w:t>
      </w:r>
      <w:r w:rsidR="004B5472">
        <w:t xml:space="preserve">and stormwater </w:t>
      </w:r>
      <w:r w:rsidR="005B5797">
        <w:t>to water.</w:t>
      </w:r>
    </w:p>
    <w:p w14:paraId="33A772FD" w14:textId="32F7F0A7" w:rsidR="00E9552F" w:rsidRDefault="00E9552F" w:rsidP="000F043E">
      <w:pPr>
        <w:pStyle w:val="Heading3"/>
        <w:shd w:val="clear" w:color="auto" w:fill="DEEAF6" w:themeFill="accent5" w:themeFillTint="33"/>
      </w:pPr>
      <w:r>
        <w:t>Efficiency and effectiveness evaluation</w:t>
      </w:r>
    </w:p>
    <w:p w14:paraId="39F32D4D" w14:textId="03F78ABD" w:rsidR="00E9552F" w:rsidRDefault="00A03614" w:rsidP="000F043E">
      <w:pPr>
        <w:pStyle w:val="Normal2"/>
        <w:shd w:val="clear" w:color="auto" w:fill="DEEAF6" w:themeFill="accent5" w:themeFillTint="33"/>
      </w:pPr>
      <w:r>
        <w:fldChar w:fldCharType="begin"/>
      </w:r>
      <w:r>
        <w:instrText xml:space="preserve"> REF _Ref63856417 \h </w:instrText>
      </w:r>
      <w:r w:rsidR="00CF0142">
        <w:instrText xml:space="preserve"> \* MERGEFORMAT </w:instrText>
      </w:r>
      <w:r>
        <w:fldChar w:fldCharType="separate"/>
      </w:r>
      <w:r w:rsidR="002A7A16">
        <w:t xml:space="preserve">Table </w:t>
      </w:r>
      <w:r w:rsidR="002A7A16">
        <w:rPr>
          <w:noProof/>
        </w:rPr>
        <w:t>35</w:t>
      </w:r>
      <w:r>
        <w:fldChar w:fldCharType="end"/>
      </w:r>
      <w:r w:rsidR="00E9552F">
        <w:t xml:space="preserve"> below identifies and assesses the benefits and costs of the environmental, cultural, </w:t>
      </w:r>
      <w:proofErr w:type="gramStart"/>
      <w:r w:rsidR="00E9552F">
        <w:t>social</w:t>
      </w:r>
      <w:proofErr w:type="gramEnd"/>
      <w:r w:rsidR="00E9552F">
        <w:t xml:space="preserve"> and economic effects that are anticipated from the implementation of the provisions proposed under Option </w:t>
      </w:r>
      <w:r w:rsidR="00584474">
        <w:t>3</w:t>
      </w:r>
      <w:r w:rsidR="00E9552F">
        <w:t xml:space="preserve"> above.</w:t>
      </w:r>
    </w:p>
    <w:p w14:paraId="411DB133" w14:textId="3A2662B2" w:rsidR="00E9552F" w:rsidRDefault="00E9552F" w:rsidP="000F043E">
      <w:pPr>
        <w:pStyle w:val="Caption"/>
        <w:keepNext/>
        <w:shd w:val="clear" w:color="auto" w:fill="DEEAF6" w:themeFill="accent5" w:themeFillTint="33"/>
      </w:pPr>
      <w:bookmarkStart w:id="92" w:name="_Ref63856417"/>
      <w:r>
        <w:t xml:space="preserve">Table </w:t>
      </w:r>
      <w:r>
        <w:fldChar w:fldCharType="begin"/>
      </w:r>
      <w:r>
        <w:instrText>SEQ Table \* ARABIC</w:instrText>
      </w:r>
      <w:r>
        <w:fldChar w:fldCharType="separate"/>
      </w:r>
      <w:r w:rsidR="002A7A16">
        <w:rPr>
          <w:noProof/>
        </w:rPr>
        <w:t>35</w:t>
      </w:r>
      <w:r>
        <w:fldChar w:fldCharType="end"/>
      </w:r>
      <w:bookmarkEnd w:id="92"/>
      <w:r>
        <w:t>:</w:t>
      </w:r>
      <w:r w:rsidRPr="00005F72">
        <w:t xml:space="preserve"> </w:t>
      </w:r>
      <w:r>
        <w:t>Benefits and costs for land and fresh water</w:t>
      </w:r>
    </w:p>
    <w:tbl>
      <w:tblPr>
        <w:tblStyle w:val="ListTable1Light-Accent1"/>
        <w:tblW w:w="0" w:type="auto"/>
        <w:tblLook w:val="04A0" w:firstRow="1" w:lastRow="0" w:firstColumn="1" w:lastColumn="0" w:noHBand="0" w:noVBand="1"/>
      </w:tblPr>
      <w:tblGrid>
        <w:gridCol w:w="4508"/>
        <w:gridCol w:w="4508"/>
      </w:tblGrid>
      <w:tr w:rsidR="00E9552F" w:rsidRPr="00AE42AF" w14:paraId="377FDC3C" w14:textId="77777777" w:rsidTr="000F04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5" w:themeFillTint="33"/>
          </w:tcPr>
          <w:p w14:paraId="2B23BD48" w14:textId="77777777" w:rsidR="00E9552F" w:rsidRPr="00AE42AF" w:rsidRDefault="00E9552F" w:rsidP="000F043E">
            <w:pPr>
              <w:jc w:val="center"/>
              <w:rPr>
                <w:sz w:val="20"/>
              </w:rPr>
            </w:pPr>
            <w:r w:rsidRPr="00AE42AF">
              <w:rPr>
                <w:sz w:val="20"/>
              </w:rPr>
              <w:t>BENEFITS</w:t>
            </w:r>
          </w:p>
        </w:tc>
        <w:tc>
          <w:tcPr>
            <w:tcW w:w="4508" w:type="dxa"/>
            <w:shd w:val="clear" w:color="auto" w:fill="DEEAF6" w:themeFill="accent5" w:themeFillTint="33"/>
          </w:tcPr>
          <w:p w14:paraId="15213F23" w14:textId="77777777" w:rsidR="00E9552F" w:rsidRPr="00AE42AF" w:rsidRDefault="00E9552F" w:rsidP="000F043E">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9552F" w:rsidRPr="00AE42AF" w14:paraId="4C01FF12" w14:textId="77777777" w:rsidTr="000F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EEAF6" w:themeFill="accent5" w:themeFillTint="33"/>
          </w:tcPr>
          <w:p w14:paraId="3F30BE51" w14:textId="77777777" w:rsidR="00E9552F" w:rsidRPr="00AE42AF" w:rsidRDefault="00E9552F" w:rsidP="000F043E">
            <w:pPr>
              <w:jc w:val="center"/>
              <w:rPr>
                <w:sz w:val="20"/>
              </w:rPr>
            </w:pPr>
            <w:r w:rsidRPr="00AE42AF">
              <w:rPr>
                <w:sz w:val="20"/>
              </w:rPr>
              <w:t>Environmental</w:t>
            </w:r>
          </w:p>
        </w:tc>
      </w:tr>
      <w:tr w:rsidR="00E9552F" w:rsidRPr="000136C1" w14:paraId="0D1EE094" w14:textId="77777777" w:rsidTr="000F043E">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5" w:themeFillTint="33"/>
          </w:tcPr>
          <w:p w14:paraId="38906E7F" w14:textId="7DAD315E" w:rsidR="009B0DFE" w:rsidRPr="009B0DFE" w:rsidRDefault="004057B8"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Implementing Option </w:t>
            </w:r>
            <w:r w:rsidR="00A502B9" w:rsidRPr="634A1E48">
              <w:rPr>
                <w:b w:val="0"/>
                <w:sz w:val="20"/>
                <w:szCs w:val="20"/>
              </w:rPr>
              <w:t>3</w:t>
            </w:r>
            <w:r w:rsidRPr="634A1E48">
              <w:rPr>
                <w:b w:val="0"/>
                <w:sz w:val="20"/>
                <w:szCs w:val="20"/>
              </w:rPr>
              <w:t xml:space="preserve"> will</w:t>
            </w:r>
            <w:r w:rsidR="002B3A68" w:rsidRPr="634A1E48">
              <w:rPr>
                <w:b w:val="0"/>
                <w:sz w:val="20"/>
                <w:szCs w:val="20"/>
              </w:rPr>
              <w:t xml:space="preserve"> </w:t>
            </w:r>
            <w:r w:rsidR="00084021">
              <w:rPr>
                <w:b w:val="0"/>
                <w:sz w:val="20"/>
                <w:szCs w:val="20"/>
              </w:rPr>
              <w:t>give effect to Te Mana o te Wai and prioritise the health and well-being of water bodies and freshwater ecosystems in decision-making</w:t>
            </w:r>
            <w:r w:rsidR="00C535F5" w:rsidRPr="634A1E48">
              <w:rPr>
                <w:b w:val="0"/>
                <w:sz w:val="20"/>
                <w:szCs w:val="20"/>
              </w:rPr>
              <w:t>. This</w:t>
            </w:r>
            <w:r w:rsidR="00084021">
              <w:rPr>
                <w:b w:val="0"/>
                <w:sz w:val="20"/>
                <w:szCs w:val="20"/>
              </w:rPr>
              <w:t xml:space="preserve"> is expected </w:t>
            </w:r>
            <w:r w:rsidR="00084021">
              <w:rPr>
                <w:b w:val="0"/>
                <w:sz w:val="20"/>
                <w:szCs w:val="20"/>
              </w:rPr>
              <w:lastRenderedPageBreak/>
              <w:t>to result in improvements to the health and well-being of water bodies and ecosystems.</w:t>
            </w:r>
            <w:r w:rsidR="00A357AE" w:rsidRPr="634A1E48">
              <w:rPr>
                <w:b w:val="0"/>
                <w:sz w:val="20"/>
                <w:szCs w:val="20"/>
              </w:rPr>
              <w:t xml:space="preserve"> </w:t>
            </w:r>
          </w:p>
          <w:p w14:paraId="3CD778CE" w14:textId="19207608" w:rsidR="00A357AE" w:rsidRPr="004A76D3" w:rsidRDefault="007A5148"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Improving or maintaining water quality </w:t>
            </w:r>
            <w:r w:rsidR="00302486" w:rsidRPr="634A1E48">
              <w:rPr>
                <w:b w:val="0"/>
                <w:sz w:val="20"/>
                <w:szCs w:val="20"/>
              </w:rPr>
              <w:t xml:space="preserve">and quantity </w:t>
            </w:r>
            <w:r w:rsidRPr="634A1E48">
              <w:rPr>
                <w:b w:val="0"/>
                <w:sz w:val="20"/>
                <w:szCs w:val="20"/>
              </w:rPr>
              <w:t xml:space="preserve">will </w:t>
            </w:r>
            <w:r w:rsidR="00943B7D" w:rsidRPr="634A1E48">
              <w:rPr>
                <w:b w:val="0"/>
                <w:sz w:val="20"/>
                <w:szCs w:val="20"/>
              </w:rPr>
              <w:t xml:space="preserve">have flow-on improvements for coastal water, assisting with sustaining </w:t>
            </w:r>
            <w:r w:rsidR="004A76D3" w:rsidRPr="634A1E48">
              <w:rPr>
                <w:b w:val="0"/>
                <w:sz w:val="20"/>
                <w:szCs w:val="20"/>
              </w:rPr>
              <w:t>marine environments and the ecosystems they support.</w:t>
            </w:r>
          </w:p>
          <w:p w14:paraId="36AE9FD9" w14:textId="49779C55" w:rsidR="004A76D3" w:rsidRPr="009B0DFE" w:rsidRDefault="004A76D3"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Improved water quality</w:t>
            </w:r>
            <w:r w:rsidR="00302486" w:rsidRPr="634A1E48">
              <w:rPr>
                <w:b w:val="0"/>
                <w:sz w:val="20"/>
                <w:szCs w:val="20"/>
              </w:rPr>
              <w:t xml:space="preserve"> and quantity</w:t>
            </w:r>
            <w:r w:rsidRPr="634A1E48">
              <w:rPr>
                <w:b w:val="0"/>
                <w:sz w:val="20"/>
                <w:szCs w:val="20"/>
              </w:rPr>
              <w:t xml:space="preserve">, habitats and passage for aquatic indigenous species will </w:t>
            </w:r>
            <w:r w:rsidR="006401BA" w:rsidRPr="634A1E48">
              <w:rPr>
                <w:b w:val="0"/>
                <w:sz w:val="20"/>
                <w:szCs w:val="20"/>
              </w:rPr>
              <w:t xml:space="preserve">support these populations and halt the decline of some species that are considered At Risk or Threatened. </w:t>
            </w:r>
          </w:p>
          <w:p w14:paraId="6BEC3727" w14:textId="2D1C20ED" w:rsidR="009B0DFE" w:rsidRPr="00B07F21" w:rsidRDefault="009B0DFE" w:rsidP="000F043E">
            <w:pPr>
              <w:pStyle w:val="ListParagraph"/>
              <w:numPr>
                <w:ilvl w:val="0"/>
                <w:numId w:val="22"/>
              </w:numPr>
              <w:spacing w:before="60" w:after="60"/>
              <w:ind w:left="357" w:hanging="357"/>
              <w:contextualSpacing w:val="0"/>
              <w:jc w:val="both"/>
              <w:rPr>
                <w:b w:val="0"/>
                <w:sz w:val="20"/>
                <w:szCs w:val="20"/>
              </w:rPr>
            </w:pPr>
            <w:r>
              <w:rPr>
                <w:b w:val="0"/>
                <w:sz w:val="20"/>
                <w:szCs w:val="20"/>
              </w:rPr>
              <w:t>Strengthened provisions for protecting and restoring natural wetlands will result in a halt in the loss of the extent and values of wetlands and, over time, an increase in extent. Wetlands are important habitats for indigenous species so their protection (and restoration) will have benefits for the health of indigenous species.</w:t>
            </w:r>
          </w:p>
          <w:p w14:paraId="347E6994" w14:textId="1D086400" w:rsidR="00B07F21" w:rsidRPr="00F7711F" w:rsidRDefault="00B07F21"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Strengthened provisions for preserving the natural character of Otago’s lakes</w:t>
            </w:r>
            <w:r w:rsidR="009B0DFE">
              <w:rPr>
                <w:b w:val="0"/>
                <w:sz w:val="20"/>
                <w:szCs w:val="20"/>
              </w:rPr>
              <w:t xml:space="preserve">, </w:t>
            </w:r>
            <w:r w:rsidRPr="634A1E48">
              <w:rPr>
                <w:b w:val="0"/>
                <w:sz w:val="20"/>
                <w:szCs w:val="20"/>
              </w:rPr>
              <w:t xml:space="preserve">rivers </w:t>
            </w:r>
            <w:r w:rsidR="009B0DFE">
              <w:rPr>
                <w:b w:val="0"/>
                <w:sz w:val="20"/>
                <w:szCs w:val="20"/>
              </w:rPr>
              <w:t xml:space="preserve">and wetlands </w:t>
            </w:r>
            <w:r w:rsidRPr="634A1E48">
              <w:rPr>
                <w:b w:val="0"/>
                <w:sz w:val="20"/>
                <w:szCs w:val="20"/>
              </w:rPr>
              <w:t xml:space="preserve">will </w:t>
            </w:r>
            <w:r w:rsidR="003175A5" w:rsidRPr="634A1E48">
              <w:rPr>
                <w:b w:val="0"/>
                <w:sz w:val="20"/>
                <w:szCs w:val="20"/>
              </w:rPr>
              <w:t>assist with maintaining the physical attributes of these water bodies that contribute to their holistic wellbeing and intrinsic values (</w:t>
            </w:r>
            <w:proofErr w:type="gramStart"/>
            <w:r w:rsidR="003175A5" w:rsidRPr="634A1E48">
              <w:rPr>
                <w:b w:val="0"/>
                <w:sz w:val="20"/>
                <w:szCs w:val="20"/>
              </w:rPr>
              <w:t>i.e.</w:t>
            </w:r>
            <w:proofErr w:type="gramEnd"/>
            <w:r w:rsidR="003175A5" w:rsidRPr="634A1E48">
              <w:rPr>
                <w:b w:val="0"/>
                <w:sz w:val="20"/>
                <w:szCs w:val="20"/>
              </w:rPr>
              <w:t xml:space="preserve"> beyond just the quality/quantity of water). </w:t>
            </w:r>
          </w:p>
          <w:p w14:paraId="6934D5A6" w14:textId="16846889" w:rsidR="00F7711F" w:rsidRPr="003175A5" w:rsidRDefault="00F7711F" w:rsidP="000F043E">
            <w:pPr>
              <w:pStyle w:val="ListParagraph"/>
              <w:numPr>
                <w:ilvl w:val="0"/>
                <w:numId w:val="22"/>
              </w:numPr>
              <w:spacing w:before="60" w:after="60"/>
              <w:ind w:left="357" w:hanging="357"/>
              <w:contextualSpacing w:val="0"/>
              <w:jc w:val="both"/>
              <w:rPr>
                <w:b w:val="0"/>
                <w:sz w:val="20"/>
                <w:szCs w:val="20"/>
              </w:rPr>
            </w:pPr>
            <w:r>
              <w:rPr>
                <w:b w:val="0"/>
                <w:sz w:val="20"/>
                <w:szCs w:val="20"/>
              </w:rPr>
              <w:t>Adopting the effects management hierarchy (including criteria for offsetting and compensation) in the ECO chapter of the PORPS 2021 for managing biodiversity loss from wetlands and rivers will improve outcomes for biodiversity.</w:t>
            </w:r>
          </w:p>
          <w:p w14:paraId="3BD6EE9A" w14:textId="3C86E8F4" w:rsidR="003175A5" w:rsidRPr="00F05A3E" w:rsidRDefault="003175A5"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Identifying and protecting </w:t>
            </w:r>
            <w:r w:rsidR="00A50714" w:rsidRPr="634A1E48">
              <w:rPr>
                <w:b w:val="0"/>
                <w:sz w:val="20"/>
                <w:szCs w:val="20"/>
              </w:rPr>
              <w:t xml:space="preserve">Otago’s outstanding water bodies will ensure that Otago’s most iconic and </w:t>
            </w:r>
            <w:r w:rsidR="00CE467D" w:rsidRPr="634A1E48">
              <w:rPr>
                <w:b w:val="0"/>
                <w:sz w:val="20"/>
                <w:szCs w:val="20"/>
              </w:rPr>
              <w:t xml:space="preserve">highly </w:t>
            </w:r>
            <w:r w:rsidR="00A50714" w:rsidRPr="634A1E48">
              <w:rPr>
                <w:b w:val="0"/>
                <w:sz w:val="20"/>
                <w:szCs w:val="20"/>
              </w:rPr>
              <w:t xml:space="preserve">valued water bodies </w:t>
            </w:r>
            <w:r w:rsidR="00CE467D" w:rsidRPr="634A1E48">
              <w:rPr>
                <w:b w:val="0"/>
                <w:sz w:val="20"/>
                <w:szCs w:val="20"/>
              </w:rPr>
              <w:t>are preserved, including (where relevant) their ecological values.</w:t>
            </w:r>
          </w:p>
          <w:p w14:paraId="1EA3BA46" w14:textId="151999F3" w:rsidR="00F05A3E" w:rsidRPr="00CE467D" w:rsidRDefault="007168B5"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 xml:space="preserve">Expanding the current policy framework to enable </w:t>
            </w:r>
            <w:r w:rsidR="00BB696A" w:rsidRPr="634A1E48">
              <w:rPr>
                <w:b w:val="0"/>
                <w:sz w:val="20"/>
                <w:szCs w:val="20"/>
              </w:rPr>
              <w:t xml:space="preserve">greater oversight of land uses that contribute to </w:t>
            </w:r>
            <w:r w:rsidR="004765C5" w:rsidRPr="634A1E48">
              <w:rPr>
                <w:b w:val="0"/>
                <w:sz w:val="20"/>
                <w:szCs w:val="20"/>
              </w:rPr>
              <w:t xml:space="preserve">the health of freshwater </w:t>
            </w:r>
            <w:r w:rsidR="00722279" w:rsidRPr="634A1E48">
              <w:rPr>
                <w:b w:val="0"/>
                <w:sz w:val="20"/>
                <w:szCs w:val="20"/>
              </w:rPr>
              <w:t>will provide for a more integrated and effective management framework.</w:t>
            </w:r>
          </w:p>
          <w:p w14:paraId="03A3209F" w14:textId="30C3478B" w:rsidR="00E9552F" w:rsidRPr="00790B77" w:rsidRDefault="00CE467D" w:rsidP="000F043E">
            <w:pPr>
              <w:pStyle w:val="ListParagraph"/>
              <w:numPr>
                <w:ilvl w:val="0"/>
                <w:numId w:val="22"/>
              </w:numPr>
              <w:spacing w:before="60" w:after="60"/>
              <w:ind w:left="357" w:hanging="357"/>
              <w:contextualSpacing w:val="0"/>
              <w:jc w:val="both"/>
              <w:rPr>
                <w:b w:val="0"/>
                <w:sz w:val="20"/>
                <w:szCs w:val="20"/>
              </w:rPr>
            </w:pPr>
            <w:r w:rsidRPr="634A1E48">
              <w:rPr>
                <w:b w:val="0"/>
                <w:sz w:val="20"/>
                <w:szCs w:val="20"/>
              </w:rPr>
              <w:t>Direction</w:t>
            </w:r>
            <w:r w:rsidR="005766BE" w:rsidRPr="634A1E48">
              <w:rPr>
                <w:b w:val="0"/>
                <w:sz w:val="20"/>
                <w:szCs w:val="20"/>
              </w:rPr>
              <w:t xml:space="preserve"> on managing land uses that affect soil health will contribute to sustaining Otago’s soil resources, including their life-supporting capacity.</w:t>
            </w:r>
          </w:p>
        </w:tc>
        <w:tc>
          <w:tcPr>
            <w:tcW w:w="4508" w:type="dxa"/>
            <w:shd w:val="clear" w:color="auto" w:fill="DEEAF6" w:themeFill="accent5" w:themeFillTint="33"/>
          </w:tcPr>
          <w:p w14:paraId="57D5360A" w14:textId="431256BB" w:rsidR="00E9552F" w:rsidRDefault="00FF4F30"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The RPS sets deadline</w:t>
            </w:r>
            <w:r w:rsidR="00A502B9" w:rsidRPr="634A1E48">
              <w:rPr>
                <w:sz w:val="20"/>
                <w:szCs w:val="20"/>
              </w:rPr>
              <w:t xml:space="preserve">s ranging from 2035 to </w:t>
            </w:r>
            <w:r w:rsidRPr="634A1E48">
              <w:rPr>
                <w:sz w:val="20"/>
                <w:szCs w:val="20"/>
              </w:rPr>
              <w:t xml:space="preserve">2050 for achieving </w:t>
            </w:r>
            <w:r w:rsidR="00BA51D8" w:rsidRPr="634A1E48">
              <w:rPr>
                <w:sz w:val="20"/>
                <w:szCs w:val="20"/>
              </w:rPr>
              <w:t xml:space="preserve">the </w:t>
            </w:r>
            <w:r w:rsidRPr="634A1E48">
              <w:rPr>
                <w:sz w:val="20"/>
                <w:szCs w:val="20"/>
              </w:rPr>
              <w:t>freshwater</w:t>
            </w:r>
            <w:r w:rsidR="00CA2CFF" w:rsidRPr="634A1E48">
              <w:rPr>
                <w:sz w:val="20"/>
                <w:szCs w:val="20"/>
              </w:rPr>
              <w:t xml:space="preserve"> visions for </w:t>
            </w:r>
            <w:r w:rsidR="00BA51D8" w:rsidRPr="634A1E48">
              <w:rPr>
                <w:sz w:val="20"/>
                <w:szCs w:val="20"/>
              </w:rPr>
              <w:t xml:space="preserve">FMU and </w:t>
            </w:r>
            <w:proofErr w:type="spellStart"/>
            <w:r w:rsidR="00CA2CFF" w:rsidRPr="634A1E48">
              <w:rPr>
                <w:sz w:val="20"/>
                <w:szCs w:val="20"/>
              </w:rPr>
              <w:t>rohe</w:t>
            </w:r>
            <w:proofErr w:type="spellEnd"/>
            <w:r w:rsidR="00CA2CFF" w:rsidRPr="634A1E48">
              <w:rPr>
                <w:sz w:val="20"/>
                <w:szCs w:val="20"/>
              </w:rPr>
              <w:t>.</w:t>
            </w:r>
            <w:r w:rsidRPr="634A1E48">
              <w:rPr>
                <w:sz w:val="20"/>
                <w:szCs w:val="20"/>
              </w:rPr>
              <w:t xml:space="preserve"> While it is anticipated that </w:t>
            </w:r>
            <w:r w:rsidR="00CA2CFF" w:rsidRPr="634A1E48">
              <w:rPr>
                <w:sz w:val="20"/>
                <w:szCs w:val="20"/>
              </w:rPr>
              <w:t xml:space="preserve">some </w:t>
            </w:r>
            <w:r w:rsidRPr="634A1E48">
              <w:rPr>
                <w:sz w:val="20"/>
                <w:szCs w:val="20"/>
              </w:rPr>
              <w:t xml:space="preserve">improvements </w:t>
            </w:r>
            <w:r w:rsidR="00CA2CFF" w:rsidRPr="634A1E48">
              <w:rPr>
                <w:sz w:val="20"/>
                <w:szCs w:val="20"/>
              </w:rPr>
              <w:t>may</w:t>
            </w:r>
            <w:r w:rsidRPr="634A1E48">
              <w:rPr>
                <w:sz w:val="20"/>
                <w:szCs w:val="20"/>
              </w:rPr>
              <w:t xml:space="preserve"> be </w:t>
            </w:r>
            <w:r w:rsidR="00C5252E" w:rsidRPr="634A1E48">
              <w:rPr>
                <w:sz w:val="20"/>
                <w:szCs w:val="20"/>
              </w:rPr>
              <w:t xml:space="preserve">made earlier than that, </w:t>
            </w:r>
            <w:r w:rsidR="007718F0" w:rsidRPr="634A1E48">
              <w:rPr>
                <w:sz w:val="20"/>
                <w:szCs w:val="20"/>
              </w:rPr>
              <w:t>there will be freshwater</w:t>
            </w:r>
            <w:r w:rsidR="00BA51D8" w:rsidRPr="634A1E48">
              <w:rPr>
                <w:sz w:val="20"/>
                <w:szCs w:val="20"/>
              </w:rPr>
              <w:t xml:space="preserve"> resources</w:t>
            </w:r>
            <w:r w:rsidR="007718F0" w:rsidRPr="634A1E48">
              <w:rPr>
                <w:sz w:val="20"/>
                <w:szCs w:val="20"/>
              </w:rPr>
              <w:t xml:space="preserve"> in Otago that </w:t>
            </w:r>
            <w:r w:rsidR="007718F0" w:rsidRPr="634A1E48">
              <w:rPr>
                <w:sz w:val="20"/>
                <w:szCs w:val="20"/>
              </w:rPr>
              <w:lastRenderedPageBreak/>
              <w:t xml:space="preserve">do not achieve the outcomes stated for some time, potentially decades. This is likely to be where </w:t>
            </w:r>
            <w:r w:rsidR="00360A33" w:rsidRPr="634A1E48">
              <w:rPr>
                <w:sz w:val="20"/>
                <w:szCs w:val="20"/>
              </w:rPr>
              <w:t>water quality or quantity is</w:t>
            </w:r>
            <w:r w:rsidR="002C26E0" w:rsidRPr="634A1E48">
              <w:rPr>
                <w:sz w:val="20"/>
                <w:szCs w:val="20"/>
              </w:rPr>
              <w:t xml:space="preserve"> currently over-allocated, which will not be determined until the new LWRP is developed.</w:t>
            </w:r>
          </w:p>
          <w:p w14:paraId="757D49B7" w14:textId="77777777" w:rsidR="00BA51D8" w:rsidRDefault="00BA51D8" w:rsidP="000F043E">
            <w:pPr>
              <w:pStyle w:val="ListParagraph"/>
              <w:spacing w:before="60" w:after="60"/>
              <w:ind w:left="360"/>
              <w:contextualSpacing w:val="0"/>
              <w:jc w:val="both"/>
              <w:cnfStyle w:val="000000000000" w:firstRow="0" w:lastRow="0" w:firstColumn="0" w:lastColumn="0" w:oddVBand="0" w:evenVBand="0" w:oddHBand="0" w:evenHBand="0" w:firstRowFirstColumn="0" w:firstRowLastColumn="0" w:lastRowFirstColumn="0" w:lastRowLastColumn="0"/>
              <w:rPr>
                <w:sz w:val="20"/>
              </w:rPr>
            </w:pPr>
          </w:p>
          <w:p w14:paraId="24272764" w14:textId="0F054282" w:rsidR="00E9552F" w:rsidRPr="004E2B70" w:rsidRDefault="00E9552F" w:rsidP="000F043E">
            <w:pPr>
              <w:spacing w:before="60" w:after="60"/>
              <w:jc w:val="both"/>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5B784832" w14:textId="77777777" w:rsidTr="000F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EEAF6" w:themeFill="accent5" w:themeFillTint="33"/>
          </w:tcPr>
          <w:p w14:paraId="749A388C" w14:textId="77777777" w:rsidR="00E9552F" w:rsidRPr="00AE42AF" w:rsidRDefault="00E9552F" w:rsidP="000F043E">
            <w:pPr>
              <w:jc w:val="center"/>
              <w:rPr>
                <w:sz w:val="20"/>
              </w:rPr>
            </w:pPr>
            <w:r>
              <w:rPr>
                <w:sz w:val="20"/>
              </w:rPr>
              <w:lastRenderedPageBreak/>
              <w:t>Cultural</w:t>
            </w:r>
          </w:p>
        </w:tc>
      </w:tr>
      <w:tr w:rsidR="00E9552F" w:rsidRPr="000E2E23" w14:paraId="54EEC14B" w14:textId="77777777" w:rsidTr="000F043E">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5" w:themeFillTint="33"/>
          </w:tcPr>
          <w:p w14:paraId="52658A27" w14:textId="73C6D959" w:rsidR="00973D19" w:rsidRPr="00973D19" w:rsidRDefault="00745D36"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Implementing Te Mana o </w:t>
            </w:r>
            <w:r w:rsidR="009C4A78">
              <w:rPr>
                <w:b w:val="0"/>
                <w:sz w:val="20"/>
                <w:szCs w:val="20"/>
              </w:rPr>
              <w:t>t</w:t>
            </w:r>
            <w:r w:rsidRPr="634A1E48">
              <w:rPr>
                <w:b w:val="0"/>
                <w:sz w:val="20"/>
                <w:szCs w:val="20"/>
              </w:rPr>
              <w:t>e Wai and giving priority to the health and wellbeing of water bodies is expected to lead to improvements to the state of the environment</w:t>
            </w:r>
            <w:r w:rsidR="00F47444" w:rsidRPr="634A1E48">
              <w:rPr>
                <w:b w:val="0"/>
                <w:sz w:val="20"/>
                <w:szCs w:val="20"/>
              </w:rPr>
              <w:t xml:space="preserve">. This has cultural benefits for </w:t>
            </w:r>
            <w:r w:rsidR="00C01FA0" w:rsidRPr="634A1E48">
              <w:rPr>
                <w:b w:val="0"/>
                <w:sz w:val="20"/>
                <w:szCs w:val="20"/>
              </w:rPr>
              <w:t xml:space="preserve">the wellbeing of mana whenua, including </w:t>
            </w:r>
            <w:r w:rsidR="00973D19" w:rsidRPr="634A1E48">
              <w:rPr>
                <w:b w:val="0"/>
                <w:sz w:val="20"/>
                <w:szCs w:val="20"/>
              </w:rPr>
              <w:t>cultural identity and reconnecting people to Otago’s water bodies.</w:t>
            </w:r>
          </w:p>
          <w:p w14:paraId="18859C04" w14:textId="26B2ACC8" w:rsidR="009C4A78" w:rsidRPr="009C4A78" w:rsidRDefault="002C7687" w:rsidP="000F043E">
            <w:pPr>
              <w:pStyle w:val="ListParagraph"/>
              <w:numPr>
                <w:ilvl w:val="0"/>
                <w:numId w:val="22"/>
              </w:numPr>
              <w:spacing w:before="60" w:after="60"/>
              <w:contextualSpacing w:val="0"/>
              <w:jc w:val="both"/>
              <w:rPr>
                <w:b w:val="0"/>
                <w:sz w:val="20"/>
                <w:szCs w:val="20"/>
              </w:rPr>
            </w:pPr>
            <w:r>
              <w:rPr>
                <w:b w:val="0"/>
                <w:sz w:val="20"/>
                <w:szCs w:val="20"/>
              </w:rPr>
              <w:t>Incorporating m</w:t>
            </w:r>
            <w:r>
              <w:rPr>
                <w:rFonts w:cstheme="minorHAnsi"/>
                <w:b w:val="0"/>
                <w:sz w:val="20"/>
                <w:szCs w:val="20"/>
              </w:rPr>
              <w:t>ā</w:t>
            </w:r>
            <w:r>
              <w:rPr>
                <w:b w:val="0"/>
                <w:sz w:val="20"/>
                <w:szCs w:val="20"/>
              </w:rPr>
              <w:t xml:space="preserve">tauraka into decision-making, management and monitoring processes </w:t>
            </w:r>
            <w:r>
              <w:rPr>
                <w:b w:val="0"/>
                <w:sz w:val="20"/>
                <w:szCs w:val="20"/>
              </w:rPr>
              <w:lastRenderedPageBreak/>
              <w:t xml:space="preserve">supports the partnership approach to managing freshwater in Otago and recognises Kāi </w:t>
            </w:r>
            <w:proofErr w:type="spellStart"/>
            <w:r>
              <w:rPr>
                <w:b w:val="0"/>
                <w:sz w:val="20"/>
                <w:szCs w:val="20"/>
              </w:rPr>
              <w:t>Tahu</w:t>
            </w:r>
            <w:proofErr w:type="spellEnd"/>
            <w:r>
              <w:rPr>
                <w:b w:val="0"/>
                <w:sz w:val="20"/>
                <w:szCs w:val="20"/>
              </w:rPr>
              <w:t xml:space="preserve"> values.</w:t>
            </w:r>
          </w:p>
          <w:p w14:paraId="468D5DD5" w14:textId="2F9B3086" w:rsidR="00AA4779" w:rsidRPr="009E0E79" w:rsidRDefault="00973D19" w:rsidP="000F043E">
            <w:pPr>
              <w:pStyle w:val="ListParagraph"/>
              <w:numPr>
                <w:ilvl w:val="0"/>
                <w:numId w:val="22"/>
              </w:numPr>
              <w:spacing w:before="60" w:after="60"/>
              <w:contextualSpacing w:val="0"/>
              <w:jc w:val="both"/>
              <w:rPr>
                <w:b w:val="0"/>
                <w:sz w:val="20"/>
                <w:szCs w:val="20"/>
              </w:rPr>
            </w:pPr>
            <w:r w:rsidRPr="634A1E48">
              <w:rPr>
                <w:b w:val="0"/>
                <w:sz w:val="20"/>
                <w:szCs w:val="20"/>
              </w:rPr>
              <w:t>Improved health of freshwater in Otago will</w:t>
            </w:r>
            <w:r w:rsidR="001401CA" w:rsidRPr="634A1E48">
              <w:rPr>
                <w:b w:val="0"/>
                <w:sz w:val="20"/>
                <w:szCs w:val="20"/>
              </w:rPr>
              <w:t xml:space="preserve"> </w:t>
            </w:r>
            <w:r w:rsidR="00655382" w:rsidRPr="634A1E48">
              <w:rPr>
                <w:b w:val="0"/>
                <w:sz w:val="20"/>
                <w:szCs w:val="20"/>
              </w:rPr>
              <w:t>enhance mauri</w:t>
            </w:r>
            <w:r w:rsidR="00AA4779" w:rsidRPr="634A1E48">
              <w:rPr>
                <w:b w:val="0"/>
                <w:sz w:val="20"/>
                <w:szCs w:val="20"/>
              </w:rPr>
              <w:t>.</w:t>
            </w:r>
          </w:p>
          <w:p w14:paraId="5D7752C9" w14:textId="5DFC3551" w:rsidR="007C7D5F" w:rsidRPr="009E0E79" w:rsidRDefault="00082EE9"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Option </w:t>
            </w:r>
            <w:r w:rsidR="00314EF2" w:rsidRPr="634A1E48">
              <w:rPr>
                <w:b w:val="0"/>
                <w:sz w:val="20"/>
                <w:szCs w:val="20"/>
              </w:rPr>
              <w:t>3</w:t>
            </w:r>
            <w:r w:rsidRPr="634A1E48">
              <w:rPr>
                <w:b w:val="0"/>
                <w:sz w:val="20"/>
                <w:szCs w:val="20"/>
              </w:rPr>
              <w:t xml:space="preserve"> will provide m</w:t>
            </w:r>
            <w:r w:rsidR="006359BA" w:rsidRPr="634A1E48">
              <w:rPr>
                <w:b w:val="0"/>
                <w:sz w:val="20"/>
                <w:szCs w:val="20"/>
              </w:rPr>
              <w:t xml:space="preserve">ore opportunities for </w:t>
            </w:r>
            <w:proofErr w:type="spellStart"/>
            <w:r w:rsidR="006359BA" w:rsidRPr="634A1E48">
              <w:rPr>
                <w:b w:val="0"/>
                <w:sz w:val="20"/>
                <w:szCs w:val="20"/>
              </w:rPr>
              <w:t>mahika</w:t>
            </w:r>
            <w:proofErr w:type="spellEnd"/>
            <w:r w:rsidR="006359BA" w:rsidRPr="634A1E48">
              <w:rPr>
                <w:b w:val="0"/>
                <w:sz w:val="20"/>
                <w:szCs w:val="20"/>
              </w:rPr>
              <w:t xml:space="preserve"> kai</w:t>
            </w:r>
            <w:r w:rsidRPr="634A1E48">
              <w:rPr>
                <w:b w:val="0"/>
                <w:sz w:val="20"/>
                <w:szCs w:val="20"/>
              </w:rPr>
              <w:t xml:space="preserve"> </w:t>
            </w:r>
            <w:proofErr w:type="gramStart"/>
            <w:r w:rsidRPr="634A1E48">
              <w:rPr>
                <w:b w:val="0"/>
                <w:sz w:val="20"/>
                <w:szCs w:val="20"/>
              </w:rPr>
              <w:t>as a result of</w:t>
            </w:r>
            <w:proofErr w:type="gramEnd"/>
            <w:r w:rsidRPr="634A1E48">
              <w:rPr>
                <w:b w:val="0"/>
                <w:sz w:val="20"/>
                <w:szCs w:val="20"/>
              </w:rPr>
              <w:t xml:space="preserve"> improved water body health</w:t>
            </w:r>
            <w:r w:rsidR="009B0DFE">
              <w:rPr>
                <w:b w:val="0"/>
                <w:sz w:val="20"/>
                <w:szCs w:val="20"/>
              </w:rPr>
              <w:t xml:space="preserve"> and protection of the habitats of indigenous species</w:t>
            </w:r>
            <w:r w:rsidR="006359BA" w:rsidRPr="634A1E48">
              <w:rPr>
                <w:b w:val="0"/>
                <w:sz w:val="20"/>
                <w:szCs w:val="20"/>
              </w:rPr>
              <w:t>.</w:t>
            </w:r>
          </w:p>
          <w:p w14:paraId="30769163" w14:textId="23998FA8" w:rsidR="007C7D5F" w:rsidRPr="00501014" w:rsidRDefault="007C7D5F" w:rsidP="000F043E">
            <w:pPr>
              <w:pStyle w:val="ListParagraph"/>
              <w:numPr>
                <w:ilvl w:val="0"/>
                <w:numId w:val="22"/>
              </w:numPr>
              <w:spacing w:before="60" w:after="60"/>
              <w:contextualSpacing w:val="0"/>
              <w:jc w:val="both"/>
              <w:rPr>
                <w:b w:val="0"/>
                <w:sz w:val="20"/>
                <w:szCs w:val="20"/>
              </w:rPr>
            </w:pPr>
            <w:r w:rsidRPr="634A1E48">
              <w:rPr>
                <w:b w:val="0"/>
                <w:sz w:val="20"/>
                <w:szCs w:val="20"/>
              </w:rPr>
              <w:t>Clearer expression of the role of mana whenua in freshwater management</w:t>
            </w:r>
            <w:r w:rsidR="003C2A48" w:rsidRPr="634A1E48">
              <w:rPr>
                <w:b w:val="0"/>
                <w:sz w:val="20"/>
                <w:szCs w:val="20"/>
              </w:rPr>
              <w:t xml:space="preserve"> will assist </w:t>
            </w:r>
            <w:r w:rsidR="00557186" w:rsidRPr="634A1E48">
              <w:rPr>
                <w:b w:val="0"/>
                <w:sz w:val="20"/>
                <w:szCs w:val="20"/>
              </w:rPr>
              <w:t xml:space="preserve">with exercising </w:t>
            </w:r>
            <w:proofErr w:type="spellStart"/>
            <w:r w:rsidR="002C7687">
              <w:rPr>
                <w:b w:val="0"/>
                <w:sz w:val="20"/>
                <w:szCs w:val="20"/>
              </w:rPr>
              <w:t>kaitiakitaka</w:t>
            </w:r>
            <w:proofErr w:type="spellEnd"/>
            <w:r w:rsidR="002C7687">
              <w:rPr>
                <w:b w:val="0"/>
                <w:sz w:val="20"/>
                <w:szCs w:val="20"/>
              </w:rPr>
              <w:t xml:space="preserve">, </w:t>
            </w:r>
            <w:proofErr w:type="spellStart"/>
            <w:r w:rsidR="002C7687">
              <w:rPr>
                <w:b w:val="0"/>
                <w:sz w:val="20"/>
                <w:szCs w:val="20"/>
              </w:rPr>
              <w:t>manaakitaka</w:t>
            </w:r>
            <w:proofErr w:type="spellEnd"/>
            <w:r w:rsidR="002C7687">
              <w:rPr>
                <w:b w:val="0"/>
                <w:sz w:val="20"/>
                <w:szCs w:val="20"/>
              </w:rPr>
              <w:t xml:space="preserve"> and </w:t>
            </w:r>
            <w:proofErr w:type="spellStart"/>
            <w:r w:rsidR="002C7687">
              <w:rPr>
                <w:b w:val="0"/>
                <w:sz w:val="20"/>
                <w:szCs w:val="20"/>
              </w:rPr>
              <w:t>rakatirataka</w:t>
            </w:r>
            <w:proofErr w:type="spellEnd"/>
            <w:r w:rsidR="003C2A48" w:rsidRPr="634A1E48">
              <w:rPr>
                <w:b w:val="0"/>
                <w:sz w:val="20"/>
                <w:szCs w:val="20"/>
              </w:rPr>
              <w:t xml:space="preserve">. </w:t>
            </w:r>
          </w:p>
        </w:tc>
        <w:tc>
          <w:tcPr>
            <w:tcW w:w="4508" w:type="dxa"/>
            <w:shd w:val="clear" w:color="auto" w:fill="DEEAF6" w:themeFill="accent5" w:themeFillTint="33"/>
          </w:tcPr>
          <w:p w14:paraId="64847A40" w14:textId="44CC003B" w:rsidR="004B5472" w:rsidRDefault="00584474"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Some of t</w:t>
            </w:r>
            <w:r w:rsidR="007D68C3" w:rsidRPr="634A1E48">
              <w:rPr>
                <w:sz w:val="20"/>
                <w:szCs w:val="20"/>
              </w:rPr>
              <w:t xml:space="preserve">he benefits </w:t>
            </w:r>
            <w:r w:rsidR="0045105F" w:rsidRPr="634A1E48">
              <w:rPr>
                <w:sz w:val="20"/>
                <w:szCs w:val="20"/>
              </w:rPr>
              <w:t xml:space="preserve">of Option </w:t>
            </w:r>
            <w:r w:rsidRPr="634A1E48">
              <w:rPr>
                <w:sz w:val="20"/>
                <w:szCs w:val="20"/>
              </w:rPr>
              <w:t>3</w:t>
            </w:r>
            <w:r w:rsidR="0045105F" w:rsidRPr="634A1E48">
              <w:rPr>
                <w:sz w:val="20"/>
                <w:szCs w:val="20"/>
              </w:rPr>
              <w:t xml:space="preserve"> </w:t>
            </w:r>
            <w:r w:rsidRPr="634A1E48">
              <w:rPr>
                <w:sz w:val="20"/>
                <w:szCs w:val="20"/>
              </w:rPr>
              <w:t>will</w:t>
            </w:r>
            <w:r w:rsidR="0045105F" w:rsidRPr="634A1E48">
              <w:rPr>
                <w:sz w:val="20"/>
                <w:szCs w:val="20"/>
              </w:rPr>
              <w:t xml:space="preserve"> be delivered in the long-term. In the short-term there are likely to be continued costs to mana whenua </w:t>
            </w:r>
            <w:proofErr w:type="gramStart"/>
            <w:r w:rsidR="0045105F" w:rsidRPr="634A1E48">
              <w:rPr>
                <w:sz w:val="20"/>
                <w:szCs w:val="20"/>
              </w:rPr>
              <w:t>as a result of</w:t>
            </w:r>
            <w:proofErr w:type="gramEnd"/>
            <w:r w:rsidR="0045105F" w:rsidRPr="634A1E48">
              <w:rPr>
                <w:sz w:val="20"/>
                <w:szCs w:val="20"/>
              </w:rPr>
              <w:t xml:space="preserve"> degraded freshwater in some areas, for example by restricting </w:t>
            </w:r>
            <w:proofErr w:type="spellStart"/>
            <w:r w:rsidR="0045105F" w:rsidRPr="634A1E48">
              <w:rPr>
                <w:sz w:val="20"/>
                <w:szCs w:val="20"/>
              </w:rPr>
              <w:t>mahika</w:t>
            </w:r>
            <w:proofErr w:type="spellEnd"/>
            <w:r w:rsidR="0045105F" w:rsidRPr="634A1E48">
              <w:rPr>
                <w:sz w:val="20"/>
                <w:szCs w:val="20"/>
              </w:rPr>
              <w:t xml:space="preserve"> kai and </w:t>
            </w:r>
            <w:r w:rsidR="00B35FA7" w:rsidRPr="634A1E48">
              <w:rPr>
                <w:sz w:val="20"/>
                <w:szCs w:val="20"/>
              </w:rPr>
              <w:t xml:space="preserve">negatively affecting the mauri of water bodies. </w:t>
            </w:r>
            <w:r w:rsidR="002E3808" w:rsidRPr="634A1E48">
              <w:rPr>
                <w:sz w:val="20"/>
                <w:szCs w:val="20"/>
              </w:rPr>
              <w:t xml:space="preserve">This is turn will affect </w:t>
            </w:r>
            <w:r w:rsidR="00960D25" w:rsidRPr="634A1E48">
              <w:rPr>
                <w:sz w:val="20"/>
                <w:szCs w:val="20"/>
              </w:rPr>
              <w:t xml:space="preserve">the ability of Kāi </w:t>
            </w:r>
            <w:proofErr w:type="spellStart"/>
            <w:r w:rsidR="00960D25" w:rsidRPr="634A1E48">
              <w:rPr>
                <w:sz w:val="20"/>
                <w:szCs w:val="20"/>
              </w:rPr>
              <w:t>Tahu</w:t>
            </w:r>
            <w:proofErr w:type="spellEnd"/>
            <w:r w:rsidR="00960D25" w:rsidRPr="634A1E48">
              <w:rPr>
                <w:sz w:val="20"/>
                <w:szCs w:val="20"/>
              </w:rPr>
              <w:t xml:space="preserve"> to exercise their role as kaitiaki.</w:t>
            </w:r>
          </w:p>
          <w:p w14:paraId="6131BBC3" w14:textId="7A8E7E0F" w:rsidR="004B5472" w:rsidRDefault="004B5472"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lastRenderedPageBreak/>
              <w:t xml:space="preserve">The policy direction for stormwater and wastewater discharges does not align with Ngāi </w:t>
            </w:r>
            <w:proofErr w:type="spellStart"/>
            <w:r>
              <w:rPr>
                <w:sz w:val="20"/>
                <w:szCs w:val="20"/>
              </w:rPr>
              <w:t>Tahu</w:t>
            </w:r>
            <w:proofErr w:type="spellEnd"/>
            <w:r>
              <w:rPr>
                <w:sz w:val="20"/>
                <w:szCs w:val="20"/>
              </w:rPr>
              <w:t xml:space="preserve"> ki </w:t>
            </w:r>
            <w:r w:rsidR="00F7711F">
              <w:rPr>
                <w:sz w:val="20"/>
                <w:szCs w:val="20"/>
              </w:rPr>
              <w:t>Murihiku expectations for a cessation in direct discharges of wastewater and stormwater to water within ten years. These discharges will continue to have negative effects on cultural values.</w:t>
            </w:r>
          </w:p>
          <w:p w14:paraId="2DFCEC99" w14:textId="45765431" w:rsidR="00C45F38" w:rsidRPr="00C45F38" w:rsidRDefault="00097F46"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It is expected that </w:t>
            </w:r>
            <w:r w:rsidR="0024528B" w:rsidRPr="634A1E48">
              <w:rPr>
                <w:sz w:val="20"/>
                <w:szCs w:val="20"/>
              </w:rPr>
              <w:t xml:space="preserve">implementing </w:t>
            </w:r>
            <w:r w:rsidR="0017299F" w:rsidRPr="634A1E48">
              <w:rPr>
                <w:sz w:val="20"/>
                <w:szCs w:val="20"/>
              </w:rPr>
              <w:t xml:space="preserve">Option </w:t>
            </w:r>
            <w:r w:rsidR="00314EF2" w:rsidRPr="634A1E48">
              <w:rPr>
                <w:sz w:val="20"/>
                <w:szCs w:val="20"/>
              </w:rPr>
              <w:t>3</w:t>
            </w:r>
            <w:r w:rsidR="0017299F" w:rsidRPr="634A1E48">
              <w:rPr>
                <w:sz w:val="20"/>
                <w:szCs w:val="20"/>
              </w:rPr>
              <w:t>, particularly through regional plans, will increase the involvement of mana whenua in</w:t>
            </w:r>
            <w:r w:rsidR="00AF4A96" w:rsidRPr="634A1E48">
              <w:rPr>
                <w:sz w:val="20"/>
                <w:szCs w:val="20"/>
              </w:rPr>
              <w:t xml:space="preserve"> plan-making processes, especially at the early stages. </w:t>
            </w:r>
            <w:r w:rsidR="003A5938" w:rsidRPr="634A1E48">
              <w:rPr>
                <w:sz w:val="20"/>
                <w:szCs w:val="20"/>
              </w:rPr>
              <w:t xml:space="preserve"> </w:t>
            </w:r>
            <w:r w:rsidR="00B81166" w:rsidRPr="634A1E48">
              <w:rPr>
                <w:sz w:val="20"/>
                <w:szCs w:val="20"/>
              </w:rPr>
              <w:t>If th</w:t>
            </w:r>
            <w:r w:rsidR="00965EDA" w:rsidRPr="634A1E48">
              <w:rPr>
                <w:sz w:val="20"/>
                <w:szCs w:val="20"/>
              </w:rPr>
              <w:t xml:space="preserve">at additional resourcing is not provided or funded by ORC, </w:t>
            </w:r>
            <w:r w:rsidR="00B838F7" w:rsidRPr="634A1E48">
              <w:rPr>
                <w:sz w:val="20"/>
                <w:szCs w:val="20"/>
              </w:rPr>
              <w:t xml:space="preserve">it will fall on mana whenua. </w:t>
            </w:r>
            <w:r w:rsidR="008A7020" w:rsidRPr="634A1E48">
              <w:rPr>
                <w:sz w:val="20"/>
                <w:szCs w:val="20"/>
              </w:rPr>
              <w:t xml:space="preserve">There may also be additional costs for mana whenua if </w:t>
            </w:r>
            <w:r w:rsidR="00204099" w:rsidRPr="634A1E48">
              <w:rPr>
                <w:sz w:val="20"/>
                <w:szCs w:val="20"/>
              </w:rPr>
              <w:t xml:space="preserve">ORC does not have sufficient resources and expertise </w:t>
            </w:r>
            <w:r w:rsidR="00E06F94" w:rsidRPr="634A1E48">
              <w:rPr>
                <w:sz w:val="20"/>
                <w:szCs w:val="20"/>
              </w:rPr>
              <w:t>to implement the policies once they are developed.</w:t>
            </w:r>
            <w:r w:rsidR="004C247F" w:rsidRPr="634A1E48">
              <w:rPr>
                <w:sz w:val="20"/>
                <w:szCs w:val="20"/>
              </w:rPr>
              <w:t xml:space="preserve"> </w:t>
            </w:r>
            <w:r w:rsidR="000905D5" w:rsidRPr="634A1E48">
              <w:rPr>
                <w:sz w:val="20"/>
                <w:szCs w:val="20"/>
              </w:rPr>
              <w:t>These costs are likely to occur in the short-term through the preparation of the LWRP and longer term as progress</w:t>
            </w:r>
            <w:r w:rsidR="00426376" w:rsidRPr="634A1E48">
              <w:rPr>
                <w:sz w:val="20"/>
                <w:szCs w:val="20"/>
              </w:rPr>
              <w:t xml:space="preserve"> is made</w:t>
            </w:r>
            <w:r w:rsidR="000905D5" w:rsidRPr="634A1E48">
              <w:rPr>
                <w:sz w:val="20"/>
                <w:szCs w:val="20"/>
              </w:rPr>
              <w:t xml:space="preserve"> towards the 2050 deadline for achieving FMU and </w:t>
            </w:r>
            <w:proofErr w:type="spellStart"/>
            <w:r w:rsidR="000905D5" w:rsidRPr="634A1E48">
              <w:rPr>
                <w:sz w:val="20"/>
                <w:szCs w:val="20"/>
              </w:rPr>
              <w:t>rohe</w:t>
            </w:r>
            <w:proofErr w:type="spellEnd"/>
            <w:r w:rsidR="000905D5" w:rsidRPr="634A1E48">
              <w:rPr>
                <w:sz w:val="20"/>
                <w:szCs w:val="20"/>
              </w:rPr>
              <w:t xml:space="preserve"> visions</w:t>
            </w:r>
            <w:r w:rsidR="00426376" w:rsidRPr="634A1E48">
              <w:rPr>
                <w:sz w:val="20"/>
                <w:szCs w:val="20"/>
              </w:rPr>
              <w:t>.</w:t>
            </w:r>
          </w:p>
          <w:p w14:paraId="4071DC7C" w14:textId="0A2C1645" w:rsidR="002411AB" w:rsidRPr="002411AB" w:rsidRDefault="00290E2A"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 level of involvement of mana whenua in planning processes in Otago required by Option </w:t>
            </w:r>
            <w:r w:rsidR="00314EF2" w:rsidRPr="634A1E48">
              <w:rPr>
                <w:sz w:val="20"/>
                <w:szCs w:val="20"/>
              </w:rPr>
              <w:t>3</w:t>
            </w:r>
            <w:r w:rsidRPr="634A1E48">
              <w:rPr>
                <w:sz w:val="20"/>
                <w:szCs w:val="20"/>
              </w:rPr>
              <w:t xml:space="preserve"> is considerable, particularly </w:t>
            </w:r>
            <w:r w:rsidR="00173073" w:rsidRPr="634A1E48">
              <w:rPr>
                <w:sz w:val="20"/>
                <w:szCs w:val="20"/>
              </w:rPr>
              <w:t xml:space="preserve">between 2021 and 2025. That may put stress on mana whenua and </w:t>
            </w:r>
            <w:r w:rsidR="006A6AA5" w:rsidRPr="634A1E48">
              <w:rPr>
                <w:sz w:val="20"/>
                <w:szCs w:val="20"/>
              </w:rPr>
              <w:t>affect their health and wellbeing.</w:t>
            </w:r>
          </w:p>
          <w:p w14:paraId="532152C9" w14:textId="3FA79ACD" w:rsidR="002411AB" w:rsidRDefault="000947AE"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 provisions in Option </w:t>
            </w:r>
            <w:r w:rsidR="00314EF2" w:rsidRPr="634A1E48">
              <w:rPr>
                <w:sz w:val="20"/>
                <w:szCs w:val="20"/>
              </w:rPr>
              <w:t>3</w:t>
            </w:r>
            <w:r w:rsidRPr="634A1E48">
              <w:rPr>
                <w:sz w:val="20"/>
                <w:szCs w:val="20"/>
              </w:rPr>
              <w:t xml:space="preserve"> may restrict the potential for Māori land to be developed or intensified</w:t>
            </w:r>
            <w:r w:rsidR="0081135F" w:rsidRPr="634A1E48">
              <w:rPr>
                <w:sz w:val="20"/>
                <w:szCs w:val="20"/>
              </w:rPr>
              <w:t xml:space="preserve"> which </w:t>
            </w:r>
            <w:r w:rsidR="00D44CC4" w:rsidRPr="634A1E48">
              <w:rPr>
                <w:sz w:val="20"/>
                <w:szCs w:val="20"/>
              </w:rPr>
              <w:t>could negatively affect</w:t>
            </w:r>
            <w:r w:rsidR="0081135F" w:rsidRPr="634A1E48">
              <w:rPr>
                <w:sz w:val="20"/>
                <w:szCs w:val="20"/>
              </w:rPr>
              <w:t xml:space="preserve"> the economic development of mana whenua. </w:t>
            </w:r>
          </w:p>
          <w:p w14:paraId="4FB45A08" w14:textId="69365E86" w:rsidR="00305552" w:rsidRPr="00305552" w:rsidRDefault="00305552" w:rsidP="000F043E">
            <w:pPr>
              <w:spacing w:before="60" w:after="60"/>
              <w:jc w:val="both"/>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78F6641E" w14:textId="77777777" w:rsidTr="000F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EEAF6" w:themeFill="accent5" w:themeFillTint="33"/>
          </w:tcPr>
          <w:p w14:paraId="667A32A9" w14:textId="77777777" w:rsidR="00E9552F" w:rsidRPr="00AE42AF" w:rsidRDefault="00E9552F" w:rsidP="000F043E">
            <w:pPr>
              <w:jc w:val="center"/>
              <w:rPr>
                <w:sz w:val="20"/>
              </w:rPr>
            </w:pPr>
            <w:r w:rsidRPr="00AE42AF">
              <w:rPr>
                <w:sz w:val="20"/>
              </w:rPr>
              <w:lastRenderedPageBreak/>
              <w:t>Social</w:t>
            </w:r>
          </w:p>
        </w:tc>
      </w:tr>
      <w:tr w:rsidR="00E9552F" w:rsidRPr="00FC5CD5" w14:paraId="14E37264" w14:textId="77777777" w:rsidTr="000F043E">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5" w:themeFillTint="33"/>
          </w:tcPr>
          <w:p w14:paraId="3587ACF7" w14:textId="4FEB369D" w:rsidR="001C2708" w:rsidRPr="001C2708" w:rsidRDefault="001C2708"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Implementing Te Mana o </w:t>
            </w:r>
            <w:r w:rsidR="00F7711F">
              <w:rPr>
                <w:b w:val="0"/>
                <w:sz w:val="20"/>
                <w:szCs w:val="20"/>
              </w:rPr>
              <w:t>te</w:t>
            </w:r>
            <w:r w:rsidRPr="634A1E48">
              <w:rPr>
                <w:b w:val="0"/>
                <w:sz w:val="20"/>
                <w:szCs w:val="20"/>
              </w:rPr>
              <w:t xml:space="preserve"> Wai will strengthen the requirement to consider the adverse effects of activities on drinking water supplies. </w:t>
            </w:r>
            <w:r w:rsidR="00DA3E06" w:rsidRPr="634A1E48">
              <w:rPr>
                <w:b w:val="0"/>
                <w:sz w:val="20"/>
                <w:szCs w:val="20"/>
              </w:rPr>
              <w:t>Greater oversight and improved or maintained water quality</w:t>
            </w:r>
            <w:r w:rsidRPr="634A1E48">
              <w:rPr>
                <w:b w:val="0"/>
                <w:sz w:val="20"/>
                <w:szCs w:val="20"/>
              </w:rPr>
              <w:t xml:space="preserve"> </w:t>
            </w:r>
            <w:r w:rsidR="00DA3E06" w:rsidRPr="634A1E48">
              <w:rPr>
                <w:b w:val="0"/>
                <w:sz w:val="20"/>
                <w:szCs w:val="20"/>
              </w:rPr>
              <w:t xml:space="preserve">across Otago will </w:t>
            </w:r>
            <w:r w:rsidR="00F73D00" w:rsidRPr="634A1E48">
              <w:rPr>
                <w:b w:val="0"/>
                <w:sz w:val="20"/>
                <w:szCs w:val="20"/>
              </w:rPr>
              <w:t>reduce risks to human health from contamination of drinking water supplies</w:t>
            </w:r>
            <w:r w:rsidR="00DE6AFD" w:rsidRPr="634A1E48">
              <w:rPr>
                <w:b w:val="0"/>
                <w:sz w:val="20"/>
                <w:szCs w:val="20"/>
              </w:rPr>
              <w:t xml:space="preserve"> and</w:t>
            </w:r>
            <w:r w:rsidR="00F7711F">
              <w:rPr>
                <w:b w:val="0"/>
                <w:sz w:val="20"/>
                <w:szCs w:val="20"/>
              </w:rPr>
              <w:t xml:space="preserve"> may</w:t>
            </w:r>
            <w:r w:rsidR="00DE6AFD" w:rsidRPr="634A1E48">
              <w:rPr>
                <w:b w:val="0"/>
                <w:sz w:val="20"/>
                <w:szCs w:val="20"/>
              </w:rPr>
              <w:t xml:space="preserve"> in some cases reduce hospital costs from admissions.</w:t>
            </w:r>
          </w:p>
          <w:p w14:paraId="065C8BFB" w14:textId="4A723F88" w:rsidR="00E9552F" w:rsidRPr="002365D1" w:rsidRDefault="00836655"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Option </w:t>
            </w:r>
            <w:r w:rsidR="00314EF2" w:rsidRPr="634A1E48">
              <w:rPr>
                <w:b w:val="0"/>
                <w:sz w:val="20"/>
                <w:szCs w:val="20"/>
              </w:rPr>
              <w:t>3</w:t>
            </w:r>
            <w:r w:rsidRPr="634A1E48">
              <w:rPr>
                <w:b w:val="0"/>
                <w:sz w:val="20"/>
                <w:szCs w:val="20"/>
              </w:rPr>
              <w:t xml:space="preserve"> contains </w:t>
            </w:r>
            <w:r w:rsidR="00C41A8F" w:rsidRPr="634A1E48">
              <w:rPr>
                <w:b w:val="0"/>
                <w:sz w:val="20"/>
                <w:szCs w:val="20"/>
              </w:rPr>
              <w:t>deadline</w:t>
            </w:r>
            <w:r w:rsidR="00F7711F">
              <w:rPr>
                <w:b w:val="0"/>
                <w:sz w:val="20"/>
                <w:szCs w:val="20"/>
              </w:rPr>
              <w:t>s</w:t>
            </w:r>
            <w:r w:rsidR="00C41A8F" w:rsidRPr="634A1E48">
              <w:rPr>
                <w:b w:val="0"/>
                <w:sz w:val="20"/>
                <w:szCs w:val="20"/>
              </w:rPr>
              <w:t xml:space="preserve"> by which specified rivers and lakes must be suitable for primary contact. Achieving these goals will reduce the risk of infection for those engaging in primary contact activities such as </w:t>
            </w:r>
            <w:r w:rsidR="002365D1" w:rsidRPr="634A1E48">
              <w:rPr>
                <w:b w:val="0"/>
                <w:sz w:val="20"/>
                <w:szCs w:val="20"/>
              </w:rPr>
              <w:t>swimming.</w:t>
            </w:r>
          </w:p>
          <w:p w14:paraId="41DE2D60" w14:textId="77777777" w:rsidR="002365D1" w:rsidRPr="002365D1" w:rsidRDefault="002365D1" w:rsidP="000F043E">
            <w:pPr>
              <w:pStyle w:val="ListParagraph"/>
              <w:numPr>
                <w:ilvl w:val="0"/>
                <w:numId w:val="22"/>
              </w:numPr>
              <w:spacing w:before="60" w:after="60"/>
              <w:contextualSpacing w:val="0"/>
              <w:jc w:val="both"/>
              <w:rPr>
                <w:b w:val="0"/>
                <w:sz w:val="20"/>
                <w:szCs w:val="20"/>
              </w:rPr>
            </w:pPr>
            <w:r w:rsidRPr="634A1E48">
              <w:rPr>
                <w:b w:val="0"/>
                <w:sz w:val="20"/>
                <w:szCs w:val="20"/>
              </w:rPr>
              <w:t>Improved management of land uses that contribute to sedimentation of water bodies is expected to lead to an increase in water clarity in some areas, increasing their value for recreation.</w:t>
            </w:r>
          </w:p>
          <w:p w14:paraId="2871CDE9" w14:textId="45E2F397" w:rsidR="002365D1" w:rsidRPr="00737931" w:rsidRDefault="00741B20" w:rsidP="000F043E">
            <w:pPr>
              <w:pStyle w:val="ListParagraph"/>
              <w:numPr>
                <w:ilvl w:val="0"/>
                <w:numId w:val="22"/>
              </w:numPr>
              <w:spacing w:before="60" w:after="60"/>
              <w:contextualSpacing w:val="0"/>
              <w:jc w:val="both"/>
              <w:rPr>
                <w:b w:val="0"/>
                <w:sz w:val="20"/>
                <w:szCs w:val="20"/>
              </w:rPr>
            </w:pPr>
            <w:r w:rsidRPr="634A1E48">
              <w:rPr>
                <w:b w:val="0"/>
                <w:sz w:val="20"/>
                <w:szCs w:val="20"/>
              </w:rPr>
              <w:t>In addition to the health and wellbeing of freshwater, t</w:t>
            </w:r>
            <w:r w:rsidR="00BA4C9F" w:rsidRPr="634A1E48">
              <w:rPr>
                <w:b w:val="0"/>
                <w:sz w:val="20"/>
                <w:szCs w:val="20"/>
              </w:rPr>
              <w:t xml:space="preserve">he provisions </w:t>
            </w:r>
            <w:r w:rsidR="00C740DB" w:rsidRPr="634A1E48">
              <w:rPr>
                <w:b w:val="0"/>
                <w:sz w:val="20"/>
                <w:szCs w:val="20"/>
              </w:rPr>
              <w:t xml:space="preserve">in Option </w:t>
            </w:r>
            <w:r w:rsidR="00314EF2" w:rsidRPr="634A1E48">
              <w:rPr>
                <w:b w:val="0"/>
                <w:sz w:val="20"/>
                <w:szCs w:val="20"/>
              </w:rPr>
              <w:t>3</w:t>
            </w:r>
            <w:r w:rsidR="00C740DB" w:rsidRPr="634A1E48">
              <w:rPr>
                <w:b w:val="0"/>
                <w:sz w:val="20"/>
                <w:szCs w:val="20"/>
              </w:rPr>
              <w:t xml:space="preserve"> that seek to preserve or restore the natural character of water bodies </w:t>
            </w:r>
            <w:r w:rsidRPr="634A1E48">
              <w:rPr>
                <w:b w:val="0"/>
                <w:sz w:val="20"/>
                <w:szCs w:val="20"/>
              </w:rPr>
              <w:t xml:space="preserve">may result in improved amenity </w:t>
            </w:r>
            <w:r w:rsidRPr="634A1E48">
              <w:rPr>
                <w:b w:val="0"/>
                <w:sz w:val="20"/>
                <w:szCs w:val="20"/>
              </w:rPr>
              <w:lastRenderedPageBreak/>
              <w:t>which is an important part of people’s enjoyment of the natural environment.</w:t>
            </w:r>
          </w:p>
          <w:p w14:paraId="1F6BD43A" w14:textId="2375E482" w:rsidR="00737931" w:rsidRPr="000136C1" w:rsidRDefault="00F202E9" w:rsidP="000F043E">
            <w:pPr>
              <w:pStyle w:val="ListParagraph"/>
              <w:numPr>
                <w:ilvl w:val="0"/>
                <w:numId w:val="22"/>
              </w:numPr>
              <w:spacing w:before="60" w:after="60"/>
              <w:contextualSpacing w:val="0"/>
              <w:jc w:val="both"/>
              <w:rPr>
                <w:b w:val="0"/>
                <w:sz w:val="20"/>
                <w:szCs w:val="20"/>
              </w:rPr>
            </w:pPr>
            <w:r w:rsidRPr="634A1E48">
              <w:rPr>
                <w:b w:val="0"/>
                <w:sz w:val="20"/>
                <w:szCs w:val="20"/>
              </w:rPr>
              <w:t>When resource users are operating within environmental limits, their “social licence” to operate may be improved.</w:t>
            </w:r>
          </w:p>
        </w:tc>
        <w:tc>
          <w:tcPr>
            <w:tcW w:w="4508" w:type="dxa"/>
            <w:shd w:val="clear" w:color="auto" w:fill="DEEAF6" w:themeFill="accent5" w:themeFillTint="33"/>
          </w:tcPr>
          <w:p w14:paraId="19CDE75B" w14:textId="75C8FBD1" w:rsidR="007A72B6" w:rsidRDefault="00727F0E"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The delay in achieving environmental outcomes (potentially for decades) may result in continued adverse effects on recreation </w:t>
            </w:r>
            <w:r w:rsidR="00F50EE4" w:rsidRPr="634A1E48">
              <w:rPr>
                <w:sz w:val="20"/>
                <w:szCs w:val="20"/>
              </w:rPr>
              <w:t xml:space="preserve">in the interim, for example where water quantity is not sufficient </w:t>
            </w:r>
            <w:r w:rsidR="005A217B" w:rsidRPr="634A1E48">
              <w:rPr>
                <w:sz w:val="20"/>
                <w:szCs w:val="20"/>
              </w:rPr>
              <w:t xml:space="preserve">to support </w:t>
            </w:r>
            <w:r w:rsidR="00ED1BF8" w:rsidRPr="634A1E48">
              <w:rPr>
                <w:sz w:val="20"/>
                <w:szCs w:val="20"/>
              </w:rPr>
              <w:t xml:space="preserve">activities such as kayaking or where degraded water quality </w:t>
            </w:r>
            <w:r w:rsidR="00DF4C9B" w:rsidRPr="634A1E48">
              <w:rPr>
                <w:sz w:val="20"/>
                <w:szCs w:val="20"/>
              </w:rPr>
              <w:t>prevents opportunities for fishing.</w:t>
            </w:r>
          </w:p>
          <w:p w14:paraId="336DA958" w14:textId="23DE530A" w:rsidR="00D44CC4" w:rsidRDefault="00C40C62"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Rural communities will face considerable costs in fully implementing Option </w:t>
            </w:r>
            <w:r w:rsidR="00722279" w:rsidRPr="634A1E48">
              <w:rPr>
                <w:sz w:val="20"/>
                <w:szCs w:val="20"/>
              </w:rPr>
              <w:t>3</w:t>
            </w:r>
            <w:r w:rsidRPr="634A1E48">
              <w:rPr>
                <w:sz w:val="20"/>
                <w:szCs w:val="20"/>
              </w:rPr>
              <w:t xml:space="preserve"> </w:t>
            </w:r>
            <w:r w:rsidR="005928CF" w:rsidRPr="634A1E48">
              <w:rPr>
                <w:sz w:val="20"/>
                <w:szCs w:val="20"/>
              </w:rPr>
              <w:t xml:space="preserve">and uncertainty until the full planning framework envisaged is implemented, </w:t>
            </w:r>
            <w:r w:rsidRPr="634A1E48">
              <w:rPr>
                <w:sz w:val="20"/>
                <w:szCs w:val="20"/>
              </w:rPr>
              <w:t xml:space="preserve">which may contribute to mental health pressures in those communities, particularly </w:t>
            </w:r>
            <w:r w:rsidR="007D33B5" w:rsidRPr="634A1E48">
              <w:rPr>
                <w:sz w:val="20"/>
                <w:szCs w:val="20"/>
              </w:rPr>
              <w:t>in catchments where there is over-allocation and significant changes in water and land use are required.</w:t>
            </w:r>
            <w:r w:rsidR="00680F9D" w:rsidRPr="634A1E48">
              <w:rPr>
                <w:sz w:val="20"/>
                <w:szCs w:val="20"/>
              </w:rPr>
              <w:t xml:space="preserve"> </w:t>
            </w:r>
          </w:p>
          <w:p w14:paraId="270EFF1A" w14:textId="77777777" w:rsidR="00D51585" w:rsidRDefault="00D51585"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If the </w:t>
            </w:r>
            <w:r w:rsidR="00331019" w:rsidRPr="634A1E48">
              <w:rPr>
                <w:sz w:val="20"/>
                <w:szCs w:val="20"/>
              </w:rPr>
              <w:t xml:space="preserve">impact on farm profits in some Otago communities are significant, there may be job losses. Communities affected by job losses may experience a reduction in population numbers and, longer-term, </w:t>
            </w:r>
            <w:r w:rsidR="004B4EF4" w:rsidRPr="634A1E48">
              <w:rPr>
                <w:sz w:val="20"/>
                <w:szCs w:val="20"/>
              </w:rPr>
              <w:t>the availability of local services.</w:t>
            </w:r>
          </w:p>
          <w:p w14:paraId="152C5C64" w14:textId="66AC602B" w:rsidR="004E2134" w:rsidRDefault="001A19D3"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Option </w:t>
            </w:r>
            <w:r w:rsidR="00722279" w:rsidRPr="634A1E48">
              <w:rPr>
                <w:sz w:val="20"/>
                <w:szCs w:val="20"/>
              </w:rPr>
              <w:t>3</w:t>
            </w:r>
            <w:r w:rsidRPr="634A1E48">
              <w:rPr>
                <w:sz w:val="20"/>
                <w:szCs w:val="20"/>
              </w:rPr>
              <w:t xml:space="preserve"> proposes more stringent </w:t>
            </w:r>
            <w:r w:rsidR="00827B01" w:rsidRPr="634A1E48">
              <w:rPr>
                <w:sz w:val="20"/>
                <w:szCs w:val="20"/>
              </w:rPr>
              <w:t xml:space="preserve">requirements for discharges of stormwater and wastewater discharges, most </w:t>
            </w:r>
            <w:r w:rsidR="003C6250" w:rsidRPr="634A1E48">
              <w:rPr>
                <w:sz w:val="20"/>
                <w:szCs w:val="20"/>
              </w:rPr>
              <w:t xml:space="preserve">of which are managed by </w:t>
            </w:r>
            <w:proofErr w:type="spellStart"/>
            <w:r w:rsidR="003C6250" w:rsidRPr="634A1E48">
              <w:rPr>
                <w:sz w:val="20"/>
                <w:szCs w:val="20"/>
              </w:rPr>
              <w:t>TAs.</w:t>
            </w:r>
            <w:proofErr w:type="spellEnd"/>
            <w:r w:rsidR="003C6250" w:rsidRPr="634A1E48">
              <w:rPr>
                <w:sz w:val="20"/>
                <w:szCs w:val="20"/>
              </w:rPr>
              <w:t xml:space="preserve"> Upgrades to or new systems </w:t>
            </w:r>
            <w:r w:rsidR="00C24468" w:rsidRPr="634A1E48">
              <w:rPr>
                <w:sz w:val="20"/>
                <w:szCs w:val="20"/>
              </w:rPr>
              <w:t xml:space="preserve">will largely be funded by rates, which may lead to increases in rates for Otago’s communities. </w:t>
            </w:r>
            <w:r w:rsidR="004F738C" w:rsidRPr="634A1E48">
              <w:rPr>
                <w:sz w:val="20"/>
                <w:szCs w:val="20"/>
              </w:rPr>
              <w:t xml:space="preserve"> Increases in rates can have considerable negative effects on the health and wellbeing of people, particularly those on low and/or fixed incomes who are not able to absorb increases without a corresponding decrease in their quality of life.</w:t>
            </w:r>
          </w:p>
          <w:p w14:paraId="06B97C55" w14:textId="72BB43FE" w:rsidR="00BB6553" w:rsidRPr="00FC5CD5" w:rsidRDefault="00BB6553" w:rsidP="000F043E">
            <w:pPr>
              <w:spacing w:before="60" w:after="60"/>
              <w:jc w:val="both"/>
              <w:cnfStyle w:val="000000000000" w:firstRow="0" w:lastRow="0" w:firstColumn="0" w:lastColumn="0" w:oddVBand="0" w:evenVBand="0" w:oddHBand="0" w:evenHBand="0" w:firstRowFirstColumn="0" w:firstRowLastColumn="0" w:lastRowFirstColumn="0" w:lastRowLastColumn="0"/>
              <w:rPr>
                <w:bCs/>
                <w:sz w:val="20"/>
              </w:rPr>
            </w:pPr>
          </w:p>
        </w:tc>
      </w:tr>
      <w:tr w:rsidR="00E9552F" w:rsidRPr="00AE42AF" w14:paraId="73905BDD" w14:textId="77777777" w:rsidTr="000F04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shd w:val="clear" w:color="auto" w:fill="DEEAF6" w:themeFill="accent5" w:themeFillTint="33"/>
          </w:tcPr>
          <w:p w14:paraId="74A831EE" w14:textId="2DB334E9" w:rsidR="00E9552F" w:rsidRPr="00AE42AF" w:rsidRDefault="00E9552F" w:rsidP="000F043E">
            <w:pPr>
              <w:jc w:val="center"/>
              <w:rPr>
                <w:sz w:val="20"/>
              </w:rPr>
            </w:pPr>
            <w:r>
              <w:rPr>
                <w:sz w:val="20"/>
              </w:rPr>
              <w:lastRenderedPageBreak/>
              <w:t>Economic</w:t>
            </w:r>
          </w:p>
        </w:tc>
      </w:tr>
      <w:tr w:rsidR="00E9552F" w:rsidRPr="000136C1" w14:paraId="47050691" w14:textId="77777777" w:rsidTr="000F043E">
        <w:tc>
          <w:tcPr>
            <w:cnfStyle w:val="001000000000" w:firstRow="0" w:lastRow="0" w:firstColumn="1" w:lastColumn="0" w:oddVBand="0" w:evenVBand="0" w:oddHBand="0" w:evenHBand="0" w:firstRowFirstColumn="0" w:firstRowLastColumn="0" w:lastRowFirstColumn="0" w:lastRowLastColumn="0"/>
            <w:tcW w:w="4508" w:type="dxa"/>
            <w:shd w:val="clear" w:color="auto" w:fill="DEEAF6" w:themeFill="accent5" w:themeFillTint="33"/>
          </w:tcPr>
          <w:p w14:paraId="2848C055" w14:textId="40BDDA38" w:rsidR="00E9552F" w:rsidRPr="00347F0F" w:rsidRDefault="002A7773"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Otago’s freshwater </w:t>
            </w:r>
            <w:r w:rsidR="0067460F" w:rsidRPr="634A1E48">
              <w:rPr>
                <w:b w:val="0"/>
                <w:sz w:val="20"/>
                <w:szCs w:val="20"/>
              </w:rPr>
              <w:t>bodies</w:t>
            </w:r>
            <w:r w:rsidRPr="634A1E48">
              <w:rPr>
                <w:b w:val="0"/>
                <w:sz w:val="20"/>
                <w:szCs w:val="20"/>
              </w:rPr>
              <w:t xml:space="preserve"> </w:t>
            </w:r>
            <w:r w:rsidR="001D4D75" w:rsidRPr="634A1E48">
              <w:rPr>
                <w:b w:val="0"/>
                <w:sz w:val="20"/>
                <w:szCs w:val="20"/>
              </w:rPr>
              <w:t>are</w:t>
            </w:r>
            <w:r w:rsidR="0067460F" w:rsidRPr="634A1E48">
              <w:rPr>
                <w:b w:val="0"/>
                <w:sz w:val="20"/>
                <w:szCs w:val="20"/>
              </w:rPr>
              <w:t xml:space="preserve"> tourist drawcards. Ensuring their health and wellbeing into the future, including through improvements where required, will </w:t>
            </w:r>
            <w:r w:rsidR="00347F0F" w:rsidRPr="634A1E48">
              <w:rPr>
                <w:b w:val="0"/>
                <w:sz w:val="20"/>
                <w:szCs w:val="20"/>
              </w:rPr>
              <w:t>support the long-term sustainability of Otago’s tourism</w:t>
            </w:r>
            <w:r w:rsidR="00D217D6" w:rsidRPr="634A1E48">
              <w:rPr>
                <w:b w:val="0"/>
                <w:sz w:val="20"/>
                <w:szCs w:val="20"/>
              </w:rPr>
              <w:t xml:space="preserve"> sector</w:t>
            </w:r>
            <w:r w:rsidR="00347F0F" w:rsidRPr="634A1E48">
              <w:rPr>
                <w:b w:val="0"/>
                <w:sz w:val="20"/>
                <w:szCs w:val="20"/>
              </w:rPr>
              <w:t>.</w:t>
            </w:r>
          </w:p>
          <w:p w14:paraId="4D3A32F6" w14:textId="175C5CBC" w:rsidR="00347F0F" w:rsidRPr="00FC719F" w:rsidRDefault="00842A3A" w:rsidP="000F043E">
            <w:pPr>
              <w:pStyle w:val="ListParagraph"/>
              <w:numPr>
                <w:ilvl w:val="0"/>
                <w:numId w:val="22"/>
              </w:numPr>
              <w:spacing w:before="60" w:after="60"/>
              <w:contextualSpacing w:val="0"/>
              <w:jc w:val="both"/>
              <w:rPr>
                <w:sz w:val="20"/>
                <w:szCs w:val="20"/>
              </w:rPr>
            </w:pPr>
            <w:r w:rsidRPr="634A1E48">
              <w:rPr>
                <w:b w:val="0"/>
                <w:sz w:val="20"/>
                <w:szCs w:val="20"/>
              </w:rPr>
              <w:t xml:space="preserve">Implementation of Option </w:t>
            </w:r>
            <w:r w:rsidR="00487442" w:rsidRPr="634A1E48">
              <w:rPr>
                <w:b w:val="0"/>
                <w:sz w:val="20"/>
                <w:szCs w:val="20"/>
              </w:rPr>
              <w:t>3</w:t>
            </w:r>
            <w:r w:rsidRPr="634A1E48">
              <w:rPr>
                <w:b w:val="0"/>
                <w:sz w:val="20"/>
                <w:szCs w:val="20"/>
              </w:rPr>
              <w:t xml:space="preserve"> through the LWRP is likely to </w:t>
            </w:r>
            <w:r w:rsidR="00182F88" w:rsidRPr="634A1E48">
              <w:rPr>
                <w:b w:val="0"/>
                <w:sz w:val="20"/>
                <w:szCs w:val="20"/>
              </w:rPr>
              <w:t xml:space="preserve">provide </w:t>
            </w:r>
            <w:r w:rsidR="00F7711F">
              <w:rPr>
                <w:b w:val="0"/>
                <w:sz w:val="20"/>
                <w:szCs w:val="20"/>
              </w:rPr>
              <w:t>employment</w:t>
            </w:r>
            <w:r w:rsidR="00182F88" w:rsidRPr="634A1E48">
              <w:rPr>
                <w:b w:val="0"/>
                <w:sz w:val="20"/>
                <w:szCs w:val="20"/>
              </w:rPr>
              <w:t xml:space="preserve"> opportunities, particularly in rural communities, to undertake the actions required to achieve </w:t>
            </w:r>
            <w:r w:rsidR="00924C4A" w:rsidRPr="634A1E48">
              <w:rPr>
                <w:b w:val="0"/>
                <w:sz w:val="20"/>
                <w:szCs w:val="20"/>
              </w:rPr>
              <w:t>the</w:t>
            </w:r>
            <w:r w:rsidR="00182F88" w:rsidRPr="634A1E48">
              <w:rPr>
                <w:b w:val="0"/>
                <w:sz w:val="20"/>
                <w:szCs w:val="20"/>
              </w:rPr>
              <w:t xml:space="preserve"> environmental outcomes</w:t>
            </w:r>
            <w:r w:rsidR="00924C4A" w:rsidRPr="634A1E48">
              <w:rPr>
                <w:b w:val="0"/>
                <w:sz w:val="20"/>
                <w:szCs w:val="20"/>
              </w:rPr>
              <w:t xml:space="preserve"> sought</w:t>
            </w:r>
            <w:r w:rsidR="00182F88" w:rsidRPr="634A1E48">
              <w:rPr>
                <w:b w:val="0"/>
                <w:sz w:val="20"/>
                <w:szCs w:val="20"/>
              </w:rPr>
              <w:t xml:space="preserve">. For example, riparian planting, </w:t>
            </w:r>
            <w:r w:rsidR="005F7212" w:rsidRPr="634A1E48">
              <w:rPr>
                <w:b w:val="0"/>
                <w:sz w:val="20"/>
                <w:szCs w:val="20"/>
              </w:rPr>
              <w:t>fencing of waterways and farm advisory services.</w:t>
            </w:r>
          </w:p>
          <w:p w14:paraId="30DCCE1D" w14:textId="0BA6A17B" w:rsidR="00052B6A" w:rsidRPr="00A517FF" w:rsidRDefault="00052B6A"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Protecting highly productive land </w:t>
            </w:r>
            <w:r w:rsidR="00722279" w:rsidRPr="634A1E48">
              <w:rPr>
                <w:b w:val="0"/>
                <w:sz w:val="20"/>
                <w:szCs w:val="20"/>
              </w:rPr>
              <w:t xml:space="preserve">and maintaining soil resources </w:t>
            </w:r>
            <w:r w:rsidRPr="634A1E48">
              <w:rPr>
                <w:b w:val="0"/>
                <w:sz w:val="20"/>
                <w:szCs w:val="20"/>
              </w:rPr>
              <w:t xml:space="preserve">will </w:t>
            </w:r>
            <w:r w:rsidR="00631D2A" w:rsidRPr="634A1E48">
              <w:rPr>
                <w:b w:val="0"/>
                <w:sz w:val="20"/>
                <w:szCs w:val="20"/>
              </w:rPr>
              <w:t>retain land</w:t>
            </w:r>
            <w:r w:rsidR="00722279" w:rsidRPr="634A1E48">
              <w:rPr>
                <w:b w:val="0"/>
                <w:sz w:val="20"/>
                <w:szCs w:val="20"/>
              </w:rPr>
              <w:t xml:space="preserve"> and soil resources</w:t>
            </w:r>
            <w:r w:rsidR="00631D2A" w:rsidRPr="634A1E48">
              <w:rPr>
                <w:b w:val="0"/>
                <w:sz w:val="20"/>
                <w:szCs w:val="20"/>
              </w:rPr>
              <w:t xml:space="preserve"> that </w:t>
            </w:r>
            <w:r w:rsidR="00722279" w:rsidRPr="634A1E48">
              <w:rPr>
                <w:b w:val="0"/>
                <w:sz w:val="20"/>
                <w:szCs w:val="20"/>
              </w:rPr>
              <w:t xml:space="preserve">provide economic value </w:t>
            </w:r>
            <w:r w:rsidR="00F7711F">
              <w:rPr>
                <w:b w:val="0"/>
                <w:sz w:val="20"/>
                <w:szCs w:val="20"/>
              </w:rPr>
              <w:t xml:space="preserve">and employment opportunities </w:t>
            </w:r>
            <w:r w:rsidR="00722279" w:rsidRPr="634A1E48">
              <w:rPr>
                <w:b w:val="0"/>
                <w:sz w:val="20"/>
                <w:szCs w:val="20"/>
              </w:rPr>
              <w:t>to Otago’s communities.</w:t>
            </w:r>
          </w:p>
          <w:p w14:paraId="2819F365" w14:textId="36009A75" w:rsidR="00A517FF" w:rsidRPr="0010618D" w:rsidRDefault="00924C4A" w:rsidP="000F043E">
            <w:pPr>
              <w:pStyle w:val="ListParagraph"/>
              <w:numPr>
                <w:ilvl w:val="0"/>
                <w:numId w:val="22"/>
              </w:numPr>
              <w:spacing w:before="60" w:after="60"/>
              <w:contextualSpacing w:val="0"/>
              <w:jc w:val="both"/>
              <w:rPr>
                <w:b w:val="0"/>
                <w:sz w:val="20"/>
                <w:szCs w:val="20"/>
              </w:rPr>
            </w:pPr>
            <w:r w:rsidRPr="634A1E48">
              <w:rPr>
                <w:b w:val="0"/>
                <w:sz w:val="20"/>
                <w:szCs w:val="20"/>
              </w:rPr>
              <w:t xml:space="preserve">In the long term, </w:t>
            </w:r>
            <w:r w:rsidR="00704A64" w:rsidRPr="634A1E48">
              <w:rPr>
                <w:b w:val="0"/>
                <w:sz w:val="20"/>
                <w:szCs w:val="20"/>
              </w:rPr>
              <w:t>there will be increased certainty for resource users in Otago</w:t>
            </w:r>
            <w:r w:rsidR="0098371B" w:rsidRPr="634A1E48">
              <w:rPr>
                <w:b w:val="0"/>
                <w:sz w:val="20"/>
                <w:szCs w:val="20"/>
              </w:rPr>
              <w:t xml:space="preserve"> which will support long-term economic sustainability and confidence in business investment. </w:t>
            </w:r>
          </w:p>
          <w:p w14:paraId="7D532F43" w14:textId="32DC93B2" w:rsidR="0010618D" w:rsidRPr="007D5BE0" w:rsidRDefault="00863740" w:rsidP="000F043E">
            <w:pPr>
              <w:pStyle w:val="ListParagraph"/>
              <w:numPr>
                <w:ilvl w:val="0"/>
                <w:numId w:val="22"/>
              </w:numPr>
              <w:spacing w:before="60" w:after="60"/>
              <w:contextualSpacing w:val="0"/>
              <w:jc w:val="both"/>
              <w:rPr>
                <w:b w:val="0"/>
                <w:sz w:val="20"/>
                <w:szCs w:val="20"/>
              </w:rPr>
            </w:pPr>
            <w:r w:rsidRPr="634A1E48">
              <w:rPr>
                <w:b w:val="0"/>
                <w:sz w:val="20"/>
                <w:szCs w:val="20"/>
              </w:rPr>
              <w:t>Public perception of primary production occurring within a healthy environment may lead to v</w:t>
            </w:r>
            <w:r w:rsidR="0010618D" w:rsidRPr="634A1E48">
              <w:rPr>
                <w:b w:val="0"/>
                <w:sz w:val="20"/>
                <w:szCs w:val="20"/>
              </w:rPr>
              <w:t>alue add for primary products</w:t>
            </w:r>
            <w:r w:rsidRPr="634A1E48">
              <w:rPr>
                <w:b w:val="0"/>
                <w:sz w:val="20"/>
                <w:szCs w:val="20"/>
              </w:rPr>
              <w:t>.</w:t>
            </w:r>
          </w:p>
          <w:p w14:paraId="7B4927BB" w14:textId="77777777" w:rsidR="007D5BE0" w:rsidRPr="007D5BE0" w:rsidRDefault="007D5BE0" w:rsidP="000F043E">
            <w:pPr>
              <w:pStyle w:val="ListParagraph"/>
              <w:spacing w:before="60" w:after="60"/>
              <w:contextualSpacing w:val="0"/>
              <w:jc w:val="both"/>
              <w:rPr>
                <w:sz w:val="20"/>
              </w:rPr>
            </w:pPr>
          </w:p>
          <w:p w14:paraId="5E66B1A3" w14:textId="77777777" w:rsidR="007D5BE0" w:rsidRPr="00B61BEE" w:rsidRDefault="001F7F23" w:rsidP="000F043E">
            <w:pPr>
              <w:pStyle w:val="ListParagraph"/>
              <w:numPr>
                <w:ilvl w:val="0"/>
                <w:numId w:val="22"/>
              </w:numPr>
              <w:spacing w:before="60" w:after="60"/>
              <w:contextualSpacing w:val="0"/>
              <w:jc w:val="both"/>
              <w:rPr>
                <w:b w:val="0"/>
                <w:sz w:val="20"/>
                <w:szCs w:val="20"/>
              </w:rPr>
            </w:pPr>
            <w:r w:rsidRPr="634A1E48">
              <w:rPr>
                <w:b w:val="0"/>
                <w:sz w:val="20"/>
                <w:szCs w:val="20"/>
              </w:rPr>
              <w:t>Over time, there will be increased certainty for consent applicants and OR</w:t>
            </w:r>
            <w:r w:rsidR="006862CA" w:rsidRPr="634A1E48">
              <w:rPr>
                <w:b w:val="0"/>
                <w:sz w:val="20"/>
                <w:szCs w:val="20"/>
              </w:rPr>
              <w:t>C staff assessing applications due to the introduction of limits on resource use and clear objectives for freshwater health.</w:t>
            </w:r>
          </w:p>
          <w:p w14:paraId="0421166A" w14:textId="1CAB50BA" w:rsidR="00B61BEE" w:rsidRPr="000136C1" w:rsidRDefault="00B61BEE" w:rsidP="000F043E">
            <w:pPr>
              <w:pStyle w:val="ListParagraph"/>
              <w:numPr>
                <w:ilvl w:val="0"/>
                <w:numId w:val="22"/>
              </w:numPr>
              <w:spacing w:before="60" w:after="60"/>
              <w:contextualSpacing w:val="0"/>
              <w:jc w:val="both"/>
              <w:rPr>
                <w:b w:val="0"/>
                <w:sz w:val="20"/>
                <w:szCs w:val="20"/>
              </w:rPr>
            </w:pPr>
            <w:r w:rsidRPr="634A1E48">
              <w:rPr>
                <w:b w:val="0"/>
                <w:sz w:val="20"/>
                <w:szCs w:val="20"/>
              </w:rPr>
              <w:t>If drinking water supplies are protected, and water quality is improved so that more water supplies are suitable for human consumption without treatment, there may be decreases in costs associated with treating drinking water.</w:t>
            </w:r>
          </w:p>
        </w:tc>
        <w:tc>
          <w:tcPr>
            <w:tcW w:w="4508" w:type="dxa"/>
            <w:shd w:val="clear" w:color="auto" w:fill="DEEAF6" w:themeFill="accent5" w:themeFillTint="33"/>
          </w:tcPr>
          <w:p w14:paraId="7BEFF140" w14:textId="7BA9F2F0" w:rsidR="00185965" w:rsidRDefault="00185965"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provisions in Option 3 represent a paradigm shift in freshwater management in the region. There will be significant constraints on the uses of water and land which will, in turn, have considerable impacts on economic growth and employment. The quantum of these costs has not been identified and will depend, in large part, on the provisions developed under the LWRP to implement Option 3. However, the significant shift in policy direction from the current state means it is likely the costs will be significant. </w:t>
            </w:r>
          </w:p>
          <w:p w14:paraId="2265A1F5" w14:textId="53D541DA" w:rsidR="00E14C4A" w:rsidRDefault="00E14C4A"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Otago’s communities will incur costs arising from implementing Option </w:t>
            </w:r>
            <w:r w:rsidR="00722279" w:rsidRPr="634A1E48">
              <w:rPr>
                <w:sz w:val="20"/>
                <w:szCs w:val="20"/>
              </w:rPr>
              <w:t>3</w:t>
            </w:r>
            <w:r w:rsidRPr="634A1E48">
              <w:rPr>
                <w:sz w:val="20"/>
                <w:szCs w:val="20"/>
              </w:rPr>
              <w:t>, particularly from the development and implementation of the LWRP. In the development stage, this includes the cost of preparing submissions and appearing at hearings. The significance and complexity of the LWRP will likely make this engagement a large commitment for most submitters. Implementation of the LWRP will also result in costs to land and water users in Otago, particularly where limits or targets are considerably more conservative than the current planning framework. This is likely to require a range of changes in land and water use practices which will come at a cost that is unable to be quantified at this stage.</w:t>
            </w:r>
          </w:p>
          <w:p w14:paraId="700E2331" w14:textId="45D84412" w:rsidR="00E9552F" w:rsidRDefault="00FB26F4"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34A1E48">
              <w:rPr>
                <w:sz w:val="20"/>
                <w:szCs w:val="20"/>
              </w:rPr>
              <w:t>MfE</w:t>
            </w:r>
            <w:proofErr w:type="spellEnd"/>
            <w:r w:rsidRPr="634A1E48">
              <w:rPr>
                <w:sz w:val="20"/>
                <w:szCs w:val="20"/>
              </w:rPr>
              <w:t xml:space="preserve"> estimates</w:t>
            </w:r>
            <w:r w:rsidR="001355E9" w:rsidRPr="634A1E48">
              <w:rPr>
                <w:sz w:val="20"/>
                <w:szCs w:val="20"/>
              </w:rPr>
              <w:t xml:space="preserve"> that </w:t>
            </w:r>
            <w:r w:rsidR="00F200A9" w:rsidRPr="634A1E48">
              <w:rPr>
                <w:sz w:val="20"/>
                <w:szCs w:val="20"/>
              </w:rPr>
              <w:t xml:space="preserve">regional councils will likely need to employ </w:t>
            </w:r>
            <w:r w:rsidR="001B3CFF" w:rsidRPr="634A1E48">
              <w:rPr>
                <w:sz w:val="20"/>
                <w:szCs w:val="20"/>
              </w:rPr>
              <w:t>1-2</w:t>
            </w:r>
            <w:r w:rsidR="00F61B85" w:rsidRPr="634A1E48">
              <w:rPr>
                <w:sz w:val="20"/>
                <w:szCs w:val="20"/>
              </w:rPr>
              <w:t xml:space="preserve"> </w:t>
            </w:r>
            <w:r w:rsidR="001B3CFF" w:rsidRPr="634A1E48">
              <w:rPr>
                <w:sz w:val="20"/>
                <w:szCs w:val="20"/>
              </w:rPr>
              <w:t>FTE</w:t>
            </w:r>
            <w:r w:rsidR="00F200A9" w:rsidRPr="634A1E48">
              <w:rPr>
                <w:sz w:val="20"/>
                <w:szCs w:val="20"/>
              </w:rPr>
              <w:t xml:space="preserve"> in-house </w:t>
            </w:r>
            <w:proofErr w:type="spellStart"/>
            <w:r w:rsidR="00F200A9" w:rsidRPr="634A1E48">
              <w:rPr>
                <w:sz w:val="20"/>
                <w:szCs w:val="20"/>
              </w:rPr>
              <w:t>kaupapa</w:t>
            </w:r>
            <w:proofErr w:type="spellEnd"/>
            <w:r w:rsidR="00F200A9" w:rsidRPr="634A1E48">
              <w:rPr>
                <w:sz w:val="20"/>
                <w:szCs w:val="20"/>
              </w:rPr>
              <w:t xml:space="preserve"> Māori specialists</w:t>
            </w:r>
            <w:r w:rsidR="001B3CFF" w:rsidRPr="634A1E48">
              <w:rPr>
                <w:sz w:val="20"/>
                <w:szCs w:val="20"/>
              </w:rPr>
              <w:t xml:space="preserve"> per region</w:t>
            </w:r>
            <w:r w:rsidR="00F200A9" w:rsidRPr="634A1E48">
              <w:rPr>
                <w:sz w:val="20"/>
                <w:szCs w:val="20"/>
              </w:rPr>
              <w:t xml:space="preserve"> to </w:t>
            </w:r>
            <w:r w:rsidR="002A54EB" w:rsidRPr="634A1E48">
              <w:rPr>
                <w:sz w:val="20"/>
                <w:szCs w:val="20"/>
              </w:rPr>
              <w:t>fully implement the requirements of Te Mana o Te Wai and the NPSF</w:t>
            </w:r>
            <w:r w:rsidR="001B3CFF" w:rsidRPr="634A1E48">
              <w:rPr>
                <w:sz w:val="20"/>
                <w:szCs w:val="20"/>
              </w:rPr>
              <w:t xml:space="preserve">M, at a cost of approximately $90,000 - $200,000 annually </w:t>
            </w:r>
            <w:sdt>
              <w:sdtPr>
                <w:rPr>
                  <w:sz w:val="20"/>
                  <w:szCs w:val="20"/>
                </w:rPr>
                <w:id w:val="-519322284"/>
                <w:placeholder>
                  <w:docPart w:val="88D265A415914D6082B57FA7F5DBD1D2"/>
                </w:placeholder>
                <w:citation/>
              </w:sdtPr>
              <w:sdtContent>
                <w:r w:rsidR="00B37BE1" w:rsidRPr="634A1E48">
                  <w:rPr>
                    <w:sz w:val="20"/>
                    <w:szCs w:val="20"/>
                  </w:rPr>
                  <w:fldChar w:fldCharType="begin"/>
                </w:r>
                <w:r w:rsidR="002B7FF2" w:rsidRPr="634A1E48">
                  <w:rPr>
                    <w:sz w:val="20"/>
                    <w:szCs w:val="20"/>
                  </w:rPr>
                  <w:instrText xml:space="preserve">CITATION Min20 \p 166 \l 5129 </w:instrText>
                </w:r>
                <w:r w:rsidR="00B37BE1" w:rsidRPr="634A1E48">
                  <w:rPr>
                    <w:sz w:val="20"/>
                    <w:szCs w:val="20"/>
                  </w:rPr>
                  <w:fldChar w:fldCharType="separate"/>
                </w:r>
                <w:r w:rsidR="00246D02" w:rsidRPr="634A1E48">
                  <w:rPr>
                    <w:sz w:val="20"/>
                    <w:szCs w:val="20"/>
                  </w:rPr>
                  <w:t>(Ministry for the Environment, 2020, p. 166)</w:t>
                </w:r>
                <w:r w:rsidR="00B37BE1" w:rsidRPr="634A1E48">
                  <w:rPr>
                    <w:sz w:val="20"/>
                    <w:szCs w:val="20"/>
                  </w:rPr>
                  <w:fldChar w:fldCharType="end"/>
                </w:r>
              </w:sdtContent>
            </w:sdt>
            <w:r w:rsidR="00B37BE1" w:rsidRPr="634A1E48">
              <w:rPr>
                <w:sz w:val="20"/>
                <w:szCs w:val="20"/>
              </w:rPr>
              <w:t xml:space="preserve">. </w:t>
            </w:r>
            <w:r w:rsidR="001B3CFF" w:rsidRPr="634A1E48">
              <w:rPr>
                <w:sz w:val="20"/>
                <w:szCs w:val="20"/>
              </w:rPr>
              <w:t xml:space="preserve"> </w:t>
            </w:r>
          </w:p>
          <w:p w14:paraId="517469E8" w14:textId="3E484969" w:rsidR="00EB454A" w:rsidRDefault="00FB26F4"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34A1E48">
              <w:rPr>
                <w:sz w:val="20"/>
                <w:szCs w:val="20"/>
              </w:rPr>
              <w:t>MfE</w:t>
            </w:r>
            <w:proofErr w:type="spellEnd"/>
            <w:r w:rsidRPr="634A1E48">
              <w:rPr>
                <w:sz w:val="20"/>
                <w:szCs w:val="20"/>
              </w:rPr>
              <w:t xml:space="preserve"> estimates that </w:t>
            </w:r>
            <w:r w:rsidR="00D76EBB" w:rsidRPr="634A1E48">
              <w:rPr>
                <w:sz w:val="20"/>
                <w:szCs w:val="20"/>
              </w:rPr>
              <w:t>the current costs for working with mana whenua to identify values</w:t>
            </w:r>
            <w:r w:rsidR="00BD1E75" w:rsidRPr="634A1E48">
              <w:rPr>
                <w:sz w:val="20"/>
                <w:szCs w:val="20"/>
              </w:rPr>
              <w:t xml:space="preserve"> (the first step of the NOF process) is between $20,000 and $50,000 per FMU where there is a single iwi or established grouping </w:t>
            </w:r>
            <w:sdt>
              <w:sdtPr>
                <w:rPr>
                  <w:sz w:val="20"/>
                  <w:szCs w:val="20"/>
                </w:rPr>
                <w:id w:val="1478798155"/>
                <w:placeholder>
                  <w:docPart w:val="88D265A415914D6082B57FA7F5DBD1D2"/>
                </w:placeholder>
                <w:citation/>
              </w:sdtPr>
              <w:sdtContent>
                <w:r w:rsidR="00BD1E75" w:rsidRPr="634A1E48">
                  <w:rPr>
                    <w:sz w:val="20"/>
                    <w:szCs w:val="20"/>
                  </w:rPr>
                  <w:fldChar w:fldCharType="begin"/>
                </w:r>
                <w:r w:rsidR="00BD1E75" w:rsidRPr="634A1E48">
                  <w:rPr>
                    <w:sz w:val="20"/>
                    <w:szCs w:val="20"/>
                  </w:rPr>
                  <w:instrText xml:space="preserve">CITATION Min20 \p 167 \l 5129 </w:instrText>
                </w:r>
                <w:r w:rsidR="00BD1E75" w:rsidRPr="634A1E48">
                  <w:rPr>
                    <w:sz w:val="20"/>
                    <w:szCs w:val="20"/>
                  </w:rPr>
                  <w:fldChar w:fldCharType="separate"/>
                </w:r>
                <w:r w:rsidR="00246D02" w:rsidRPr="634A1E48">
                  <w:rPr>
                    <w:sz w:val="20"/>
                    <w:szCs w:val="20"/>
                  </w:rPr>
                  <w:t>(Ministry for the Environment, 2020, p. 167)</w:t>
                </w:r>
                <w:r w:rsidR="00BD1E75" w:rsidRPr="634A1E48">
                  <w:rPr>
                    <w:sz w:val="20"/>
                    <w:szCs w:val="20"/>
                  </w:rPr>
                  <w:fldChar w:fldCharType="end"/>
                </w:r>
              </w:sdtContent>
            </w:sdt>
            <w:r w:rsidR="00BD1E75" w:rsidRPr="634A1E48">
              <w:rPr>
                <w:sz w:val="20"/>
                <w:szCs w:val="20"/>
              </w:rPr>
              <w:t xml:space="preserve">. </w:t>
            </w:r>
            <w:r w:rsidR="004F1758" w:rsidRPr="634A1E48">
              <w:rPr>
                <w:sz w:val="20"/>
                <w:szCs w:val="20"/>
              </w:rPr>
              <w:t>Adapting those figures for the Otago context (</w:t>
            </w:r>
            <w:r w:rsidR="00F0732B" w:rsidRPr="634A1E48">
              <w:rPr>
                <w:sz w:val="20"/>
                <w:szCs w:val="20"/>
              </w:rPr>
              <w:t xml:space="preserve">4 FMUs and </w:t>
            </w:r>
            <w:r w:rsidR="00AA31CD" w:rsidRPr="634A1E48">
              <w:rPr>
                <w:sz w:val="20"/>
                <w:szCs w:val="20"/>
              </w:rPr>
              <w:t xml:space="preserve">5 </w:t>
            </w:r>
            <w:proofErr w:type="spellStart"/>
            <w:r w:rsidR="00AA31CD" w:rsidRPr="634A1E48">
              <w:rPr>
                <w:sz w:val="20"/>
                <w:szCs w:val="20"/>
              </w:rPr>
              <w:lastRenderedPageBreak/>
              <w:t>rohe</w:t>
            </w:r>
            <w:proofErr w:type="spellEnd"/>
            <w:r w:rsidR="00AA31CD" w:rsidRPr="634A1E48">
              <w:rPr>
                <w:sz w:val="20"/>
                <w:szCs w:val="20"/>
              </w:rPr>
              <w:t>)</w:t>
            </w:r>
            <w:r w:rsidR="004F1758" w:rsidRPr="634A1E48">
              <w:rPr>
                <w:sz w:val="20"/>
                <w:szCs w:val="20"/>
              </w:rPr>
              <w:t xml:space="preserve">, ORC could expect to </w:t>
            </w:r>
            <w:r w:rsidR="00AA31CD" w:rsidRPr="634A1E48">
              <w:rPr>
                <w:sz w:val="20"/>
                <w:szCs w:val="20"/>
              </w:rPr>
              <w:t>incur between $</w:t>
            </w:r>
            <w:r w:rsidR="005047E7" w:rsidRPr="634A1E48">
              <w:rPr>
                <w:sz w:val="20"/>
                <w:szCs w:val="20"/>
              </w:rPr>
              <w:t xml:space="preserve">180,000 and </w:t>
            </w:r>
            <w:r w:rsidR="00D82C4C" w:rsidRPr="634A1E48">
              <w:rPr>
                <w:sz w:val="20"/>
                <w:szCs w:val="20"/>
              </w:rPr>
              <w:t>$450,000</w:t>
            </w:r>
            <w:r w:rsidR="000B5C17" w:rsidRPr="634A1E48">
              <w:rPr>
                <w:sz w:val="20"/>
                <w:szCs w:val="20"/>
              </w:rPr>
              <w:t xml:space="preserve"> in working with mana whenua</w:t>
            </w:r>
            <w:r w:rsidR="00C948A0" w:rsidRPr="634A1E48">
              <w:rPr>
                <w:sz w:val="20"/>
                <w:szCs w:val="20"/>
              </w:rPr>
              <w:t xml:space="preserve"> to identify </w:t>
            </w:r>
            <w:r w:rsidR="000B5C17" w:rsidRPr="634A1E48">
              <w:rPr>
                <w:sz w:val="20"/>
                <w:szCs w:val="20"/>
              </w:rPr>
              <w:t xml:space="preserve">values in each FMU and </w:t>
            </w:r>
            <w:proofErr w:type="spellStart"/>
            <w:r w:rsidR="000B5C17" w:rsidRPr="634A1E48">
              <w:rPr>
                <w:sz w:val="20"/>
                <w:szCs w:val="20"/>
              </w:rPr>
              <w:t>rohe</w:t>
            </w:r>
            <w:proofErr w:type="spellEnd"/>
            <w:r w:rsidR="000B5C17" w:rsidRPr="634A1E48">
              <w:rPr>
                <w:sz w:val="20"/>
                <w:szCs w:val="20"/>
              </w:rPr>
              <w:t xml:space="preserve">. </w:t>
            </w:r>
            <w:r w:rsidR="00236E6E" w:rsidRPr="634A1E48">
              <w:rPr>
                <w:sz w:val="20"/>
                <w:szCs w:val="20"/>
              </w:rPr>
              <w:t>There will be ongoing and increased costs to ORC to continue to work with mana whenua in accordance with the partnership</w:t>
            </w:r>
            <w:r w:rsidR="007A203A" w:rsidRPr="634A1E48">
              <w:rPr>
                <w:sz w:val="20"/>
                <w:szCs w:val="20"/>
              </w:rPr>
              <w:t xml:space="preserve"> approach set out in Option </w:t>
            </w:r>
            <w:r w:rsidR="00750E0F" w:rsidRPr="634A1E48">
              <w:rPr>
                <w:sz w:val="20"/>
                <w:szCs w:val="20"/>
              </w:rPr>
              <w:t>3</w:t>
            </w:r>
            <w:r w:rsidR="007A203A" w:rsidRPr="634A1E48">
              <w:rPr>
                <w:sz w:val="20"/>
                <w:szCs w:val="20"/>
              </w:rPr>
              <w:t xml:space="preserve"> </w:t>
            </w:r>
            <w:r w:rsidR="005F3EDC" w:rsidRPr="634A1E48">
              <w:rPr>
                <w:sz w:val="20"/>
                <w:szCs w:val="20"/>
              </w:rPr>
              <w:t>to complete the remainder of the NOF process across Otago.</w:t>
            </w:r>
          </w:p>
          <w:p w14:paraId="12E9E46F" w14:textId="65624FE9" w:rsidR="005F3EDC" w:rsidRDefault="00F16B54"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634A1E48">
              <w:rPr>
                <w:sz w:val="20"/>
                <w:szCs w:val="20"/>
              </w:rPr>
              <w:t>MfE</w:t>
            </w:r>
            <w:proofErr w:type="spellEnd"/>
            <w:r w:rsidRPr="634A1E48">
              <w:rPr>
                <w:sz w:val="20"/>
                <w:szCs w:val="20"/>
              </w:rPr>
              <w:t xml:space="preserve"> estimates that the cost of involving mana whenua in monitoring </w:t>
            </w:r>
            <w:r w:rsidR="003E0726" w:rsidRPr="634A1E48">
              <w:rPr>
                <w:sz w:val="20"/>
                <w:szCs w:val="20"/>
              </w:rPr>
              <w:t xml:space="preserve">programmes for freshwater </w:t>
            </w:r>
            <w:r w:rsidR="00245C08" w:rsidRPr="634A1E48">
              <w:rPr>
                <w:sz w:val="20"/>
                <w:szCs w:val="20"/>
              </w:rPr>
              <w:t>may be between $30,000 and $50,000</w:t>
            </w:r>
            <w:r w:rsidR="007200A0" w:rsidRPr="634A1E48">
              <w:rPr>
                <w:sz w:val="20"/>
                <w:szCs w:val="20"/>
              </w:rPr>
              <w:t xml:space="preserve"> </w:t>
            </w:r>
            <w:r w:rsidR="005F2E3B" w:rsidRPr="634A1E48">
              <w:rPr>
                <w:sz w:val="20"/>
                <w:szCs w:val="20"/>
              </w:rPr>
              <w:t>per</w:t>
            </w:r>
            <w:r w:rsidR="00AC0C2E" w:rsidRPr="634A1E48">
              <w:rPr>
                <w:sz w:val="20"/>
                <w:szCs w:val="20"/>
              </w:rPr>
              <w:t xml:space="preserve"> year</w:t>
            </w:r>
            <w:r w:rsidR="00DF4C9B" w:rsidRPr="634A1E48">
              <w:rPr>
                <w:sz w:val="20"/>
                <w:szCs w:val="20"/>
              </w:rPr>
              <w:t xml:space="preserve"> </w:t>
            </w:r>
            <w:sdt>
              <w:sdtPr>
                <w:rPr>
                  <w:sz w:val="20"/>
                  <w:szCs w:val="20"/>
                </w:rPr>
                <w:id w:val="1321935618"/>
                <w:placeholder>
                  <w:docPart w:val="88D265A415914D6082B57FA7F5DBD1D2"/>
                </w:placeholder>
                <w:citation/>
              </w:sdtPr>
              <w:sdtContent>
                <w:r w:rsidR="008D200A" w:rsidRPr="634A1E48">
                  <w:rPr>
                    <w:sz w:val="20"/>
                    <w:szCs w:val="20"/>
                  </w:rPr>
                  <w:fldChar w:fldCharType="begin"/>
                </w:r>
                <w:r w:rsidR="008D200A" w:rsidRPr="634A1E48">
                  <w:rPr>
                    <w:sz w:val="20"/>
                    <w:szCs w:val="20"/>
                  </w:rPr>
                  <w:instrText xml:space="preserve">CITATION Min20 \p 183 \l 5129 </w:instrText>
                </w:r>
                <w:r w:rsidR="008D200A" w:rsidRPr="634A1E48">
                  <w:rPr>
                    <w:sz w:val="20"/>
                    <w:szCs w:val="20"/>
                  </w:rPr>
                  <w:fldChar w:fldCharType="separate"/>
                </w:r>
                <w:r w:rsidR="00246D02" w:rsidRPr="634A1E48">
                  <w:rPr>
                    <w:sz w:val="20"/>
                    <w:szCs w:val="20"/>
                  </w:rPr>
                  <w:t>(Ministry for the Environment, 2020, p. 183)</w:t>
                </w:r>
                <w:r w:rsidR="008D200A" w:rsidRPr="634A1E48">
                  <w:rPr>
                    <w:sz w:val="20"/>
                    <w:szCs w:val="20"/>
                  </w:rPr>
                  <w:fldChar w:fldCharType="end"/>
                </w:r>
              </w:sdtContent>
            </w:sdt>
            <w:r w:rsidR="00AC0C2E" w:rsidRPr="634A1E48">
              <w:rPr>
                <w:sz w:val="20"/>
                <w:szCs w:val="20"/>
              </w:rPr>
              <w:t>.</w:t>
            </w:r>
            <w:r w:rsidR="001865E0" w:rsidRPr="634A1E48">
              <w:rPr>
                <w:sz w:val="20"/>
                <w:szCs w:val="20"/>
              </w:rPr>
              <w:t xml:space="preserve"> The monitoring requirements </w:t>
            </w:r>
            <w:r w:rsidR="00846F76" w:rsidRPr="634A1E48">
              <w:rPr>
                <w:sz w:val="20"/>
                <w:szCs w:val="20"/>
              </w:rPr>
              <w:t xml:space="preserve">in Option </w:t>
            </w:r>
            <w:r w:rsidR="00463E07" w:rsidRPr="634A1E48">
              <w:rPr>
                <w:sz w:val="20"/>
                <w:szCs w:val="20"/>
              </w:rPr>
              <w:t>3</w:t>
            </w:r>
            <w:r w:rsidR="00846F76" w:rsidRPr="634A1E48">
              <w:rPr>
                <w:sz w:val="20"/>
                <w:szCs w:val="20"/>
              </w:rPr>
              <w:t>, including cultural health monitoring, are unlikely to be implemented immediately</w:t>
            </w:r>
            <w:r w:rsidR="00B00D0C" w:rsidRPr="634A1E48">
              <w:rPr>
                <w:sz w:val="20"/>
                <w:szCs w:val="20"/>
              </w:rPr>
              <w:t xml:space="preserve"> and it is expected that there would be additional costs in the early stages to engage with mana whenua in setting up the monitoring</w:t>
            </w:r>
            <w:r w:rsidR="0046220B" w:rsidRPr="634A1E48">
              <w:rPr>
                <w:sz w:val="20"/>
                <w:szCs w:val="20"/>
              </w:rPr>
              <w:t xml:space="preserve"> programme initially. </w:t>
            </w:r>
            <w:r w:rsidR="00B00D0C" w:rsidRPr="634A1E48">
              <w:rPr>
                <w:sz w:val="20"/>
                <w:szCs w:val="20"/>
              </w:rPr>
              <w:t xml:space="preserve"> </w:t>
            </w:r>
          </w:p>
          <w:p w14:paraId="0FE46D5E" w14:textId="225FBBD4" w:rsidR="005F7212" w:rsidRDefault="005F7212"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In the short-term, before the LWRP is notified, there will be additional costs for resource consent applicants from needing to assess proposals against the PORPS 2021. Given the significant strengthening of the freshwater management framework through Option </w:t>
            </w:r>
            <w:r w:rsidR="00463E07" w:rsidRPr="634A1E48">
              <w:rPr>
                <w:sz w:val="20"/>
                <w:szCs w:val="20"/>
              </w:rPr>
              <w:t>3</w:t>
            </w:r>
            <w:r w:rsidRPr="634A1E48">
              <w:rPr>
                <w:sz w:val="20"/>
                <w:szCs w:val="20"/>
              </w:rPr>
              <w:t>, this may result in applicants having to alter their proposals and/or increase remediation or mitigation measured proposed. In some cases, applications may be declined.</w:t>
            </w:r>
          </w:p>
          <w:p w14:paraId="553773E0" w14:textId="77777777" w:rsidR="005F7212" w:rsidRDefault="00BB6553"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TAs </w:t>
            </w:r>
            <w:proofErr w:type="gramStart"/>
            <w:r w:rsidRPr="634A1E48">
              <w:rPr>
                <w:sz w:val="20"/>
                <w:szCs w:val="20"/>
              </w:rPr>
              <w:t>in particular will</w:t>
            </w:r>
            <w:proofErr w:type="gramEnd"/>
            <w:r w:rsidRPr="634A1E48">
              <w:rPr>
                <w:sz w:val="20"/>
                <w:szCs w:val="20"/>
              </w:rPr>
              <w:t xml:space="preserve"> incur costs from complying with the direction regarding stormwater and wastewater discharges. While some of these may be accounted for within existing planned upgrades or new systems, </w:t>
            </w:r>
            <w:r w:rsidR="003315DA" w:rsidRPr="634A1E48">
              <w:rPr>
                <w:sz w:val="20"/>
                <w:szCs w:val="20"/>
              </w:rPr>
              <w:t>it is likely that the majority is currently not budgeted for. These costs are likely to be passed on to communities, at least in part, through increases to rates.</w:t>
            </w:r>
          </w:p>
          <w:p w14:paraId="04658DFE" w14:textId="272F8FDD" w:rsidR="00CB7156" w:rsidRPr="000136C1" w:rsidRDefault="00804EA3" w:rsidP="000F043E">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ORC will incur costs in undertaking the scientific work needed to inform the development of the LWRP, the primary method of implementation for Option </w:t>
            </w:r>
            <w:r w:rsidR="00463E07" w:rsidRPr="634A1E48">
              <w:rPr>
                <w:sz w:val="20"/>
                <w:szCs w:val="20"/>
              </w:rPr>
              <w:t>3</w:t>
            </w:r>
            <w:r w:rsidRPr="634A1E48">
              <w:rPr>
                <w:sz w:val="20"/>
                <w:szCs w:val="20"/>
              </w:rPr>
              <w:t>.</w:t>
            </w:r>
            <w:r w:rsidR="00C664D5" w:rsidRPr="634A1E48">
              <w:rPr>
                <w:sz w:val="20"/>
                <w:szCs w:val="20"/>
              </w:rPr>
              <w:t xml:space="preserve"> ORC is already in the process of increasing their </w:t>
            </w:r>
            <w:r w:rsidR="00B3353D" w:rsidRPr="634A1E48">
              <w:rPr>
                <w:sz w:val="20"/>
                <w:szCs w:val="20"/>
              </w:rPr>
              <w:t xml:space="preserve">science resourcing </w:t>
            </w:r>
            <w:r w:rsidR="00A11FD6" w:rsidRPr="634A1E48">
              <w:rPr>
                <w:sz w:val="20"/>
                <w:szCs w:val="20"/>
              </w:rPr>
              <w:t>from 9.4 to 21 FTEs.</w:t>
            </w:r>
            <w:r w:rsidR="002D0CE0" w:rsidRPr="634A1E48">
              <w:rPr>
                <w:sz w:val="20"/>
                <w:szCs w:val="20"/>
              </w:rPr>
              <w:t xml:space="preserve"> Those costs are already budgeted for by ORC</w:t>
            </w:r>
            <w:r w:rsidR="009B6991" w:rsidRPr="634A1E48">
              <w:rPr>
                <w:sz w:val="20"/>
                <w:szCs w:val="20"/>
              </w:rPr>
              <w:t xml:space="preserve">, not additional costs </w:t>
            </w:r>
            <w:proofErr w:type="gramStart"/>
            <w:r w:rsidR="009B6991" w:rsidRPr="634A1E48">
              <w:rPr>
                <w:sz w:val="20"/>
                <w:szCs w:val="20"/>
              </w:rPr>
              <w:t>as a result of</w:t>
            </w:r>
            <w:proofErr w:type="gramEnd"/>
            <w:r w:rsidR="009B6991" w:rsidRPr="634A1E48">
              <w:rPr>
                <w:sz w:val="20"/>
                <w:szCs w:val="20"/>
              </w:rPr>
              <w:t xml:space="preserve"> Option </w:t>
            </w:r>
            <w:r w:rsidR="00463E07" w:rsidRPr="634A1E48">
              <w:rPr>
                <w:sz w:val="20"/>
                <w:szCs w:val="20"/>
              </w:rPr>
              <w:t>3</w:t>
            </w:r>
            <w:r w:rsidR="009B6991" w:rsidRPr="634A1E48">
              <w:rPr>
                <w:sz w:val="20"/>
                <w:szCs w:val="20"/>
              </w:rPr>
              <w:t>.</w:t>
            </w:r>
          </w:p>
        </w:tc>
      </w:tr>
    </w:tbl>
    <w:p w14:paraId="26D9B27B" w14:textId="47800D98" w:rsidR="00E9552F" w:rsidRDefault="00E9552F" w:rsidP="000F043E">
      <w:pPr>
        <w:shd w:val="clear" w:color="auto" w:fill="DEEAF6" w:themeFill="accent5" w:themeFillTint="33"/>
      </w:pPr>
    </w:p>
    <w:p w14:paraId="08A0EF4E" w14:textId="4A92310D" w:rsidR="00E9552F" w:rsidRDefault="00662540" w:rsidP="000F043E">
      <w:pPr>
        <w:shd w:val="clear" w:color="auto" w:fill="DEEAF6" w:themeFill="accent5" w:themeFillTint="33"/>
      </w:pPr>
      <w:r>
        <w:fldChar w:fldCharType="begin"/>
      </w:r>
      <w:r>
        <w:instrText xml:space="preserve"> REF _Ref64274821 \h </w:instrText>
      </w:r>
      <w:r w:rsidR="00CF0142">
        <w:instrText xml:space="preserve"> \* MERGEFORMAT </w:instrText>
      </w:r>
      <w:r>
        <w:fldChar w:fldCharType="separate"/>
      </w:r>
      <w:r w:rsidR="002A7A16">
        <w:t xml:space="preserve">Table </w:t>
      </w:r>
      <w:r w:rsidR="002A7A16">
        <w:rPr>
          <w:noProof/>
        </w:rPr>
        <w:t>36</w:t>
      </w:r>
      <w:r>
        <w:fldChar w:fldCharType="end"/>
      </w:r>
      <w:r>
        <w:t xml:space="preserve"> </w:t>
      </w:r>
      <w:r w:rsidR="00E9552F">
        <w:t>below assesses the effectiveness and efficiency of the proposed provisions in achieving the objectives.</w:t>
      </w:r>
    </w:p>
    <w:p w14:paraId="210935EA" w14:textId="5977C231" w:rsidR="00E9552F" w:rsidRDefault="00E9552F" w:rsidP="000F043E">
      <w:pPr>
        <w:pStyle w:val="Caption"/>
        <w:keepNext/>
      </w:pPr>
      <w:bookmarkStart w:id="93" w:name="_Ref64274821"/>
      <w:r>
        <w:t xml:space="preserve">Table </w:t>
      </w:r>
      <w:r>
        <w:fldChar w:fldCharType="begin"/>
      </w:r>
      <w:r>
        <w:instrText>SEQ Table \* ARABIC</w:instrText>
      </w:r>
      <w:r>
        <w:fldChar w:fldCharType="separate"/>
      </w:r>
      <w:r w:rsidR="002A7A16">
        <w:rPr>
          <w:noProof/>
        </w:rPr>
        <w:t>36</w:t>
      </w:r>
      <w:r>
        <w:fldChar w:fldCharType="end"/>
      </w:r>
      <w:bookmarkEnd w:id="93"/>
      <w:r>
        <w:t>: Efficiency and effectiveness evaluation for land and fresh water</w:t>
      </w:r>
    </w:p>
    <w:tbl>
      <w:tblPr>
        <w:tblW w:w="0" w:type="auto"/>
        <w:shd w:val="clear" w:color="auto" w:fill="DEEAF6" w:themeFill="accent5" w:themeFillTint="33"/>
        <w:tblLook w:val="04A0" w:firstRow="1" w:lastRow="0" w:firstColumn="1" w:lastColumn="0" w:noHBand="0" w:noVBand="1"/>
      </w:tblPr>
      <w:tblGrid>
        <w:gridCol w:w="1413"/>
        <w:gridCol w:w="7603"/>
      </w:tblGrid>
      <w:tr w:rsidR="00E9552F" w:rsidRPr="00C767B5" w14:paraId="740A0B4D" w14:textId="77777777" w:rsidTr="000F043E">
        <w:tc>
          <w:tcPr>
            <w:tcW w:w="1413" w:type="dxa"/>
            <w:tcBorders>
              <w:top w:val="single" w:sz="4" w:space="0" w:color="C9C9C9" w:themeColor="accent3" w:themeTint="99"/>
              <w:bottom w:val="single" w:sz="4" w:space="0" w:color="C9C9C9" w:themeColor="accent3" w:themeTint="99"/>
            </w:tcBorders>
            <w:shd w:val="clear" w:color="auto" w:fill="DEEAF6" w:themeFill="accent5" w:themeFillTint="33"/>
          </w:tcPr>
          <w:p w14:paraId="79661CC8" w14:textId="77777777" w:rsidR="00E9552F" w:rsidRPr="00C767B5" w:rsidRDefault="00E9552F" w:rsidP="000F043E">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shd w:val="clear" w:color="auto" w:fill="DEEAF6" w:themeFill="accent5" w:themeFillTint="33"/>
          </w:tcPr>
          <w:p w14:paraId="5D6B2F7F" w14:textId="02BBD349" w:rsidR="00E9552F" w:rsidRPr="00C767B5" w:rsidRDefault="002A60CD" w:rsidP="000F043E">
            <w:pPr>
              <w:jc w:val="both"/>
              <w:rPr>
                <w:sz w:val="20"/>
              </w:rPr>
            </w:pPr>
            <w:r>
              <w:rPr>
                <w:sz w:val="20"/>
              </w:rPr>
              <w:t xml:space="preserve">Implementation of Option </w:t>
            </w:r>
            <w:r w:rsidR="00463E07">
              <w:rPr>
                <w:sz w:val="20"/>
              </w:rPr>
              <w:t>3</w:t>
            </w:r>
            <w:r>
              <w:rPr>
                <w:sz w:val="20"/>
              </w:rPr>
              <w:t xml:space="preserve"> will result in considerable costs for ORC and communities. Those costs will vary depending on the provisions included in the LWRP and the degree </w:t>
            </w:r>
            <w:r w:rsidR="00BB76C4">
              <w:rPr>
                <w:sz w:val="20"/>
              </w:rPr>
              <w:t xml:space="preserve">of change in water and land use required to meet defined environmental outcomes in the LWRP. </w:t>
            </w:r>
            <w:r w:rsidR="00185965">
              <w:rPr>
                <w:sz w:val="20"/>
              </w:rPr>
              <w:t xml:space="preserve">While the costs are unquantified at this stage, the significant shift in policy direction </w:t>
            </w:r>
            <w:r w:rsidR="00185965">
              <w:rPr>
                <w:sz w:val="20"/>
              </w:rPr>
              <w:lastRenderedPageBreak/>
              <w:t xml:space="preserve">in Option 3 will constrain or prevent some uses of water and land across the region. </w:t>
            </w:r>
            <w:r w:rsidR="00AD423C">
              <w:rPr>
                <w:sz w:val="20"/>
              </w:rPr>
              <w:t xml:space="preserve">To a large extent, those costs are unavoidable due to the requirement to implement the NPSFM which is the primary driver behind the provisions in Option </w:t>
            </w:r>
            <w:r w:rsidR="00463E07">
              <w:rPr>
                <w:sz w:val="20"/>
              </w:rPr>
              <w:t>3</w:t>
            </w:r>
            <w:r w:rsidR="00AD423C">
              <w:rPr>
                <w:sz w:val="20"/>
              </w:rPr>
              <w:t xml:space="preserve">. </w:t>
            </w:r>
            <w:r w:rsidR="00E87103">
              <w:rPr>
                <w:sz w:val="20"/>
              </w:rPr>
              <w:t xml:space="preserve">While some of the </w:t>
            </w:r>
            <w:r w:rsidR="00185965">
              <w:rPr>
                <w:sz w:val="20"/>
              </w:rPr>
              <w:t xml:space="preserve">implementation </w:t>
            </w:r>
            <w:r w:rsidR="00E87103">
              <w:rPr>
                <w:sz w:val="20"/>
              </w:rPr>
              <w:t xml:space="preserve">costs can be quantified, the benefits of this option are much more difficult to quantify as they are mostly environmental, </w:t>
            </w:r>
            <w:proofErr w:type="gramStart"/>
            <w:r w:rsidR="00E87103">
              <w:rPr>
                <w:sz w:val="20"/>
              </w:rPr>
              <w:t>cultural</w:t>
            </w:r>
            <w:proofErr w:type="gramEnd"/>
            <w:r w:rsidR="00E87103">
              <w:rPr>
                <w:sz w:val="20"/>
              </w:rPr>
              <w:t xml:space="preserve"> and social. </w:t>
            </w:r>
            <w:r w:rsidR="00B02EE1">
              <w:rPr>
                <w:sz w:val="20"/>
              </w:rPr>
              <w:t xml:space="preserve">That accords with the direction in Objective 1 of the NPSFM to prioritise, first, the health and wellbeing of </w:t>
            </w:r>
            <w:r w:rsidR="0068488B">
              <w:rPr>
                <w:sz w:val="20"/>
              </w:rPr>
              <w:t>water bodies; second, the health needs of people</w:t>
            </w:r>
            <w:r w:rsidR="00914342">
              <w:rPr>
                <w:sz w:val="20"/>
              </w:rPr>
              <w:t xml:space="preserve">; and third, the ability to provide for the social, </w:t>
            </w:r>
            <w:proofErr w:type="gramStart"/>
            <w:r w:rsidR="00914342">
              <w:rPr>
                <w:sz w:val="20"/>
              </w:rPr>
              <w:t>economic</w:t>
            </w:r>
            <w:proofErr w:type="gramEnd"/>
            <w:r w:rsidR="00914342">
              <w:rPr>
                <w:sz w:val="20"/>
              </w:rPr>
              <w:t xml:space="preserve"> and cultural wellbeing of people and communities. While the costs </w:t>
            </w:r>
            <w:r w:rsidR="0031146B">
              <w:rPr>
                <w:sz w:val="20"/>
              </w:rPr>
              <w:t xml:space="preserve">of Option </w:t>
            </w:r>
            <w:r w:rsidR="000C4CE3">
              <w:rPr>
                <w:sz w:val="20"/>
              </w:rPr>
              <w:t>3</w:t>
            </w:r>
            <w:r w:rsidR="0031146B">
              <w:rPr>
                <w:sz w:val="20"/>
              </w:rPr>
              <w:t xml:space="preserve"> are considerable, so too are the benefits and therefore Option </w:t>
            </w:r>
            <w:r w:rsidR="000C4CE3">
              <w:rPr>
                <w:sz w:val="20"/>
              </w:rPr>
              <w:t>3</w:t>
            </w:r>
            <w:r w:rsidR="0031146B">
              <w:rPr>
                <w:sz w:val="20"/>
              </w:rPr>
              <w:t xml:space="preserve"> </w:t>
            </w:r>
            <w:proofErr w:type="gramStart"/>
            <w:r w:rsidR="0031146B">
              <w:rPr>
                <w:sz w:val="20"/>
              </w:rPr>
              <w:t>is considered to be</w:t>
            </w:r>
            <w:proofErr w:type="gramEnd"/>
            <w:r w:rsidR="0031146B">
              <w:rPr>
                <w:sz w:val="20"/>
              </w:rPr>
              <w:t xml:space="preserve"> efficient</w:t>
            </w:r>
            <w:r w:rsidR="00185965">
              <w:rPr>
                <w:sz w:val="20"/>
              </w:rPr>
              <w:t xml:space="preserve"> in achieving the objectives in the PORPS 2021.</w:t>
            </w:r>
          </w:p>
        </w:tc>
      </w:tr>
      <w:tr w:rsidR="00E9552F" w:rsidRPr="00C767B5" w14:paraId="5AA5B0E8" w14:textId="77777777" w:rsidTr="000F043E">
        <w:tc>
          <w:tcPr>
            <w:tcW w:w="1413" w:type="dxa"/>
            <w:tcBorders>
              <w:top w:val="single" w:sz="4" w:space="0" w:color="C9C9C9" w:themeColor="accent3" w:themeTint="99"/>
              <w:bottom w:val="single" w:sz="4" w:space="0" w:color="C9C9C9" w:themeColor="accent3" w:themeTint="99"/>
            </w:tcBorders>
            <w:shd w:val="clear" w:color="auto" w:fill="DEEAF6" w:themeFill="accent5" w:themeFillTint="33"/>
          </w:tcPr>
          <w:p w14:paraId="406085F4" w14:textId="77777777" w:rsidR="00E9552F" w:rsidRPr="00C767B5" w:rsidRDefault="00E9552F" w:rsidP="000F043E">
            <w:pPr>
              <w:jc w:val="both"/>
              <w:rPr>
                <w:b/>
                <w:sz w:val="20"/>
              </w:rPr>
            </w:pPr>
            <w:r w:rsidRPr="00C767B5">
              <w:rPr>
                <w:b/>
                <w:sz w:val="20"/>
              </w:rPr>
              <w:lastRenderedPageBreak/>
              <w:t>Effectiveness</w:t>
            </w:r>
          </w:p>
        </w:tc>
        <w:tc>
          <w:tcPr>
            <w:tcW w:w="7603" w:type="dxa"/>
            <w:tcBorders>
              <w:top w:val="single" w:sz="4" w:space="0" w:color="C9C9C9" w:themeColor="accent3" w:themeTint="99"/>
              <w:bottom w:val="single" w:sz="4" w:space="0" w:color="C9C9C9" w:themeColor="accent3" w:themeTint="99"/>
            </w:tcBorders>
            <w:shd w:val="clear" w:color="auto" w:fill="DEEAF6" w:themeFill="accent5" w:themeFillTint="33"/>
          </w:tcPr>
          <w:p w14:paraId="51FFBA94" w14:textId="77DB19BE" w:rsidR="00E9552F" w:rsidRPr="00C767B5" w:rsidRDefault="000729A5" w:rsidP="000F043E">
            <w:pPr>
              <w:jc w:val="both"/>
              <w:rPr>
                <w:sz w:val="20"/>
              </w:rPr>
            </w:pPr>
            <w:r>
              <w:rPr>
                <w:sz w:val="20"/>
              </w:rPr>
              <w:t xml:space="preserve">The policies in Option </w:t>
            </w:r>
            <w:r w:rsidR="000C4CE3">
              <w:rPr>
                <w:sz w:val="20"/>
              </w:rPr>
              <w:t>3</w:t>
            </w:r>
            <w:r>
              <w:rPr>
                <w:sz w:val="20"/>
              </w:rPr>
              <w:t xml:space="preserve"> </w:t>
            </w:r>
            <w:r w:rsidR="0044063F">
              <w:rPr>
                <w:sz w:val="20"/>
              </w:rPr>
              <w:t xml:space="preserve">seek to direct decision-making in freshwater management processes to ensure that the objectives </w:t>
            </w:r>
            <w:r w:rsidR="00185965">
              <w:rPr>
                <w:sz w:val="20"/>
              </w:rPr>
              <w:t xml:space="preserve">in the LF chapter </w:t>
            </w:r>
            <w:r w:rsidR="0044063F">
              <w:rPr>
                <w:sz w:val="20"/>
              </w:rPr>
              <w:t xml:space="preserve">are met, both in the short and long-term. </w:t>
            </w:r>
            <w:r w:rsidR="00BE0C09">
              <w:rPr>
                <w:sz w:val="20"/>
              </w:rPr>
              <w:t xml:space="preserve">The specific and clear direction </w:t>
            </w:r>
            <w:r w:rsidR="00C811EF">
              <w:rPr>
                <w:sz w:val="20"/>
              </w:rPr>
              <w:t xml:space="preserve">in the policies </w:t>
            </w:r>
            <w:r w:rsidR="00BE0C09">
              <w:rPr>
                <w:sz w:val="20"/>
              </w:rPr>
              <w:t>will be effective in achieving the objectives</w:t>
            </w:r>
            <w:r w:rsidR="00C811EF">
              <w:rPr>
                <w:sz w:val="20"/>
              </w:rPr>
              <w:t xml:space="preserve">, notably by setting out how Te Mana o </w:t>
            </w:r>
            <w:r w:rsidR="00185965">
              <w:rPr>
                <w:sz w:val="20"/>
              </w:rPr>
              <w:t>t</w:t>
            </w:r>
            <w:r w:rsidR="00C811EF">
              <w:rPr>
                <w:sz w:val="20"/>
              </w:rPr>
              <w:t xml:space="preserve">e Wai will be implemented, the role for mana whenua, and the land and water use practices that will be required to meet the objectives. </w:t>
            </w:r>
            <w:r w:rsidR="004E53AD">
              <w:rPr>
                <w:sz w:val="20"/>
              </w:rPr>
              <w:t xml:space="preserve">The methods in Option </w:t>
            </w:r>
            <w:r w:rsidR="000C4CE3">
              <w:rPr>
                <w:sz w:val="20"/>
              </w:rPr>
              <w:t>3</w:t>
            </w:r>
            <w:r w:rsidR="004E53AD">
              <w:rPr>
                <w:sz w:val="20"/>
              </w:rPr>
              <w:t xml:space="preserve"> implement the policies by providing clear direction to ORC </w:t>
            </w:r>
            <w:proofErr w:type="gramStart"/>
            <w:r w:rsidR="004E53AD">
              <w:rPr>
                <w:sz w:val="20"/>
              </w:rPr>
              <w:t>in particular about</w:t>
            </w:r>
            <w:proofErr w:type="gramEnd"/>
            <w:r w:rsidR="004E53AD">
              <w:rPr>
                <w:sz w:val="20"/>
              </w:rPr>
              <w:t xml:space="preserve"> the construction of the LWRP which will ultimately be the primary vehicle for implementing Option </w:t>
            </w:r>
            <w:r w:rsidR="000C4CE3">
              <w:rPr>
                <w:sz w:val="20"/>
              </w:rPr>
              <w:t>3</w:t>
            </w:r>
            <w:r w:rsidR="004E53AD">
              <w:rPr>
                <w:sz w:val="20"/>
              </w:rPr>
              <w:t xml:space="preserve">. </w:t>
            </w:r>
            <w:r w:rsidR="00185965">
              <w:rPr>
                <w:sz w:val="20"/>
              </w:rPr>
              <w:t>The</w:t>
            </w:r>
            <w:r w:rsidR="007908BA">
              <w:rPr>
                <w:sz w:val="20"/>
              </w:rPr>
              <w:t xml:space="preserve"> package of provisions in Option </w:t>
            </w:r>
            <w:r w:rsidR="000C4CE3">
              <w:rPr>
                <w:sz w:val="20"/>
              </w:rPr>
              <w:t>3</w:t>
            </w:r>
            <w:r w:rsidR="007908BA">
              <w:rPr>
                <w:sz w:val="20"/>
              </w:rPr>
              <w:t xml:space="preserve"> </w:t>
            </w:r>
            <w:proofErr w:type="gramStart"/>
            <w:r w:rsidR="007908BA">
              <w:rPr>
                <w:sz w:val="20"/>
              </w:rPr>
              <w:t>is considered to be</w:t>
            </w:r>
            <w:proofErr w:type="gramEnd"/>
            <w:r w:rsidR="007908BA">
              <w:rPr>
                <w:sz w:val="20"/>
              </w:rPr>
              <w:t xml:space="preserve"> effective</w:t>
            </w:r>
            <w:r w:rsidR="00185965">
              <w:rPr>
                <w:sz w:val="20"/>
              </w:rPr>
              <w:t xml:space="preserve"> at achieving the objectives in the PORPS 2021.</w:t>
            </w:r>
          </w:p>
        </w:tc>
      </w:tr>
    </w:tbl>
    <w:p w14:paraId="218098C3" w14:textId="77777777" w:rsidR="00E9552F" w:rsidRDefault="00E9552F" w:rsidP="000F043E">
      <w:pPr>
        <w:shd w:val="clear" w:color="auto" w:fill="DEEAF6" w:themeFill="accent5" w:themeFillTint="33"/>
      </w:pPr>
    </w:p>
    <w:p w14:paraId="5D713A91" w14:textId="77777777" w:rsidR="00E9552F" w:rsidRDefault="00E9552F" w:rsidP="000F043E">
      <w:pPr>
        <w:pStyle w:val="Heading3"/>
        <w:shd w:val="clear" w:color="auto" w:fill="DEEAF6" w:themeFill="accent5" w:themeFillTint="33"/>
      </w:pPr>
      <w:r>
        <w:t>Risk of acting or not acting</w:t>
      </w:r>
    </w:p>
    <w:p w14:paraId="5BE0C2B0" w14:textId="45B8AA1D" w:rsidR="00E9552F" w:rsidRDefault="00E9552F" w:rsidP="000F043E">
      <w:pPr>
        <w:pStyle w:val="Normal2"/>
        <w:shd w:val="clear" w:color="auto" w:fill="DEEAF6" w:themeFill="accent5" w:themeFillTint="33"/>
      </w:pPr>
      <w:r>
        <w:t xml:space="preserve">Section 32(2)(c) of the RMA requires ORC to </w:t>
      </w:r>
      <w:proofErr w:type="gramStart"/>
      <w:r>
        <w:t>take into account</w:t>
      </w:r>
      <w:proofErr w:type="gramEnd"/>
      <w:r>
        <w:t xml:space="preserve"> the risk of acting or not acting if there is uncertain or insufficient information.</w:t>
      </w:r>
      <w:r w:rsidR="00E21163">
        <w:t xml:space="preserve"> ORC holds limited information about freshwater quantity and quality, and on land use practices that contribute to freshwater health. The information available </w:t>
      </w:r>
      <w:r w:rsidR="00541EE2">
        <w:t xml:space="preserve">indicates that there are quantity and quality issues in parts of Otago, while other parts (generally the upper catchments) </w:t>
      </w:r>
      <w:r w:rsidR="00B17376">
        <w:t xml:space="preserve">are in, or near to, their natural state. Although the evidence is not comprehensive, it is evident that there are issues with freshwater management in Otago that are not able to be resolved through the current planning framework. </w:t>
      </w:r>
      <w:r w:rsidR="00185965">
        <w:t xml:space="preserve">This is reflected in the feedback from Kāi </w:t>
      </w:r>
      <w:proofErr w:type="spellStart"/>
      <w:r w:rsidR="00185965">
        <w:t>Tahu</w:t>
      </w:r>
      <w:proofErr w:type="spellEnd"/>
      <w:r w:rsidR="00185965">
        <w:t xml:space="preserve"> and the significant issues for iwi that have been identified in the PORPS 2021. It was also confirmed by Professor Skelton and accepted by the Minister for the Environment through the </w:t>
      </w:r>
      <w:r w:rsidR="003B374E">
        <w:t>investigation</w:t>
      </w:r>
      <w:r w:rsidR="00185965">
        <w:t xml:space="preserve"> into ORC’s freshwater management and allocation functions in 2019. </w:t>
      </w:r>
      <w:r w:rsidR="00B17376">
        <w:t>The risk of not acting is that those issues continue and, in some cases, are exacerbated by continuing current practices under the current management framework. That would not support the health and wellbeing of Otago’s freshwater resources or assist with achieving the objective of the NPSFM. Despite the uncertainty and lack of information, the risk of acting is considered to outweigh the risks of not acting.</w:t>
      </w:r>
    </w:p>
    <w:p w14:paraId="5899B6FF" w14:textId="1A3E01E1" w:rsidR="00E9552F" w:rsidRDefault="00E9552F" w:rsidP="000F043E">
      <w:pPr>
        <w:pStyle w:val="Heading3"/>
        <w:shd w:val="clear" w:color="auto" w:fill="DEEAF6" w:themeFill="accent5" w:themeFillTint="33"/>
      </w:pPr>
      <w:r>
        <w:t>Conclusion</w:t>
      </w:r>
    </w:p>
    <w:p w14:paraId="0E7A250B" w14:textId="2057FE75" w:rsidR="00185965" w:rsidRDefault="00185965" w:rsidP="000F043E">
      <w:pPr>
        <w:pStyle w:val="Normal2"/>
        <w:shd w:val="clear" w:color="auto" w:fill="DEEAF6" w:themeFill="accent5" w:themeFillTint="33"/>
      </w:pPr>
      <w:r>
        <w:t xml:space="preserve">There will be significant (currently unquantified) economic and social costs </w:t>
      </w:r>
      <w:proofErr w:type="gramStart"/>
      <w:r>
        <w:t>as a result of</w:t>
      </w:r>
      <w:proofErr w:type="gramEnd"/>
      <w:r>
        <w:t xml:space="preserve"> implementing the PORPS 2021 due to the constraints it will place on the use of Otago’s water and land resources. However, it is accepted that the PORPS 2019 and Water Plan are not appropriate for achieving the purpose of the RMA as it relates to the health and</w:t>
      </w:r>
      <w:r w:rsidR="00D66ADD">
        <w:t xml:space="preserve"> </w:t>
      </w:r>
      <w:r>
        <w:t>well-being of freshwater bodies and ecosystems. This has been confirmed by the</w:t>
      </w:r>
      <w:r w:rsidR="00CE1162">
        <w:t xml:space="preserve"> investigation into </w:t>
      </w:r>
      <w:r w:rsidR="00C07AC9">
        <w:t>Otago’s</w:t>
      </w:r>
      <w:r w:rsidR="00CE1162">
        <w:t xml:space="preserve"> freshwater management and allocation functions </w:t>
      </w:r>
      <w:r>
        <w:t xml:space="preserve">by Professor Skelton in 2019 which </w:t>
      </w:r>
      <w:r w:rsidR="00CE1162">
        <w:lastRenderedPageBreak/>
        <w:t>concluded that the</w:t>
      </w:r>
      <w:r w:rsidR="002D1AEB">
        <w:t>y were not fit for purpose and not in line with the then-current NPSFM</w:t>
      </w:r>
      <w:r w:rsidR="00D52F15">
        <w:t xml:space="preserve"> (see Appendi</w:t>
      </w:r>
      <w:r w:rsidR="003B374E">
        <w:t>x 1</w:t>
      </w:r>
      <w:r w:rsidR="00D52F15">
        <w:t>)</w:t>
      </w:r>
      <w:r w:rsidR="002D1AEB">
        <w:t xml:space="preserve">. </w:t>
      </w:r>
    </w:p>
    <w:p w14:paraId="1C0E4568" w14:textId="0454F085" w:rsidR="00E9552F" w:rsidRDefault="00A2732E" w:rsidP="000F043E">
      <w:pPr>
        <w:pStyle w:val="Normal2"/>
        <w:shd w:val="clear" w:color="auto" w:fill="DEEAF6" w:themeFill="accent5" w:themeFillTint="33"/>
      </w:pPr>
      <w:r>
        <w:t xml:space="preserve">Since then, a new NPSFM </w:t>
      </w:r>
      <w:r w:rsidR="00AE4018">
        <w:t>has come</w:t>
      </w:r>
      <w:r w:rsidR="00B95DF6">
        <w:t xml:space="preserve"> into force with significantly strengthened environmental bottom lines for freshwater resources and clear direction that the</w:t>
      </w:r>
      <w:r w:rsidR="00C07AC9">
        <w:t>ir health and well</w:t>
      </w:r>
      <w:r w:rsidR="00185965">
        <w:t>-</w:t>
      </w:r>
      <w:r w:rsidR="00C07AC9">
        <w:t xml:space="preserve">being is to be the </w:t>
      </w:r>
      <w:proofErr w:type="gramStart"/>
      <w:r w:rsidR="00C07AC9">
        <w:t>first priority</w:t>
      </w:r>
      <w:proofErr w:type="gramEnd"/>
      <w:r w:rsidR="00C07AC9">
        <w:t xml:space="preserve"> in decision-making. </w:t>
      </w:r>
      <w:r w:rsidR="00185965">
        <w:t>The NPSFM 2020 must be given effect (</w:t>
      </w:r>
      <w:proofErr w:type="gramStart"/>
      <w:r w:rsidR="00185965">
        <w:t>i.e.</w:t>
      </w:r>
      <w:proofErr w:type="gramEnd"/>
      <w:r w:rsidR="00185965">
        <w:t xml:space="preserve"> implemented) by the PORPS 2021 so it is not possible for the PORPS 2021 to adopt less stringent provisions than the NPSFM. </w:t>
      </w:r>
      <w:r w:rsidR="00C07AC9">
        <w:t>This</w:t>
      </w:r>
      <w:r w:rsidR="00AE4018">
        <w:t xml:space="preserve"> has</w:t>
      </w:r>
      <w:r w:rsidR="00C07AC9">
        <w:t xml:space="preserve"> only served to widen the deficit between Otago’s current management framework and the </w:t>
      </w:r>
      <w:r w:rsidR="00760C8D">
        <w:t xml:space="preserve">requirements of national instruments. Due to the high level of detail and </w:t>
      </w:r>
      <w:r w:rsidR="00FD5B40">
        <w:t xml:space="preserve">strong policy direction in the NPSFM, many former options for managing freshwater resources have been narrowed considerably or removed. This had the effect of </w:t>
      </w:r>
      <w:r w:rsidR="0031405D">
        <w:t>constraining the policy options available for the PORPS 2021 and the ‘bottom lines’ set through its provisions. Large parts of the implementation of the policies were also pre-determined by the requirements of the NPSFM</w:t>
      </w:r>
      <w:r w:rsidR="0040672F">
        <w:t xml:space="preserve"> and, in some cases, the </w:t>
      </w:r>
      <w:r w:rsidR="006F26D0">
        <w:t>NESF</w:t>
      </w:r>
      <w:r w:rsidR="0040672F">
        <w:t xml:space="preserve">. </w:t>
      </w:r>
    </w:p>
    <w:p w14:paraId="31D93065" w14:textId="461FE331" w:rsidR="008108E5" w:rsidRPr="00005F72" w:rsidRDefault="008012F6" w:rsidP="000F043E">
      <w:pPr>
        <w:pStyle w:val="Normal2"/>
        <w:shd w:val="clear" w:color="auto" w:fill="DEEAF6" w:themeFill="accent5" w:themeFillTint="33"/>
      </w:pPr>
      <w:r>
        <w:t xml:space="preserve">The suite of policies proposed is considered to fully implement the NPSFM. While the outcomes sought by the PORPS 2021 are relatively directive, there remain choices to be made through the development of the LWRP about the methods and timeframes adopted to achieve the outcomes which the community will be involved with.  </w:t>
      </w:r>
      <w:r w:rsidR="00793E35">
        <w:t xml:space="preserve">This evaluation has demonstrated that there are expected to be considerable benefits and costs from implementing Option </w:t>
      </w:r>
      <w:r w:rsidR="00FD3D58">
        <w:t>3</w:t>
      </w:r>
      <w:r w:rsidR="00793E35">
        <w:t xml:space="preserve">. Given the requirement for ORC to implement the NPSFM, which underpins the provisions in Option </w:t>
      </w:r>
      <w:r w:rsidR="00FD3D58">
        <w:t>3</w:t>
      </w:r>
      <w:r w:rsidR="00793E35">
        <w:t>, this option is considered efficient</w:t>
      </w:r>
      <w:r w:rsidR="00B42D4F">
        <w:t xml:space="preserve"> as the net benefits will outweigh the costs in the long-term. The provisions provide clear direction to resource users and regulators on the actions required to achieve the objectives. It is considered that the policies and methods will be effective in achieving the objectives, however the detail</w:t>
      </w:r>
      <w:r w:rsidR="00776266">
        <w:t>ed programme of work to achieve the objectives will largely occur through the development and implementation of the LWRP rather than the PORPS 2021 itself.</w:t>
      </w:r>
    </w:p>
    <w:p w14:paraId="18AB2E01" w14:textId="77777777" w:rsidR="00B17376" w:rsidRDefault="00B17376">
      <w:pPr>
        <w:rPr>
          <w:rFonts w:asciiTheme="majorHAnsi" w:eastAsiaTheme="majorEastAsia" w:hAnsiTheme="majorHAnsi" w:cstheme="majorBidi"/>
          <w:color w:val="2F5496" w:themeColor="accent1" w:themeShade="BF"/>
          <w:sz w:val="26"/>
          <w:szCs w:val="26"/>
        </w:rPr>
      </w:pPr>
      <w:r>
        <w:br w:type="page"/>
      </w:r>
    </w:p>
    <w:p w14:paraId="6C3FB6B0" w14:textId="19E0BCC6" w:rsidR="00E9552F" w:rsidRDefault="00D947B4" w:rsidP="00CB405E">
      <w:pPr>
        <w:pStyle w:val="Heading2"/>
      </w:pPr>
      <w:bookmarkStart w:id="94" w:name="_Ref72327545"/>
      <w:bookmarkStart w:id="95" w:name="_Toc72507641"/>
      <w:r>
        <w:lastRenderedPageBreak/>
        <w:t xml:space="preserve">ECO – </w:t>
      </w:r>
      <w:r w:rsidR="00E9552F">
        <w:t>Ecosystems and indigenous biodiversity</w:t>
      </w:r>
      <w:bookmarkEnd w:id="94"/>
      <w:bookmarkEnd w:id="95"/>
    </w:p>
    <w:p w14:paraId="63507D9D" w14:textId="6D6F8A6E" w:rsidR="00E9552F" w:rsidRDefault="00E9552F" w:rsidP="0082271A">
      <w:pPr>
        <w:pStyle w:val="Heading3"/>
      </w:pPr>
      <w:r>
        <w:t>Introduction</w:t>
      </w:r>
    </w:p>
    <w:p w14:paraId="0106D233" w14:textId="7DD25EFE" w:rsidR="00972376" w:rsidRDefault="00972376" w:rsidP="00A247C5">
      <w:pPr>
        <w:pStyle w:val="Normal2"/>
      </w:pPr>
      <w:r>
        <w:t xml:space="preserve">This section of the report assesses the provisions proposed in the </w:t>
      </w:r>
      <w:r w:rsidR="00E81F7F">
        <w:t>PORPS 2021</w:t>
      </w:r>
      <w:r>
        <w:t xml:space="preserve"> related to </w:t>
      </w:r>
      <w:r w:rsidR="009315F3">
        <w:t>ecosystems and indigenous biodiversity</w:t>
      </w:r>
      <w:r>
        <w:t xml:space="preserve">. </w:t>
      </w:r>
      <w:r w:rsidR="00456963">
        <w:t>Biodiversity describes the variety of all living things, including the range of species living in our environments, their genetics, and the ecosystems where they live</w:t>
      </w:r>
      <w:r w:rsidR="00A33E5C">
        <w:t>.</w:t>
      </w:r>
      <w:r w:rsidR="00456963">
        <w:t xml:space="preserve"> </w:t>
      </w:r>
      <w:r w:rsidR="00F06C2B">
        <w:t xml:space="preserve">The Otago region </w:t>
      </w:r>
      <w:r w:rsidR="004D1EC4">
        <w:t>contains</w:t>
      </w:r>
      <w:r w:rsidR="00325654">
        <w:t xml:space="preserve"> </w:t>
      </w:r>
      <w:r w:rsidR="004D1EC4">
        <w:t>a</w:t>
      </w:r>
      <w:r w:rsidR="00325654">
        <w:t xml:space="preserve"> divers</w:t>
      </w:r>
      <w:r w:rsidR="004D1EC4">
        <w:t xml:space="preserve">e natural environment, </w:t>
      </w:r>
      <w:r w:rsidR="00977862">
        <w:t xml:space="preserve">from albatrosses and yellow-eyed penguins on the Otago Peninsula to endangered skinks of Central Otago and kea of the Southern Alps, as well as internationally </w:t>
      </w:r>
      <w:proofErr w:type="gramStart"/>
      <w:r w:rsidR="00977862">
        <w:t>rare braided</w:t>
      </w:r>
      <w:proofErr w:type="gramEnd"/>
      <w:r w:rsidR="00977862">
        <w:t xml:space="preserve"> rivers</w:t>
      </w:r>
      <w:r w:rsidR="00BF66AF">
        <w:t>.</w:t>
      </w:r>
      <w:r w:rsidR="004D1EC4">
        <w:t xml:space="preserve"> </w:t>
      </w:r>
      <w:r>
        <w:t>The Otago region</w:t>
      </w:r>
      <w:r w:rsidR="009315F3">
        <w:t xml:space="preserve">, like other areas in New Zealand, </w:t>
      </w:r>
      <w:r w:rsidR="00AC326D">
        <w:t xml:space="preserve">has experienced </w:t>
      </w:r>
      <w:r w:rsidR="00BE6D01">
        <w:t>significant</w:t>
      </w:r>
      <w:r w:rsidR="00AC326D">
        <w:t xml:space="preserve"> loss of indigenous biodiversity</w:t>
      </w:r>
      <w:r w:rsidR="004402E6">
        <w:t xml:space="preserve">, including </w:t>
      </w:r>
      <w:proofErr w:type="spellStart"/>
      <w:r w:rsidR="004402E6">
        <w:t>mahika</w:t>
      </w:r>
      <w:proofErr w:type="spellEnd"/>
      <w:r w:rsidR="004402E6">
        <w:t xml:space="preserve"> kai and </w:t>
      </w:r>
      <w:proofErr w:type="spellStart"/>
      <w:r w:rsidR="004402E6">
        <w:t>taoka</w:t>
      </w:r>
      <w:proofErr w:type="spellEnd"/>
      <w:r w:rsidR="004402E6">
        <w:t xml:space="preserve"> species</w:t>
      </w:r>
      <w:r w:rsidR="00AC2B34">
        <w:t>,</w:t>
      </w:r>
      <w:r w:rsidR="00AC326D">
        <w:t xml:space="preserve"> </w:t>
      </w:r>
      <w:r w:rsidR="00293042">
        <w:t xml:space="preserve">and continues </w:t>
      </w:r>
      <w:r w:rsidR="005B2EDB">
        <w:t xml:space="preserve">to </w:t>
      </w:r>
      <w:r w:rsidR="00895A28">
        <w:t>be subject</w:t>
      </w:r>
      <w:r w:rsidR="00B5305E">
        <w:t xml:space="preserve"> to</w:t>
      </w:r>
      <w:r w:rsidR="00CD18AC">
        <w:t xml:space="preserve"> significant pressure</w:t>
      </w:r>
      <w:r>
        <w:t>.</w:t>
      </w:r>
    </w:p>
    <w:p w14:paraId="7DBAA825" w14:textId="0FEC8194" w:rsidR="00972376" w:rsidRPr="00F428C2" w:rsidRDefault="005B6B4D" w:rsidP="00A247C5">
      <w:pPr>
        <w:pStyle w:val="Normal2"/>
      </w:pPr>
      <w:r>
        <w:t xml:space="preserve">The RMA contains specific provisions relating to </w:t>
      </w:r>
      <w:r w:rsidR="005F37D6">
        <w:t>indigenous biodiversity</w:t>
      </w:r>
      <w:r w:rsidR="00CD2C03">
        <w:t xml:space="preserve"> and there are</w:t>
      </w:r>
      <w:r w:rsidR="00B364F9">
        <w:t xml:space="preserve"> </w:t>
      </w:r>
      <w:proofErr w:type="gramStart"/>
      <w:r w:rsidR="00B364F9">
        <w:t>a number of</w:t>
      </w:r>
      <w:proofErr w:type="gramEnd"/>
      <w:r w:rsidR="00B364F9">
        <w:t xml:space="preserve"> national policy statements that contain direction relating to the management of indigenous biodiversity. </w:t>
      </w:r>
      <w:r w:rsidR="00E93186">
        <w:t xml:space="preserve">Indigenous </w:t>
      </w:r>
      <w:r w:rsidR="00CE1212">
        <w:t>biodiversity</w:t>
      </w:r>
      <w:r w:rsidR="00E93186">
        <w:t xml:space="preserve"> also</w:t>
      </w:r>
      <w:r w:rsidR="00CE1212">
        <w:t xml:space="preserve"> crosses</w:t>
      </w:r>
      <w:r w:rsidR="00E93186">
        <w:t xml:space="preserve"> </w:t>
      </w:r>
      <w:r w:rsidR="0082570B">
        <w:t xml:space="preserve">into terrestrial, </w:t>
      </w:r>
      <w:proofErr w:type="gramStart"/>
      <w:r w:rsidR="0082570B">
        <w:t>freshwater</w:t>
      </w:r>
      <w:proofErr w:type="gramEnd"/>
      <w:r w:rsidR="0082570B">
        <w:t xml:space="preserve"> and marine environments. </w:t>
      </w:r>
      <w:r w:rsidR="00DD255A">
        <w:t xml:space="preserve">Section </w:t>
      </w:r>
      <w:r w:rsidR="000978D5">
        <w:t>62(1)</w:t>
      </w:r>
      <w:r w:rsidR="00A16BDC">
        <w:t>(</w:t>
      </w:r>
      <w:proofErr w:type="spellStart"/>
      <w:r w:rsidR="00C830CD">
        <w:t>i</w:t>
      </w:r>
      <w:proofErr w:type="spellEnd"/>
      <w:r w:rsidR="00C830CD">
        <w:t xml:space="preserve">)(iii) </w:t>
      </w:r>
      <w:r w:rsidR="00FD65BE">
        <w:t xml:space="preserve">requires that the </w:t>
      </w:r>
      <w:r w:rsidR="009A167C">
        <w:t xml:space="preserve">RPS sets out which local authority is </w:t>
      </w:r>
      <w:r w:rsidR="00626B8D">
        <w:t>responsible</w:t>
      </w:r>
      <w:r w:rsidR="00344155">
        <w:t xml:space="preserve"> for specifying </w:t>
      </w:r>
      <w:r w:rsidR="006E5E6D">
        <w:t>provisions</w:t>
      </w:r>
      <w:r w:rsidR="00344155">
        <w:t xml:space="preserve"> </w:t>
      </w:r>
      <w:r w:rsidR="006E5E6D">
        <w:t>that</w:t>
      </w:r>
      <w:r w:rsidR="00344155">
        <w:t xml:space="preserve"> control the use of land</w:t>
      </w:r>
      <w:r w:rsidR="006E5E6D">
        <w:t xml:space="preserve"> to maintain indigenous biodiversity</w:t>
      </w:r>
      <w:r w:rsidR="00972376">
        <w:t xml:space="preserve">. </w:t>
      </w:r>
      <w:r w:rsidR="0010358D">
        <w:t xml:space="preserve">Local authorities have a duty under </w:t>
      </w:r>
      <w:r w:rsidR="00D947B4">
        <w:t xml:space="preserve">sections 30 and 31 of </w:t>
      </w:r>
      <w:r w:rsidR="0010358D">
        <w:t xml:space="preserve">the </w:t>
      </w:r>
      <w:r w:rsidR="00D947B4">
        <w:t>RMA 1991</w:t>
      </w:r>
      <w:r w:rsidR="00AC6AF1">
        <w:t xml:space="preserve"> to have objectives, </w:t>
      </w:r>
      <w:proofErr w:type="gramStart"/>
      <w:r w:rsidR="00AC6AF1">
        <w:t>policies</w:t>
      </w:r>
      <w:proofErr w:type="gramEnd"/>
      <w:r w:rsidR="00AC6AF1">
        <w:t xml:space="preserve"> and methods to mainta</w:t>
      </w:r>
      <w:r w:rsidR="00C7551B">
        <w:t>in indigenous biological biodiversity.</w:t>
      </w:r>
      <w:r w:rsidR="00972376">
        <w:t xml:space="preserve"> This </w:t>
      </w:r>
      <w:r w:rsidR="001807ED">
        <w:t xml:space="preserve">creates a need to be clear about the responsibilities for each local authority, as well as ensuring an integrated approach is taken across the </w:t>
      </w:r>
      <w:r w:rsidR="00925131">
        <w:t>policy statement</w:t>
      </w:r>
      <w:r w:rsidR="00972376">
        <w:t>.</w:t>
      </w:r>
    </w:p>
    <w:p w14:paraId="3659C702" w14:textId="77777777" w:rsidR="005A5EA0" w:rsidRDefault="006F2BD7" w:rsidP="00A247C5">
      <w:pPr>
        <w:pStyle w:val="Normal2"/>
      </w:pPr>
      <w:r>
        <w:t>The relevant provisions for this section are:</w:t>
      </w:r>
    </w:p>
    <w:p w14:paraId="73149207" w14:textId="5E250ECA" w:rsidR="00DB6F13" w:rsidRPr="00B151FD" w:rsidRDefault="00DB6F13" w:rsidP="00A247C5">
      <w:pPr>
        <w:pStyle w:val="Normal3"/>
      </w:pPr>
      <w:r>
        <w:t>ECO</w:t>
      </w:r>
      <w:r w:rsidR="003E0D14">
        <w:t>–</w:t>
      </w:r>
      <w:r w:rsidR="00CB7148">
        <w:t>O1</w:t>
      </w:r>
      <w:r w:rsidR="00D72862">
        <w:t xml:space="preserve"> </w:t>
      </w:r>
      <w:r w:rsidR="00E66945">
        <w:t xml:space="preserve">– </w:t>
      </w:r>
      <w:r w:rsidR="003E0D14">
        <w:t>Ecosystems and i</w:t>
      </w:r>
      <w:r w:rsidR="00D72862">
        <w:t>ndigenous biodiversity</w:t>
      </w:r>
    </w:p>
    <w:p w14:paraId="1DD8030E" w14:textId="3C529146" w:rsidR="003E0D14" w:rsidRDefault="00DB6F13" w:rsidP="00A247C5">
      <w:pPr>
        <w:pStyle w:val="Normal3"/>
      </w:pPr>
      <w:r>
        <w:t>ECO</w:t>
      </w:r>
      <w:r w:rsidR="003E0D14">
        <w:t>–O2 – Restoring or enhancing</w:t>
      </w:r>
    </w:p>
    <w:p w14:paraId="54348C50" w14:textId="0B009901" w:rsidR="005A5EA0" w:rsidRDefault="005A5EA0" w:rsidP="00A247C5">
      <w:pPr>
        <w:pStyle w:val="Normal3"/>
      </w:pPr>
      <w:r>
        <w:t>ECO–O3 – Kaitiakitaka and stewardship</w:t>
      </w:r>
    </w:p>
    <w:p w14:paraId="30FA70CA" w14:textId="1A58D656" w:rsidR="005A5EA0" w:rsidRPr="00B151FD" w:rsidRDefault="005A5EA0" w:rsidP="00A247C5">
      <w:pPr>
        <w:pStyle w:val="Normal3"/>
      </w:pPr>
      <w:r>
        <w:t xml:space="preserve">ECO–P1 – Kaitiakitaka </w:t>
      </w:r>
    </w:p>
    <w:p w14:paraId="6A77AF95" w14:textId="6D39F535" w:rsidR="00B83004" w:rsidRDefault="00DB6F13" w:rsidP="00A247C5">
      <w:pPr>
        <w:pStyle w:val="Normal3"/>
      </w:pPr>
      <w:r>
        <w:t>ECO</w:t>
      </w:r>
      <w:r w:rsidR="003E0D14">
        <w:t>–</w:t>
      </w:r>
      <w:r w:rsidR="00B83004">
        <w:t>P</w:t>
      </w:r>
      <w:r w:rsidR="005A5EA0">
        <w:t>2</w:t>
      </w:r>
      <w:r w:rsidR="00BE0D39">
        <w:t xml:space="preserve"> </w:t>
      </w:r>
      <w:r w:rsidR="00E66945">
        <w:t xml:space="preserve">– </w:t>
      </w:r>
      <w:r w:rsidR="005A5EA0">
        <w:t>Identifying s</w:t>
      </w:r>
      <w:r w:rsidR="00F40726">
        <w:t xml:space="preserve">ignificant </w:t>
      </w:r>
      <w:r w:rsidR="00544DB2">
        <w:t>natural areas</w:t>
      </w:r>
      <w:r w:rsidR="005A5EA0">
        <w:t xml:space="preserve"> and </w:t>
      </w:r>
      <w:proofErr w:type="spellStart"/>
      <w:r w:rsidR="005A5EA0">
        <w:t>taoka</w:t>
      </w:r>
      <w:proofErr w:type="spellEnd"/>
    </w:p>
    <w:p w14:paraId="6380E558" w14:textId="16BE3B70" w:rsidR="005A5EA0" w:rsidRPr="00B151FD" w:rsidRDefault="005A5EA0" w:rsidP="00A247C5">
      <w:pPr>
        <w:pStyle w:val="Normal3"/>
      </w:pPr>
      <w:r>
        <w:t xml:space="preserve">ECO–P3 – Protecting significant natural areas and </w:t>
      </w:r>
      <w:proofErr w:type="spellStart"/>
      <w:r>
        <w:t>taoka</w:t>
      </w:r>
      <w:proofErr w:type="spellEnd"/>
    </w:p>
    <w:p w14:paraId="6ED3D199" w14:textId="324B4B25" w:rsidR="003E0D14" w:rsidRDefault="003E0D14" w:rsidP="00A247C5">
      <w:pPr>
        <w:pStyle w:val="Normal3"/>
      </w:pPr>
      <w:r>
        <w:t>ECO–P</w:t>
      </w:r>
      <w:r w:rsidR="005A5EA0">
        <w:t>4</w:t>
      </w:r>
      <w:r>
        <w:t xml:space="preserve"> – Activities within significant natural areas</w:t>
      </w:r>
    </w:p>
    <w:p w14:paraId="632C8A9F" w14:textId="33A5F6D0" w:rsidR="003E0D14" w:rsidRDefault="003E0D14" w:rsidP="00A247C5">
      <w:pPr>
        <w:pStyle w:val="Normal3"/>
      </w:pPr>
      <w:r>
        <w:t>ECO–P</w:t>
      </w:r>
      <w:r w:rsidR="005A5EA0">
        <w:t>5</w:t>
      </w:r>
      <w:r>
        <w:t xml:space="preserve"> – Existing activities in significant natural areas</w:t>
      </w:r>
    </w:p>
    <w:p w14:paraId="08AD1AC6" w14:textId="2BA0138F" w:rsidR="006537C3" w:rsidRDefault="003E0D14" w:rsidP="00A247C5">
      <w:pPr>
        <w:pStyle w:val="Normal3"/>
      </w:pPr>
      <w:r>
        <w:t>ECO–P</w:t>
      </w:r>
      <w:r w:rsidR="006537C3">
        <w:t>6</w:t>
      </w:r>
      <w:r>
        <w:t xml:space="preserve"> –</w:t>
      </w:r>
      <w:r w:rsidR="006537C3">
        <w:t xml:space="preserve"> Maintaining indigenous biodiversity</w:t>
      </w:r>
    </w:p>
    <w:p w14:paraId="68F3E999" w14:textId="40DC4CF7" w:rsidR="003E0D14" w:rsidRPr="00B151FD" w:rsidRDefault="006537C3" w:rsidP="00A247C5">
      <w:pPr>
        <w:pStyle w:val="Normal3"/>
      </w:pPr>
      <w:r>
        <w:t xml:space="preserve">ECO–P7 – </w:t>
      </w:r>
      <w:r w:rsidR="003E0D14">
        <w:t>Coastal indigenous biodiversity</w:t>
      </w:r>
    </w:p>
    <w:p w14:paraId="0169D10A" w14:textId="35B43476" w:rsidR="000031FD" w:rsidRPr="00B151FD" w:rsidRDefault="00DB6F13" w:rsidP="00A247C5">
      <w:pPr>
        <w:pStyle w:val="Normal3"/>
      </w:pPr>
      <w:r>
        <w:t>ECO</w:t>
      </w:r>
      <w:r w:rsidR="00AC05A1">
        <w:t>–</w:t>
      </w:r>
      <w:r w:rsidR="000031FD">
        <w:t>P</w:t>
      </w:r>
      <w:r w:rsidR="006537C3">
        <w:t>8</w:t>
      </w:r>
      <w:r w:rsidR="002C584B">
        <w:t xml:space="preserve"> </w:t>
      </w:r>
      <w:r w:rsidR="00E66945">
        <w:t xml:space="preserve">– </w:t>
      </w:r>
      <w:r w:rsidR="00576190">
        <w:t>Enhancement</w:t>
      </w:r>
    </w:p>
    <w:p w14:paraId="234B635C" w14:textId="7FA91DE7" w:rsidR="000031FD" w:rsidRPr="00B151FD" w:rsidRDefault="00DB6F13" w:rsidP="00A247C5">
      <w:pPr>
        <w:pStyle w:val="Normal3"/>
      </w:pPr>
      <w:r>
        <w:t>ECO</w:t>
      </w:r>
      <w:r w:rsidR="00AC05A1">
        <w:t>–</w:t>
      </w:r>
      <w:r w:rsidR="000031FD">
        <w:t>P</w:t>
      </w:r>
      <w:r w:rsidR="006537C3">
        <w:t>9</w:t>
      </w:r>
      <w:r w:rsidR="002C584B">
        <w:t xml:space="preserve"> </w:t>
      </w:r>
      <w:r w:rsidR="00E66945">
        <w:t xml:space="preserve">– </w:t>
      </w:r>
      <w:r w:rsidR="00576190">
        <w:t>Wilding conifers</w:t>
      </w:r>
    </w:p>
    <w:p w14:paraId="7FF9D9F6" w14:textId="77CEB59D" w:rsidR="00AC05A1" w:rsidRPr="00B151FD" w:rsidRDefault="00DB6F13" w:rsidP="00A247C5">
      <w:pPr>
        <w:pStyle w:val="Normal3"/>
      </w:pPr>
      <w:r>
        <w:t>ECO</w:t>
      </w:r>
      <w:r w:rsidR="00AC05A1">
        <w:t>–P</w:t>
      </w:r>
      <w:r w:rsidR="006537C3">
        <w:t>10</w:t>
      </w:r>
      <w:r w:rsidR="00AC05A1">
        <w:t xml:space="preserve"> – Integrated management</w:t>
      </w:r>
    </w:p>
    <w:p w14:paraId="2589467C" w14:textId="10FDB61D" w:rsidR="00B83004" w:rsidRPr="00B151FD" w:rsidRDefault="00DB6F13" w:rsidP="00A247C5">
      <w:pPr>
        <w:pStyle w:val="Normal3"/>
      </w:pPr>
      <w:r>
        <w:t>ECO</w:t>
      </w:r>
      <w:r w:rsidR="00AC05A1">
        <w:t>–</w:t>
      </w:r>
      <w:r>
        <w:t>M1</w:t>
      </w:r>
      <w:r w:rsidR="00663B6B">
        <w:t xml:space="preserve"> </w:t>
      </w:r>
      <w:r w:rsidR="00E66945">
        <w:t xml:space="preserve">– </w:t>
      </w:r>
      <w:r w:rsidR="00576190">
        <w:t>Statement of responsibilities</w:t>
      </w:r>
    </w:p>
    <w:p w14:paraId="115522F1" w14:textId="72A8D57B" w:rsidR="00DB6F13" w:rsidRDefault="00DB6F13" w:rsidP="00A247C5">
      <w:pPr>
        <w:pStyle w:val="Normal3"/>
      </w:pPr>
      <w:r>
        <w:t>ECO</w:t>
      </w:r>
      <w:r w:rsidR="00AC05A1">
        <w:t>–</w:t>
      </w:r>
      <w:r>
        <w:t>M2</w:t>
      </w:r>
      <w:r w:rsidR="005D6D29">
        <w:t xml:space="preserve"> </w:t>
      </w:r>
      <w:r w:rsidR="00E66945">
        <w:t xml:space="preserve">– </w:t>
      </w:r>
      <w:r w:rsidR="00576190">
        <w:t>Identification</w:t>
      </w:r>
      <w:r w:rsidR="006537C3">
        <w:t xml:space="preserve"> of significant natural areas</w:t>
      </w:r>
    </w:p>
    <w:p w14:paraId="5212B3F0" w14:textId="765A3C8F" w:rsidR="00026848" w:rsidRPr="00B151FD" w:rsidRDefault="00026848" w:rsidP="00A247C5">
      <w:pPr>
        <w:pStyle w:val="Normal3"/>
      </w:pPr>
      <w:r>
        <w:t xml:space="preserve">ECO–M3 – Identification of </w:t>
      </w:r>
      <w:proofErr w:type="spellStart"/>
      <w:r>
        <w:t>taoka</w:t>
      </w:r>
      <w:proofErr w:type="spellEnd"/>
    </w:p>
    <w:p w14:paraId="150E024C" w14:textId="618981DD" w:rsidR="00DB6F13" w:rsidRPr="00B151FD" w:rsidRDefault="00DB6F13" w:rsidP="00A247C5">
      <w:pPr>
        <w:pStyle w:val="Normal3"/>
      </w:pPr>
      <w:r>
        <w:t>ECO</w:t>
      </w:r>
      <w:r w:rsidR="00AC05A1">
        <w:t>–</w:t>
      </w:r>
      <w:r>
        <w:t>M</w:t>
      </w:r>
      <w:r w:rsidR="00026848">
        <w:t>4</w:t>
      </w:r>
      <w:r w:rsidR="007D5E79">
        <w:t xml:space="preserve"> </w:t>
      </w:r>
      <w:r w:rsidR="00E66945">
        <w:t xml:space="preserve">– </w:t>
      </w:r>
      <w:r w:rsidR="00576190">
        <w:t>Regional plans</w:t>
      </w:r>
    </w:p>
    <w:p w14:paraId="3A7A30DF" w14:textId="266EB6CC" w:rsidR="00DB6F13" w:rsidRPr="00B151FD" w:rsidRDefault="00DB6F13" w:rsidP="00A247C5">
      <w:pPr>
        <w:pStyle w:val="Normal3"/>
      </w:pPr>
      <w:r>
        <w:t>ECO</w:t>
      </w:r>
      <w:r w:rsidR="00AC05A1">
        <w:t>–</w:t>
      </w:r>
      <w:r>
        <w:t>M</w:t>
      </w:r>
      <w:r w:rsidR="00026848">
        <w:t>5</w:t>
      </w:r>
      <w:r w:rsidR="00DB6F10">
        <w:t xml:space="preserve"> </w:t>
      </w:r>
      <w:r w:rsidR="00E66945">
        <w:t xml:space="preserve">– </w:t>
      </w:r>
      <w:r w:rsidR="00576190">
        <w:t>District plans</w:t>
      </w:r>
    </w:p>
    <w:p w14:paraId="18C921B0" w14:textId="018581B6" w:rsidR="00AC05A1" w:rsidRPr="00B151FD" w:rsidRDefault="009D2391" w:rsidP="00A247C5">
      <w:pPr>
        <w:pStyle w:val="Normal3"/>
      </w:pPr>
      <w:r>
        <w:t>ECO</w:t>
      </w:r>
      <w:r w:rsidR="00AC05A1">
        <w:t>–</w:t>
      </w:r>
      <w:r>
        <w:t>M</w:t>
      </w:r>
      <w:r w:rsidR="00026848">
        <w:t>6</w:t>
      </w:r>
      <w:r w:rsidR="00EE6D4B">
        <w:t xml:space="preserve"> </w:t>
      </w:r>
      <w:r w:rsidR="00E66945">
        <w:t xml:space="preserve">– </w:t>
      </w:r>
      <w:r w:rsidR="00AC05A1">
        <w:t xml:space="preserve">Engagement </w:t>
      </w:r>
    </w:p>
    <w:p w14:paraId="4F2331B8" w14:textId="6AF87766" w:rsidR="009D2391" w:rsidRPr="00B151FD" w:rsidRDefault="009D2391" w:rsidP="00A247C5">
      <w:pPr>
        <w:pStyle w:val="Normal3"/>
      </w:pPr>
      <w:r>
        <w:t>ECO</w:t>
      </w:r>
      <w:r w:rsidR="00AC05A1">
        <w:t>–</w:t>
      </w:r>
      <w:r>
        <w:t>M</w:t>
      </w:r>
      <w:r w:rsidR="00026848">
        <w:t>7</w:t>
      </w:r>
      <w:r w:rsidR="00EE6D4B">
        <w:t xml:space="preserve"> </w:t>
      </w:r>
      <w:r w:rsidR="00E66945">
        <w:t xml:space="preserve">– </w:t>
      </w:r>
      <w:r w:rsidR="00544DB2">
        <w:t>Monitoring</w:t>
      </w:r>
    </w:p>
    <w:p w14:paraId="4C46CDFF" w14:textId="5838A25E" w:rsidR="009D2391" w:rsidRPr="00B151FD" w:rsidRDefault="009D2391" w:rsidP="00A247C5">
      <w:pPr>
        <w:pStyle w:val="Normal3"/>
      </w:pPr>
      <w:r>
        <w:t>ECO</w:t>
      </w:r>
      <w:r w:rsidR="00AC05A1">
        <w:t>–</w:t>
      </w:r>
      <w:r>
        <w:t>M</w:t>
      </w:r>
      <w:r w:rsidR="00026848">
        <w:t>8</w:t>
      </w:r>
      <w:r w:rsidR="00124591">
        <w:t xml:space="preserve"> </w:t>
      </w:r>
      <w:r w:rsidR="00E66945">
        <w:t xml:space="preserve">– </w:t>
      </w:r>
      <w:r w:rsidR="00124591">
        <w:t>Other incentives and mechanisms</w:t>
      </w:r>
    </w:p>
    <w:p w14:paraId="7120FB34" w14:textId="5B768657" w:rsidR="002C6FF7" w:rsidRDefault="00CA72E6" w:rsidP="00A247C5">
      <w:pPr>
        <w:pStyle w:val="Normal3"/>
      </w:pPr>
      <w:r>
        <w:t>APP2 –</w:t>
      </w:r>
      <w:r w:rsidR="00576190">
        <w:t xml:space="preserve"> Significance criteria</w:t>
      </w:r>
      <w:r>
        <w:t xml:space="preserve"> for indigenous biodiversity</w:t>
      </w:r>
    </w:p>
    <w:p w14:paraId="4D505069" w14:textId="0C3FBD4E" w:rsidR="003B6D6E" w:rsidRDefault="003B6D6E" w:rsidP="00A247C5">
      <w:pPr>
        <w:pStyle w:val="Normal3"/>
      </w:pPr>
      <w:r>
        <w:t>APP3 – Criteria for biodiversity offsetting</w:t>
      </w:r>
    </w:p>
    <w:p w14:paraId="422E8F26" w14:textId="61288BA7" w:rsidR="003B6D6E" w:rsidRDefault="003B6D6E" w:rsidP="00A247C5">
      <w:pPr>
        <w:pStyle w:val="Normal3"/>
      </w:pPr>
      <w:r>
        <w:t>APP4 – Criteria for biodiversity compensation</w:t>
      </w:r>
    </w:p>
    <w:p w14:paraId="0A1745E9" w14:textId="08E006D1" w:rsidR="00E9552F" w:rsidRDefault="00E9552F" w:rsidP="0082271A">
      <w:pPr>
        <w:pStyle w:val="Heading3"/>
      </w:pPr>
      <w:bookmarkStart w:id="96" w:name="_Ref53663913"/>
      <w:r>
        <w:lastRenderedPageBreak/>
        <w:t>Current issues</w:t>
      </w:r>
      <w:bookmarkEnd w:id="96"/>
    </w:p>
    <w:p w14:paraId="39E1A0E2" w14:textId="59AE1B82" w:rsidR="00E9552F" w:rsidRDefault="008B27C8" w:rsidP="00A247C5">
      <w:pPr>
        <w:pStyle w:val="Normal2"/>
      </w:pPr>
      <w:r>
        <w:t xml:space="preserve">The </w:t>
      </w:r>
      <w:r w:rsidR="004E56AA">
        <w:t>quality and quantity of the region’s</w:t>
      </w:r>
      <w:r>
        <w:t xml:space="preserve"> indigenous </w:t>
      </w:r>
      <w:r w:rsidR="004E56AA">
        <w:t>biodiversity</w:t>
      </w:r>
      <w:r>
        <w:t xml:space="preserve"> has </w:t>
      </w:r>
      <w:r w:rsidR="004E56AA">
        <w:t>significantly</w:t>
      </w:r>
      <w:r>
        <w:t xml:space="preserve"> </w:t>
      </w:r>
      <w:r w:rsidR="004E56AA">
        <w:t xml:space="preserve">declined </w:t>
      </w:r>
      <w:r>
        <w:t xml:space="preserve">since the </w:t>
      </w:r>
      <w:r w:rsidR="00213D68">
        <w:t xml:space="preserve">arrival of humans and remains </w:t>
      </w:r>
      <w:r w:rsidR="000865B9">
        <w:t>under significant pressure from introduced species, pollution, physical changes to the environment and harvesting of wild species</w:t>
      </w:r>
      <w:r w:rsidR="000F6896">
        <w:t xml:space="preserve"> </w:t>
      </w:r>
      <w:sdt>
        <w:sdtPr>
          <w:id w:val="1702813446"/>
          <w:placeholder>
            <w:docPart w:val="DefaultPlaceholder_1081868574"/>
          </w:placeholder>
          <w:citation/>
        </w:sdtPr>
        <w:sdtContent>
          <w:r w:rsidR="000F6896">
            <w:fldChar w:fldCharType="begin"/>
          </w:r>
          <w:r w:rsidR="00B2207D">
            <w:instrText xml:space="preserve">CITATION Min19 \l 5129 </w:instrText>
          </w:r>
          <w:r w:rsidR="000F6896">
            <w:fldChar w:fldCharType="separate"/>
          </w:r>
          <w:r w:rsidR="00246D02">
            <w:rPr>
              <w:noProof/>
            </w:rPr>
            <w:t>(Ministry for the Environment &amp; Stats NZ, 2019)</w:t>
          </w:r>
          <w:r w:rsidR="000F6896">
            <w:fldChar w:fldCharType="end"/>
          </w:r>
        </w:sdtContent>
      </w:sdt>
      <w:r w:rsidR="00213D68">
        <w:t xml:space="preserve">. </w:t>
      </w:r>
      <w:r w:rsidR="002E5818">
        <w:t xml:space="preserve">This includes </w:t>
      </w:r>
      <w:proofErr w:type="spellStart"/>
      <w:r w:rsidR="00620D4F">
        <w:t>m</w:t>
      </w:r>
      <w:r w:rsidR="00A87FFB">
        <w:t>ahika</w:t>
      </w:r>
      <w:proofErr w:type="spellEnd"/>
      <w:r w:rsidR="00A87FFB">
        <w:t xml:space="preserve"> kai</w:t>
      </w:r>
      <w:r w:rsidR="002E5818">
        <w:t xml:space="preserve">, considered an intrinsic part of Kāi </w:t>
      </w:r>
      <w:proofErr w:type="spellStart"/>
      <w:r w:rsidR="002E5818">
        <w:t>Tahu</w:t>
      </w:r>
      <w:proofErr w:type="spellEnd"/>
      <w:r w:rsidR="002E5818">
        <w:t xml:space="preserve"> identity and the basis for the Kāi </w:t>
      </w:r>
      <w:proofErr w:type="spellStart"/>
      <w:r w:rsidR="002E5818">
        <w:t>Tahu</w:t>
      </w:r>
      <w:proofErr w:type="spellEnd"/>
      <w:r w:rsidR="002E5818">
        <w:t xml:space="preserve"> economy for hundreds of years,</w:t>
      </w:r>
      <w:r w:rsidR="00A87FFB">
        <w:t xml:space="preserve"> and </w:t>
      </w:r>
      <w:r w:rsidR="00436A59">
        <w:t>all indigenous species</w:t>
      </w:r>
      <w:r w:rsidR="00A87FFB">
        <w:t>,</w:t>
      </w:r>
      <w:r w:rsidR="00620D4F">
        <w:t xml:space="preserve"> which are considered </w:t>
      </w:r>
      <w:proofErr w:type="spellStart"/>
      <w:r w:rsidR="00620D4F">
        <w:t>taoka</w:t>
      </w:r>
      <w:proofErr w:type="spellEnd"/>
      <w:r w:rsidR="00620D4F">
        <w:t xml:space="preserve"> species to Kāi </w:t>
      </w:r>
      <w:proofErr w:type="spellStart"/>
      <w:r w:rsidR="00620D4F">
        <w:t>Tahu</w:t>
      </w:r>
      <w:proofErr w:type="spellEnd"/>
      <w:r w:rsidR="00620D4F">
        <w:t xml:space="preserve">, </w:t>
      </w:r>
      <w:r w:rsidR="00D64199">
        <w:t>having</w:t>
      </w:r>
      <w:r w:rsidR="00A87FFB">
        <w:t xml:space="preserve"> been degraded by resource use and development in Otago</w:t>
      </w:r>
      <w:r w:rsidR="00603268">
        <w:t xml:space="preserve">. </w:t>
      </w:r>
      <w:r w:rsidR="00967B34">
        <w:t xml:space="preserve">Kāi </w:t>
      </w:r>
      <w:proofErr w:type="spellStart"/>
      <w:r w:rsidR="00967B34">
        <w:t>Tahu</w:t>
      </w:r>
      <w:proofErr w:type="spellEnd"/>
      <w:r w:rsidR="00967B34">
        <w:t xml:space="preserve"> also experience </w:t>
      </w:r>
      <w:r w:rsidR="00240F53">
        <w:t xml:space="preserve">both physical and regulatory </w:t>
      </w:r>
      <w:r w:rsidR="00967B34">
        <w:t xml:space="preserve">difficulties in accessing </w:t>
      </w:r>
      <w:proofErr w:type="spellStart"/>
      <w:r w:rsidR="00967B34">
        <w:t>mahika</w:t>
      </w:r>
      <w:proofErr w:type="spellEnd"/>
      <w:r w:rsidR="00240F53">
        <w:t xml:space="preserve"> kai</w:t>
      </w:r>
      <w:r w:rsidR="00967B34">
        <w:t xml:space="preserve">. </w:t>
      </w:r>
    </w:p>
    <w:p w14:paraId="33793CF0" w14:textId="3848D675" w:rsidR="006F26FD" w:rsidRPr="008920F2" w:rsidRDefault="00821FBC" w:rsidP="00A247C5">
      <w:pPr>
        <w:pStyle w:val="Normal2"/>
      </w:pPr>
      <w:r>
        <w:t>Otago’s</w:t>
      </w:r>
      <w:r w:rsidR="000F6896">
        <w:t xml:space="preserve"> diversity of ecosystems, weather and geology result in a diversity of vegetation and species, many </w:t>
      </w:r>
      <w:proofErr w:type="gramStart"/>
      <w:r w:rsidR="000F6896">
        <w:t>endemic</w:t>
      </w:r>
      <w:proofErr w:type="gramEnd"/>
      <w:r w:rsidR="000F6896">
        <w:t xml:space="preserve"> to </w:t>
      </w:r>
      <w:r>
        <w:t>the region</w:t>
      </w:r>
      <w:r w:rsidR="000F6896">
        <w:t xml:space="preserve">. </w:t>
      </w:r>
      <w:r w:rsidR="000C3BE9">
        <w:t>Otago has a diverse range of indigenous forest and scrub, from western indigenous forest around Lakes Wak</w:t>
      </w:r>
      <w:r w:rsidR="00EF7B4A">
        <w:t>a</w:t>
      </w:r>
      <w:r w:rsidR="000C3BE9">
        <w:t xml:space="preserve">tipu, Wanaka and </w:t>
      </w:r>
      <w:proofErr w:type="spellStart"/>
      <w:r w:rsidR="000C3BE9">
        <w:t>Haw</w:t>
      </w:r>
      <w:r w:rsidR="00C97A40">
        <w:t>ea</w:t>
      </w:r>
      <w:proofErr w:type="spellEnd"/>
      <w:r w:rsidR="00C97A40">
        <w:t xml:space="preserve">, to </w:t>
      </w:r>
      <w:r w:rsidR="00947789">
        <w:t>scrubland</w:t>
      </w:r>
      <w:r w:rsidR="0079706A">
        <w:t>s</w:t>
      </w:r>
      <w:r w:rsidR="00947789">
        <w:t xml:space="preserve"> on inland and coastal hill country</w:t>
      </w:r>
      <w:r w:rsidR="008D649C">
        <w:t xml:space="preserve"> </w:t>
      </w:r>
      <w:r w:rsidR="00C27AF4">
        <w:t>(</w:t>
      </w:r>
      <w:r w:rsidR="009C7CD8">
        <w:t xml:space="preserve">see </w:t>
      </w:r>
      <w:r w:rsidR="00DF6F2A">
        <w:t xml:space="preserve">Wildlands, 2021b in </w:t>
      </w:r>
      <w:r w:rsidR="003B374E">
        <w:t>A</w:t>
      </w:r>
      <w:r w:rsidR="009C7CD8">
        <w:t>ppendix</w:t>
      </w:r>
      <w:r w:rsidR="002F024A">
        <w:t xml:space="preserve"> 14)</w:t>
      </w:r>
      <w:r w:rsidR="00947789">
        <w:t xml:space="preserve"> </w:t>
      </w:r>
      <w:r w:rsidR="0079706A">
        <w:t xml:space="preserve">Alongside dryland flora, </w:t>
      </w:r>
      <w:r w:rsidR="00547DA6">
        <w:t>Otago harbours</w:t>
      </w:r>
      <w:r w:rsidR="008D649C">
        <w:t xml:space="preserve"> several </w:t>
      </w:r>
      <w:r w:rsidR="006D3C9A">
        <w:t>inland saline ecosystems</w:t>
      </w:r>
      <w:r w:rsidR="005E10C6">
        <w:t xml:space="preserve">, including New Zealand’s only </w:t>
      </w:r>
      <w:r w:rsidR="00E57868">
        <w:t xml:space="preserve">inland </w:t>
      </w:r>
      <w:proofErr w:type="gramStart"/>
      <w:r w:rsidR="005E10C6">
        <w:t>salt lake</w:t>
      </w:r>
      <w:proofErr w:type="gramEnd"/>
      <w:r w:rsidR="005E10C6">
        <w:t>,</w:t>
      </w:r>
      <w:r w:rsidR="006D3C9A">
        <w:t xml:space="preserve"> </w:t>
      </w:r>
      <w:r w:rsidR="00547DA6">
        <w:t>and</w:t>
      </w:r>
      <w:r w:rsidR="006D3C9A">
        <w:t xml:space="preserve"> </w:t>
      </w:r>
      <w:r w:rsidR="005E35DA">
        <w:t>approximately 3,000</w:t>
      </w:r>
      <w:r w:rsidR="00106265">
        <w:t xml:space="preserve"> </w:t>
      </w:r>
      <w:r w:rsidR="005E35DA">
        <w:t>ephemeral</w:t>
      </w:r>
      <w:r w:rsidR="006D3C9A">
        <w:t xml:space="preserve"> wetlands </w:t>
      </w:r>
      <w:r w:rsidR="00DF6F2A">
        <w:t>(see Wildlands, 2021b in Appendix 14).</w:t>
      </w:r>
    </w:p>
    <w:p w14:paraId="561C4893" w14:textId="3275A70C" w:rsidR="00B91B3B" w:rsidRDefault="000F6896" w:rsidP="00A247C5">
      <w:pPr>
        <w:pStyle w:val="Normal2"/>
      </w:pPr>
      <w:r>
        <w:t xml:space="preserve">Otago’s rivers, particularly the Taieri, hold </w:t>
      </w:r>
      <w:r w:rsidR="00821FBC">
        <w:t>some of</w:t>
      </w:r>
      <w:r>
        <w:t xml:space="preserve"> the most diverse indigenous fauna in New Zealand</w:t>
      </w:r>
      <w:r w:rsidR="00B2207D">
        <w:t xml:space="preserve"> </w:t>
      </w:r>
      <w:sdt>
        <w:sdtPr>
          <w:id w:val="-2100548298"/>
          <w:placeholder>
            <w:docPart w:val="DefaultPlaceholder_1081868574"/>
          </w:placeholder>
          <w:citation/>
        </w:sdtPr>
        <w:sdtContent>
          <w:r w:rsidR="00B2207D">
            <w:fldChar w:fldCharType="begin"/>
          </w:r>
          <w:r w:rsidR="00B2207D">
            <w:instrText xml:space="preserve"> CITATION Dep16 \l 5129 </w:instrText>
          </w:r>
          <w:r w:rsidR="00B2207D">
            <w:fldChar w:fldCharType="separate"/>
          </w:r>
          <w:r w:rsidR="00246D02">
            <w:rPr>
              <w:noProof/>
            </w:rPr>
            <w:t>(Department of Conservation, 2016)</w:t>
          </w:r>
          <w:r w:rsidR="00B2207D">
            <w:fldChar w:fldCharType="end"/>
          </w:r>
        </w:sdtContent>
      </w:sdt>
      <w:r>
        <w:t xml:space="preserve">. </w:t>
      </w:r>
      <w:r w:rsidR="00821FBC">
        <w:t xml:space="preserve">Many of the region’s streams, especially smaller tributaries, are also the last remaining stronghold for </w:t>
      </w:r>
      <w:proofErr w:type="gramStart"/>
      <w:r w:rsidR="00821FBC">
        <w:t>a number of</w:t>
      </w:r>
      <w:proofErr w:type="gramEnd"/>
      <w:r w:rsidR="00821FBC">
        <w:t xml:space="preserve"> threatened and endemic galaxiid</w:t>
      </w:r>
      <w:r w:rsidR="005656A9">
        <w:t xml:space="preserve"> </w:t>
      </w:r>
      <w:r w:rsidR="00DF6F2A">
        <w:t xml:space="preserve">(see Wildlands, 2021b in Appendix 14). </w:t>
      </w:r>
      <w:r w:rsidR="00821FBC">
        <w:t xml:space="preserve">Thirteen non-migratory indigenous freshwater species have been confirmed in Otago, including in the Taieri, Teviot, </w:t>
      </w:r>
      <w:proofErr w:type="spellStart"/>
      <w:r w:rsidR="00821FBC">
        <w:t>Manuherekia</w:t>
      </w:r>
      <w:proofErr w:type="spellEnd"/>
      <w:r w:rsidR="00821FBC">
        <w:t xml:space="preserve"> and Cardrona catchments, with some species being confined to one catchment</w:t>
      </w:r>
      <w:r w:rsidR="00B91B3B">
        <w:t xml:space="preserve"> </w:t>
      </w:r>
      <w:sdt>
        <w:sdtPr>
          <w:id w:val="321774323"/>
          <w:placeholder>
            <w:docPart w:val="DefaultPlaceholder_1081868574"/>
          </w:placeholder>
          <w:citation/>
        </w:sdtPr>
        <w:sdtContent>
          <w:r w:rsidR="00A720B8">
            <w:fldChar w:fldCharType="begin"/>
          </w:r>
          <w:r w:rsidR="00A720B8">
            <w:instrText xml:space="preserve"> CITATION Dep16 \l 5129 </w:instrText>
          </w:r>
          <w:r w:rsidR="00A720B8">
            <w:fldChar w:fldCharType="separate"/>
          </w:r>
          <w:r w:rsidR="00246D02">
            <w:rPr>
              <w:noProof/>
            </w:rPr>
            <w:t>(Department of Conservation, 2016)</w:t>
          </w:r>
          <w:r w:rsidR="00A720B8">
            <w:fldChar w:fldCharType="end"/>
          </w:r>
        </w:sdtContent>
      </w:sdt>
      <w:r w:rsidR="00821FBC">
        <w:t xml:space="preserve">. </w:t>
      </w:r>
      <w:r w:rsidR="00287BEB">
        <w:t xml:space="preserve">There are also 24 lizard taxa found in Otago, </w:t>
      </w:r>
      <w:r w:rsidR="006A196D">
        <w:t>with all but three species classified as Threatened or At Risk</w:t>
      </w:r>
      <w:r w:rsidR="00BC24CE">
        <w:t xml:space="preserve"> </w:t>
      </w:r>
      <w:r w:rsidR="00DF6F2A">
        <w:t>(see Wildlands, 2020a in Appendix 12).</w:t>
      </w:r>
    </w:p>
    <w:p w14:paraId="579D6301" w14:textId="4DF1272F" w:rsidR="0066416E" w:rsidRDefault="006A196D" w:rsidP="00A247C5">
      <w:pPr>
        <w:pStyle w:val="Normal2"/>
      </w:pPr>
      <w:r>
        <w:t>In 2020, ORC commissioned two reports into the region’s indigenous biodiversity as a first step towards a new management approach</w:t>
      </w:r>
      <w:r w:rsidR="00896036">
        <w:t xml:space="preserve">: one mapping significant habitats of fauna based on existing information sources </w:t>
      </w:r>
      <w:r w:rsidR="00DF6F2A">
        <w:t xml:space="preserve">(see Wildlands, 2020a in Appendix 12) </w:t>
      </w:r>
      <w:r w:rsidR="00896036">
        <w:t xml:space="preserve">and one </w:t>
      </w:r>
      <w:r w:rsidR="003A6DF7">
        <w:t xml:space="preserve">mapping potential natural ecosystems and current ecosystems </w:t>
      </w:r>
      <w:r w:rsidR="0036628E">
        <w:t xml:space="preserve">in the region </w:t>
      </w:r>
      <w:r w:rsidR="00DF6F2A">
        <w:t xml:space="preserve">(see Wildlands, 2020b in Appendix 13). </w:t>
      </w:r>
      <w:r w:rsidR="00B01C15">
        <w:t>These reports indicate that there are potentially large parts of the region that are</w:t>
      </w:r>
      <w:r w:rsidR="0098281B">
        <w:t xml:space="preserve"> habitats for indigenous species</w:t>
      </w:r>
      <w:r w:rsidR="00C14012">
        <w:t xml:space="preserve">. They provide a </w:t>
      </w:r>
      <w:r w:rsidR="007230FB">
        <w:t>s</w:t>
      </w:r>
      <w:r w:rsidR="00C14012">
        <w:t>tarting point for assessments of significance across the region</w:t>
      </w:r>
      <w:r w:rsidR="00766F97">
        <w:t>,</w:t>
      </w:r>
      <w:r w:rsidR="00C14012">
        <w:t xml:space="preserve"> </w:t>
      </w:r>
      <w:r w:rsidR="007230FB">
        <w:t xml:space="preserve">and it is expected that </w:t>
      </w:r>
      <w:r w:rsidR="00500944">
        <w:t xml:space="preserve">information gaps and refinement of identified areas will occur as </w:t>
      </w:r>
      <w:r w:rsidR="00651F74">
        <w:t>further fauna surveys are undertaken.</w:t>
      </w:r>
      <w:r w:rsidR="005069CD">
        <w:t xml:space="preserve"> </w:t>
      </w:r>
      <w:r w:rsidR="0066416E">
        <w:t xml:space="preserve">Several positive trends in indigenous biodiversity </w:t>
      </w:r>
      <w:r w:rsidR="0079706A">
        <w:t xml:space="preserve">in Otago </w:t>
      </w:r>
      <w:r w:rsidR="0066416E">
        <w:t>have occurred in recent decades including natural regeneration of woody vegetation, fenced sanctuaries</w:t>
      </w:r>
      <w:r w:rsidR="00452E4C">
        <w:t xml:space="preserve">, managed planting and pest control </w:t>
      </w:r>
      <w:r w:rsidR="00DF6F2A">
        <w:t>(see Wildlands, 2021b in Appendix 14).</w:t>
      </w:r>
    </w:p>
    <w:p w14:paraId="02F8D41B" w14:textId="5C2DE4EA" w:rsidR="000F6896" w:rsidRDefault="00630965" w:rsidP="00A247C5">
      <w:pPr>
        <w:pStyle w:val="Normal2"/>
      </w:pPr>
      <w:r>
        <w:t xml:space="preserve">The most well-known threats to ecosystems and indigenous biodiversity in Otago are pest plants and </w:t>
      </w:r>
      <w:r w:rsidR="00187BD5">
        <w:t>animals and human activities</w:t>
      </w:r>
      <w:r w:rsidR="00743154">
        <w:t xml:space="preserve"> </w:t>
      </w:r>
      <w:r w:rsidR="00DF6F2A">
        <w:t xml:space="preserve">(see Wildlands, 2021b in Appendix 14). </w:t>
      </w:r>
      <w:r w:rsidR="00187BD5">
        <w:t>There are also threats posed by climate change (particularly a predicted decrease in precipitation), fires and natural hazard events</w:t>
      </w:r>
      <w:r w:rsidR="00794747">
        <w:t xml:space="preserve"> such as erosion and flooding</w:t>
      </w:r>
      <w:sdt>
        <w:sdtPr>
          <w:id w:val="582961344"/>
          <w:placeholder>
            <w:docPart w:val="DefaultPlaceholder_1081868574"/>
          </w:placeholder>
          <w:citation/>
        </w:sdtPr>
        <w:sdtContent>
          <w:r w:rsidR="00794747">
            <w:fldChar w:fldCharType="begin"/>
          </w:r>
          <w:r w:rsidR="00794747">
            <w:instrText xml:space="preserve"> CITATION Dep16 \l 5129 </w:instrText>
          </w:r>
          <w:r w:rsidR="00794747">
            <w:fldChar w:fldCharType="separate"/>
          </w:r>
          <w:r w:rsidR="00246D02">
            <w:rPr>
              <w:noProof/>
            </w:rPr>
            <w:t xml:space="preserve"> (Department of Conservation, 2016)</w:t>
          </w:r>
          <w:r w:rsidR="00794747">
            <w:fldChar w:fldCharType="end"/>
          </w:r>
        </w:sdtContent>
      </w:sdt>
      <w:r w:rsidR="00794747">
        <w:t xml:space="preserve">. Freshwater and dryland </w:t>
      </w:r>
      <w:r w:rsidR="00204B82">
        <w:t xml:space="preserve">habitats and wetlands are particularly vulnerable </w:t>
      </w:r>
      <w:r w:rsidR="00B20BE8">
        <w:t>to the impacts of changes in or intensification o</w:t>
      </w:r>
      <w:r w:rsidR="00240F53">
        <w:t>f</w:t>
      </w:r>
      <w:r w:rsidR="00B20BE8">
        <w:t xml:space="preserve"> land uses. </w:t>
      </w:r>
      <w:r w:rsidR="00584DD9">
        <w:t>Loss and modification of habitat</w:t>
      </w:r>
      <w:r w:rsidR="00933BFC">
        <w:t xml:space="preserve"> has </w:t>
      </w:r>
      <w:r w:rsidR="00AD6A1F">
        <w:t xml:space="preserve">a </w:t>
      </w:r>
      <w:r w:rsidR="00933BFC">
        <w:t>profound effect on the distribution and abundance of indigenous fauna</w:t>
      </w:r>
      <w:r w:rsidR="00DF43EE">
        <w:t xml:space="preserve"> </w:t>
      </w:r>
      <w:r w:rsidR="00DF6F2A">
        <w:t xml:space="preserve">(see Wildlands, 2021b in Appendix 14). </w:t>
      </w:r>
      <w:r w:rsidR="00E377C9">
        <w:t xml:space="preserve">In Otago, as is the case nationally, there is growing concern about biodiversity loss. </w:t>
      </w:r>
      <w:r w:rsidR="005744EF">
        <w:t xml:space="preserve">During consultation with the community, </w:t>
      </w:r>
      <w:r w:rsidR="009339F6">
        <w:t xml:space="preserve">concern about </w:t>
      </w:r>
      <w:r w:rsidR="005744EF">
        <w:t xml:space="preserve">pest animals and plants and their </w:t>
      </w:r>
      <w:r w:rsidR="009339F6">
        <w:t>e</w:t>
      </w:r>
      <w:r w:rsidR="005744EF">
        <w:t xml:space="preserve">ffects on Otago’s natural environment and biodiversity was a common theme. </w:t>
      </w:r>
    </w:p>
    <w:p w14:paraId="2CB926D7" w14:textId="67B3C849" w:rsidR="003024D9" w:rsidRDefault="001C4810" w:rsidP="00A247C5">
      <w:pPr>
        <w:pStyle w:val="Normal2"/>
      </w:pPr>
      <w:r>
        <w:lastRenderedPageBreak/>
        <w:t xml:space="preserve">Ecosystems and indigenous biodiversity are managed primarily through chapter 3 and chapter 5 of the PORPS 2019.  At a broad level, chapter 3 seeks to recognise, </w:t>
      </w:r>
      <w:proofErr w:type="gramStart"/>
      <w:r>
        <w:t>maintain</w:t>
      </w:r>
      <w:proofErr w:type="gramEnd"/>
      <w:r w:rsidR="00573224">
        <w:t xml:space="preserve"> </w:t>
      </w:r>
      <w:r>
        <w:t xml:space="preserve">or enhance the values of </w:t>
      </w:r>
      <w:r w:rsidR="00A5745F">
        <w:t xml:space="preserve">significant </w:t>
      </w:r>
      <w:r w:rsidR="006F2726">
        <w:t>ecosystems and indigenous biodiversity</w:t>
      </w:r>
      <w:r w:rsidR="00A5745F">
        <w:t xml:space="preserve"> while chapter 5</w:t>
      </w:r>
      <w:r w:rsidR="00B0210B">
        <w:t xml:space="preserve"> outlines the approach to managing biodiversity that is not considered significant.</w:t>
      </w:r>
      <w:r>
        <w:t xml:space="preserve"> </w:t>
      </w:r>
      <w:r w:rsidR="00841598">
        <w:t>Overall, the policy direction is appropriate (for example, requiring the protection of significant areas and maintenance of other areas). However, t</w:t>
      </w:r>
      <w:r w:rsidR="00F666B8">
        <w:t>he</w:t>
      </w:r>
      <w:r w:rsidR="00034246">
        <w:t xml:space="preserve"> objective</w:t>
      </w:r>
      <w:r w:rsidR="00B0210B">
        <w:t>s are</w:t>
      </w:r>
      <w:r w:rsidR="00034246">
        <w:t xml:space="preserve"> </w:t>
      </w:r>
      <w:proofErr w:type="gramStart"/>
      <w:r w:rsidR="00034246">
        <w:t>broad</w:t>
      </w:r>
      <w:proofErr w:type="gramEnd"/>
      <w:r w:rsidR="00034246">
        <w:t xml:space="preserve"> and the policies do not specify how or when maintenance </w:t>
      </w:r>
      <w:r w:rsidR="00F666B8">
        <w:t xml:space="preserve">or enhancement should occur. </w:t>
      </w:r>
      <w:r w:rsidR="003024D9">
        <w:t xml:space="preserve"> </w:t>
      </w:r>
      <w:r w:rsidR="00F666B8">
        <w:t>The methods are general</w:t>
      </w:r>
      <w:r w:rsidR="00B0210B">
        <w:t xml:space="preserve"> </w:t>
      </w:r>
      <w:r w:rsidR="00F666B8">
        <w:t>and</w:t>
      </w:r>
      <w:r w:rsidR="00B0210B">
        <w:t xml:space="preserve"> often</w:t>
      </w:r>
      <w:r w:rsidR="00F666B8">
        <w:t xml:space="preserve"> repeat the content of the policies and there is a lack of clarity about the roles and responsibilities of the local authorities. </w:t>
      </w:r>
      <w:r w:rsidR="00BB44D4">
        <w:t xml:space="preserve">The criteria for identifying significant areas are terrestrial-focused and came under criticism during the appeal process for </w:t>
      </w:r>
      <w:r w:rsidR="000A6D8A">
        <w:t xml:space="preserve">not being fit for purpose for marine </w:t>
      </w:r>
      <w:proofErr w:type="gramStart"/>
      <w:r w:rsidR="000A6D8A">
        <w:t>biodiversity in particular</w:t>
      </w:r>
      <w:proofErr w:type="gramEnd"/>
      <w:r w:rsidR="000A6D8A">
        <w:t>.</w:t>
      </w:r>
    </w:p>
    <w:p w14:paraId="5A5E8052" w14:textId="10189046" w:rsidR="00A5745F" w:rsidRDefault="00A5745F" w:rsidP="00A247C5">
      <w:pPr>
        <w:pStyle w:val="Normal2"/>
      </w:pPr>
      <w:r>
        <w:t xml:space="preserve">Since notification of the </w:t>
      </w:r>
      <w:r w:rsidR="00B0210B">
        <w:t xml:space="preserve">PORPS 2019, </w:t>
      </w:r>
      <w:r w:rsidR="00107414">
        <w:t xml:space="preserve">the Government has released a draft National Policy Statement for Indigenous Biodiversity and published a new Aotearoa New Zealand Biodiversity Strategy 2020. </w:t>
      </w:r>
      <w:r w:rsidR="005B0404">
        <w:t xml:space="preserve">The new NPSFM 2020 </w:t>
      </w:r>
      <w:r w:rsidR="00D17E39">
        <w:t xml:space="preserve">now </w:t>
      </w:r>
      <w:r w:rsidR="00AD3CD0">
        <w:t>applies</w:t>
      </w:r>
      <w:r w:rsidR="00D17E39">
        <w:t>,</w:t>
      </w:r>
      <w:r w:rsidR="005B0404">
        <w:t xml:space="preserve"> which is relevant for freshwater ecosystems and biodiversity. The policy environment has therefore changed significantly and generally drives towards </w:t>
      </w:r>
      <w:r w:rsidR="00874523">
        <w:t xml:space="preserve">improving protections, halting </w:t>
      </w:r>
      <w:proofErr w:type="gramStart"/>
      <w:r w:rsidR="00874523">
        <w:t>loss</w:t>
      </w:r>
      <w:proofErr w:type="gramEnd"/>
      <w:r w:rsidR="00874523">
        <w:t xml:space="preserve"> and restoring biodiversity nationwide.</w:t>
      </w:r>
    </w:p>
    <w:p w14:paraId="1FE5E282" w14:textId="32824771" w:rsidR="00E9552F" w:rsidRDefault="00E9552F" w:rsidP="0082271A">
      <w:pPr>
        <w:pStyle w:val="Heading3"/>
      </w:pPr>
      <w:r>
        <w:t>Objectives</w:t>
      </w:r>
    </w:p>
    <w:p w14:paraId="512F57FD" w14:textId="118D88AA" w:rsidR="00E9552F" w:rsidRDefault="0046685E" w:rsidP="00A247C5">
      <w:pPr>
        <w:pStyle w:val="Normal2"/>
      </w:pPr>
      <w:r>
        <w:t>Section 32(1)(b) requires examining whether the provisions in the proposal are the most appropriate way of achieving the objectives. The relevant objectives for this topic are</w:t>
      </w:r>
      <w:r w:rsidR="00C20F0D">
        <w:t xml:space="preserve"> included in </w:t>
      </w:r>
      <w:r>
        <w:fldChar w:fldCharType="begin"/>
      </w:r>
      <w:r>
        <w:instrText xml:space="preserve"> REF _Ref53662965 \h </w:instrText>
      </w:r>
      <w:r>
        <w:fldChar w:fldCharType="separate"/>
      </w:r>
      <w:r w:rsidR="002A7A16">
        <w:t xml:space="preserve">Table </w:t>
      </w:r>
      <w:r w:rsidR="002A7A16">
        <w:rPr>
          <w:noProof/>
        </w:rPr>
        <w:t>37</w:t>
      </w:r>
      <w:r>
        <w:fldChar w:fldCharType="end"/>
      </w:r>
      <w:r w:rsidR="00C20F0D">
        <w:t xml:space="preserve"> below.</w:t>
      </w:r>
    </w:p>
    <w:p w14:paraId="25D78286" w14:textId="228D38E8" w:rsidR="009339F6" w:rsidRDefault="009339F6" w:rsidP="009339F6">
      <w:pPr>
        <w:pStyle w:val="Caption"/>
        <w:keepNext/>
        <w:ind w:left="709"/>
      </w:pPr>
      <w:bookmarkStart w:id="97" w:name="_Ref53662965"/>
      <w:r>
        <w:t xml:space="preserve">Table </w:t>
      </w:r>
      <w:r>
        <w:fldChar w:fldCharType="begin"/>
      </w:r>
      <w:r>
        <w:instrText>SEQ Table \* ARABIC</w:instrText>
      </w:r>
      <w:r>
        <w:fldChar w:fldCharType="separate"/>
      </w:r>
      <w:r w:rsidR="002A7A16">
        <w:rPr>
          <w:noProof/>
        </w:rPr>
        <w:t>37</w:t>
      </w:r>
      <w:r>
        <w:fldChar w:fldCharType="end"/>
      </w:r>
      <w:bookmarkEnd w:id="97"/>
      <w:r>
        <w:t>: Ecosystems and indigenous biodiversity objectives</w:t>
      </w:r>
    </w:p>
    <w:tbl>
      <w:tblPr>
        <w:tblStyle w:val="TableGrid"/>
        <w:tblW w:w="0" w:type="auto"/>
        <w:tblInd w:w="720" w:type="dxa"/>
        <w:tblLook w:val="04A0" w:firstRow="1" w:lastRow="0" w:firstColumn="1" w:lastColumn="0" w:noHBand="0" w:noVBand="1"/>
      </w:tblPr>
      <w:tblGrid>
        <w:gridCol w:w="1827"/>
        <w:gridCol w:w="6469"/>
      </w:tblGrid>
      <w:tr w:rsidR="009339F6" w14:paraId="26526F12" w14:textId="77777777" w:rsidTr="00E77177">
        <w:tc>
          <w:tcPr>
            <w:tcW w:w="1827" w:type="dxa"/>
          </w:tcPr>
          <w:p w14:paraId="0C6190E5" w14:textId="4A5A214B" w:rsidR="009339F6" w:rsidRPr="00557EEE" w:rsidRDefault="00C20F0D" w:rsidP="00A247C5">
            <w:pPr>
              <w:pStyle w:val="Table1"/>
            </w:pPr>
            <w:r>
              <w:t>ECO</w:t>
            </w:r>
            <w:r w:rsidR="00AC05A1">
              <w:t>–</w:t>
            </w:r>
            <w:r>
              <w:t xml:space="preserve">O1 </w:t>
            </w:r>
            <w:r w:rsidR="00AC05A1">
              <w:t>–</w:t>
            </w:r>
            <w:r>
              <w:t xml:space="preserve"> Ecosystems and indigenous biodiversity</w:t>
            </w:r>
          </w:p>
        </w:tc>
        <w:tc>
          <w:tcPr>
            <w:tcW w:w="6469" w:type="dxa"/>
          </w:tcPr>
          <w:p w14:paraId="16005891" w14:textId="16692134" w:rsidR="009339F6" w:rsidRDefault="00AC05A1" w:rsidP="00A247C5">
            <w:pPr>
              <w:pStyle w:val="Table1"/>
            </w:pPr>
            <w:r w:rsidRPr="00AC05A1">
              <w:t xml:space="preserve">Otago’s indigenous biodiversity </w:t>
            </w:r>
            <w:r w:rsidR="00D947B4">
              <w:t>is</w:t>
            </w:r>
            <w:r w:rsidRPr="00AC05A1">
              <w:t xml:space="preserve"> healthy and thriving and </w:t>
            </w:r>
            <w:r w:rsidR="00D947B4">
              <w:t>any</w:t>
            </w:r>
            <w:r w:rsidRPr="00AC05A1">
              <w:t xml:space="preserve"> decline in quality, quantity and diversity has halted.</w:t>
            </w:r>
          </w:p>
        </w:tc>
      </w:tr>
      <w:tr w:rsidR="00AC05A1" w14:paraId="610DC233" w14:textId="77777777" w:rsidTr="00E77177">
        <w:tc>
          <w:tcPr>
            <w:tcW w:w="1827" w:type="dxa"/>
          </w:tcPr>
          <w:p w14:paraId="59F49777" w14:textId="5872DF9A" w:rsidR="00AC05A1" w:rsidRDefault="00AC05A1" w:rsidP="00A247C5">
            <w:pPr>
              <w:pStyle w:val="Table1"/>
            </w:pPr>
            <w:r>
              <w:t>ECO–O2 – Restoring or enhancing</w:t>
            </w:r>
          </w:p>
        </w:tc>
        <w:tc>
          <w:tcPr>
            <w:tcW w:w="6469" w:type="dxa"/>
          </w:tcPr>
          <w:p w14:paraId="17638C65" w14:textId="36B19D20" w:rsidR="00AC05A1" w:rsidRPr="00C20F0D" w:rsidRDefault="00D947B4" w:rsidP="00A247C5">
            <w:pPr>
              <w:pStyle w:val="Table1"/>
            </w:pPr>
            <w:r>
              <w:t xml:space="preserve">A net increase in the extent and occupancy of Otago’s indigenous </w:t>
            </w:r>
            <w:r w:rsidRPr="00C5455A">
              <w:rPr>
                <w:i/>
              </w:rPr>
              <w:t>biodiversity</w:t>
            </w:r>
            <w:r>
              <w:rPr>
                <w:i/>
              </w:rPr>
              <w:t xml:space="preserve"> </w:t>
            </w:r>
            <w:r>
              <w:rPr>
                <w:iCs/>
              </w:rPr>
              <w:t>results from restoration or enhancement</w:t>
            </w:r>
            <w:r>
              <w:t>.</w:t>
            </w:r>
          </w:p>
        </w:tc>
      </w:tr>
      <w:tr w:rsidR="00D947B4" w14:paraId="0B16FCD3" w14:textId="77777777" w:rsidTr="00E77177">
        <w:tc>
          <w:tcPr>
            <w:tcW w:w="1827" w:type="dxa"/>
          </w:tcPr>
          <w:p w14:paraId="1F832919" w14:textId="0A03247D" w:rsidR="00D947B4" w:rsidRDefault="00D947B4" w:rsidP="00A247C5">
            <w:pPr>
              <w:pStyle w:val="Table1"/>
            </w:pPr>
            <w:r>
              <w:t>ECO–O3 – Kaitiakitaka and stewardship</w:t>
            </w:r>
          </w:p>
        </w:tc>
        <w:tc>
          <w:tcPr>
            <w:tcW w:w="6469" w:type="dxa"/>
          </w:tcPr>
          <w:p w14:paraId="57CD4AEA" w14:textId="77777777" w:rsidR="00D947B4" w:rsidRPr="00D947B4" w:rsidRDefault="00D947B4" w:rsidP="00A247C5">
            <w:pPr>
              <w:pStyle w:val="Table1"/>
            </w:pPr>
            <w:r w:rsidRPr="00D947B4">
              <w:t>Mana whenua are recognised as kaitiaki of Otago’s indigenous biodiversity, and Otago’s communities are recognised as stewards, who are responsible for:</w:t>
            </w:r>
          </w:p>
          <w:p w14:paraId="0C2755EC" w14:textId="5B2F7204" w:rsidR="00D947B4" w:rsidRPr="00D947B4" w:rsidRDefault="00D947B4" w:rsidP="00A247C5">
            <w:pPr>
              <w:pStyle w:val="Table1"/>
              <w:ind w:left="323"/>
            </w:pPr>
            <w:r w:rsidRPr="00D947B4">
              <w:t>(1)</w:t>
            </w:r>
            <w:r w:rsidRPr="00D947B4">
              <w:tab/>
              <w:t xml:space="preserve">te hauora o te </w:t>
            </w:r>
            <w:proofErr w:type="spellStart"/>
            <w:r w:rsidRPr="00D947B4">
              <w:t>koiora</w:t>
            </w:r>
            <w:proofErr w:type="spellEnd"/>
            <w:r w:rsidRPr="00D947B4">
              <w:t xml:space="preserve"> (the health of indigenous biodiversity)</w:t>
            </w:r>
            <w:r>
              <w:t xml:space="preserve">, </w:t>
            </w:r>
            <w:r w:rsidRPr="00D947B4">
              <w:t xml:space="preserve">te hauora o te </w:t>
            </w:r>
            <w:proofErr w:type="spellStart"/>
            <w:r w:rsidRPr="00D947B4">
              <w:t>taoka</w:t>
            </w:r>
            <w:proofErr w:type="spellEnd"/>
            <w:r w:rsidRPr="00D947B4">
              <w:t xml:space="preserve"> (the health of species and ecosystems that are </w:t>
            </w:r>
            <w:proofErr w:type="spellStart"/>
            <w:r w:rsidRPr="00D947B4">
              <w:t>taoka</w:t>
            </w:r>
            <w:proofErr w:type="spellEnd"/>
            <w:r w:rsidRPr="00D947B4">
              <w:t>), and</w:t>
            </w:r>
            <w:r>
              <w:t xml:space="preserve"> </w:t>
            </w:r>
            <w:r w:rsidRPr="00D947B4">
              <w:t xml:space="preserve">te hauora o te </w:t>
            </w:r>
            <w:proofErr w:type="spellStart"/>
            <w:r w:rsidRPr="00D947B4">
              <w:t>taia</w:t>
            </w:r>
            <w:proofErr w:type="spellEnd"/>
            <w:r w:rsidRPr="00D947B4">
              <w:t xml:space="preserve"> (the health of the wider environment), while</w:t>
            </w:r>
          </w:p>
          <w:p w14:paraId="05CC564A" w14:textId="1E5456F1" w:rsidR="00D947B4" w:rsidRPr="00D947B4" w:rsidRDefault="00D947B4" w:rsidP="00A247C5">
            <w:pPr>
              <w:pStyle w:val="Table1"/>
              <w:ind w:left="323"/>
            </w:pPr>
            <w:r w:rsidRPr="00D947B4">
              <w:t>(</w:t>
            </w:r>
            <w:r>
              <w:t>2</w:t>
            </w:r>
            <w:r w:rsidRPr="00D947B4">
              <w:t>)</w:t>
            </w:r>
            <w:r w:rsidRPr="00D947B4">
              <w:tab/>
              <w:t>providing for te hauora o te tangata (the health of the people).</w:t>
            </w:r>
          </w:p>
        </w:tc>
      </w:tr>
    </w:tbl>
    <w:p w14:paraId="204F58AF" w14:textId="1AFB86D3" w:rsidR="00E9552F" w:rsidRDefault="00E9552F" w:rsidP="0082271A">
      <w:pPr>
        <w:pStyle w:val="Heading3"/>
      </w:pPr>
      <w:r>
        <w:t>Reasonably practicable options</w:t>
      </w:r>
    </w:p>
    <w:p w14:paraId="321D7A12" w14:textId="77777777" w:rsidR="00EF7E45" w:rsidRDefault="00EF7E45" w:rsidP="00A247C5">
      <w:pPr>
        <w:pStyle w:val="Normal2"/>
      </w:pPr>
      <w:r>
        <w:t>Two reasonably practicable options were identified to achieve the objectives:</w:t>
      </w:r>
    </w:p>
    <w:p w14:paraId="2FE0D64A" w14:textId="6D7A26F3" w:rsidR="00EF7E45" w:rsidRPr="003C5947" w:rsidRDefault="00EF7E45" w:rsidP="00A247C5">
      <w:pPr>
        <w:pStyle w:val="Normal3"/>
      </w:pPr>
      <w:r w:rsidRPr="29589E8D">
        <w:rPr>
          <w:b/>
          <w:bCs/>
        </w:rPr>
        <w:t>Option 1:</w:t>
      </w:r>
      <w:r>
        <w:t xml:space="preserve"> Status quo (PORPS 2019)</w:t>
      </w:r>
    </w:p>
    <w:p w14:paraId="7CB721DA" w14:textId="53B17FE1" w:rsidR="00CE24D3" w:rsidRPr="003C5947" w:rsidRDefault="00EF7E45" w:rsidP="00A247C5">
      <w:pPr>
        <w:pStyle w:val="Normal3"/>
      </w:pPr>
      <w:r w:rsidRPr="29589E8D">
        <w:rPr>
          <w:b/>
          <w:bCs/>
        </w:rPr>
        <w:t>Option 2:</w:t>
      </w:r>
      <w:r>
        <w:t xml:space="preserve"> </w:t>
      </w:r>
      <w:r w:rsidR="00CE24D3">
        <w:t>Non-regulatory</w:t>
      </w:r>
    </w:p>
    <w:p w14:paraId="3C22EB5B" w14:textId="312B1B3A" w:rsidR="00A81822" w:rsidRDefault="00EF7E45" w:rsidP="00A247C5">
      <w:pPr>
        <w:pStyle w:val="Normal3"/>
      </w:pPr>
      <w:r w:rsidRPr="29589E8D">
        <w:rPr>
          <w:b/>
          <w:bCs/>
        </w:rPr>
        <w:t xml:space="preserve">Option </w:t>
      </w:r>
      <w:r w:rsidR="00CE24D3" w:rsidRPr="29589E8D">
        <w:rPr>
          <w:b/>
          <w:bCs/>
        </w:rPr>
        <w:t>3</w:t>
      </w:r>
      <w:r w:rsidRPr="29589E8D">
        <w:rPr>
          <w:b/>
          <w:bCs/>
        </w:rPr>
        <w:t>:</w:t>
      </w:r>
      <w:r>
        <w:t xml:space="preserve"> </w:t>
      </w:r>
      <w:r w:rsidR="00E81F7F">
        <w:t>PORPS 2021</w:t>
      </w:r>
      <w:r w:rsidR="00770BF7">
        <w:t xml:space="preserve"> (clause 3 version)</w:t>
      </w:r>
    </w:p>
    <w:p w14:paraId="5AC7D8F9" w14:textId="746DC952" w:rsidR="005A44D6" w:rsidRDefault="005A44D6" w:rsidP="00A247C5">
      <w:pPr>
        <w:pStyle w:val="Normal3"/>
      </w:pPr>
      <w:r w:rsidRPr="29589E8D">
        <w:rPr>
          <w:b/>
          <w:bCs/>
        </w:rPr>
        <w:t xml:space="preserve">Option </w:t>
      </w:r>
      <w:r w:rsidR="00CE24D3" w:rsidRPr="29589E8D">
        <w:rPr>
          <w:b/>
          <w:bCs/>
        </w:rPr>
        <w:t>4</w:t>
      </w:r>
      <w:r w:rsidRPr="29589E8D">
        <w:rPr>
          <w:b/>
          <w:bCs/>
        </w:rPr>
        <w:t>:</w:t>
      </w:r>
      <w:r>
        <w:t xml:space="preserve"> PORPS 2021</w:t>
      </w:r>
      <w:r w:rsidR="00770BF7">
        <w:t xml:space="preserve"> (</w:t>
      </w:r>
      <w:r w:rsidR="00240F53">
        <w:t>as proposed</w:t>
      </w:r>
      <w:r w:rsidR="00770BF7">
        <w:t>)</w:t>
      </w:r>
      <w:r w:rsidR="00240F53">
        <w:t xml:space="preserve"> – </w:t>
      </w:r>
      <w:r w:rsidR="00240F53">
        <w:rPr>
          <w:i/>
          <w:iCs/>
        </w:rPr>
        <w:t xml:space="preserve">preferred </w:t>
      </w:r>
    </w:p>
    <w:p w14:paraId="5A12307B" w14:textId="2E7CA867" w:rsidR="00E9552F" w:rsidRDefault="00E9552F" w:rsidP="00DE069C">
      <w:pPr>
        <w:pStyle w:val="Heading4"/>
      </w:pPr>
      <w:r>
        <w:lastRenderedPageBreak/>
        <w:t>Option 1: Status quo</w:t>
      </w:r>
    </w:p>
    <w:p w14:paraId="7F55487D" w14:textId="11912BCF" w:rsidR="00874523" w:rsidRPr="00874523" w:rsidRDefault="00874523" w:rsidP="00A247C5">
      <w:pPr>
        <w:pStyle w:val="Normal2"/>
      </w:pPr>
      <w:r>
        <w:t xml:space="preserve">The status quo and associated issues are outlined in section </w:t>
      </w:r>
      <w:r>
        <w:fldChar w:fldCharType="begin"/>
      </w:r>
      <w:r>
        <w:instrText xml:space="preserve"> REF _Ref53663913 \r \h </w:instrText>
      </w:r>
      <w:r>
        <w:fldChar w:fldCharType="separate"/>
      </w:r>
      <w:r w:rsidR="002A7A16">
        <w:t>5.8.2</w:t>
      </w:r>
      <w:r>
        <w:fldChar w:fldCharType="end"/>
      </w:r>
      <w:r>
        <w:t xml:space="preserve">. As set out in that section, </w:t>
      </w:r>
      <w:r w:rsidR="00987D71">
        <w:t xml:space="preserve">parts of </w:t>
      </w:r>
      <w:r>
        <w:t xml:space="preserve">the status quo </w:t>
      </w:r>
      <w:proofErr w:type="gramStart"/>
      <w:r w:rsidR="00987D71">
        <w:t xml:space="preserve">are </w:t>
      </w:r>
      <w:r>
        <w:t>considered to be</w:t>
      </w:r>
      <w:proofErr w:type="gramEnd"/>
      <w:r>
        <w:t xml:space="preserve"> generally appropriate, however there are areas where improvements could be made assist the effectiveness and efficiency of the management approach</w:t>
      </w:r>
      <w:r w:rsidR="00987D71">
        <w:t xml:space="preserve"> and to better align with </w:t>
      </w:r>
      <w:r w:rsidR="002A7CB8">
        <w:t>national policy</w:t>
      </w:r>
      <w:r>
        <w:t xml:space="preserve">. </w:t>
      </w:r>
    </w:p>
    <w:p w14:paraId="1D5E6A0F" w14:textId="7732C4E3" w:rsidR="00287FBA" w:rsidRDefault="00E9552F" w:rsidP="00DE069C">
      <w:pPr>
        <w:pStyle w:val="Heading4"/>
      </w:pPr>
      <w:r>
        <w:t xml:space="preserve">Option 2: </w:t>
      </w:r>
      <w:r w:rsidR="00287FBA">
        <w:t>Non-regulatory</w:t>
      </w:r>
    </w:p>
    <w:p w14:paraId="76788BB0" w14:textId="5C55CAD6" w:rsidR="00287FBA" w:rsidRDefault="00193BF9" w:rsidP="00A247C5">
      <w:pPr>
        <w:pStyle w:val="Normal2"/>
      </w:pPr>
      <w:r>
        <w:t xml:space="preserve">During the first Reference Group session on this topic, many participants felt that </w:t>
      </w:r>
      <w:r w:rsidR="0055286B">
        <w:t xml:space="preserve">a preferrable </w:t>
      </w:r>
      <w:r w:rsidR="00BB08C8">
        <w:t>policy approach would be to have a reasonably narrow regulatory framework (</w:t>
      </w:r>
      <w:proofErr w:type="gramStart"/>
      <w:r w:rsidR="00BB08C8">
        <w:t>i.e.</w:t>
      </w:r>
      <w:proofErr w:type="gramEnd"/>
      <w:r w:rsidR="00BB08C8">
        <w:t xml:space="preserve"> the minimum required to comply with the RMA and higher order documents) supported by a significant programme of non-regulatory work. That work would be led, </w:t>
      </w:r>
      <w:proofErr w:type="gramStart"/>
      <w:r w:rsidR="00BB08C8">
        <w:t>organised</w:t>
      </w:r>
      <w:proofErr w:type="gramEnd"/>
      <w:r w:rsidR="00BB08C8">
        <w:t xml:space="preserve"> and primarily funded by ORC</w:t>
      </w:r>
      <w:r w:rsidR="00BD5096">
        <w:t xml:space="preserve"> and was considered to be more likely to deliver better ‘on the ground’ results for biodiversity.</w:t>
      </w:r>
    </w:p>
    <w:p w14:paraId="3EB340B1" w14:textId="25B4C2E3" w:rsidR="00BD5096" w:rsidRPr="00874523" w:rsidRDefault="00BD5096" w:rsidP="00A247C5">
      <w:pPr>
        <w:pStyle w:val="Normal2"/>
      </w:pPr>
      <w:r>
        <w:t xml:space="preserve">That option was </w:t>
      </w:r>
      <w:r w:rsidR="00E37178">
        <w:t xml:space="preserve">discounted for two reasons. Firstly, the draft NPSIB has demonstrated that the Government is looking to implement a comprehensive regulatory framework for managing biodiversity that ORC would be required to implement. </w:t>
      </w:r>
      <w:r w:rsidR="00835178">
        <w:t xml:space="preserve">It is unlikely Option 2 would have met those requirements. Secondly, at the time this option was discussed with councillors </w:t>
      </w:r>
      <w:r w:rsidR="002E086C">
        <w:t>the Council’s Long-term Plan</w:t>
      </w:r>
      <w:r w:rsidR="00E81F7F">
        <w:t xml:space="preserve"> 2021</w:t>
      </w:r>
      <w:r w:rsidR="002E086C">
        <w:t xml:space="preserve">-31 was in its early stages of development and there was </w:t>
      </w:r>
      <w:r w:rsidR="400283DF">
        <w:t>considerable</w:t>
      </w:r>
      <w:r w:rsidR="002360DE">
        <w:t xml:space="preserve"> uncertainty about whether the funds required for a non-regulatory approach would or could be made available. Ultimately, </w:t>
      </w:r>
      <w:r w:rsidR="000B2CA7">
        <w:t>this option was</w:t>
      </w:r>
      <w:r w:rsidR="002360DE">
        <w:t xml:space="preserve"> not considered to be effective or efficient for those reasons.</w:t>
      </w:r>
    </w:p>
    <w:p w14:paraId="0F5BC490" w14:textId="33DE26E1" w:rsidR="00E9552F" w:rsidRDefault="00E9552F" w:rsidP="00DE069C">
      <w:pPr>
        <w:pStyle w:val="Heading4"/>
      </w:pPr>
      <w:bookmarkStart w:id="98" w:name="_Ref68867497"/>
      <w:r>
        <w:t xml:space="preserve">Option </w:t>
      </w:r>
      <w:r w:rsidR="00287FBA">
        <w:t>3</w:t>
      </w:r>
      <w:r>
        <w:t xml:space="preserve">: </w:t>
      </w:r>
      <w:r w:rsidR="00770BF7">
        <w:t>Clause 3 version</w:t>
      </w:r>
      <w:bookmarkEnd w:id="98"/>
    </w:p>
    <w:p w14:paraId="38E17421" w14:textId="77777777" w:rsidR="00336C2A" w:rsidRDefault="002D4D20" w:rsidP="00A247C5">
      <w:pPr>
        <w:pStyle w:val="Normal2"/>
      </w:pPr>
      <w:r>
        <w:t xml:space="preserve">The </w:t>
      </w:r>
      <w:r w:rsidR="00770BF7">
        <w:t xml:space="preserve">version of the </w:t>
      </w:r>
      <w:r>
        <w:t xml:space="preserve">PORPS </w:t>
      </w:r>
      <w:r w:rsidR="00731A32">
        <w:t xml:space="preserve">2021 </w:t>
      </w:r>
      <w:r w:rsidR="00EA745C">
        <w:t>prepared for clause 3 consultation adopted a more stringent</w:t>
      </w:r>
      <w:r w:rsidR="00F348EC">
        <w:t xml:space="preserve"> approach to </w:t>
      </w:r>
      <w:r w:rsidR="00E7399E">
        <w:t>managing</w:t>
      </w:r>
      <w:r w:rsidR="00F348EC">
        <w:t xml:space="preserve"> </w:t>
      </w:r>
      <w:r w:rsidR="005B288C">
        <w:t xml:space="preserve">significant natural areas and included management of coastal indigenous </w:t>
      </w:r>
      <w:r w:rsidR="00F348EC">
        <w:t>biodi</w:t>
      </w:r>
      <w:r w:rsidR="00E7399E">
        <w:t>versity</w:t>
      </w:r>
      <w:r w:rsidR="005B288C">
        <w:t xml:space="preserve">. In Option </w:t>
      </w:r>
      <w:r w:rsidR="00C12DF4">
        <w:t>3</w:t>
      </w:r>
      <w:r w:rsidR="005B288C">
        <w:t xml:space="preserve">, </w:t>
      </w:r>
      <w:r w:rsidR="00F8405B">
        <w:t xml:space="preserve">the policy for protecting significant natural areas </w:t>
      </w:r>
      <w:r w:rsidR="00C727D7">
        <w:t>required the avoidance of specific adverse effects within these areas, and then an effects management hierarchy requiring (in order)</w:t>
      </w:r>
      <w:r w:rsidR="00BE59A9">
        <w:t xml:space="preserve"> remedying or mitigating other adverse effects, offsetting, compensation, and if there </w:t>
      </w:r>
      <w:r w:rsidR="00D740EA">
        <w:t xml:space="preserve">are </w:t>
      </w:r>
      <w:r w:rsidR="00BE59A9">
        <w:t xml:space="preserve">still adverse effects then the activity </w:t>
      </w:r>
      <w:r w:rsidR="00506097">
        <w:t xml:space="preserve">cannot proceed. </w:t>
      </w:r>
    </w:p>
    <w:p w14:paraId="5962CAE8" w14:textId="6207F500" w:rsidR="00837937" w:rsidRDefault="00506097" w:rsidP="00A247C5">
      <w:pPr>
        <w:pStyle w:val="Normal2"/>
      </w:pPr>
      <w:r>
        <w:t>Feedback through clause 3 consultation raised concerns with the stringency of this approach, which essentially prevented any level of adverse effect within a significant natural area.</w:t>
      </w:r>
      <w:r w:rsidR="00F23467">
        <w:t xml:space="preserve"> </w:t>
      </w:r>
      <w:r w:rsidR="00837937">
        <w:t xml:space="preserve">That </w:t>
      </w:r>
      <w:proofErr w:type="gramStart"/>
      <w:r w:rsidR="00837937">
        <w:t xml:space="preserve">was </w:t>
      </w:r>
      <w:r w:rsidR="00D740EA">
        <w:t xml:space="preserve">considered </w:t>
      </w:r>
      <w:r w:rsidR="00837937">
        <w:t>to be</w:t>
      </w:r>
      <w:proofErr w:type="gramEnd"/>
      <w:r w:rsidR="00837937">
        <w:t xml:space="preserve"> unrealistic for some activities, namely significant infrastructure and existing activities within significant natural areas. It was also highlighted that the approach was not consistent with the draft NPSIB which provided a pathway for </w:t>
      </w:r>
      <w:proofErr w:type="gramStart"/>
      <w:r w:rsidR="00837937">
        <w:t>particular activities</w:t>
      </w:r>
      <w:proofErr w:type="gramEnd"/>
      <w:r w:rsidR="00837937">
        <w:t xml:space="preserve"> within significant natural areas.</w:t>
      </w:r>
    </w:p>
    <w:p w14:paraId="3F509242" w14:textId="6207F500" w:rsidR="00DB0B20" w:rsidRDefault="00DB0B20" w:rsidP="00A247C5">
      <w:pPr>
        <w:pStyle w:val="Normal2"/>
      </w:pPr>
      <w:r>
        <w:t xml:space="preserve">Feedback from iwi highlighted that Option 3 did not adequately outline the kaitiaki role of Kāi </w:t>
      </w:r>
      <w:proofErr w:type="spellStart"/>
      <w:r>
        <w:t>Tahu</w:t>
      </w:r>
      <w:proofErr w:type="spellEnd"/>
      <w:r>
        <w:t xml:space="preserve"> in relation to indigenous biodiversity or appropriately recognise mana whenua values. At the time of clause 3 consultation, there had not been an opportunity for ORC staff and staff from </w:t>
      </w:r>
      <w:proofErr w:type="spellStart"/>
      <w:r>
        <w:t>Aukaha</w:t>
      </w:r>
      <w:proofErr w:type="spellEnd"/>
      <w:r>
        <w:t xml:space="preserve"> and Te Ao Marama to discuss this issue further, so it was acknowledged by ORC staff that this was a gap in the policy framework that needed to be addressed.</w:t>
      </w:r>
    </w:p>
    <w:p w14:paraId="05800372" w14:textId="59E80C32" w:rsidR="00837937" w:rsidRDefault="00837937" w:rsidP="00A247C5">
      <w:pPr>
        <w:pStyle w:val="Normal2"/>
      </w:pPr>
      <w:r>
        <w:t xml:space="preserve">In Option </w:t>
      </w:r>
      <w:r w:rsidR="00287FBA">
        <w:t>3</w:t>
      </w:r>
      <w:r>
        <w:t xml:space="preserve">, the </w:t>
      </w:r>
      <w:r w:rsidR="00E07E83">
        <w:t xml:space="preserve">management of coastal indigenous biodiversity was included in the scope of the chapter. </w:t>
      </w:r>
      <w:r w:rsidR="007E2DEC">
        <w:t xml:space="preserve">Some </w:t>
      </w:r>
      <w:proofErr w:type="gramStart"/>
      <w:r w:rsidR="007E2DEC">
        <w:t>clause</w:t>
      </w:r>
      <w:proofErr w:type="gramEnd"/>
      <w:r w:rsidR="007E2DEC">
        <w:t xml:space="preserve"> 3 feedback raised concerns with separating </w:t>
      </w:r>
      <w:r w:rsidR="00EC55B1">
        <w:t xml:space="preserve">coastal indigenous biodiversity from the CE – Coastal environment chapter. There was also uncertainty about whether that approach was compliant with the </w:t>
      </w:r>
      <w:r w:rsidR="006834D5">
        <w:t xml:space="preserve">directions in standard 2 of the </w:t>
      </w:r>
      <w:r w:rsidR="00EC55B1">
        <w:t xml:space="preserve">National </w:t>
      </w:r>
      <w:r w:rsidR="00EC55B1">
        <w:lastRenderedPageBreak/>
        <w:t>Planning Standards</w:t>
      </w:r>
      <w:r w:rsidR="006834D5">
        <w:t xml:space="preserve"> which directs all coastal environment-related provisions to be included in the CE – Coastal environment chapter.</w:t>
      </w:r>
    </w:p>
    <w:p w14:paraId="573D061B" w14:textId="73A4E5A7" w:rsidR="006834D5" w:rsidRDefault="006834D5" w:rsidP="00A247C5">
      <w:pPr>
        <w:pStyle w:val="Normal2"/>
      </w:pPr>
      <w:r>
        <w:t xml:space="preserve">This option was discounted </w:t>
      </w:r>
      <w:r w:rsidR="00084999">
        <w:t xml:space="preserve">for the reasons set out above. </w:t>
      </w:r>
      <w:r w:rsidR="00547639">
        <w:t>Staff agreed that the approach in Option 3 for managing significant natural areas was considerably more restrictive than the draft NPSIB</w:t>
      </w:r>
      <w:r w:rsidR="00BB2F47">
        <w:t xml:space="preserve"> anticipated and did not adequately recognise the need to use these areas for a range of new and existing activities. Similarly, it was considered that </w:t>
      </w:r>
      <w:r w:rsidR="00A77E19">
        <w:t xml:space="preserve">as the policy for managing coastal indigenous biodiversity was standalone, it would be more logical to locate that within the CE chapter with cross-references to the ECO objectives. </w:t>
      </w:r>
      <w:r w:rsidR="00DB0B20">
        <w:t xml:space="preserve">ORC staff considered that the clause 4A consultation period would provide an opportunity to work with Kāi </w:t>
      </w:r>
      <w:proofErr w:type="spellStart"/>
      <w:r w:rsidR="00DB0B20">
        <w:t>Tahu</w:t>
      </w:r>
      <w:proofErr w:type="spellEnd"/>
      <w:r w:rsidR="00DB0B20">
        <w:t xml:space="preserve"> to address the lack of policy direction on Kāi </w:t>
      </w:r>
      <w:proofErr w:type="spellStart"/>
      <w:r w:rsidR="00DB0B20">
        <w:t>Tahu</w:t>
      </w:r>
      <w:proofErr w:type="spellEnd"/>
      <w:r w:rsidR="00DB0B20">
        <w:t xml:space="preserve"> roles and values in the chapter.</w:t>
      </w:r>
    </w:p>
    <w:p w14:paraId="2B47E122" w14:textId="1A6C08DE" w:rsidR="00A77E19" w:rsidRPr="00B00C14" w:rsidRDefault="00A77E19" w:rsidP="00DE069C">
      <w:pPr>
        <w:pStyle w:val="Heading4"/>
      </w:pPr>
      <w:r>
        <w:t xml:space="preserve">Option </w:t>
      </w:r>
      <w:r w:rsidR="004B0E87">
        <w:t>4</w:t>
      </w:r>
      <w:r>
        <w:t>: PORPS 2021 (</w:t>
      </w:r>
      <w:r w:rsidR="000B2CA7">
        <w:t>as proposed</w:t>
      </w:r>
      <w:r>
        <w:t>)</w:t>
      </w:r>
      <w:r w:rsidR="000B2CA7">
        <w:t xml:space="preserve"> – </w:t>
      </w:r>
      <w:r w:rsidR="000B2CA7">
        <w:rPr>
          <w:i/>
          <w:iCs/>
        </w:rPr>
        <w:t xml:space="preserve">preferred </w:t>
      </w:r>
    </w:p>
    <w:p w14:paraId="199FE197" w14:textId="6207F500" w:rsidR="00DB0B20" w:rsidRDefault="00A77E19" w:rsidP="00A247C5">
      <w:pPr>
        <w:pStyle w:val="Normal2"/>
      </w:pPr>
      <w:r>
        <w:t xml:space="preserve">Option </w:t>
      </w:r>
      <w:r w:rsidR="004B0E87">
        <w:t>4</w:t>
      </w:r>
      <w:r>
        <w:t xml:space="preserve"> seeks to retain </w:t>
      </w:r>
      <w:r w:rsidR="004B0E87">
        <w:t xml:space="preserve">elements of the PORPS 2019 provisions that continue to be </w:t>
      </w:r>
      <w:r w:rsidR="002201BF">
        <w:t>appropriate</w:t>
      </w:r>
      <w:r w:rsidR="004B0E87">
        <w:t xml:space="preserve"> and relevant</w:t>
      </w:r>
      <w:r w:rsidR="00D740EA">
        <w:t xml:space="preserve"> while</w:t>
      </w:r>
      <w:r w:rsidR="002201BF">
        <w:t xml:space="preserve"> </w:t>
      </w:r>
      <w:r w:rsidR="004E1EB5">
        <w:t xml:space="preserve">improving </w:t>
      </w:r>
      <w:r w:rsidR="002201BF">
        <w:t xml:space="preserve">the </w:t>
      </w:r>
      <w:r w:rsidR="004B0E87">
        <w:t>clarity and drafting of those provisions and</w:t>
      </w:r>
      <w:r w:rsidR="00837068">
        <w:t xml:space="preserve"> aligning the policy framework more closely with the draft NPSIB</w:t>
      </w:r>
      <w:r w:rsidR="00DB0B20">
        <w:t>. It is acknowledged</w:t>
      </w:r>
      <w:r w:rsidR="00837068">
        <w:t xml:space="preserve"> that this document is currently in draft form and has no legal weight</w:t>
      </w:r>
      <w:r w:rsidR="00DB0B20">
        <w:t>, however it does indicate the Government’s most recent policy position on managing indigenous biodiversity and has been developed over</w:t>
      </w:r>
      <w:r w:rsidR="004C56C3">
        <w:t xml:space="preserve"> many years</w:t>
      </w:r>
      <w:r w:rsidR="00DB0B20">
        <w:t xml:space="preserve"> with input from a range of stakeholders and experts</w:t>
      </w:r>
      <w:r w:rsidR="00E7399E">
        <w:t>.</w:t>
      </w:r>
      <w:r w:rsidR="00D740EA">
        <w:t xml:space="preserve"> </w:t>
      </w:r>
    </w:p>
    <w:p w14:paraId="696FC693" w14:textId="6207F500" w:rsidR="004C56C3" w:rsidRDefault="004C56C3" w:rsidP="00A247C5">
      <w:pPr>
        <w:pStyle w:val="Normal2"/>
      </w:pPr>
      <w:r>
        <w:t xml:space="preserve">Responding to iwi feedback regarding the lack of recognition of Kāi </w:t>
      </w:r>
      <w:proofErr w:type="spellStart"/>
      <w:r>
        <w:t>Tahu</w:t>
      </w:r>
      <w:proofErr w:type="spellEnd"/>
      <w:r>
        <w:t xml:space="preserve"> roles and values in Option 3, ECO–P1 in Option 4 outlines how the kaitiaki role of Kāi </w:t>
      </w:r>
      <w:proofErr w:type="spellStart"/>
      <w:r>
        <w:t>Tahu</w:t>
      </w:r>
      <w:bookmarkStart w:id="99" w:name="_Hlk71710477"/>
      <w:proofErr w:type="spellEnd"/>
      <w:r>
        <w:t xml:space="preserve"> </w:t>
      </w:r>
      <w:bookmarkEnd w:id="99"/>
      <w:r>
        <w:t>will be recognised</w:t>
      </w:r>
      <w:r w:rsidR="0066062E">
        <w:t xml:space="preserve">, including by involving Kāi </w:t>
      </w:r>
      <w:proofErr w:type="spellStart"/>
      <w:r w:rsidR="0066062E">
        <w:t>Tahu</w:t>
      </w:r>
      <w:proofErr w:type="spellEnd"/>
      <w:r>
        <w:t xml:space="preserve"> in the management of indigenous biodiversity</w:t>
      </w:r>
      <w:r w:rsidR="0066062E">
        <w:t>, incorporating m</w:t>
      </w:r>
      <w:r w:rsidR="0066062E" w:rsidRPr="2B2D0A62">
        <w:t>ā</w:t>
      </w:r>
      <w:r w:rsidR="0066062E">
        <w:t xml:space="preserve">tauraka Māori in the management and monitoring of indigenous biodiversity and providing for access to and use of indigenous biodiversity by Kāi </w:t>
      </w:r>
      <w:proofErr w:type="spellStart"/>
      <w:r w:rsidR="0066062E">
        <w:t>Tahu</w:t>
      </w:r>
      <w:proofErr w:type="spellEnd"/>
      <w:r w:rsidR="0066062E">
        <w:t xml:space="preserve">. </w:t>
      </w:r>
    </w:p>
    <w:p w14:paraId="428D2939" w14:textId="6207F500" w:rsidR="0066062E" w:rsidRDefault="0066062E" w:rsidP="00A247C5">
      <w:pPr>
        <w:pStyle w:val="Normal2"/>
      </w:pPr>
      <w:r>
        <w:t xml:space="preserve">Policy ECO–P2 requires SNAs to be identified using the criteria in APP2 which is largely the same as the criteria in the PORPS 2019 and comparable to the criteria in the draft NPSIB. It also requires the identification of indigenous species and ecosystems that are </w:t>
      </w:r>
      <w:proofErr w:type="spellStart"/>
      <w:r>
        <w:t>taoka</w:t>
      </w:r>
      <w:proofErr w:type="spellEnd"/>
      <w:r>
        <w:t xml:space="preserve"> in accordance with ECO–M3, which requires a process to be agreed with </w:t>
      </w:r>
      <w:proofErr w:type="spellStart"/>
      <w:r>
        <w:t>takata</w:t>
      </w:r>
      <w:proofErr w:type="spellEnd"/>
      <w:r>
        <w:t xml:space="preserve"> whenua for identification.</w:t>
      </w:r>
    </w:p>
    <w:p w14:paraId="2A767710" w14:textId="23A19447" w:rsidR="00D832BD" w:rsidRDefault="00837068" w:rsidP="00A247C5">
      <w:pPr>
        <w:pStyle w:val="Normal2"/>
      </w:pPr>
      <w:r>
        <w:t xml:space="preserve">Option </w:t>
      </w:r>
      <w:r w:rsidR="004B0E87">
        <w:t>4</w:t>
      </w:r>
      <w:r w:rsidR="0066062E">
        <w:t xml:space="preserve"> then</w:t>
      </w:r>
      <w:r>
        <w:t xml:space="preserve"> retains</w:t>
      </w:r>
      <w:r w:rsidR="00D44564">
        <w:t xml:space="preserve"> the </w:t>
      </w:r>
      <w:r w:rsidR="00D740EA">
        <w:t xml:space="preserve">two </w:t>
      </w:r>
      <w:r w:rsidR="00DB0B20">
        <w:t>of the</w:t>
      </w:r>
      <w:r w:rsidR="00D740EA">
        <w:t xml:space="preserve"> </w:t>
      </w:r>
      <w:r w:rsidR="00DB0B20">
        <w:t xml:space="preserve">main </w:t>
      </w:r>
      <w:r w:rsidR="00D740EA">
        <w:t xml:space="preserve">components </w:t>
      </w:r>
      <w:r w:rsidR="00DB0B20">
        <w:t>from</w:t>
      </w:r>
      <w:r>
        <w:t xml:space="preserve"> the PORPS 201</w:t>
      </w:r>
      <w:r w:rsidR="001952A9">
        <w:t>9</w:t>
      </w:r>
      <w:r w:rsidR="00D740EA">
        <w:t xml:space="preserve">: identification </w:t>
      </w:r>
      <w:r w:rsidR="004B0E87">
        <w:t xml:space="preserve">of significant areas </w:t>
      </w:r>
      <w:r w:rsidR="00D740EA">
        <w:t xml:space="preserve">and </w:t>
      </w:r>
      <w:r w:rsidR="0066062E">
        <w:t xml:space="preserve">a </w:t>
      </w:r>
      <w:r w:rsidR="00D740EA">
        <w:t>management</w:t>
      </w:r>
      <w:r w:rsidR="004B0E87">
        <w:t xml:space="preserve"> </w:t>
      </w:r>
      <w:r w:rsidR="0066062E">
        <w:t>framework for</w:t>
      </w:r>
      <w:r w:rsidR="00D66A7A">
        <w:t xml:space="preserve"> significant and non-significant areas</w:t>
      </w:r>
      <w:r w:rsidR="00D740EA">
        <w:t xml:space="preserve">. </w:t>
      </w:r>
      <w:r w:rsidR="00DB0B20">
        <w:t xml:space="preserve">To reflect current practice, this </w:t>
      </w:r>
      <w:r w:rsidR="00281FD4">
        <w:t>option adopts the terminology of “significant natural areas”</w:t>
      </w:r>
      <w:r w:rsidR="00EB4943">
        <w:t xml:space="preserve"> (SNAs)</w:t>
      </w:r>
      <w:r w:rsidR="00281FD4">
        <w:t xml:space="preserve"> instead of the</w:t>
      </w:r>
      <w:r w:rsidR="00911BAD">
        <w:t xml:space="preserve"> PORPS 2019 terminology of “significant indigenous vegetation and significant habitats of indigenous fauna.” A definition of “significant natural areas” is included to clarify this.</w:t>
      </w:r>
    </w:p>
    <w:p w14:paraId="000150FF" w14:textId="26FEAD0F" w:rsidR="00CE6972" w:rsidRDefault="0066062E" w:rsidP="00A247C5">
      <w:pPr>
        <w:pStyle w:val="Normal2"/>
      </w:pPr>
      <w:r>
        <w:t>Policy ECO–P3</w:t>
      </w:r>
      <w:r w:rsidR="001021B8">
        <w:t xml:space="preserve"> requires </w:t>
      </w:r>
      <w:r>
        <w:t xml:space="preserve">protecting SNAs and </w:t>
      </w:r>
      <w:proofErr w:type="spellStart"/>
      <w:r>
        <w:t>taoka</w:t>
      </w:r>
      <w:proofErr w:type="spellEnd"/>
      <w:r>
        <w:t xml:space="preserve"> species and ecosystems by avoiding adverse effects that result in either a reduction of the identified area or values or loss of Kāi </w:t>
      </w:r>
      <w:proofErr w:type="spellStart"/>
      <w:r>
        <w:t>Tahu</w:t>
      </w:r>
      <w:proofErr w:type="spellEnd"/>
      <w:r>
        <w:t xml:space="preserve"> values, </w:t>
      </w:r>
      <w:r w:rsidR="004B1191">
        <w:t xml:space="preserve">and then </w:t>
      </w:r>
      <w:r>
        <w:t xml:space="preserve">applying </w:t>
      </w:r>
      <w:r w:rsidR="004B1191">
        <w:t>the effects management hierarchy set out in ECO–P</w:t>
      </w:r>
      <w:r>
        <w:t>6</w:t>
      </w:r>
      <w:r w:rsidR="004B1191">
        <w:t xml:space="preserve">. </w:t>
      </w:r>
      <w:r>
        <w:t xml:space="preserve">The policy also </w:t>
      </w:r>
      <w:r w:rsidR="00587DF3">
        <w:t>requires the adoption of a precautionary approach (set out in Policy IM–P14)</w:t>
      </w:r>
      <w:r w:rsidR="00CE6972">
        <w:t xml:space="preserve"> where identification has not occurred</w:t>
      </w:r>
      <w:r w:rsidR="00F973B6">
        <w:t>, recognising that there is still considerable work to be done to identify SNAs</w:t>
      </w:r>
      <w:r w:rsidR="000851F7">
        <w:t xml:space="preserve"> and </w:t>
      </w:r>
      <w:proofErr w:type="spellStart"/>
      <w:r w:rsidR="000851F7">
        <w:t>taoka</w:t>
      </w:r>
      <w:proofErr w:type="spellEnd"/>
      <w:r w:rsidR="000851F7">
        <w:t xml:space="preserve"> species and ecosystems</w:t>
      </w:r>
      <w:r w:rsidR="00F973B6">
        <w:t xml:space="preserve"> across Otago.</w:t>
      </w:r>
    </w:p>
    <w:p w14:paraId="7AA9C5BC" w14:textId="456347E7" w:rsidR="000851F7" w:rsidRDefault="000851F7" w:rsidP="00A247C5">
      <w:pPr>
        <w:pStyle w:val="Normal2"/>
      </w:pPr>
      <w:r>
        <w:t xml:space="preserve">In response to clause 3 feedback, Option 4 contains two policies setting out how new and existing activities within SNAs </w:t>
      </w:r>
      <w:r w:rsidR="006B0082">
        <w:t xml:space="preserve">or that may adversely affect indigenous species or ecosystems that are </w:t>
      </w:r>
      <w:proofErr w:type="spellStart"/>
      <w:r w:rsidR="006B0082">
        <w:t>taoka</w:t>
      </w:r>
      <w:proofErr w:type="spellEnd"/>
      <w:r w:rsidR="006B0082">
        <w:t xml:space="preserve"> </w:t>
      </w:r>
      <w:r>
        <w:t xml:space="preserve">are to be provided for. Policy ECO–P4 directs that the effects management hierarchy in ECO–P6 is to be applied instead of ECO–P3 for a specific list of activities, including the development or upgrade of regionally or nationally significant infrastructure and activities </w:t>
      </w:r>
      <w:r>
        <w:lastRenderedPageBreak/>
        <w:t xml:space="preserve">undertaken for the purpose of protecting, </w:t>
      </w:r>
      <w:proofErr w:type="gramStart"/>
      <w:r>
        <w:t>restoring</w:t>
      </w:r>
      <w:proofErr w:type="gramEnd"/>
      <w:r>
        <w:t xml:space="preserve"> or enhancing an SNA. Policy ECO–P5 allows existing activities to continue within SNAs provided that the continuation will not </w:t>
      </w:r>
      <w:proofErr w:type="gramStart"/>
      <w:r>
        <w:t>led</w:t>
      </w:r>
      <w:proofErr w:type="gramEnd"/>
      <w:r>
        <w:t xml:space="preserve"> to the loss of extent o</w:t>
      </w:r>
      <w:r w:rsidR="000B2CA7">
        <w:t>r</w:t>
      </w:r>
      <w:r>
        <w:t xml:space="preserve"> degradation of the ecological integrity of the SNA, and the adverse effects are no greater in character, intensity or scale than they were before the RPS became operative. There is some risk in this approach that the latter requirement may encourage a ‘goldrush’ between notification and the RPS becoming operative. </w:t>
      </w:r>
    </w:p>
    <w:p w14:paraId="67E52EE1" w14:textId="721644D6" w:rsidR="00207762" w:rsidRDefault="000558DE" w:rsidP="00A247C5">
      <w:pPr>
        <w:pStyle w:val="Normal2"/>
      </w:pPr>
      <w:r>
        <w:t>Policy ECO–P</w:t>
      </w:r>
      <w:r w:rsidR="00207762">
        <w:t>6</w:t>
      </w:r>
      <w:r>
        <w:t xml:space="preserve"> s</w:t>
      </w:r>
      <w:r w:rsidR="00874909">
        <w:t xml:space="preserve">ets out how indigenous biodiversity </w:t>
      </w:r>
      <w:r w:rsidR="00207762">
        <w:t>(excluding</w:t>
      </w:r>
      <w:r w:rsidR="00874909">
        <w:t xml:space="preserve"> the coastal environment</w:t>
      </w:r>
      <w:r w:rsidR="00207762">
        <w:t xml:space="preserve">, </w:t>
      </w:r>
      <w:r w:rsidR="00874909">
        <w:t>SNAs</w:t>
      </w:r>
      <w:r w:rsidR="00207762">
        <w:t xml:space="preserve"> and </w:t>
      </w:r>
      <w:proofErr w:type="spellStart"/>
      <w:r w:rsidR="00207762">
        <w:t>taoka</w:t>
      </w:r>
      <w:proofErr w:type="spellEnd"/>
      <w:r w:rsidR="00207762">
        <w:t xml:space="preserve"> species and ecosystems)</w:t>
      </w:r>
      <w:r w:rsidR="00874909">
        <w:t xml:space="preserve"> is to be maintained</w:t>
      </w:r>
      <w:r w:rsidR="004D4D9C">
        <w:t xml:space="preserve"> through decisions on applications for resource consent and notices of requirement</w:t>
      </w:r>
      <w:r w:rsidR="00874909">
        <w:t xml:space="preserve">, responding to the functions of regional councils and territorial authorities </w:t>
      </w:r>
      <w:r w:rsidR="00F973B6">
        <w:t>in sections 30(</w:t>
      </w:r>
      <w:proofErr w:type="gramStart"/>
      <w:r w:rsidR="00F973B6">
        <w:t>1)(</w:t>
      </w:r>
      <w:proofErr w:type="gramEnd"/>
      <w:r w:rsidR="00315471">
        <w:t xml:space="preserve">ga) and </w:t>
      </w:r>
      <w:r w:rsidR="00AB30AF">
        <w:t>31(</w:t>
      </w:r>
      <w:r w:rsidR="00860AA7">
        <w:t>1)(</w:t>
      </w:r>
      <w:r w:rsidR="00D31398">
        <w:t xml:space="preserve">b)(iii) respectively. The policy adopts an effects management hierarchy </w:t>
      </w:r>
      <w:r w:rsidR="00966B31">
        <w:t>that is largely replicated from the PORPS 2019 and requir</w:t>
      </w:r>
      <w:r w:rsidR="00207762">
        <w:t>es</w:t>
      </w:r>
      <w:r w:rsidR="00966B31">
        <w:t xml:space="preserve">, in </w:t>
      </w:r>
      <w:r w:rsidR="00207762">
        <w:t>sequential steps</w:t>
      </w:r>
      <w:r w:rsidR="00966B31">
        <w:t>, adverse effects to be avoided, remedied, mitigate</w:t>
      </w:r>
      <w:r w:rsidR="00DC71A4">
        <w:t>d</w:t>
      </w:r>
      <w:r w:rsidR="00207762">
        <w:t xml:space="preserve">, </w:t>
      </w:r>
      <w:proofErr w:type="gramStart"/>
      <w:r w:rsidR="00DC71A4">
        <w:t>offset</w:t>
      </w:r>
      <w:proofErr w:type="gramEnd"/>
      <w:r w:rsidR="00DC71A4">
        <w:t xml:space="preserve"> or compensated for. </w:t>
      </w:r>
      <w:r w:rsidR="005B5467">
        <w:t>Biodiversity offsets or compensation can only be accepted if the actions comply with the criteria set out for using offsets or compensation in APP3 and APP4 are met</w:t>
      </w:r>
      <w:r w:rsidR="006D6726">
        <w:t xml:space="preserve">. </w:t>
      </w:r>
      <w:r w:rsidR="00207762">
        <w:t>These appendices align with the relevant Environment Court decisions on</w:t>
      </w:r>
      <w:r w:rsidR="00CD039B">
        <w:t xml:space="preserve"> similar provisions in</w:t>
      </w:r>
      <w:r w:rsidR="00207762">
        <w:t xml:space="preserve"> the PORPS 2019.</w:t>
      </w:r>
      <w:r w:rsidR="00CD039B">
        <w:rPr>
          <w:rStyle w:val="FootnoteReference"/>
        </w:rPr>
        <w:footnoteReference w:id="33"/>
      </w:r>
    </w:p>
    <w:p w14:paraId="21197E68" w14:textId="6207F500" w:rsidR="006744BE" w:rsidRDefault="006744BE" w:rsidP="00A247C5">
      <w:pPr>
        <w:pStyle w:val="Normal2"/>
      </w:pPr>
      <w:r>
        <w:t>Policy ECO–P</w:t>
      </w:r>
      <w:r w:rsidR="00CD039B">
        <w:t>7</w:t>
      </w:r>
      <w:r>
        <w:t xml:space="preserve"> recognises that </w:t>
      </w:r>
      <w:r w:rsidR="000D617C">
        <w:t xml:space="preserve">while the policy setting out how coastal indigenous biodiversity </w:t>
      </w:r>
      <w:r w:rsidR="003F2BFE">
        <w:t xml:space="preserve">is to be managed </w:t>
      </w:r>
      <w:proofErr w:type="gramStart"/>
      <w:r w:rsidR="003F2BFE">
        <w:t>is located in</w:t>
      </w:r>
      <w:proofErr w:type="gramEnd"/>
      <w:r w:rsidR="003F2BFE">
        <w:t xml:space="preserve"> the CE chapter, it still contributes to achieving ECO–O1. Policy ECO–P</w:t>
      </w:r>
      <w:r w:rsidR="00CD039B">
        <w:t>8</w:t>
      </w:r>
      <w:r w:rsidR="003F2BFE">
        <w:t xml:space="preserve"> </w:t>
      </w:r>
      <w:r w:rsidR="00A7173A">
        <w:t xml:space="preserve">sets out the actions required to improve the extent, </w:t>
      </w:r>
      <w:proofErr w:type="gramStart"/>
      <w:r w:rsidR="00A7173A">
        <w:t>occupancy</w:t>
      </w:r>
      <w:proofErr w:type="gramEnd"/>
      <w:r w:rsidR="00A7173A">
        <w:t xml:space="preserve"> and condition of Otago’s indigenous biodiversity. These actions are </w:t>
      </w:r>
      <w:r w:rsidR="007B1D4A">
        <w:t>general in nature to allow more nuanced application at the plan or resource consent level.</w:t>
      </w:r>
    </w:p>
    <w:p w14:paraId="524EF9AA" w14:textId="642D6BC8" w:rsidR="00F1085F" w:rsidRDefault="009634FC" w:rsidP="00A247C5">
      <w:pPr>
        <w:pStyle w:val="Normal2"/>
      </w:pPr>
      <w:r>
        <w:t xml:space="preserve">Wilding conifers are a well-recognised threat to indigenous biodiversity in </w:t>
      </w:r>
      <w:proofErr w:type="gramStart"/>
      <w:r>
        <w:t>Otago</w:t>
      </w:r>
      <w:r w:rsidR="008541F4">
        <w:t>,</w:t>
      </w:r>
      <w:proofErr w:type="gramEnd"/>
      <w:r w:rsidR="008541F4">
        <w:t xml:space="preserve"> however their planting and management largely occurs under the NESPF which restricts the decisions able to be made by local authorities. </w:t>
      </w:r>
      <w:r w:rsidR="007B1D4A">
        <w:t>Regulation 6(2) of t</w:t>
      </w:r>
      <w:r w:rsidR="008541F4">
        <w:t>he NESPF allow</w:t>
      </w:r>
      <w:r w:rsidR="007B1D4A">
        <w:t>s</w:t>
      </w:r>
      <w:r w:rsidR="008541F4">
        <w:t xml:space="preserve"> more stringent </w:t>
      </w:r>
      <w:r w:rsidR="00C817B8">
        <w:t xml:space="preserve">rules </w:t>
      </w:r>
      <w:r w:rsidR="008541F4">
        <w:t xml:space="preserve">to be included in plans </w:t>
      </w:r>
      <w:r w:rsidR="00C817B8">
        <w:t>where the rule recognises and provides for the protection of</w:t>
      </w:r>
      <w:r w:rsidR="00517AD6">
        <w:t xml:space="preserve"> </w:t>
      </w:r>
      <w:r w:rsidR="00C817B8">
        <w:t>SNAs</w:t>
      </w:r>
      <w:r w:rsidR="00517AD6">
        <w:t>. Policy ECO</w:t>
      </w:r>
      <w:r w:rsidR="00C817B8">
        <w:t>–</w:t>
      </w:r>
      <w:r w:rsidR="00517AD6">
        <w:t>P</w:t>
      </w:r>
      <w:r w:rsidR="00CD039B">
        <w:t>9</w:t>
      </w:r>
      <w:r w:rsidR="00517AD6">
        <w:t xml:space="preserve"> </w:t>
      </w:r>
      <w:r w:rsidR="00CC7B27">
        <w:t>therefore</w:t>
      </w:r>
      <w:r w:rsidR="00517AD6">
        <w:t xml:space="preserve"> requires</w:t>
      </w:r>
      <w:r w:rsidR="00E2233D">
        <w:t xml:space="preserve"> preventing</w:t>
      </w:r>
      <w:r w:rsidR="00517AD6">
        <w:t xml:space="preserve"> the planting </w:t>
      </w:r>
      <w:r w:rsidR="00E2233D">
        <w:t xml:space="preserve">of </w:t>
      </w:r>
      <w:r w:rsidR="00CD039B">
        <w:t xml:space="preserve">specific wilding conifer </w:t>
      </w:r>
      <w:r w:rsidR="00E2233D">
        <w:t xml:space="preserve">species </w:t>
      </w:r>
      <w:r w:rsidR="00CD039B">
        <w:t xml:space="preserve">listed in APP5 within SNAs and buffer zones adjacent to SNAs where it is necessary to protect the SNA. This </w:t>
      </w:r>
      <w:r w:rsidR="008F0612">
        <w:t>will in turn direct the lower order plans to be more stringent than the NESPF in these areas.</w:t>
      </w:r>
      <w:r w:rsidR="00CC7B27">
        <w:t xml:space="preserve"> </w:t>
      </w:r>
      <w:r w:rsidR="00E44B9A">
        <w:t xml:space="preserve">Feedback from the Reference Group (Ecosystems and indigenous biodiversity) supported the use of buffer zones to protect SNAs due to the </w:t>
      </w:r>
      <w:r w:rsidR="00504CB3">
        <w:t xml:space="preserve">risk of adverse effects on SNAs from nearby pest species, particularly pest plants that seed and spread. </w:t>
      </w:r>
      <w:r w:rsidR="00621A09">
        <w:t xml:space="preserve"> A buffer zone will lower that risk and support the health of the SNA. </w:t>
      </w:r>
      <w:r w:rsidR="00CD039B">
        <w:t xml:space="preserve">The policy also seeks to </w:t>
      </w:r>
      <w:r w:rsidR="00836CFE">
        <w:t>support initiatives to control existing wilding conifers and limit their spread.</w:t>
      </w:r>
      <w:r w:rsidR="00CD039B">
        <w:t xml:space="preserve"> The speci</w:t>
      </w:r>
      <w:r w:rsidR="00E71D49">
        <w:t xml:space="preserve">es listed in APP5 were compiled based on a literature review of relevant material which is attached to this report as </w:t>
      </w:r>
      <w:r w:rsidR="00E71D49" w:rsidRPr="0053718D">
        <w:t xml:space="preserve">Appendix </w:t>
      </w:r>
      <w:r w:rsidR="000043D1">
        <w:t>15</w:t>
      </w:r>
      <w:r w:rsidR="00E71D49">
        <w:t>.</w:t>
      </w:r>
    </w:p>
    <w:p w14:paraId="1676E208" w14:textId="6207F500" w:rsidR="00913281" w:rsidRDefault="00753356" w:rsidP="00A247C5">
      <w:pPr>
        <w:pStyle w:val="Normal2"/>
      </w:pPr>
      <w:r>
        <w:t xml:space="preserve">Managing ecosystems and indigenous biodiversity is complex </w:t>
      </w:r>
      <w:r w:rsidR="00A53AEE">
        <w:t xml:space="preserve">and requires an integrated approach across different types of resources as well as </w:t>
      </w:r>
      <w:r w:rsidR="000F7C43">
        <w:t xml:space="preserve">organisations. </w:t>
      </w:r>
      <w:r w:rsidR="002A10FA">
        <w:t xml:space="preserve">This is reflected in Policy ECO–P8 </w:t>
      </w:r>
      <w:r w:rsidR="00CD441F">
        <w:t xml:space="preserve">which requires adopting an integrated and co-ordinated approach that recognises the many interactions and interconnections both in the environment and in the administration of any management regime. </w:t>
      </w:r>
      <w:r w:rsidR="00913281">
        <w:t>This policy also recognises the important role of people and communities, including landowners, in managing biodiversity, reflecting the stewardship concept in ECO–O3.</w:t>
      </w:r>
    </w:p>
    <w:p w14:paraId="7933C665" w14:textId="6207F500" w:rsidR="00F1085F" w:rsidRDefault="00913281" w:rsidP="00A247C5">
      <w:pPr>
        <w:pStyle w:val="Normal2"/>
      </w:pPr>
      <w:r>
        <w:lastRenderedPageBreak/>
        <w:t>Policy ECO–P8</w:t>
      </w:r>
      <w:r w:rsidR="0053718D">
        <w:t xml:space="preserve"> also makes clear that any permitted activity rules in plans must not compromise the achievement of ECO–O1. </w:t>
      </w:r>
      <w:r>
        <w:t>This addresses the gap left by ECO–P6 which only applies to decision-making on resource consent applications and notices of requirement because of the practical difficulties of attempting to implement an effects management hierarchy through permitted activity rules.</w:t>
      </w:r>
    </w:p>
    <w:p w14:paraId="715B4955" w14:textId="6207F500" w:rsidR="00836CFE" w:rsidRDefault="00836CFE" w:rsidP="00A247C5">
      <w:pPr>
        <w:pStyle w:val="Normal2"/>
      </w:pPr>
      <w:r>
        <w:t>Method ECO</w:t>
      </w:r>
      <w:r w:rsidR="00CD441F">
        <w:t>–</w:t>
      </w:r>
      <w:r>
        <w:t xml:space="preserve">M1 contains the statement of responsibilities for managing indigenous biodiversity as required by section </w:t>
      </w:r>
      <w:r w:rsidR="003837E5">
        <w:t>62(1)(</w:t>
      </w:r>
      <w:proofErr w:type="spellStart"/>
      <w:r w:rsidR="005A473F">
        <w:t>i</w:t>
      </w:r>
      <w:proofErr w:type="spellEnd"/>
      <w:r w:rsidR="005A473F">
        <w:t xml:space="preserve">)(iii) of the RMA 1991. </w:t>
      </w:r>
      <w:r w:rsidR="00110FFC">
        <w:t xml:space="preserve">This method establishes a fairly traditional division of responsibilities in accordance with regional council and territorial authority functions, </w:t>
      </w:r>
      <w:proofErr w:type="gramStart"/>
      <w:r w:rsidR="00110FFC">
        <w:t>however</w:t>
      </w:r>
      <w:proofErr w:type="gramEnd"/>
      <w:r w:rsidR="00110FFC">
        <w:t xml:space="preserve"> does provide the opportunity for ORC to </w:t>
      </w:r>
      <w:r w:rsidR="008D602C">
        <w:t>take on some of the territorial authority responsibilities</w:t>
      </w:r>
      <w:r w:rsidR="00AA2AB6">
        <w:t xml:space="preserve"> after reaching an agreement with the relevant territorial authority and any relevant transfer of functions</w:t>
      </w:r>
      <w:r w:rsidR="008D602C">
        <w:t xml:space="preserve">. </w:t>
      </w:r>
      <w:r w:rsidR="005758A0">
        <w:t xml:space="preserve">This </w:t>
      </w:r>
      <w:r w:rsidR="00913281">
        <w:t>is because</w:t>
      </w:r>
      <w:r w:rsidR="005758A0">
        <w:t xml:space="preserve"> there are ongoing discussions </w:t>
      </w:r>
      <w:r w:rsidR="00727CD6">
        <w:t>about ORC’s role in biodiversity management in the region and specifically about the degree of management of biodiversity that will occur through the new LWRP.</w:t>
      </w:r>
    </w:p>
    <w:p w14:paraId="1620B0D2" w14:textId="077490F9" w:rsidR="00727CD6" w:rsidRDefault="00727CD6" w:rsidP="00A247C5">
      <w:pPr>
        <w:pStyle w:val="Normal2"/>
      </w:pPr>
      <w:r>
        <w:t>Method ECO</w:t>
      </w:r>
      <w:r w:rsidR="00AA2AB6">
        <w:t>–</w:t>
      </w:r>
      <w:r>
        <w:t xml:space="preserve">M2 sets out how </w:t>
      </w:r>
      <w:r w:rsidR="00F6313F">
        <w:t xml:space="preserve">significant natural areas will be identified, including the local authorities responsible for the identification process. </w:t>
      </w:r>
      <w:r w:rsidR="00E84C3B">
        <w:t>The</w:t>
      </w:r>
      <w:r w:rsidR="00DA72D7">
        <w:t xml:space="preserve"> method requires local authorities to work collaboratively together when identifying these areas</w:t>
      </w:r>
      <w:r w:rsidR="00EB1BEF">
        <w:t>, recognising that biodiversity spans jurisdictional boundaries.</w:t>
      </w:r>
      <w:r w:rsidR="00323A84">
        <w:t xml:space="preserve"> </w:t>
      </w:r>
      <w:r w:rsidR="003C1C9A">
        <w:t xml:space="preserve">As areas of significance may be identified during resource consent as well as planning processes, Method ECO–M2 requires ecological assessments to be provided with consent applications and notices of requirement that identify whether affected areas are SNAs in accordance with APP4. </w:t>
      </w:r>
      <w:r w:rsidR="00AE6E7D">
        <w:t xml:space="preserve">The </w:t>
      </w:r>
      <w:r w:rsidR="00913281">
        <w:t>m</w:t>
      </w:r>
      <w:r w:rsidR="00AE6E7D">
        <w:t xml:space="preserve">ethod </w:t>
      </w:r>
      <w:r w:rsidR="00AA2AB6">
        <w:t>also</w:t>
      </w:r>
      <w:r w:rsidR="00AE6E7D">
        <w:t xml:space="preserve"> requires </w:t>
      </w:r>
      <w:r w:rsidR="001F684E">
        <w:t>prioritising</w:t>
      </w:r>
      <w:r w:rsidR="00AE6E7D">
        <w:t xml:space="preserve"> </w:t>
      </w:r>
      <w:r w:rsidR="001F684E">
        <w:t xml:space="preserve">identification in specific parts of the region based on their potential significance. </w:t>
      </w:r>
      <w:r w:rsidR="008022B6">
        <w:t xml:space="preserve">These areas were identified using the information available on potentially significant habitat types </w:t>
      </w:r>
      <w:r w:rsidR="00913281">
        <w:t xml:space="preserve">which is attached as Appendix </w:t>
      </w:r>
      <w:r w:rsidR="003E758A">
        <w:t>16</w:t>
      </w:r>
      <w:r w:rsidR="008022B6">
        <w:t xml:space="preserve">. It is not a suggestion that these are all considered significant, but that </w:t>
      </w:r>
      <w:r w:rsidR="00C57945">
        <w:t>these types of habitats are likely to have a greater chance of being considered significant</w:t>
      </w:r>
      <w:r w:rsidR="00DF6F2A">
        <w:t xml:space="preserve"> based on the information available</w:t>
      </w:r>
      <w:r w:rsidR="00C57945">
        <w:t>.</w:t>
      </w:r>
    </w:p>
    <w:p w14:paraId="402AAD1F" w14:textId="6207F500" w:rsidR="00913281" w:rsidRDefault="002B72EE" w:rsidP="00A247C5">
      <w:pPr>
        <w:pStyle w:val="Normal2"/>
      </w:pPr>
      <w:r>
        <w:t>Method ECO</w:t>
      </w:r>
      <w:r w:rsidR="00C57945">
        <w:t>–</w:t>
      </w:r>
      <w:r>
        <w:t xml:space="preserve">M3 </w:t>
      </w:r>
      <w:r w:rsidR="00913281">
        <w:t xml:space="preserve">requires </w:t>
      </w:r>
      <w:r w:rsidR="00BD08EF">
        <w:t xml:space="preserve">local authorities to work together with </w:t>
      </w:r>
      <w:proofErr w:type="spellStart"/>
      <w:r w:rsidR="00BD08EF">
        <w:t>takata</w:t>
      </w:r>
      <w:proofErr w:type="spellEnd"/>
      <w:r w:rsidR="00BD08EF">
        <w:t xml:space="preserve"> whenua to agree a process for identifying indigenous species and ecosystems that are </w:t>
      </w:r>
      <w:proofErr w:type="spellStart"/>
      <w:r w:rsidR="00BD08EF">
        <w:t>taoka</w:t>
      </w:r>
      <w:proofErr w:type="spellEnd"/>
      <w:r w:rsidR="00BD08EF">
        <w:t xml:space="preserve">, then describing them and their values, and mapping or describing their location in regional and district plans to the extent agreed by </w:t>
      </w:r>
      <w:proofErr w:type="spellStart"/>
      <w:r w:rsidR="00BD08EF">
        <w:t>takata</w:t>
      </w:r>
      <w:proofErr w:type="spellEnd"/>
      <w:r w:rsidR="00BD08EF">
        <w:t xml:space="preserve"> whenua. </w:t>
      </w:r>
      <w:r w:rsidR="003C1C9A">
        <w:t xml:space="preserve">This implements ECO–P2 in </w:t>
      </w:r>
      <w:proofErr w:type="gramStart"/>
      <w:r w:rsidR="003C1C9A">
        <w:t>particular, but</w:t>
      </w:r>
      <w:proofErr w:type="gramEnd"/>
      <w:r w:rsidR="003C1C9A">
        <w:t xml:space="preserve"> will contribute to the implementation of all of the policies that apply to indigenous species and ecosystems that are </w:t>
      </w:r>
      <w:proofErr w:type="spellStart"/>
      <w:r w:rsidR="003C1C9A">
        <w:t>taoka</w:t>
      </w:r>
      <w:proofErr w:type="spellEnd"/>
      <w:r w:rsidR="003C1C9A">
        <w:t>.</w:t>
      </w:r>
    </w:p>
    <w:p w14:paraId="43741CAD" w14:textId="199F3E00" w:rsidR="00903669" w:rsidRDefault="00BD08EF" w:rsidP="00A247C5">
      <w:pPr>
        <w:pStyle w:val="Normal2"/>
      </w:pPr>
      <w:r>
        <w:t xml:space="preserve">Method ECO–M4 </w:t>
      </w:r>
      <w:r w:rsidR="002B72EE">
        <w:t>sets out the require</w:t>
      </w:r>
      <w:r w:rsidR="00BD610A">
        <w:t>ment</w:t>
      </w:r>
      <w:r w:rsidR="002B72EE">
        <w:t xml:space="preserve">s for ORC’s regional plans. </w:t>
      </w:r>
      <w:r w:rsidR="00765413">
        <w:t xml:space="preserve">The direction is more general than specific due to the high degree of specificity </w:t>
      </w:r>
      <w:r w:rsidR="00A17D58">
        <w:t>in the policies, particularly policies ECO</w:t>
      </w:r>
      <w:r w:rsidR="00526C99">
        <w:t>–</w:t>
      </w:r>
      <w:r w:rsidR="00A17D58">
        <w:t>P</w:t>
      </w:r>
      <w:r w:rsidR="003C1C9A">
        <w:t>3</w:t>
      </w:r>
      <w:r w:rsidR="00A17D58">
        <w:t>, ECO</w:t>
      </w:r>
      <w:r w:rsidR="00526C99">
        <w:t>–</w:t>
      </w:r>
      <w:r w:rsidR="00A17D58">
        <w:t>P</w:t>
      </w:r>
      <w:r w:rsidR="003C1C9A">
        <w:t>4</w:t>
      </w:r>
      <w:r w:rsidR="00526C99">
        <w:t xml:space="preserve">, </w:t>
      </w:r>
      <w:r w:rsidR="00A17D58">
        <w:t>ECO</w:t>
      </w:r>
      <w:r w:rsidR="00526C99">
        <w:t>–</w:t>
      </w:r>
      <w:r w:rsidR="00A17D58">
        <w:t>P</w:t>
      </w:r>
      <w:r w:rsidR="003C1C9A">
        <w:t>5</w:t>
      </w:r>
      <w:r w:rsidR="00A17D58">
        <w:t xml:space="preserve"> and ECO</w:t>
      </w:r>
      <w:r w:rsidR="00526C99">
        <w:t>–P</w:t>
      </w:r>
      <w:r w:rsidR="003C1C9A">
        <w:t>6</w:t>
      </w:r>
      <w:r w:rsidR="00A17D58">
        <w:t xml:space="preserve">. </w:t>
      </w:r>
      <w:r w:rsidR="00590F11">
        <w:t>Method ECO-M</w:t>
      </w:r>
      <w:r w:rsidR="003C1C9A">
        <w:t>5</w:t>
      </w:r>
      <w:r w:rsidR="00590F11">
        <w:t xml:space="preserve"> </w:t>
      </w:r>
      <w:r w:rsidR="00BD610A">
        <w:t>provides similar direction for district plans</w:t>
      </w:r>
      <w:r w:rsidR="00287A92">
        <w:t xml:space="preserve">. </w:t>
      </w:r>
      <w:r w:rsidR="00392250">
        <w:t xml:space="preserve">A </w:t>
      </w:r>
      <w:r w:rsidR="007F5D7E">
        <w:t xml:space="preserve">common theme through the consultation undertaken by ORC on the RPS has been the importance of recognising and working with the other </w:t>
      </w:r>
      <w:r w:rsidR="007061E7">
        <w:t xml:space="preserve">organisations and individuals who play important roles in managing biodiversity, including other agencies as well as private landowners. </w:t>
      </w:r>
      <w:r w:rsidR="00287A92">
        <w:t>Method ECO</w:t>
      </w:r>
      <w:r w:rsidR="007061E7">
        <w:t>–M</w:t>
      </w:r>
      <w:r w:rsidR="003C1C9A">
        <w:t>6</w:t>
      </w:r>
      <w:r w:rsidR="00545C58">
        <w:t xml:space="preserve"> encourages local authorities to work collaboratively together, engage with others with a role or interest in biodiversity management and consult directly with </w:t>
      </w:r>
      <w:r w:rsidR="00DD38FA">
        <w:t xml:space="preserve">landowners whose properties potentially contain or are part of SNAs. </w:t>
      </w:r>
      <w:r w:rsidR="00287A92">
        <w:t>Method ECO</w:t>
      </w:r>
      <w:r w:rsidR="00526C99">
        <w:t>–</w:t>
      </w:r>
      <w:r w:rsidR="00287A92">
        <w:t>M</w:t>
      </w:r>
      <w:r w:rsidR="00DD38FA">
        <w:t>6</w:t>
      </w:r>
      <w:r w:rsidR="00287A92">
        <w:t xml:space="preserve"> </w:t>
      </w:r>
      <w:r w:rsidR="00442D03">
        <w:t>requires ORC to establish a long-term monitoring programme (including cultural health)</w:t>
      </w:r>
      <w:r w:rsidR="003305F6">
        <w:t xml:space="preserve"> and regularly report on its outcomes. </w:t>
      </w:r>
    </w:p>
    <w:p w14:paraId="7AC2EBA7" w14:textId="43B9BC5F" w:rsidR="003305F6" w:rsidRDefault="007417C2" w:rsidP="00A247C5">
      <w:pPr>
        <w:pStyle w:val="Normal2"/>
      </w:pPr>
      <w:r>
        <w:t xml:space="preserve">Consultation with the Reference Group (Ecosystems and Indigenous Biodiversity) </w:t>
      </w:r>
      <w:r w:rsidR="00A63385">
        <w:t xml:space="preserve">highlighted that some of the most effective tools for maintaining or restoring indigenous biodiversity are non-regulatory, such as </w:t>
      </w:r>
      <w:r w:rsidR="00A50461">
        <w:t xml:space="preserve">funding for planting projects and </w:t>
      </w:r>
      <w:r w:rsidR="007C508E">
        <w:t xml:space="preserve">covenants to protect habitats. </w:t>
      </w:r>
      <w:r w:rsidR="007A307C">
        <w:t>These types of actions</w:t>
      </w:r>
      <w:r w:rsidR="00E15BD8">
        <w:t xml:space="preserve"> generally require funding which is a matter for local authorities’ long</w:t>
      </w:r>
      <w:r w:rsidR="00392250">
        <w:t>-</w:t>
      </w:r>
      <w:r w:rsidR="00E15BD8">
        <w:t xml:space="preserve">term </w:t>
      </w:r>
      <w:r w:rsidR="00E15BD8">
        <w:lastRenderedPageBreak/>
        <w:t>plans and annual plans to consider. Method ECO-M</w:t>
      </w:r>
      <w:r w:rsidR="003C1C9A">
        <w:t>7</w:t>
      </w:r>
      <w:r w:rsidR="00E15BD8">
        <w:t xml:space="preserve"> lists a range of non-regulatory incentives and mechanisms that local authorities are encouraged to consider adopting to assist with achieving the outcomes in the ECO chapter.</w:t>
      </w:r>
    </w:p>
    <w:p w14:paraId="02CC9B01" w14:textId="241B93F8" w:rsidR="00E15BD8" w:rsidRDefault="0036487B" w:rsidP="00A247C5">
      <w:pPr>
        <w:pStyle w:val="Normal2"/>
      </w:pPr>
      <w:r>
        <w:t xml:space="preserve">A legal review of the ECO chapter </w:t>
      </w:r>
      <w:r w:rsidR="00694FBE">
        <w:t xml:space="preserve">early in 2021 </w:t>
      </w:r>
      <w:r>
        <w:t xml:space="preserve">identified </w:t>
      </w:r>
      <w:r w:rsidR="00694FBE">
        <w:t xml:space="preserve">issues </w:t>
      </w:r>
      <w:r w:rsidR="00CD2F8E">
        <w:t xml:space="preserve">with the provisions </w:t>
      </w:r>
      <w:r w:rsidR="00694FBE">
        <w:t xml:space="preserve">that </w:t>
      </w:r>
      <w:r w:rsidR="00705092">
        <w:t>required ecological advice to resolve.</w:t>
      </w:r>
      <w:r w:rsidR="00694FBE">
        <w:t xml:space="preserve"> </w:t>
      </w:r>
      <w:r w:rsidR="00A53D8B">
        <w:t xml:space="preserve">Given their familiarity with Otago’s indigenous biodiversity, Wildlands were commissioned to review the draft chapter </w:t>
      </w:r>
      <w:r w:rsidR="005E7186">
        <w:t>alongside the questions from legal advisors and prepare advice for ORC to consider on amended drafting</w:t>
      </w:r>
      <w:r w:rsidR="002C02C1">
        <w:t xml:space="preserve"> </w:t>
      </w:r>
      <w:r w:rsidR="00DF6F2A">
        <w:t xml:space="preserve">(see Wildlands, 2021a in Appendix 17). </w:t>
      </w:r>
      <w:r w:rsidR="00FA34AD">
        <w:t xml:space="preserve">Almost </w:t>
      </w:r>
      <w:proofErr w:type="gramStart"/>
      <w:r w:rsidR="00FA34AD">
        <w:t>all of</w:t>
      </w:r>
      <w:proofErr w:type="gramEnd"/>
      <w:r w:rsidR="00FA34AD">
        <w:t xml:space="preserve"> the recommendations were accepted, noting that </w:t>
      </w:r>
      <w:r w:rsidR="00422AF4">
        <w:t xml:space="preserve">in some cases the drafting provided to Wildlands had been subsequently amended to address other comments </w:t>
      </w:r>
      <w:r w:rsidR="000B1406">
        <w:t xml:space="preserve">from legal advisors. </w:t>
      </w:r>
    </w:p>
    <w:p w14:paraId="077345FD" w14:textId="77777777" w:rsidR="00E15F9D" w:rsidRPr="00C55EFD" w:rsidRDefault="00E15F9D" w:rsidP="0082271A">
      <w:pPr>
        <w:pStyle w:val="Heading3"/>
      </w:pPr>
      <w:r w:rsidRPr="00C55EFD">
        <w:t>Consultation summary</w:t>
      </w:r>
    </w:p>
    <w:p w14:paraId="3602A079" w14:textId="726ED0EE" w:rsidR="00DD38FA" w:rsidRPr="00C55EFD" w:rsidRDefault="00E15F9D" w:rsidP="00DE069C">
      <w:pPr>
        <w:pStyle w:val="Heading4"/>
      </w:pPr>
      <w:r w:rsidRPr="00C55EFD">
        <w:t>Clause 3</w:t>
      </w:r>
      <w:r w:rsidR="00DD38FA" w:rsidRPr="00C55EFD">
        <w:t xml:space="preserve"> consultation</w:t>
      </w:r>
    </w:p>
    <w:p w14:paraId="733747D7" w14:textId="0E366A42" w:rsidR="00DD38FA" w:rsidRDefault="00FB6090" w:rsidP="00A247C5">
      <w:pPr>
        <w:pStyle w:val="Normal2"/>
      </w:pPr>
      <w:r>
        <w:t>A summary of the process for consultation under</w:t>
      </w:r>
      <w:r w:rsidR="00E15F9D">
        <w:t xml:space="preserve"> clause </w:t>
      </w:r>
      <w:r>
        <w:t xml:space="preserve">3 of Schedule 1 of the RMA, including the full list of parties involved, is provided in section </w:t>
      </w:r>
      <w:r>
        <w:fldChar w:fldCharType="begin"/>
      </w:r>
      <w:r>
        <w:instrText xml:space="preserve"> REF _Ref68867783 \r \h </w:instrText>
      </w:r>
      <w:r>
        <w:fldChar w:fldCharType="separate"/>
      </w:r>
      <w:r w:rsidR="002A7A16">
        <w:t>2.5.1</w:t>
      </w:r>
      <w:r>
        <w:fldChar w:fldCharType="end"/>
      </w:r>
      <w:r>
        <w:t xml:space="preserve"> of this report. </w:t>
      </w:r>
      <w:r w:rsidR="005344C6">
        <w:t xml:space="preserve">Fourteen parties provided feedback on the ECO chapter through clause 3 consultation. </w:t>
      </w:r>
      <w:r w:rsidR="00F40DF2">
        <w:t xml:space="preserve">The feedback ranged from minor amendments to correct errors or improve clarity of provisions (which were largely accepted by ORC) to significant concerns with the policy approach. As outlined in the discussion of Option 3 in section </w:t>
      </w:r>
      <w:r>
        <w:fldChar w:fldCharType="begin"/>
      </w:r>
      <w:r>
        <w:instrText xml:space="preserve"> REF _Ref68867497 \r \h </w:instrText>
      </w:r>
      <w:r>
        <w:fldChar w:fldCharType="separate"/>
      </w:r>
      <w:r w:rsidR="002A7A16">
        <w:t>5.8.4.3</w:t>
      </w:r>
      <w:r>
        <w:fldChar w:fldCharType="end"/>
      </w:r>
      <w:r w:rsidR="00151DDE">
        <w:t xml:space="preserve">, those significant concerns related primarily to the stringency of the </w:t>
      </w:r>
      <w:r w:rsidR="00AB63D6">
        <w:t>policy framework for SNAs</w:t>
      </w:r>
      <w:r w:rsidR="005630A6">
        <w:t xml:space="preserve"> and whether the coastal indigenous biodiversity provisions would be better located within the CE chapter. Those </w:t>
      </w:r>
      <w:r w:rsidR="00121C7E">
        <w:t>concerns were addressed in the preparation of Option 4.</w:t>
      </w:r>
    </w:p>
    <w:p w14:paraId="2367C7B3" w14:textId="7E032DCD" w:rsidR="00FC30CD" w:rsidRDefault="00FC30CD" w:rsidP="00A247C5">
      <w:pPr>
        <w:pStyle w:val="Normal2"/>
      </w:pPr>
      <w:r>
        <w:t xml:space="preserve">The Ministry for Primary Industries </w:t>
      </w:r>
      <w:r w:rsidR="00080DBB">
        <w:t xml:space="preserve">considered that </w:t>
      </w:r>
      <w:r w:rsidR="003C1C9A">
        <w:t>the policy</w:t>
      </w:r>
      <w:r w:rsidR="00080DBB">
        <w:t xml:space="preserve"> regarding wilding conifers did not comply with the regulations in the NESPF</w:t>
      </w:r>
      <w:r w:rsidR="00931CCA">
        <w:t xml:space="preserve"> and </w:t>
      </w:r>
      <w:proofErr w:type="gramStart"/>
      <w:r w:rsidR="00931CCA">
        <w:t>in particular the</w:t>
      </w:r>
      <w:proofErr w:type="gramEnd"/>
      <w:r w:rsidR="00931CCA">
        <w:t xml:space="preserve"> interpretation of regulation 6(2)(b) which allows plan rules to be more stringent than the NESPF if the rule recognises and provides for the protection of SNAs. Legal advice was sought by ORC on that point whi</w:t>
      </w:r>
      <w:r w:rsidR="003C1C9A">
        <w:t>ch confirmed that ORC’s interpretation of regulation 6 was correct and that the RPS provisions were therefore legally compliant with the NESPF</w:t>
      </w:r>
      <w:r w:rsidR="0049211D">
        <w:t>.</w:t>
      </w:r>
    </w:p>
    <w:p w14:paraId="4E969983" w14:textId="01521686" w:rsidR="00931CCA" w:rsidRPr="00DD38FA" w:rsidRDefault="00931CCA" w:rsidP="00DE069C">
      <w:pPr>
        <w:pStyle w:val="Heading4"/>
      </w:pPr>
      <w:r>
        <w:t xml:space="preserve">Clause </w:t>
      </w:r>
      <w:r w:rsidR="00E15F9D">
        <w:t>4A</w:t>
      </w:r>
      <w:r>
        <w:t xml:space="preserve"> consultation</w:t>
      </w:r>
    </w:p>
    <w:p w14:paraId="6C50B1AE" w14:textId="09B62CEC" w:rsidR="00E15F9D" w:rsidRDefault="002A125F" w:rsidP="00A247C5">
      <w:pPr>
        <w:pStyle w:val="Normal2"/>
      </w:pPr>
      <w:r>
        <w:t xml:space="preserve">This chapter was a focus for the hui with Kāi </w:t>
      </w:r>
      <w:proofErr w:type="spellStart"/>
      <w:r>
        <w:t>Tahu</w:t>
      </w:r>
      <w:proofErr w:type="spellEnd"/>
      <w:r>
        <w:t xml:space="preserve"> ki Otago and Ngāi </w:t>
      </w:r>
      <w:proofErr w:type="spellStart"/>
      <w:r>
        <w:t>Tahu</w:t>
      </w:r>
      <w:proofErr w:type="spellEnd"/>
      <w:r>
        <w:t xml:space="preserve"> ki Murihiku representatives on 21 April 2021. </w:t>
      </w:r>
      <w:r w:rsidR="007936C5">
        <w:t xml:space="preserve">The main feedback received was that the </w:t>
      </w:r>
      <w:proofErr w:type="spellStart"/>
      <w:r w:rsidR="007936C5">
        <w:t>kaitiaka</w:t>
      </w:r>
      <w:proofErr w:type="spellEnd"/>
      <w:r w:rsidR="007936C5">
        <w:t xml:space="preserve"> role of Kāi </w:t>
      </w:r>
      <w:proofErr w:type="spellStart"/>
      <w:r w:rsidR="007936C5">
        <w:t>Tahu</w:t>
      </w:r>
      <w:proofErr w:type="spellEnd"/>
      <w:r w:rsidR="007936C5">
        <w:t xml:space="preserve"> and the importance of </w:t>
      </w:r>
      <w:proofErr w:type="spellStart"/>
      <w:r w:rsidR="007936C5">
        <w:t>taoka</w:t>
      </w:r>
      <w:proofErr w:type="spellEnd"/>
      <w:r w:rsidR="007936C5">
        <w:t xml:space="preserve"> species and ecosystems to Kāi </w:t>
      </w:r>
      <w:proofErr w:type="spellStart"/>
      <w:r w:rsidR="007936C5">
        <w:t>Tahu</w:t>
      </w:r>
      <w:proofErr w:type="spellEnd"/>
      <w:r w:rsidR="007936C5">
        <w:t xml:space="preserve"> was not well-recognised in the chapter. A range of minor amendments were also suggested to improve the clarity of the provisions which were accepted by ORC.  </w:t>
      </w:r>
    </w:p>
    <w:p w14:paraId="5729A461" w14:textId="7304FB1A" w:rsidR="007936C5" w:rsidRPr="00963D37" w:rsidRDefault="007936C5" w:rsidP="00A247C5">
      <w:pPr>
        <w:pStyle w:val="Normal2"/>
      </w:pPr>
      <w:r>
        <w:t xml:space="preserve">Following the hui, ORC staff provided revised drafting to </w:t>
      </w:r>
      <w:proofErr w:type="spellStart"/>
      <w:r>
        <w:t>Aukaha</w:t>
      </w:r>
      <w:proofErr w:type="spellEnd"/>
      <w:r>
        <w:t xml:space="preserve"> staff on 5 May 2021 which aimed to address the deficiencies identified at the hui regarding the kaitiaki role and </w:t>
      </w:r>
      <w:proofErr w:type="spellStart"/>
      <w:r>
        <w:t>taoka</w:t>
      </w:r>
      <w:proofErr w:type="spellEnd"/>
      <w:r>
        <w:t xml:space="preserve"> species. Additional comments and amendments were provided back to ORC on 7 May which were largely accepted. One area of difference was in the management of </w:t>
      </w:r>
      <w:proofErr w:type="spellStart"/>
      <w:r>
        <w:t>taoka</w:t>
      </w:r>
      <w:proofErr w:type="spellEnd"/>
      <w:r>
        <w:t xml:space="preserve"> species and ecosystems. The original drafting differentiated between </w:t>
      </w:r>
      <w:proofErr w:type="spellStart"/>
      <w:r>
        <w:t>taoka</w:t>
      </w:r>
      <w:proofErr w:type="spellEnd"/>
      <w:r>
        <w:t xml:space="preserve"> in </w:t>
      </w:r>
      <w:r w:rsidR="0049211D">
        <w:t>SNAs</w:t>
      </w:r>
      <w:r>
        <w:t xml:space="preserve"> (which would be managed under ECO–P</w:t>
      </w:r>
      <w:r w:rsidR="0049211D">
        <w:t>3</w:t>
      </w:r>
      <w:r>
        <w:t>) and outside significant natural areas (which would be managed under ECO</w:t>
      </w:r>
      <w:r w:rsidR="00420004">
        <w:t>–P</w:t>
      </w:r>
      <w:r w:rsidR="0049211D">
        <w:t>6</w:t>
      </w:r>
      <w:r w:rsidR="00420004">
        <w:t xml:space="preserve">). Feedback from </w:t>
      </w:r>
      <w:proofErr w:type="spellStart"/>
      <w:r w:rsidR="00420004">
        <w:t>Aukaha</w:t>
      </w:r>
      <w:proofErr w:type="spellEnd"/>
      <w:r w:rsidR="00420004">
        <w:t xml:space="preserve"> staff was that this may not adequately recognise the importance of these </w:t>
      </w:r>
      <w:proofErr w:type="spellStart"/>
      <w:r w:rsidR="00420004">
        <w:t>taoka</w:t>
      </w:r>
      <w:proofErr w:type="spellEnd"/>
      <w:r w:rsidR="00420004">
        <w:t xml:space="preserve">, however no alternative drafting was provided. ORC considered this feedback and revised the provisions so that the management of </w:t>
      </w:r>
      <w:proofErr w:type="spellStart"/>
      <w:r w:rsidR="00420004">
        <w:t>taoka</w:t>
      </w:r>
      <w:proofErr w:type="spellEnd"/>
      <w:r w:rsidR="00420004">
        <w:t xml:space="preserve"> species and </w:t>
      </w:r>
      <w:r w:rsidR="00420004">
        <w:lastRenderedPageBreak/>
        <w:t xml:space="preserve">ecosystems was consistent with the approach taken to </w:t>
      </w:r>
      <w:r w:rsidR="0049211D">
        <w:t>SNAs</w:t>
      </w:r>
      <w:r w:rsidR="00420004">
        <w:t xml:space="preserve">, given both categories are significant (albeit for different reasons). </w:t>
      </w:r>
    </w:p>
    <w:p w14:paraId="18BE7C7D" w14:textId="77AFBF17" w:rsidR="00E9552F" w:rsidRDefault="00E9552F" w:rsidP="0082271A">
      <w:pPr>
        <w:pStyle w:val="Heading3"/>
      </w:pPr>
      <w:r>
        <w:t>Efficiency and effectiveness evaluation</w:t>
      </w:r>
    </w:p>
    <w:p w14:paraId="5EBA7C62" w14:textId="02F0B531" w:rsidR="00E9552F" w:rsidRDefault="003C5947" w:rsidP="00A247C5">
      <w:pPr>
        <w:pStyle w:val="Normal2"/>
      </w:pPr>
      <w:r>
        <w:fldChar w:fldCharType="begin"/>
      </w:r>
      <w:r>
        <w:instrText xml:space="preserve"> REF _Ref54002683 \h </w:instrText>
      </w:r>
      <w:r>
        <w:fldChar w:fldCharType="separate"/>
      </w:r>
      <w:r w:rsidR="002A7A16">
        <w:t xml:space="preserve">Table </w:t>
      </w:r>
      <w:r w:rsidR="002A7A16">
        <w:rPr>
          <w:noProof/>
        </w:rPr>
        <w:t>38</w:t>
      </w:r>
      <w:r>
        <w:fldChar w:fldCharType="end"/>
      </w:r>
      <w:r>
        <w:t xml:space="preserve"> </w:t>
      </w:r>
      <w:r w:rsidR="00E9552F">
        <w:t xml:space="preserve">below identifies and assesses the benefits and costs of the environmental, cultural, </w:t>
      </w:r>
      <w:proofErr w:type="gramStart"/>
      <w:r w:rsidR="00E9552F">
        <w:t>social</w:t>
      </w:r>
      <w:proofErr w:type="gramEnd"/>
      <w:r w:rsidR="00E9552F">
        <w:t xml:space="preserve"> and economic effects that are anticipated from the implementation of the provisions proposed under Option </w:t>
      </w:r>
      <w:r w:rsidR="008F17A2">
        <w:t>4</w:t>
      </w:r>
      <w:r w:rsidR="00E9552F">
        <w:t xml:space="preserve"> above.</w:t>
      </w:r>
    </w:p>
    <w:p w14:paraId="3342A58D" w14:textId="0C00E239" w:rsidR="00E9552F" w:rsidRDefault="00E9552F" w:rsidP="00E9552F">
      <w:pPr>
        <w:pStyle w:val="Caption"/>
        <w:keepNext/>
      </w:pPr>
      <w:bookmarkStart w:id="100" w:name="_Ref54002683"/>
      <w:r>
        <w:t xml:space="preserve">Table </w:t>
      </w:r>
      <w:r>
        <w:fldChar w:fldCharType="begin"/>
      </w:r>
      <w:r>
        <w:instrText>SEQ Table \* ARABIC</w:instrText>
      </w:r>
      <w:r>
        <w:fldChar w:fldCharType="separate"/>
      </w:r>
      <w:r w:rsidR="002A7A16">
        <w:rPr>
          <w:noProof/>
        </w:rPr>
        <w:t>38</w:t>
      </w:r>
      <w:r>
        <w:fldChar w:fldCharType="end"/>
      </w:r>
      <w:bookmarkEnd w:id="100"/>
      <w:r>
        <w:t>:</w:t>
      </w:r>
      <w:r w:rsidRPr="00005F72">
        <w:t xml:space="preserve"> </w:t>
      </w:r>
      <w:r>
        <w:t>Benefits and costs for ecosystems and indigenous biodiversity</w:t>
      </w:r>
    </w:p>
    <w:tbl>
      <w:tblPr>
        <w:tblStyle w:val="ListTable1Light-Accent1"/>
        <w:tblW w:w="0" w:type="auto"/>
        <w:tblLook w:val="04A0" w:firstRow="1" w:lastRow="0" w:firstColumn="1" w:lastColumn="0" w:noHBand="0" w:noVBand="1"/>
      </w:tblPr>
      <w:tblGrid>
        <w:gridCol w:w="4508"/>
        <w:gridCol w:w="4508"/>
      </w:tblGrid>
      <w:tr w:rsidR="00E9552F" w:rsidRPr="00AE42AF" w14:paraId="1874CA68" w14:textId="77777777" w:rsidTr="00424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ED5E5EB" w14:textId="77777777" w:rsidR="00E9552F" w:rsidRPr="00AE42AF" w:rsidRDefault="00E9552F" w:rsidP="00424DBB">
            <w:pPr>
              <w:jc w:val="center"/>
              <w:rPr>
                <w:sz w:val="20"/>
              </w:rPr>
            </w:pPr>
            <w:r w:rsidRPr="00AE42AF">
              <w:rPr>
                <w:sz w:val="20"/>
              </w:rPr>
              <w:t>BENEFITS</w:t>
            </w:r>
          </w:p>
        </w:tc>
        <w:tc>
          <w:tcPr>
            <w:tcW w:w="4508" w:type="dxa"/>
          </w:tcPr>
          <w:p w14:paraId="0EE23E18" w14:textId="77777777" w:rsidR="00E9552F" w:rsidRPr="00AE42AF" w:rsidRDefault="00E9552F" w:rsidP="00424DBB">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9552F" w:rsidRPr="00AE42AF" w14:paraId="496F7B81"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385A749" w14:textId="77777777" w:rsidR="00E9552F" w:rsidRPr="00AE42AF" w:rsidRDefault="00E9552F" w:rsidP="00424DBB">
            <w:pPr>
              <w:jc w:val="center"/>
              <w:rPr>
                <w:sz w:val="20"/>
              </w:rPr>
            </w:pPr>
            <w:r w:rsidRPr="00AE42AF">
              <w:rPr>
                <w:sz w:val="20"/>
              </w:rPr>
              <w:t>Environmental</w:t>
            </w:r>
          </w:p>
        </w:tc>
      </w:tr>
      <w:tr w:rsidR="00E9552F" w:rsidRPr="000136C1" w14:paraId="72501705"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21887A0A" w14:textId="207069BC" w:rsidR="000C675E" w:rsidRPr="000C675E" w:rsidRDefault="00C03FFB"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Improved protection for significant natural areas and clearer expectations for maintaining indigenous biodiversity will </w:t>
            </w:r>
            <w:r w:rsidR="00256509" w:rsidRPr="634A1E48">
              <w:rPr>
                <w:b w:val="0"/>
                <w:sz w:val="20"/>
                <w:szCs w:val="20"/>
              </w:rPr>
              <w:t>contribute to</w:t>
            </w:r>
            <w:r w:rsidRPr="634A1E48">
              <w:rPr>
                <w:b w:val="0"/>
                <w:sz w:val="20"/>
                <w:szCs w:val="20"/>
              </w:rPr>
              <w:t xml:space="preserve"> </w:t>
            </w:r>
            <w:r w:rsidR="00414C9B" w:rsidRPr="634A1E48">
              <w:rPr>
                <w:b w:val="0"/>
                <w:sz w:val="20"/>
                <w:szCs w:val="20"/>
              </w:rPr>
              <w:t>s</w:t>
            </w:r>
            <w:r w:rsidR="006D5A8A" w:rsidRPr="634A1E48">
              <w:rPr>
                <w:b w:val="0"/>
                <w:sz w:val="20"/>
                <w:szCs w:val="20"/>
              </w:rPr>
              <w:t>ustaining the habitats of indigenous species in Otago.</w:t>
            </w:r>
          </w:p>
          <w:p w14:paraId="24B0C59C" w14:textId="5C59437A" w:rsidR="001A1918" w:rsidRPr="00052AFE" w:rsidRDefault="00AB0133"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The </w:t>
            </w:r>
            <w:r w:rsidR="00052AFE" w:rsidRPr="634A1E48">
              <w:rPr>
                <w:b w:val="0"/>
                <w:sz w:val="20"/>
                <w:szCs w:val="20"/>
              </w:rPr>
              <w:t xml:space="preserve">prioritisation in decision-making outlined in </w:t>
            </w:r>
            <w:r w:rsidR="00B51C98" w:rsidRPr="634A1E48">
              <w:rPr>
                <w:b w:val="0"/>
                <w:sz w:val="20"/>
                <w:szCs w:val="20"/>
              </w:rPr>
              <w:t xml:space="preserve">policies ECO-P1, ECO-P2 and ECO-P3 will </w:t>
            </w:r>
            <w:r w:rsidR="007F43F6" w:rsidRPr="634A1E48">
              <w:rPr>
                <w:b w:val="0"/>
                <w:sz w:val="20"/>
                <w:szCs w:val="20"/>
              </w:rPr>
              <w:t xml:space="preserve">encourage local authorities to </w:t>
            </w:r>
            <w:r w:rsidR="00047637">
              <w:rPr>
                <w:b w:val="0"/>
                <w:sz w:val="20"/>
                <w:szCs w:val="20"/>
              </w:rPr>
              <w:t>take</w:t>
            </w:r>
            <w:r w:rsidR="007F43F6" w:rsidRPr="634A1E48">
              <w:rPr>
                <w:b w:val="0"/>
                <w:sz w:val="20"/>
                <w:szCs w:val="20"/>
              </w:rPr>
              <w:t xml:space="preserve"> a precautionary approach to </w:t>
            </w:r>
            <w:r w:rsidR="33E6247E" w:rsidRPr="634A1E48">
              <w:rPr>
                <w:b w:val="0"/>
                <w:bCs w:val="0"/>
                <w:sz w:val="20"/>
                <w:szCs w:val="20"/>
              </w:rPr>
              <w:t>ma</w:t>
            </w:r>
            <w:r w:rsidR="33E6247E" w:rsidRPr="634A1E48">
              <w:rPr>
                <w:rStyle w:val="CommentReference"/>
              </w:rPr>
              <w:t>n</w:t>
            </w:r>
            <w:r w:rsidR="33E6247E" w:rsidRPr="634A1E48">
              <w:rPr>
                <w:b w:val="0"/>
                <w:bCs w:val="0"/>
                <w:sz w:val="20"/>
                <w:szCs w:val="20"/>
              </w:rPr>
              <w:t>aging</w:t>
            </w:r>
            <w:r w:rsidR="39550986" w:rsidRPr="634A1E48">
              <w:rPr>
                <w:b w:val="0"/>
                <w:bCs w:val="0"/>
                <w:sz w:val="20"/>
                <w:szCs w:val="20"/>
              </w:rPr>
              <w:t xml:space="preserve"> indigenous biodiversity. </w:t>
            </w:r>
            <w:r w:rsidR="33E6247E" w:rsidRPr="634A1E48">
              <w:rPr>
                <w:b w:val="0"/>
                <w:bCs w:val="0"/>
                <w:sz w:val="20"/>
                <w:szCs w:val="20"/>
              </w:rPr>
              <w:t xml:space="preserve"> </w:t>
            </w:r>
          </w:p>
          <w:p w14:paraId="1610CD2B" w14:textId="45B7D487" w:rsidR="00592199" w:rsidRPr="00592199" w:rsidRDefault="00400BDB" w:rsidP="00D11E8B">
            <w:pPr>
              <w:pStyle w:val="ListParagraph"/>
              <w:numPr>
                <w:ilvl w:val="0"/>
                <w:numId w:val="22"/>
              </w:numPr>
              <w:spacing w:after="60"/>
              <w:ind w:left="357" w:hanging="357"/>
              <w:contextualSpacing w:val="0"/>
              <w:jc w:val="both"/>
              <w:rPr>
                <w:sz w:val="20"/>
                <w:szCs w:val="20"/>
              </w:rPr>
            </w:pPr>
            <w:r w:rsidRPr="634A1E48">
              <w:rPr>
                <w:b w:val="0"/>
                <w:sz w:val="20"/>
                <w:szCs w:val="20"/>
              </w:rPr>
              <w:t>An improved understanding of the location, extent and values of significant natural areas and areas of significance in the coastal environment enables more strategic oversight and proactive protection of these areas.</w:t>
            </w:r>
          </w:p>
          <w:p w14:paraId="78752474" w14:textId="2D4D5D1D" w:rsidR="00FB5D7F" w:rsidRPr="008034A4" w:rsidRDefault="00E971CD"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Significance</w:t>
            </w:r>
            <w:r w:rsidR="00FB5D7F" w:rsidRPr="634A1E48">
              <w:rPr>
                <w:b w:val="0"/>
                <w:sz w:val="20"/>
                <w:szCs w:val="20"/>
              </w:rPr>
              <w:t xml:space="preserve"> criteria </w:t>
            </w:r>
            <w:r w:rsidR="000C23ED" w:rsidRPr="634A1E48">
              <w:rPr>
                <w:b w:val="0"/>
                <w:sz w:val="20"/>
                <w:szCs w:val="20"/>
              </w:rPr>
              <w:t>are</w:t>
            </w:r>
            <w:r w:rsidR="00FB5D7F" w:rsidRPr="634A1E48">
              <w:rPr>
                <w:b w:val="0"/>
                <w:sz w:val="20"/>
                <w:szCs w:val="20"/>
              </w:rPr>
              <w:t xml:space="preserve"> </w:t>
            </w:r>
            <w:r w:rsidR="00571A55" w:rsidRPr="634A1E48">
              <w:rPr>
                <w:b w:val="0"/>
                <w:sz w:val="20"/>
                <w:szCs w:val="20"/>
              </w:rPr>
              <w:t>appropriate for all types of indigenous</w:t>
            </w:r>
            <w:r w:rsidR="000C23ED" w:rsidRPr="634A1E48">
              <w:rPr>
                <w:b w:val="0"/>
                <w:sz w:val="20"/>
                <w:szCs w:val="20"/>
              </w:rPr>
              <w:t xml:space="preserve"> biodiversity</w:t>
            </w:r>
            <w:r w:rsidR="00D05C0B" w:rsidRPr="634A1E48">
              <w:rPr>
                <w:b w:val="0"/>
                <w:sz w:val="20"/>
                <w:szCs w:val="20"/>
              </w:rPr>
              <w:t xml:space="preserve"> (including terrestrial, </w:t>
            </w:r>
            <w:proofErr w:type="gramStart"/>
            <w:r w:rsidR="00D05C0B" w:rsidRPr="634A1E48">
              <w:rPr>
                <w:b w:val="0"/>
                <w:sz w:val="20"/>
                <w:szCs w:val="20"/>
              </w:rPr>
              <w:t>marine</w:t>
            </w:r>
            <w:proofErr w:type="gramEnd"/>
            <w:r w:rsidR="00D05C0B" w:rsidRPr="634A1E48">
              <w:rPr>
                <w:b w:val="0"/>
                <w:sz w:val="20"/>
                <w:szCs w:val="20"/>
              </w:rPr>
              <w:t xml:space="preserve"> and freshwater biodiversity)</w:t>
            </w:r>
            <w:r w:rsidR="00F12E21" w:rsidRPr="634A1E48">
              <w:rPr>
                <w:b w:val="0"/>
                <w:sz w:val="20"/>
                <w:szCs w:val="20"/>
              </w:rPr>
              <w:t xml:space="preserve">, increasing the likelihood of identifying </w:t>
            </w:r>
            <w:r w:rsidR="000F5A82" w:rsidRPr="634A1E48">
              <w:rPr>
                <w:b w:val="0"/>
                <w:sz w:val="20"/>
                <w:szCs w:val="20"/>
              </w:rPr>
              <w:t xml:space="preserve">and protecting </w:t>
            </w:r>
            <w:r w:rsidR="00F12E21" w:rsidRPr="634A1E48">
              <w:rPr>
                <w:b w:val="0"/>
                <w:sz w:val="20"/>
                <w:szCs w:val="20"/>
              </w:rPr>
              <w:t xml:space="preserve">all of Otago’s significant </w:t>
            </w:r>
            <w:r w:rsidR="000F5A82" w:rsidRPr="634A1E48">
              <w:rPr>
                <w:b w:val="0"/>
                <w:sz w:val="20"/>
                <w:szCs w:val="20"/>
              </w:rPr>
              <w:t>natural</w:t>
            </w:r>
            <w:r w:rsidR="00F12E21" w:rsidRPr="634A1E48">
              <w:rPr>
                <w:b w:val="0"/>
                <w:sz w:val="20"/>
                <w:szCs w:val="20"/>
              </w:rPr>
              <w:t xml:space="preserve"> areas</w:t>
            </w:r>
            <w:r w:rsidR="00400BDB" w:rsidRPr="634A1E48">
              <w:rPr>
                <w:b w:val="0"/>
                <w:sz w:val="20"/>
                <w:szCs w:val="20"/>
              </w:rPr>
              <w:t xml:space="preserve"> and setting out a</w:t>
            </w:r>
            <w:r w:rsidRPr="634A1E48">
              <w:rPr>
                <w:b w:val="0"/>
                <w:sz w:val="20"/>
                <w:szCs w:val="20"/>
              </w:rPr>
              <w:t xml:space="preserve"> </w:t>
            </w:r>
            <w:r w:rsidR="00EF3884" w:rsidRPr="634A1E48">
              <w:rPr>
                <w:b w:val="0"/>
                <w:sz w:val="20"/>
                <w:szCs w:val="20"/>
              </w:rPr>
              <w:t>consistent process to identify areas of significance</w:t>
            </w:r>
            <w:r w:rsidR="00564B09" w:rsidRPr="634A1E48">
              <w:rPr>
                <w:b w:val="0"/>
                <w:sz w:val="20"/>
                <w:szCs w:val="20"/>
              </w:rPr>
              <w:t>. Once identified, greater protection will help to maintain Otago’s indigenous biodiversity.</w:t>
            </w:r>
          </w:p>
          <w:p w14:paraId="5CBD0857" w14:textId="77777777" w:rsidR="004547B0" w:rsidRPr="00B36E51" w:rsidRDefault="004547B0"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The provisions provide clearer direction and support for the restoration of </w:t>
            </w:r>
            <w:r w:rsidR="00DA00D6" w:rsidRPr="634A1E48">
              <w:rPr>
                <w:b w:val="0"/>
                <w:sz w:val="20"/>
                <w:szCs w:val="20"/>
              </w:rPr>
              <w:t>areas where indigenous biodiversity values may have been reduced or lost</w:t>
            </w:r>
            <w:r w:rsidRPr="634A1E48">
              <w:rPr>
                <w:b w:val="0"/>
                <w:sz w:val="20"/>
                <w:szCs w:val="20"/>
              </w:rPr>
              <w:t>.</w:t>
            </w:r>
          </w:p>
          <w:p w14:paraId="3B7E2BF8" w14:textId="77777777" w:rsidR="00B36E51" w:rsidRPr="004306EB" w:rsidRDefault="00B36E51"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Reduced loss of threatened and </w:t>
            </w:r>
            <w:proofErr w:type="gramStart"/>
            <w:r w:rsidRPr="634A1E48">
              <w:rPr>
                <w:b w:val="0"/>
                <w:sz w:val="20"/>
                <w:szCs w:val="20"/>
              </w:rPr>
              <w:t>at risk</w:t>
            </w:r>
            <w:proofErr w:type="gramEnd"/>
            <w:r w:rsidRPr="634A1E48">
              <w:rPr>
                <w:b w:val="0"/>
                <w:sz w:val="20"/>
                <w:szCs w:val="20"/>
              </w:rPr>
              <w:t xml:space="preserve"> species.</w:t>
            </w:r>
          </w:p>
          <w:p w14:paraId="7D7AB0FD" w14:textId="77777777" w:rsidR="004306EB" w:rsidRPr="00035EA4" w:rsidRDefault="004306EB"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Setting criteria for the use of offsetting and compensation will assist in ensuring that resource management decisions achieve better outcomes for indigenous biodiversity.</w:t>
            </w:r>
          </w:p>
          <w:p w14:paraId="54E1D17D" w14:textId="01046943" w:rsidR="004547B0" w:rsidRPr="00790B77" w:rsidRDefault="00035EA4"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Recognises that proactive restoration efforts are needed in addition to protection </w:t>
            </w:r>
            <w:proofErr w:type="gramStart"/>
            <w:r w:rsidRPr="634A1E48">
              <w:rPr>
                <w:b w:val="0"/>
                <w:sz w:val="20"/>
                <w:szCs w:val="20"/>
              </w:rPr>
              <w:t>in order to</w:t>
            </w:r>
            <w:proofErr w:type="gramEnd"/>
            <w:r w:rsidRPr="634A1E48">
              <w:rPr>
                <w:b w:val="0"/>
                <w:sz w:val="20"/>
                <w:szCs w:val="20"/>
              </w:rPr>
              <w:t xml:space="preserve"> maintain indigenous biodiversity.</w:t>
            </w:r>
          </w:p>
        </w:tc>
        <w:tc>
          <w:tcPr>
            <w:tcW w:w="4508" w:type="dxa"/>
          </w:tcPr>
          <w:p w14:paraId="6124BADC" w14:textId="6207F500" w:rsidR="0049211D" w:rsidRDefault="0049211D"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The provisions are resource intensive to implement given the reliance on ecological assessments and may take a long time to be fully implemented. Some areas may therefore take longer than others to be identified and protected as required which could result in further loss of biodiversity loss in the interim. </w:t>
            </w:r>
          </w:p>
          <w:p w14:paraId="53685137" w14:textId="6207F500" w:rsidR="004306EB" w:rsidRDefault="004306EB"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may be a ‘gold rush’ effect </w:t>
            </w:r>
            <w:r w:rsidR="00905F38" w:rsidRPr="634A1E48">
              <w:rPr>
                <w:sz w:val="20"/>
                <w:szCs w:val="20"/>
              </w:rPr>
              <w:t xml:space="preserve">during the </w:t>
            </w:r>
            <w:proofErr w:type="gramStart"/>
            <w:r w:rsidR="00905F38" w:rsidRPr="634A1E48">
              <w:rPr>
                <w:sz w:val="20"/>
                <w:szCs w:val="20"/>
              </w:rPr>
              <w:t>period of time</w:t>
            </w:r>
            <w:proofErr w:type="gramEnd"/>
            <w:r w:rsidR="00905F38" w:rsidRPr="634A1E48">
              <w:rPr>
                <w:sz w:val="20"/>
                <w:szCs w:val="20"/>
              </w:rPr>
              <w:t xml:space="preserve"> between Option </w:t>
            </w:r>
            <w:r w:rsidR="00912317" w:rsidRPr="634A1E48">
              <w:rPr>
                <w:sz w:val="20"/>
                <w:szCs w:val="20"/>
              </w:rPr>
              <w:t>4</w:t>
            </w:r>
            <w:r w:rsidR="00905F38" w:rsidRPr="634A1E48">
              <w:rPr>
                <w:sz w:val="20"/>
                <w:szCs w:val="20"/>
              </w:rPr>
              <w:t xml:space="preserve"> </w:t>
            </w:r>
            <w:r w:rsidR="002F2996" w:rsidRPr="634A1E48">
              <w:rPr>
                <w:sz w:val="20"/>
                <w:szCs w:val="20"/>
              </w:rPr>
              <w:t xml:space="preserve">being publicly notified and </w:t>
            </w:r>
            <w:r w:rsidR="00F7769C" w:rsidRPr="634A1E48">
              <w:rPr>
                <w:sz w:val="20"/>
                <w:szCs w:val="20"/>
              </w:rPr>
              <w:t>the required changes to regional and district plans</w:t>
            </w:r>
            <w:r w:rsidR="00F3631B" w:rsidRPr="634A1E48">
              <w:rPr>
                <w:sz w:val="20"/>
                <w:szCs w:val="20"/>
              </w:rPr>
              <w:t xml:space="preserve">, where landowners may clear indigenous vegetation or habitat on their properties in advance of mapping being </w:t>
            </w:r>
            <w:r w:rsidR="006E6F4B" w:rsidRPr="634A1E48">
              <w:rPr>
                <w:sz w:val="20"/>
                <w:szCs w:val="20"/>
              </w:rPr>
              <w:t>finalised</w:t>
            </w:r>
            <w:r w:rsidR="00F3631B" w:rsidRPr="634A1E48">
              <w:rPr>
                <w:sz w:val="20"/>
                <w:szCs w:val="20"/>
              </w:rPr>
              <w:t xml:space="preserve"> and restrictions being imposed.</w:t>
            </w:r>
          </w:p>
          <w:p w14:paraId="762E8924" w14:textId="365C3807" w:rsidR="005417C8" w:rsidRPr="000136C1" w:rsidRDefault="00A731F4"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 specific circumstances </w:t>
            </w:r>
            <w:r w:rsidR="00D35E21" w:rsidRPr="634A1E48">
              <w:rPr>
                <w:sz w:val="20"/>
                <w:szCs w:val="20"/>
              </w:rPr>
              <w:t xml:space="preserve">where restoration is required are not articulated, meaning there is a risk that these opportunities are not proactively identified or pursued, reducing the </w:t>
            </w:r>
            <w:r w:rsidR="000D69F1" w:rsidRPr="634A1E48">
              <w:rPr>
                <w:sz w:val="20"/>
                <w:szCs w:val="20"/>
              </w:rPr>
              <w:t xml:space="preserve">effectiveness of Option </w:t>
            </w:r>
            <w:r w:rsidR="00912317" w:rsidRPr="634A1E48">
              <w:rPr>
                <w:sz w:val="20"/>
                <w:szCs w:val="20"/>
              </w:rPr>
              <w:t>4</w:t>
            </w:r>
            <w:r w:rsidR="000D69F1" w:rsidRPr="634A1E48">
              <w:rPr>
                <w:sz w:val="20"/>
                <w:szCs w:val="20"/>
              </w:rPr>
              <w:t>.</w:t>
            </w:r>
          </w:p>
        </w:tc>
      </w:tr>
      <w:tr w:rsidR="00E9552F" w:rsidRPr="00AE42AF" w14:paraId="050A5953"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5901F38" w14:textId="4B6A6611" w:rsidR="00E9552F" w:rsidRPr="00AE42AF" w:rsidRDefault="00E9552F" w:rsidP="00424DBB">
            <w:pPr>
              <w:jc w:val="center"/>
              <w:rPr>
                <w:sz w:val="20"/>
              </w:rPr>
            </w:pPr>
            <w:r>
              <w:rPr>
                <w:sz w:val="20"/>
              </w:rPr>
              <w:t>Cultural</w:t>
            </w:r>
          </w:p>
        </w:tc>
      </w:tr>
      <w:tr w:rsidR="00E9552F" w:rsidRPr="000E2E23" w14:paraId="7774CDB8"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42B4C925" w14:textId="204972A4" w:rsidR="001B22B9" w:rsidRPr="00CF76F5" w:rsidRDefault="001B22B9"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Iwi and </w:t>
            </w:r>
            <w:proofErr w:type="spellStart"/>
            <w:r w:rsidRPr="634A1E48">
              <w:rPr>
                <w:b w:val="0"/>
                <w:sz w:val="20"/>
                <w:szCs w:val="20"/>
              </w:rPr>
              <w:t>runaka</w:t>
            </w:r>
            <w:proofErr w:type="spellEnd"/>
            <w:r w:rsidRPr="634A1E48">
              <w:rPr>
                <w:b w:val="0"/>
                <w:sz w:val="20"/>
                <w:szCs w:val="20"/>
              </w:rPr>
              <w:t xml:space="preserve"> will have the ability to be involved in identification processes at the district and regional level.</w:t>
            </w:r>
          </w:p>
          <w:p w14:paraId="2FB00404" w14:textId="77777777" w:rsidR="00E9552F" w:rsidRPr="00331C71" w:rsidRDefault="003B4720"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lastRenderedPageBreak/>
              <w:t>Providing for restoration of areas of indigenous biodiversity that been degraded will assist with restoring and protecting cultural values.</w:t>
            </w:r>
          </w:p>
          <w:p w14:paraId="79117E8B" w14:textId="355357CA" w:rsidR="00331C71" w:rsidRPr="00501014" w:rsidRDefault="00331C71"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Restoring biodiversity will support </w:t>
            </w:r>
            <w:proofErr w:type="spellStart"/>
            <w:r w:rsidRPr="634A1E48">
              <w:rPr>
                <w:b w:val="0"/>
                <w:sz w:val="20"/>
                <w:szCs w:val="20"/>
              </w:rPr>
              <w:t>mahika</w:t>
            </w:r>
            <w:proofErr w:type="spellEnd"/>
            <w:r w:rsidRPr="634A1E48">
              <w:rPr>
                <w:b w:val="0"/>
                <w:sz w:val="20"/>
                <w:szCs w:val="20"/>
              </w:rPr>
              <w:t xml:space="preserve"> </w:t>
            </w:r>
            <w:proofErr w:type="gramStart"/>
            <w:r w:rsidRPr="634A1E48">
              <w:rPr>
                <w:b w:val="0"/>
                <w:sz w:val="20"/>
                <w:szCs w:val="20"/>
              </w:rPr>
              <w:t>kai in particular</w:t>
            </w:r>
            <w:proofErr w:type="gramEnd"/>
            <w:r w:rsidRPr="634A1E48">
              <w:rPr>
                <w:b w:val="0"/>
                <w:sz w:val="20"/>
                <w:szCs w:val="20"/>
              </w:rPr>
              <w:t>.</w:t>
            </w:r>
          </w:p>
        </w:tc>
        <w:tc>
          <w:tcPr>
            <w:tcW w:w="4508" w:type="dxa"/>
          </w:tcPr>
          <w:p w14:paraId="45007878" w14:textId="77777777" w:rsidR="00E9552F" w:rsidRDefault="00F65427"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There will be costs to iwi and </w:t>
            </w:r>
            <w:proofErr w:type="spellStart"/>
            <w:r w:rsidRPr="634A1E48">
              <w:rPr>
                <w:sz w:val="20"/>
                <w:szCs w:val="20"/>
              </w:rPr>
              <w:t>runaka</w:t>
            </w:r>
            <w:proofErr w:type="spellEnd"/>
            <w:r w:rsidRPr="634A1E48">
              <w:rPr>
                <w:sz w:val="20"/>
                <w:szCs w:val="20"/>
              </w:rPr>
              <w:t xml:space="preserve"> in engaging in planning process to identify areas and in the plan provisions for how these areas are managed</w:t>
            </w:r>
            <w:r w:rsidR="0028191E" w:rsidRPr="634A1E48">
              <w:rPr>
                <w:sz w:val="20"/>
                <w:szCs w:val="20"/>
              </w:rPr>
              <w:t>.</w:t>
            </w:r>
          </w:p>
          <w:p w14:paraId="2F309FF2" w14:textId="56E12188" w:rsidR="00E9552F" w:rsidRPr="00BA5702" w:rsidRDefault="001D5C6F"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Restrictions on land within significant areas may </w:t>
            </w:r>
            <w:r w:rsidR="00D20689" w:rsidRPr="634A1E48">
              <w:rPr>
                <w:sz w:val="20"/>
                <w:szCs w:val="20"/>
              </w:rPr>
              <w:t>prevent or limit the use or development of Māori land.</w:t>
            </w:r>
          </w:p>
        </w:tc>
      </w:tr>
      <w:tr w:rsidR="00E9552F" w:rsidRPr="00AE42AF" w14:paraId="75A9712D"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704FEA2" w14:textId="77777777" w:rsidR="00E9552F" w:rsidRPr="00AE42AF" w:rsidRDefault="00E9552F" w:rsidP="00424DBB">
            <w:pPr>
              <w:jc w:val="center"/>
              <w:rPr>
                <w:sz w:val="20"/>
              </w:rPr>
            </w:pPr>
            <w:r w:rsidRPr="00AE42AF">
              <w:rPr>
                <w:sz w:val="20"/>
              </w:rPr>
              <w:lastRenderedPageBreak/>
              <w:t>Social</w:t>
            </w:r>
          </w:p>
        </w:tc>
      </w:tr>
      <w:tr w:rsidR="00E9552F" w:rsidRPr="00FC5CD5" w14:paraId="385B2130"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3A139ED1" w14:textId="693D78D2" w:rsidR="00394009" w:rsidRPr="00E30E46" w:rsidRDefault="00394009"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Mapping areas provides certainty to the public about the extent of the protected areas.</w:t>
            </w:r>
            <w:r w:rsidR="00331C71" w:rsidRPr="634A1E48">
              <w:rPr>
                <w:b w:val="0"/>
                <w:sz w:val="20"/>
                <w:szCs w:val="20"/>
              </w:rPr>
              <w:t xml:space="preserve"> This is particularly important where areas are identified on private land, so that landowners are aware of the biodiversity on their land and of any potential restrictions on use.</w:t>
            </w:r>
          </w:p>
          <w:p w14:paraId="1C4C21F8" w14:textId="77777777" w:rsidR="00E9552F" w:rsidRPr="00331C71" w:rsidRDefault="00394009"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Identifying and protecting significant indigenous vegetation and significant habitats of indigenous fauna will ensure </w:t>
            </w:r>
            <w:r w:rsidR="00003036" w:rsidRPr="634A1E48">
              <w:rPr>
                <w:b w:val="0"/>
                <w:sz w:val="20"/>
                <w:szCs w:val="20"/>
              </w:rPr>
              <w:t>these areas are protected, to the benefit of the wider public</w:t>
            </w:r>
            <w:r w:rsidRPr="634A1E48">
              <w:rPr>
                <w:b w:val="0"/>
                <w:sz w:val="20"/>
                <w:szCs w:val="20"/>
              </w:rPr>
              <w:t>.</w:t>
            </w:r>
          </w:p>
          <w:p w14:paraId="50D1B2FF" w14:textId="77777777" w:rsidR="00331C71" w:rsidRPr="007313B1" w:rsidRDefault="00360C3C"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Healthy e</w:t>
            </w:r>
            <w:r w:rsidR="00331C71" w:rsidRPr="634A1E48">
              <w:rPr>
                <w:b w:val="0"/>
                <w:sz w:val="20"/>
                <w:szCs w:val="20"/>
              </w:rPr>
              <w:t xml:space="preserve">cosystems and indigenous biodiversity </w:t>
            </w:r>
            <w:r w:rsidRPr="634A1E48">
              <w:rPr>
                <w:b w:val="0"/>
                <w:sz w:val="20"/>
                <w:szCs w:val="20"/>
              </w:rPr>
              <w:t xml:space="preserve">are critical to many recreational activities. By </w:t>
            </w:r>
            <w:r w:rsidR="001E6ACB" w:rsidRPr="634A1E48">
              <w:rPr>
                <w:b w:val="0"/>
                <w:sz w:val="20"/>
                <w:szCs w:val="20"/>
              </w:rPr>
              <w:t>increasing the stringency of provisions managing biodiversity, this option will support recreational uses and enjoyment</w:t>
            </w:r>
            <w:r w:rsidR="00A4369D" w:rsidRPr="634A1E48">
              <w:rPr>
                <w:b w:val="0"/>
                <w:sz w:val="20"/>
                <w:szCs w:val="20"/>
              </w:rPr>
              <w:t xml:space="preserve"> for current and future generations</w:t>
            </w:r>
            <w:r w:rsidR="001E6ACB" w:rsidRPr="634A1E48">
              <w:rPr>
                <w:b w:val="0"/>
                <w:sz w:val="20"/>
                <w:szCs w:val="20"/>
              </w:rPr>
              <w:t>.</w:t>
            </w:r>
          </w:p>
          <w:p w14:paraId="1F7D1608" w14:textId="6416A01A" w:rsidR="007313B1" w:rsidRPr="007313B1" w:rsidRDefault="00F22022" w:rsidP="00D11E8B">
            <w:pPr>
              <w:pStyle w:val="ListParagraph"/>
              <w:numPr>
                <w:ilvl w:val="0"/>
                <w:numId w:val="22"/>
              </w:numPr>
              <w:spacing w:after="60"/>
              <w:ind w:left="357" w:hanging="357"/>
              <w:contextualSpacing w:val="0"/>
              <w:jc w:val="both"/>
              <w:rPr>
                <w:b w:val="0"/>
                <w:bCs w:val="0"/>
                <w:sz w:val="20"/>
                <w:szCs w:val="20"/>
              </w:rPr>
            </w:pPr>
            <w:r w:rsidRPr="007313B1">
              <w:rPr>
                <w:b w:val="0"/>
                <w:bCs w:val="0"/>
                <w:sz w:val="20"/>
                <w:szCs w:val="20"/>
              </w:rPr>
              <w:t xml:space="preserve">Policy ECO–P3 provides for new activities within SNAs in limited circumstances, some of which will have </w:t>
            </w:r>
            <w:r w:rsidR="007313B1" w:rsidRPr="007313B1">
              <w:rPr>
                <w:b w:val="0"/>
                <w:bCs w:val="0"/>
                <w:sz w:val="20"/>
                <w:szCs w:val="20"/>
              </w:rPr>
              <w:t>social benefits for people and communities, particularly the provision of infrastructure.</w:t>
            </w:r>
          </w:p>
          <w:p w14:paraId="0067D3DF" w14:textId="68605A05" w:rsidR="00331C71" w:rsidRPr="00003036" w:rsidRDefault="003C24FF"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Option 4 provides for the continuation of existing activities within SNAs, </w:t>
            </w:r>
            <w:r w:rsidR="00751F56" w:rsidRPr="634A1E48">
              <w:rPr>
                <w:b w:val="0"/>
                <w:sz w:val="20"/>
                <w:szCs w:val="20"/>
              </w:rPr>
              <w:t xml:space="preserve">which will include a wide range of activities such as housing and recreation. The pathway for those activities to continue will provide social benefits to </w:t>
            </w:r>
            <w:r w:rsidR="001F5DA1" w:rsidRPr="634A1E48">
              <w:rPr>
                <w:b w:val="0"/>
                <w:sz w:val="20"/>
                <w:szCs w:val="20"/>
              </w:rPr>
              <w:t>users.</w:t>
            </w:r>
          </w:p>
        </w:tc>
        <w:tc>
          <w:tcPr>
            <w:tcW w:w="4508" w:type="dxa"/>
          </w:tcPr>
          <w:p w14:paraId="54AFB5B4" w14:textId="77777777" w:rsidR="00E9552F" w:rsidRDefault="00742515"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will be restrictions on use and development within protected areas, which may affect the potential for </w:t>
            </w:r>
            <w:r w:rsidR="00F9401D" w:rsidRPr="634A1E48">
              <w:rPr>
                <w:sz w:val="20"/>
                <w:szCs w:val="20"/>
              </w:rPr>
              <w:t>areas of indigenous biodiversity</w:t>
            </w:r>
            <w:r w:rsidRPr="634A1E48">
              <w:rPr>
                <w:sz w:val="20"/>
                <w:szCs w:val="20"/>
              </w:rPr>
              <w:t xml:space="preserve"> to be used for purposes that support social well-being</w:t>
            </w:r>
            <w:r w:rsidR="001E6ACB" w:rsidRPr="634A1E48">
              <w:rPr>
                <w:sz w:val="20"/>
                <w:szCs w:val="20"/>
              </w:rPr>
              <w:t xml:space="preserve"> and recreation.</w:t>
            </w:r>
          </w:p>
          <w:p w14:paraId="0D964AF2" w14:textId="77777777" w:rsidR="00450CD2" w:rsidRDefault="002E2941"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 costs of identifying significant areas are likely to be largely funded through rates, potentially reducing the funding available for other community initiatives.</w:t>
            </w:r>
          </w:p>
          <w:p w14:paraId="29B4B2A6" w14:textId="77777777" w:rsidR="002E2941" w:rsidRDefault="007535EB"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Increases to rates can have negative impacts on the wellbeing and quality of life of some individuals and communities, particularly those on low or fixed incomes.</w:t>
            </w:r>
          </w:p>
          <w:p w14:paraId="316CD37B" w14:textId="0DC25DD0" w:rsidR="00835B7C" w:rsidRDefault="5FD54B4D"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w:t>
            </w:r>
            <w:r w:rsidR="042E80AF" w:rsidRPr="634A1E48">
              <w:rPr>
                <w:sz w:val="20"/>
                <w:szCs w:val="20"/>
              </w:rPr>
              <w:t>r</w:t>
            </w:r>
            <w:r w:rsidRPr="634A1E48">
              <w:rPr>
                <w:sz w:val="20"/>
                <w:szCs w:val="20"/>
              </w:rPr>
              <w:t>e</w:t>
            </w:r>
            <w:r w:rsidR="00835B7C" w:rsidRPr="634A1E48">
              <w:rPr>
                <w:sz w:val="20"/>
                <w:szCs w:val="20"/>
              </w:rPr>
              <w:t xml:space="preserve"> may be damage to relationships between local authorities and landowners if </w:t>
            </w:r>
            <w:r w:rsidR="0077263F" w:rsidRPr="634A1E48">
              <w:rPr>
                <w:sz w:val="20"/>
                <w:szCs w:val="20"/>
              </w:rPr>
              <w:t xml:space="preserve">new information about indigenous biodiversity </w:t>
            </w:r>
            <w:r w:rsidR="00062188" w:rsidRPr="634A1E48">
              <w:rPr>
                <w:sz w:val="20"/>
                <w:szCs w:val="20"/>
              </w:rPr>
              <w:t>differs from previous information, particularly if that results in greater restrictions on use of resources.</w:t>
            </w:r>
          </w:p>
          <w:p w14:paraId="2A37C3B1" w14:textId="61F2A102" w:rsidR="00E9552F" w:rsidRPr="00FC5CD5" w:rsidRDefault="00937FDC"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Constraints on the use of resources within significant areas may limit the ability of people and communities to provide for their social well-being, for example by loss of recreational or employment opportunities</w:t>
            </w:r>
            <w:r w:rsidR="001F5DA1" w:rsidRPr="634A1E48">
              <w:rPr>
                <w:sz w:val="20"/>
                <w:szCs w:val="20"/>
              </w:rPr>
              <w:t xml:space="preserve"> </w:t>
            </w:r>
            <w:r w:rsidR="001F5DA1" w:rsidRPr="001F5DA1">
              <w:rPr>
                <w:bCs/>
                <w:sz w:val="20"/>
                <w:szCs w:val="20"/>
              </w:rPr>
              <w:t>that are not provided for by policies ECO</w:t>
            </w:r>
            <w:r w:rsidR="001F5DA1" w:rsidRPr="001F5DA1">
              <w:rPr>
                <w:sz w:val="20"/>
                <w:szCs w:val="20"/>
              </w:rPr>
              <w:t>–P3 or ECO–P4</w:t>
            </w:r>
            <w:r w:rsidRPr="634A1E48">
              <w:rPr>
                <w:sz w:val="20"/>
                <w:szCs w:val="20"/>
              </w:rPr>
              <w:t>.</w:t>
            </w:r>
          </w:p>
        </w:tc>
      </w:tr>
      <w:tr w:rsidR="00E9552F" w:rsidRPr="00AE42AF" w14:paraId="10952159"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B150608" w14:textId="77777777" w:rsidR="00E9552F" w:rsidRPr="00AE42AF" w:rsidRDefault="00E9552F" w:rsidP="00424DBB">
            <w:pPr>
              <w:jc w:val="center"/>
              <w:rPr>
                <w:sz w:val="20"/>
              </w:rPr>
            </w:pPr>
            <w:r>
              <w:rPr>
                <w:sz w:val="20"/>
              </w:rPr>
              <w:t>Economic</w:t>
            </w:r>
          </w:p>
        </w:tc>
      </w:tr>
      <w:tr w:rsidR="00E9552F" w:rsidRPr="000136C1" w14:paraId="405B6498"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6EB19CFE" w14:textId="59687D17" w:rsidR="001B60B6" w:rsidRPr="00971FBF" w:rsidRDefault="001B60B6"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Consistent criteria across the region will reduce administrative costs and provide greater certainty for communities.</w:t>
            </w:r>
          </w:p>
          <w:p w14:paraId="1055A1BD" w14:textId="72C02338" w:rsidR="00564B09" w:rsidRPr="00564B09" w:rsidRDefault="00A74EA7"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There may be reduced litigation and debate about the criteria used to </w:t>
            </w:r>
            <w:r w:rsidR="00A104E0" w:rsidRPr="634A1E48">
              <w:rPr>
                <w:b w:val="0"/>
                <w:sz w:val="20"/>
                <w:szCs w:val="20"/>
              </w:rPr>
              <w:t>assess ecological significance</w:t>
            </w:r>
            <w:r w:rsidR="00071F8D" w:rsidRPr="634A1E48">
              <w:rPr>
                <w:b w:val="0"/>
                <w:sz w:val="20"/>
                <w:szCs w:val="20"/>
              </w:rPr>
              <w:t xml:space="preserve"> and the actions required to protect or maintain indigenous biodiversity</w:t>
            </w:r>
            <w:r w:rsidR="00A104E0" w:rsidRPr="634A1E48">
              <w:rPr>
                <w:b w:val="0"/>
                <w:sz w:val="20"/>
                <w:szCs w:val="20"/>
              </w:rPr>
              <w:t xml:space="preserve">, particularly at the </w:t>
            </w:r>
            <w:r w:rsidR="002D5DC6" w:rsidRPr="634A1E48">
              <w:rPr>
                <w:b w:val="0"/>
                <w:sz w:val="20"/>
                <w:szCs w:val="20"/>
              </w:rPr>
              <w:t>TA</w:t>
            </w:r>
            <w:r w:rsidR="00A104E0" w:rsidRPr="634A1E48">
              <w:rPr>
                <w:b w:val="0"/>
                <w:sz w:val="20"/>
                <w:szCs w:val="20"/>
              </w:rPr>
              <w:t xml:space="preserve"> level.</w:t>
            </w:r>
          </w:p>
          <w:p w14:paraId="0156F179" w14:textId="0BF9FC6D" w:rsidR="00956869" w:rsidRPr="002C6FDA" w:rsidRDefault="00956869"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Mapping areas provides certainty about where management approaches apply, potentially reducing the costs of processing and deciding on resource consent applications.</w:t>
            </w:r>
          </w:p>
          <w:p w14:paraId="525B8FEB" w14:textId="66A0599D" w:rsidR="007B06D7" w:rsidRPr="002C6FDA" w:rsidRDefault="007B06D7"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Mapping areas provides certainty to landowners about </w:t>
            </w:r>
            <w:r w:rsidR="00D6012E" w:rsidRPr="634A1E48">
              <w:rPr>
                <w:b w:val="0"/>
                <w:sz w:val="20"/>
                <w:szCs w:val="20"/>
              </w:rPr>
              <w:t>the types of activities they can undertake on their properties.</w:t>
            </w:r>
          </w:p>
          <w:p w14:paraId="4AD46002" w14:textId="55D75293" w:rsidR="001F5DA1" w:rsidRPr="002C6FDA" w:rsidRDefault="001F5DA1"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Providing pathways for new activities within SNAs will provide economic benefits</w:t>
            </w:r>
            <w:r w:rsidR="00C66F52" w:rsidRPr="634A1E48">
              <w:rPr>
                <w:b w:val="0"/>
                <w:sz w:val="20"/>
                <w:szCs w:val="20"/>
              </w:rPr>
              <w:t>, particularly for the operators of nationally or regionally significant infrastructure and for owners of Māori land.</w:t>
            </w:r>
          </w:p>
          <w:p w14:paraId="6E0688CC" w14:textId="77777777" w:rsidR="00E9552F" w:rsidRPr="002E539C" w:rsidRDefault="004555BE"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lastRenderedPageBreak/>
              <w:t>Protecting significant indigenous vegetation and significant habitats of indigenous fauna will support industries that rely on the existence of these areas (for example, tourism) and related employment opportunities.</w:t>
            </w:r>
          </w:p>
          <w:p w14:paraId="4B5D6E62" w14:textId="3914FCC3" w:rsidR="002E539C" w:rsidRPr="004547B0" w:rsidRDefault="002E539C" w:rsidP="00D11E8B">
            <w:pPr>
              <w:pStyle w:val="ListParagraph"/>
              <w:numPr>
                <w:ilvl w:val="0"/>
                <w:numId w:val="22"/>
              </w:numPr>
              <w:spacing w:after="60"/>
              <w:ind w:left="357" w:hanging="357"/>
              <w:contextualSpacing w:val="0"/>
              <w:jc w:val="both"/>
              <w:rPr>
                <w:b w:val="0"/>
                <w:sz w:val="20"/>
                <w:szCs w:val="20"/>
              </w:rPr>
            </w:pPr>
            <w:r w:rsidRPr="634A1E48">
              <w:rPr>
                <w:b w:val="0"/>
                <w:sz w:val="20"/>
                <w:szCs w:val="20"/>
              </w:rPr>
              <w:t xml:space="preserve">Local authorities will have improved clarity over the actions they are required to take </w:t>
            </w:r>
            <w:proofErr w:type="gramStart"/>
            <w:r w:rsidRPr="634A1E48">
              <w:rPr>
                <w:b w:val="0"/>
                <w:sz w:val="20"/>
                <w:szCs w:val="20"/>
              </w:rPr>
              <w:t>in order to</w:t>
            </w:r>
            <w:proofErr w:type="gramEnd"/>
            <w:r w:rsidRPr="634A1E48">
              <w:rPr>
                <w:b w:val="0"/>
                <w:sz w:val="20"/>
                <w:szCs w:val="20"/>
              </w:rPr>
              <w:t xml:space="preserve"> protect significant areas and maintain indigenous biodiversity outside these areas, improving </w:t>
            </w:r>
            <w:r w:rsidR="00E77A80" w:rsidRPr="634A1E48">
              <w:rPr>
                <w:b w:val="0"/>
                <w:sz w:val="20"/>
                <w:szCs w:val="20"/>
              </w:rPr>
              <w:t>the efficiency</w:t>
            </w:r>
            <w:r w:rsidRPr="634A1E48">
              <w:rPr>
                <w:b w:val="0"/>
                <w:sz w:val="20"/>
                <w:szCs w:val="20"/>
              </w:rPr>
              <w:t xml:space="preserve"> of implement</w:t>
            </w:r>
            <w:r w:rsidR="00E77A80" w:rsidRPr="634A1E48">
              <w:rPr>
                <w:b w:val="0"/>
                <w:sz w:val="20"/>
                <w:szCs w:val="20"/>
              </w:rPr>
              <w:t xml:space="preserve">ing </w:t>
            </w:r>
            <w:r w:rsidRPr="634A1E48">
              <w:rPr>
                <w:b w:val="0"/>
                <w:sz w:val="20"/>
                <w:szCs w:val="20"/>
              </w:rPr>
              <w:t>the provisions.</w:t>
            </w:r>
          </w:p>
          <w:p w14:paraId="442D0EE6" w14:textId="24E48672" w:rsidR="00E9552F" w:rsidRPr="000136C1" w:rsidRDefault="00E9552F" w:rsidP="00D11E8B">
            <w:pPr>
              <w:pStyle w:val="ListParagraph"/>
              <w:ind w:left="360"/>
              <w:jc w:val="both"/>
              <w:rPr>
                <w:b w:val="0"/>
                <w:sz w:val="20"/>
              </w:rPr>
            </w:pPr>
          </w:p>
        </w:tc>
        <w:tc>
          <w:tcPr>
            <w:tcW w:w="4508" w:type="dxa"/>
          </w:tcPr>
          <w:p w14:paraId="7D81CD87" w14:textId="548FF15F" w:rsidR="00955CFC" w:rsidRDefault="00A36AE4"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Identifying significant </w:t>
            </w:r>
            <w:r w:rsidR="00B643EA" w:rsidRPr="634A1E48">
              <w:rPr>
                <w:sz w:val="20"/>
                <w:szCs w:val="20"/>
              </w:rPr>
              <w:t>natural areas</w:t>
            </w:r>
            <w:r w:rsidRPr="634A1E48">
              <w:rPr>
                <w:sz w:val="20"/>
                <w:szCs w:val="20"/>
              </w:rPr>
              <w:t xml:space="preserve"> and </w:t>
            </w:r>
            <w:r w:rsidR="00B643EA" w:rsidRPr="634A1E48">
              <w:rPr>
                <w:sz w:val="20"/>
                <w:szCs w:val="20"/>
              </w:rPr>
              <w:t>areas</w:t>
            </w:r>
            <w:r w:rsidRPr="634A1E48">
              <w:rPr>
                <w:sz w:val="20"/>
                <w:szCs w:val="20"/>
              </w:rPr>
              <w:t xml:space="preserve"> of </w:t>
            </w:r>
            <w:r w:rsidR="00955CFC" w:rsidRPr="634A1E48">
              <w:rPr>
                <w:sz w:val="20"/>
                <w:szCs w:val="20"/>
              </w:rPr>
              <w:t>significance in the coastal environment</w:t>
            </w:r>
            <w:r w:rsidRPr="634A1E48">
              <w:rPr>
                <w:sz w:val="20"/>
                <w:szCs w:val="20"/>
              </w:rPr>
              <w:t xml:space="preserve"> will </w:t>
            </w:r>
            <w:r w:rsidR="007F1570" w:rsidRPr="634A1E48">
              <w:rPr>
                <w:sz w:val="20"/>
                <w:szCs w:val="20"/>
              </w:rPr>
              <w:t xml:space="preserve">come at a cost for ORC and </w:t>
            </w:r>
            <w:proofErr w:type="spellStart"/>
            <w:r w:rsidR="007F1570" w:rsidRPr="634A1E48">
              <w:rPr>
                <w:sz w:val="20"/>
                <w:szCs w:val="20"/>
              </w:rPr>
              <w:t>TAs</w:t>
            </w:r>
            <w:r w:rsidR="00540AA2" w:rsidRPr="634A1E48">
              <w:rPr>
                <w:sz w:val="20"/>
                <w:szCs w:val="20"/>
              </w:rPr>
              <w:t>.</w:t>
            </w:r>
            <w:proofErr w:type="spellEnd"/>
            <w:r w:rsidR="00540AA2" w:rsidRPr="634A1E48">
              <w:rPr>
                <w:sz w:val="20"/>
                <w:szCs w:val="20"/>
              </w:rPr>
              <w:t xml:space="preserve"> </w:t>
            </w:r>
            <w:r w:rsidR="00955CFC" w:rsidRPr="634A1E48">
              <w:rPr>
                <w:sz w:val="20"/>
                <w:szCs w:val="20"/>
              </w:rPr>
              <w:t>T</w:t>
            </w:r>
            <w:r w:rsidR="002D5DC6" w:rsidRPr="634A1E48">
              <w:rPr>
                <w:sz w:val="20"/>
                <w:szCs w:val="20"/>
              </w:rPr>
              <w:t>h</w:t>
            </w:r>
            <w:r w:rsidR="00955CFC" w:rsidRPr="634A1E48">
              <w:rPr>
                <w:sz w:val="20"/>
                <w:szCs w:val="20"/>
              </w:rPr>
              <w:t>e section 32 report prepared for the draft NPSIB estimates that resourcing costs for TAs to assess and map significant natural areas</w:t>
            </w:r>
            <w:r w:rsidR="00123B2C" w:rsidRPr="634A1E48">
              <w:rPr>
                <w:sz w:val="20"/>
                <w:szCs w:val="20"/>
              </w:rPr>
              <w:t xml:space="preserve"> may range from $700,000 </w:t>
            </w:r>
            <w:r w:rsidR="00FE54E4" w:rsidRPr="634A1E48">
              <w:rPr>
                <w:sz w:val="20"/>
                <w:szCs w:val="20"/>
              </w:rPr>
              <w:t xml:space="preserve">where </w:t>
            </w:r>
            <w:r w:rsidR="006E77B5" w:rsidRPr="634A1E48">
              <w:rPr>
                <w:sz w:val="20"/>
                <w:szCs w:val="20"/>
              </w:rPr>
              <w:t xml:space="preserve">indigenous cover is relatively small </w:t>
            </w:r>
            <w:r w:rsidR="00227DB9" w:rsidRPr="634A1E48">
              <w:rPr>
                <w:sz w:val="20"/>
                <w:szCs w:val="20"/>
              </w:rPr>
              <w:t xml:space="preserve">and costs are shared with other parties </w:t>
            </w:r>
            <w:r w:rsidR="006E77B5" w:rsidRPr="634A1E48">
              <w:rPr>
                <w:sz w:val="20"/>
                <w:szCs w:val="20"/>
              </w:rPr>
              <w:t xml:space="preserve">to </w:t>
            </w:r>
            <w:r w:rsidR="00227DB9" w:rsidRPr="634A1E48">
              <w:rPr>
                <w:sz w:val="20"/>
                <w:szCs w:val="20"/>
              </w:rPr>
              <w:t>$1.3 million where the area is large and there is no cost sharing</w:t>
            </w:r>
            <w:sdt>
              <w:sdtPr>
                <w:rPr>
                  <w:sz w:val="20"/>
                  <w:szCs w:val="20"/>
                </w:rPr>
                <w:id w:val="-516848414"/>
                <w:placeholder>
                  <w:docPart w:val="88D265A415914D6082B57FA7F5DBD1D2"/>
                </w:placeholder>
                <w:citation/>
              </w:sdtPr>
              <w:sdtContent>
                <w:r w:rsidR="002E1193" w:rsidRPr="634A1E48">
                  <w:rPr>
                    <w:sz w:val="20"/>
                    <w:szCs w:val="20"/>
                  </w:rPr>
                  <w:fldChar w:fldCharType="begin"/>
                </w:r>
                <w:r w:rsidR="002E1193" w:rsidRPr="634A1E48">
                  <w:rPr>
                    <w:sz w:val="20"/>
                    <w:szCs w:val="20"/>
                  </w:rPr>
                  <w:instrText xml:space="preserve">CITATION 4si19 \p 70 \l 5129 </w:instrText>
                </w:r>
                <w:r w:rsidR="002E1193" w:rsidRPr="634A1E48">
                  <w:rPr>
                    <w:sz w:val="20"/>
                    <w:szCs w:val="20"/>
                  </w:rPr>
                  <w:fldChar w:fldCharType="separate"/>
                </w:r>
                <w:r w:rsidR="00246D02" w:rsidRPr="634A1E48">
                  <w:rPr>
                    <w:sz w:val="20"/>
                    <w:szCs w:val="20"/>
                  </w:rPr>
                  <w:t xml:space="preserve"> (4sight &amp; ME, 2019, p. 70)</w:t>
                </w:r>
                <w:r w:rsidR="002E1193" w:rsidRPr="634A1E48">
                  <w:rPr>
                    <w:sz w:val="20"/>
                    <w:szCs w:val="20"/>
                  </w:rPr>
                  <w:fldChar w:fldCharType="end"/>
                </w:r>
              </w:sdtContent>
            </w:sdt>
            <w:r w:rsidR="002E1193" w:rsidRPr="634A1E48">
              <w:rPr>
                <w:sz w:val="20"/>
                <w:szCs w:val="20"/>
              </w:rPr>
              <w:t xml:space="preserve">. These costs are anticipated to be spread over five years and are in present value terms. Identifying significant areas is a current </w:t>
            </w:r>
            <w:r w:rsidR="00450445" w:rsidRPr="634A1E48">
              <w:rPr>
                <w:sz w:val="20"/>
                <w:szCs w:val="20"/>
              </w:rPr>
              <w:t>requirement of the PORPS 2019 so while this is not a new cost, some local authorities will not yet have budgeted for or incurred these costs.</w:t>
            </w:r>
          </w:p>
          <w:p w14:paraId="2327B2DE" w14:textId="15162925" w:rsidR="00223703" w:rsidRDefault="001E494D"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Including the required areas and values in regional and district plans will </w:t>
            </w:r>
            <w:r w:rsidR="00640CBF" w:rsidRPr="634A1E48">
              <w:rPr>
                <w:sz w:val="20"/>
                <w:szCs w:val="20"/>
              </w:rPr>
              <w:t xml:space="preserve">mean landowners </w:t>
            </w:r>
            <w:r w:rsidR="007A0F22" w:rsidRPr="634A1E48">
              <w:rPr>
                <w:sz w:val="20"/>
                <w:szCs w:val="20"/>
              </w:rPr>
              <w:t xml:space="preserve">incur costs in </w:t>
            </w:r>
            <w:r w:rsidR="007108B9" w:rsidRPr="634A1E48">
              <w:rPr>
                <w:sz w:val="20"/>
                <w:szCs w:val="20"/>
              </w:rPr>
              <w:t>making submissions and attending hearings</w:t>
            </w:r>
            <w:r w:rsidR="00450CD2" w:rsidRPr="634A1E48">
              <w:rPr>
                <w:sz w:val="20"/>
                <w:szCs w:val="20"/>
              </w:rPr>
              <w:t xml:space="preserve"> if they choose to participate in those processes.</w:t>
            </w:r>
          </w:p>
          <w:p w14:paraId="0AA5E8F4" w14:textId="51384F6E" w:rsidR="002265EB" w:rsidRDefault="006E6F4B"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Opportunity costs for new </w:t>
            </w:r>
            <w:r w:rsidR="00C50A7C" w:rsidRPr="634A1E48">
              <w:rPr>
                <w:sz w:val="20"/>
                <w:szCs w:val="20"/>
              </w:rPr>
              <w:t xml:space="preserve">uses of land within significant areas where plans preclude or limit what could have otherwise been achieved under the existing framework. </w:t>
            </w:r>
          </w:p>
          <w:p w14:paraId="7BE1D4B2" w14:textId="6207F500" w:rsidR="007712F8" w:rsidRDefault="007712F8"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Potentially increased cost to use land within significant areas. For example, </w:t>
            </w:r>
            <w:r w:rsidR="004558AF" w:rsidRPr="634A1E48">
              <w:rPr>
                <w:sz w:val="20"/>
                <w:szCs w:val="20"/>
              </w:rPr>
              <w:t>relocating building platforms or undergrounding cables.</w:t>
            </w:r>
          </w:p>
          <w:p w14:paraId="33651838" w14:textId="43778925" w:rsidR="00D803B8" w:rsidRDefault="002265EB"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Reduced flexibility in the range of possible land uses may negatively affect land values.</w:t>
            </w:r>
            <w:r w:rsidR="00557363">
              <w:rPr>
                <w:sz w:val="20"/>
                <w:szCs w:val="20"/>
              </w:rPr>
              <w:t xml:space="preserve"> </w:t>
            </w:r>
            <w:r w:rsidR="00013D2C" w:rsidRPr="634A1E48">
              <w:rPr>
                <w:sz w:val="20"/>
                <w:szCs w:val="20"/>
              </w:rPr>
              <w:t xml:space="preserve">There are likely to be </w:t>
            </w:r>
            <w:r w:rsidR="00E51F0E" w:rsidRPr="634A1E48">
              <w:rPr>
                <w:sz w:val="20"/>
                <w:szCs w:val="20"/>
              </w:rPr>
              <w:t xml:space="preserve">increased consent costs for applicants proposing to use resources within significant areas, primarily from </w:t>
            </w:r>
            <w:r w:rsidR="00620EBA" w:rsidRPr="634A1E48">
              <w:rPr>
                <w:sz w:val="20"/>
                <w:szCs w:val="20"/>
              </w:rPr>
              <w:t xml:space="preserve">the need to provide more detailed </w:t>
            </w:r>
            <w:r w:rsidR="00E404AE" w:rsidRPr="634A1E48">
              <w:rPr>
                <w:sz w:val="20"/>
                <w:szCs w:val="20"/>
              </w:rPr>
              <w:t xml:space="preserve">information and assessments of adverse effects on indigenous biodiversity </w:t>
            </w:r>
            <w:r w:rsidR="00FF5813" w:rsidRPr="634A1E48">
              <w:rPr>
                <w:sz w:val="20"/>
                <w:szCs w:val="20"/>
              </w:rPr>
              <w:t>and to</w:t>
            </w:r>
            <w:r w:rsidR="009E6047" w:rsidRPr="634A1E48">
              <w:rPr>
                <w:sz w:val="20"/>
                <w:szCs w:val="20"/>
              </w:rPr>
              <w:t xml:space="preserve"> demonstrate compliance with the decision-making prioritisation</w:t>
            </w:r>
            <w:r w:rsidR="00FF5813" w:rsidRPr="634A1E48">
              <w:rPr>
                <w:sz w:val="20"/>
                <w:szCs w:val="20"/>
              </w:rPr>
              <w:t>.</w:t>
            </w:r>
          </w:p>
          <w:p w14:paraId="6F862238" w14:textId="0C6D6E41" w:rsidR="00EB7F6A" w:rsidRDefault="00963AD2"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Requiring restoration as well as protection will incur costs. These costs may fall on landowners as part of proposals to use resources but may also fall on local authorities as part of funding community initiatives. </w:t>
            </w:r>
          </w:p>
          <w:p w14:paraId="0FA176E8" w14:textId="084A708E" w:rsidR="00EB7F6A" w:rsidRPr="00EB7F6A" w:rsidRDefault="009C52E6" w:rsidP="00D11E8B">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Requiring </w:t>
            </w:r>
            <w:r w:rsidR="00504CED">
              <w:rPr>
                <w:sz w:val="20"/>
                <w:szCs w:val="20"/>
              </w:rPr>
              <w:t>restor</w:t>
            </w:r>
            <w:r w:rsidR="00F53135">
              <w:rPr>
                <w:sz w:val="20"/>
                <w:szCs w:val="20"/>
              </w:rPr>
              <w:t>ation could result in the loss of productive land use, and activities being limit</w:t>
            </w:r>
            <w:r w:rsidR="00E31516">
              <w:rPr>
                <w:sz w:val="20"/>
                <w:szCs w:val="20"/>
              </w:rPr>
              <w:t xml:space="preserve">ed and/or foreclosed. </w:t>
            </w:r>
          </w:p>
        </w:tc>
      </w:tr>
    </w:tbl>
    <w:p w14:paraId="0D2EEB8C" w14:textId="77777777" w:rsidR="00E9552F" w:rsidRDefault="00E9552F" w:rsidP="00E9552F"/>
    <w:p w14:paraId="5C0F028B" w14:textId="24CCB5CF" w:rsidR="00E9552F" w:rsidRDefault="007A4B37" w:rsidP="00E9552F">
      <w:r>
        <w:fldChar w:fldCharType="begin"/>
      </w:r>
      <w:r>
        <w:instrText xml:space="preserve"> REF _Ref53665472 \h </w:instrText>
      </w:r>
      <w:r>
        <w:fldChar w:fldCharType="separate"/>
      </w:r>
      <w:r w:rsidR="002A7A16">
        <w:t xml:space="preserve">Table </w:t>
      </w:r>
      <w:r w:rsidR="002A7A16">
        <w:rPr>
          <w:noProof/>
        </w:rPr>
        <w:t>39</w:t>
      </w:r>
      <w:r>
        <w:fldChar w:fldCharType="end"/>
      </w:r>
      <w:r>
        <w:t xml:space="preserve"> </w:t>
      </w:r>
      <w:r w:rsidR="00E9552F">
        <w:t>below assesses the effectiveness and efficiency of the proposed provisions in achieving the objectives.</w:t>
      </w:r>
    </w:p>
    <w:p w14:paraId="46E18089" w14:textId="18892F32" w:rsidR="00E9552F" w:rsidRDefault="00E9552F" w:rsidP="00E9552F">
      <w:pPr>
        <w:pStyle w:val="Caption"/>
        <w:keepNext/>
      </w:pPr>
      <w:bookmarkStart w:id="101" w:name="_Ref53665472"/>
      <w:r>
        <w:t xml:space="preserve">Table </w:t>
      </w:r>
      <w:r>
        <w:fldChar w:fldCharType="begin"/>
      </w:r>
      <w:r>
        <w:instrText>SEQ Table \* ARABIC</w:instrText>
      </w:r>
      <w:r>
        <w:fldChar w:fldCharType="separate"/>
      </w:r>
      <w:r w:rsidR="002A7A16">
        <w:rPr>
          <w:noProof/>
        </w:rPr>
        <w:t>39</w:t>
      </w:r>
      <w:r>
        <w:fldChar w:fldCharType="end"/>
      </w:r>
      <w:bookmarkEnd w:id="101"/>
      <w:r>
        <w:t>: Efficiency and effectiveness evaluation for ecosystems and indigenous biodiversity</w:t>
      </w:r>
    </w:p>
    <w:tbl>
      <w:tblPr>
        <w:tblW w:w="0" w:type="auto"/>
        <w:tblLook w:val="04A0" w:firstRow="1" w:lastRow="0" w:firstColumn="1" w:lastColumn="0" w:noHBand="0" w:noVBand="1"/>
      </w:tblPr>
      <w:tblGrid>
        <w:gridCol w:w="1413"/>
        <w:gridCol w:w="7603"/>
      </w:tblGrid>
      <w:tr w:rsidR="00E9552F" w:rsidRPr="00C767B5" w14:paraId="0242A6C7"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40CF324" w14:textId="77777777" w:rsidR="00E9552F" w:rsidRPr="00C767B5" w:rsidRDefault="00E9552F" w:rsidP="00424DBB">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0FD89116" w14:textId="723C06D2" w:rsidR="00E9552F" w:rsidRPr="00C767B5" w:rsidRDefault="00A93D9C" w:rsidP="00424DBB">
            <w:pPr>
              <w:jc w:val="both"/>
              <w:rPr>
                <w:sz w:val="20"/>
              </w:rPr>
            </w:pPr>
            <w:r>
              <w:rPr>
                <w:sz w:val="20"/>
              </w:rPr>
              <w:t>O</w:t>
            </w:r>
            <w:r w:rsidR="00053D5C">
              <w:rPr>
                <w:sz w:val="20"/>
              </w:rPr>
              <w:t xml:space="preserve">ption </w:t>
            </w:r>
            <w:r w:rsidR="007313B1">
              <w:rPr>
                <w:sz w:val="20"/>
              </w:rPr>
              <w:t>4</w:t>
            </w:r>
            <w:r w:rsidR="00053D5C">
              <w:rPr>
                <w:sz w:val="20"/>
              </w:rPr>
              <w:t xml:space="preserve"> </w:t>
            </w:r>
            <w:proofErr w:type="gramStart"/>
            <w:r w:rsidR="00053D5C">
              <w:rPr>
                <w:sz w:val="20"/>
              </w:rPr>
              <w:t>is considered to be</w:t>
            </w:r>
            <w:proofErr w:type="gramEnd"/>
            <w:r w:rsidR="00053D5C">
              <w:rPr>
                <w:sz w:val="20"/>
              </w:rPr>
              <w:t xml:space="preserve"> </w:t>
            </w:r>
            <w:r>
              <w:rPr>
                <w:sz w:val="20"/>
              </w:rPr>
              <w:t>an efficient way to achieve the objective</w:t>
            </w:r>
            <w:r w:rsidR="00D11E8B">
              <w:rPr>
                <w:sz w:val="20"/>
              </w:rPr>
              <w:t>s</w:t>
            </w:r>
            <w:r>
              <w:rPr>
                <w:sz w:val="20"/>
              </w:rPr>
              <w:t xml:space="preserve"> as it provides a targeted set of directions for how the objective</w:t>
            </w:r>
            <w:r w:rsidR="007313B1">
              <w:rPr>
                <w:sz w:val="20"/>
              </w:rPr>
              <w:t>s are</w:t>
            </w:r>
            <w:r>
              <w:rPr>
                <w:sz w:val="20"/>
              </w:rPr>
              <w:t xml:space="preserve"> to be achieved</w:t>
            </w:r>
            <w:r w:rsidR="00BA65C8">
              <w:rPr>
                <w:sz w:val="20"/>
              </w:rPr>
              <w:t xml:space="preserve"> </w:t>
            </w:r>
            <w:r w:rsidR="00D23F45">
              <w:rPr>
                <w:sz w:val="20"/>
              </w:rPr>
              <w:t>to achieve the purpose of the Act.</w:t>
            </w:r>
            <w:r w:rsidR="00D11E8B">
              <w:rPr>
                <w:sz w:val="20"/>
              </w:rPr>
              <w:t xml:space="preserve"> </w:t>
            </w:r>
            <w:r w:rsidR="003E5B39">
              <w:rPr>
                <w:sz w:val="20"/>
              </w:rPr>
              <w:t xml:space="preserve">The policies and methods are clear and specific about the actions required to achieve </w:t>
            </w:r>
            <w:proofErr w:type="gramStart"/>
            <w:r w:rsidR="003E5B39">
              <w:rPr>
                <w:sz w:val="20"/>
              </w:rPr>
              <w:t>particular outcomes</w:t>
            </w:r>
            <w:proofErr w:type="gramEnd"/>
            <w:r w:rsidR="003E5B39">
              <w:rPr>
                <w:sz w:val="20"/>
              </w:rPr>
              <w:t xml:space="preserve"> and the methods </w:t>
            </w:r>
            <w:r w:rsidR="00BA65C8">
              <w:rPr>
                <w:sz w:val="20"/>
              </w:rPr>
              <w:t xml:space="preserve">clarify the roles and responsibilities of local authorities. </w:t>
            </w:r>
            <w:r w:rsidR="004F55FC">
              <w:rPr>
                <w:sz w:val="20"/>
              </w:rPr>
              <w:t>This reduces uncertainty and potential duplication of effort.</w:t>
            </w:r>
            <w:r w:rsidR="00B107CB">
              <w:rPr>
                <w:sz w:val="20"/>
              </w:rPr>
              <w:t xml:space="preserve"> </w:t>
            </w:r>
            <w:proofErr w:type="gramStart"/>
            <w:r w:rsidR="00B107CB">
              <w:rPr>
                <w:sz w:val="20"/>
              </w:rPr>
              <w:t>In particular, Option</w:t>
            </w:r>
            <w:proofErr w:type="gramEnd"/>
            <w:r w:rsidR="00B107CB">
              <w:rPr>
                <w:sz w:val="20"/>
              </w:rPr>
              <w:t xml:space="preserve"> </w:t>
            </w:r>
            <w:r w:rsidR="007313B1">
              <w:rPr>
                <w:sz w:val="20"/>
              </w:rPr>
              <w:t>4</w:t>
            </w:r>
            <w:r w:rsidR="00B107CB">
              <w:rPr>
                <w:sz w:val="20"/>
              </w:rPr>
              <w:t xml:space="preserve"> includes </w:t>
            </w:r>
            <w:r w:rsidR="0093514A">
              <w:rPr>
                <w:sz w:val="20"/>
              </w:rPr>
              <w:t>clearly differentiated management of significant natural areas and non-significant areas</w:t>
            </w:r>
            <w:r w:rsidR="00E95F33">
              <w:rPr>
                <w:sz w:val="20"/>
              </w:rPr>
              <w:t xml:space="preserve">, recognising the different requirements in sections 6 and 30-31. </w:t>
            </w:r>
            <w:r w:rsidR="007313B1">
              <w:rPr>
                <w:sz w:val="20"/>
              </w:rPr>
              <w:t xml:space="preserve">It also </w:t>
            </w:r>
            <w:r w:rsidR="00DC3309">
              <w:rPr>
                <w:sz w:val="20"/>
              </w:rPr>
              <w:t xml:space="preserve">recognises that some new and existing activities should be provided for within these areas and provides a less stringent effects management response to those. </w:t>
            </w:r>
            <w:r w:rsidR="009A77DB">
              <w:rPr>
                <w:sz w:val="20"/>
              </w:rPr>
              <w:t>While there will be increased costs for landowners and councils in implementing the direction, the</w:t>
            </w:r>
            <w:r w:rsidR="00C37AD4">
              <w:rPr>
                <w:sz w:val="20"/>
              </w:rPr>
              <w:t>re will also be significant</w:t>
            </w:r>
            <w:r w:rsidR="009A77DB">
              <w:rPr>
                <w:sz w:val="20"/>
              </w:rPr>
              <w:t xml:space="preserve"> environmental, </w:t>
            </w:r>
            <w:proofErr w:type="gramStart"/>
            <w:r w:rsidR="009A77DB">
              <w:rPr>
                <w:sz w:val="20"/>
              </w:rPr>
              <w:t>social</w:t>
            </w:r>
            <w:proofErr w:type="gramEnd"/>
            <w:r w:rsidR="009A77DB">
              <w:rPr>
                <w:sz w:val="20"/>
              </w:rPr>
              <w:t xml:space="preserve"> and cultural benefits</w:t>
            </w:r>
            <w:r w:rsidR="00C37AD4">
              <w:rPr>
                <w:sz w:val="20"/>
              </w:rPr>
              <w:t xml:space="preserve">. For this reason, Option </w:t>
            </w:r>
            <w:r w:rsidR="00DC3309">
              <w:rPr>
                <w:sz w:val="20"/>
              </w:rPr>
              <w:t>4</w:t>
            </w:r>
            <w:r w:rsidR="00C37AD4">
              <w:rPr>
                <w:sz w:val="20"/>
              </w:rPr>
              <w:t xml:space="preserve"> </w:t>
            </w:r>
            <w:proofErr w:type="gramStart"/>
            <w:r w:rsidR="00C37AD4">
              <w:rPr>
                <w:sz w:val="20"/>
              </w:rPr>
              <w:t>is considered to be</w:t>
            </w:r>
            <w:proofErr w:type="gramEnd"/>
            <w:r w:rsidR="00C37AD4">
              <w:rPr>
                <w:sz w:val="20"/>
              </w:rPr>
              <w:t xml:space="preserve"> efficient.</w:t>
            </w:r>
          </w:p>
        </w:tc>
      </w:tr>
      <w:tr w:rsidR="00E9552F" w:rsidRPr="00C767B5" w14:paraId="4478A189"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204D318" w14:textId="77777777" w:rsidR="00E9552F" w:rsidRPr="00C767B5" w:rsidRDefault="00E9552F" w:rsidP="00424DBB">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1E231F68" w14:textId="6ADC75DA" w:rsidR="00E9552F" w:rsidRPr="00C767B5" w:rsidRDefault="00812949" w:rsidP="00424DBB">
            <w:pPr>
              <w:jc w:val="both"/>
              <w:rPr>
                <w:sz w:val="20"/>
              </w:rPr>
            </w:pPr>
            <w:r>
              <w:rPr>
                <w:sz w:val="20"/>
              </w:rPr>
              <w:t xml:space="preserve">Option </w:t>
            </w:r>
            <w:r w:rsidR="00DC3309">
              <w:rPr>
                <w:sz w:val="20"/>
              </w:rPr>
              <w:t>4</w:t>
            </w:r>
            <w:r>
              <w:rPr>
                <w:sz w:val="20"/>
              </w:rPr>
              <w:t xml:space="preserve"> is more effective at meeting the objective</w:t>
            </w:r>
            <w:r w:rsidR="00651201">
              <w:rPr>
                <w:sz w:val="20"/>
              </w:rPr>
              <w:t>s</w:t>
            </w:r>
            <w:r>
              <w:rPr>
                <w:sz w:val="20"/>
              </w:rPr>
              <w:t xml:space="preserve"> </w:t>
            </w:r>
            <w:r w:rsidR="009B69DD">
              <w:rPr>
                <w:sz w:val="20"/>
              </w:rPr>
              <w:t xml:space="preserve">compared to the </w:t>
            </w:r>
            <w:r w:rsidR="00DC3309">
              <w:rPr>
                <w:sz w:val="20"/>
              </w:rPr>
              <w:t>other options</w:t>
            </w:r>
            <w:r w:rsidR="009B69DD">
              <w:rPr>
                <w:sz w:val="20"/>
              </w:rPr>
              <w:t xml:space="preserve"> </w:t>
            </w:r>
            <w:r>
              <w:rPr>
                <w:sz w:val="20"/>
              </w:rPr>
              <w:t xml:space="preserve">as the provisions </w:t>
            </w:r>
            <w:r w:rsidR="00923432">
              <w:rPr>
                <w:sz w:val="20"/>
              </w:rPr>
              <w:t xml:space="preserve">provide a clear </w:t>
            </w:r>
            <w:r w:rsidR="00E31EA2">
              <w:rPr>
                <w:sz w:val="20"/>
              </w:rPr>
              <w:t>and centralised set of directions</w:t>
            </w:r>
            <w:r>
              <w:rPr>
                <w:sz w:val="20"/>
              </w:rPr>
              <w:t xml:space="preserve"> for achieving the objective</w:t>
            </w:r>
            <w:r w:rsidR="00DC3309">
              <w:rPr>
                <w:sz w:val="20"/>
              </w:rPr>
              <w:t xml:space="preserve"> and there is certainty about how they are to be implemented</w:t>
            </w:r>
            <w:r>
              <w:rPr>
                <w:sz w:val="20"/>
              </w:rPr>
              <w:t>.</w:t>
            </w:r>
            <w:r w:rsidR="0036635A">
              <w:rPr>
                <w:sz w:val="20"/>
              </w:rPr>
              <w:t xml:space="preserve"> </w:t>
            </w:r>
            <w:r w:rsidR="004F74FB">
              <w:rPr>
                <w:sz w:val="20"/>
              </w:rPr>
              <w:t>Overall, there is an increase in the stringency of the management response compared to the status quo which is likely to deliver better</w:t>
            </w:r>
            <w:r w:rsidR="002E1BC6">
              <w:rPr>
                <w:sz w:val="20"/>
              </w:rPr>
              <w:t xml:space="preserve"> environmental, </w:t>
            </w:r>
            <w:proofErr w:type="gramStart"/>
            <w:r w:rsidR="002E1BC6">
              <w:rPr>
                <w:sz w:val="20"/>
              </w:rPr>
              <w:t>social</w:t>
            </w:r>
            <w:proofErr w:type="gramEnd"/>
            <w:r w:rsidR="002E1BC6">
              <w:rPr>
                <w:sz w:val="20"/>
              </w:rPr>
              <w:t xml:space="preserve"> and cultural</w:t>
            </w:r>
            <w:r w:rsidR="004F74FB">
              <w:rPr>
                <w:sz w:val="20"/>
              </w:rPr>
              <w:t xml:space="preserve"> outcomes</w:t>
            </w:r>
            <w:r w:rsidR="00DC3309">
              <w:rPr>
                <w:sz w:val="20"/>
              </w:rPr>
              <w:t xml:space="preserve"> than are currently occurring in a way that is more effective than the other options considered</w:t>
            </w:r>
            <w:r w:rsidR="004F74FB">
              <w:rPr>
                <w:sz w:val="20"/>
              </w:rPr>
              <w:t xml:space="preserve">. </w:t>
            </w:r>
            <w:r w:rsidR="00F707F8">
              <w:rPr>
                <w:sz w:val="20"/>
              </w:rPr>
              <w:t xml:space="preserve">There is also improved clarity about the actions required to be implemented, particularly in RMA decision-making. </w:t>
            </w:r>
          </w:p>
        </w:tc>
      </w:tr>
    </w:tbl>
    <w:p w14:paraId="5D62DFA4" w14:textId="77777777" w:rsidR="00E9552F" w:rsidRDefault="00E9552F" w:rsidP="0082271A">
      <w:pPr>
        <w:pStyle w:val="Heading3"/>
      </w:pPr>
      <w:r>
        <w:lastRenderedPageBreak/>
        <w:t>Risk of acting or not acting</w:t>
      </w:r>
    </w:p>
    <w:p w14:paraId="1286193A" w14:textId="2EE31E31" w:rsidR="00AA73D5" w:rsidRPr="0021460D" w:rsidRDefault="00E9552F"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AA73D5">
        <w:t xml:space="preserve"> </w:t>
      </w:r>
      <w:r w:rsidR="009858C4">
        <w:t xml:space="preserve">In this case, </w:t>
      </w:r>
      <w:r w:rsidR="002E1BC6">
        <w:t xml:space="preserve">there has historically been a lack of </w:t>
      </w:r>
      <w:r w:rsidR="009858C4">
        <w:t xml:space="preserve">information </w:t>
      </w:r>
      <w:r w:rsidR="002E1BC6">
        <w:t xml:space="preserve">available </w:t>
      </w:r>
      <w:r w:rsidR="009858C4">
        <w:t xml:space="preserve">about Otago’s ecosystems and indigenous biodiversity. </w:t>
      </w:r>
      <w:r w:rsidR="002E1BC6">
        <w:t xml:space="preserve">This has recently begun to be addressed through </w:t>
      </w:r>
      <w:r w:rsidR="00547F19">
        <w:t>the TAs developing new district plans addressing biodiversity within their jurisdictions</w:t>
      </w:r>
      <w:r w:rsidR="00C22F6A">
        <w:t xml:space="preserve"> and by ecological work commissioned by ORC</w:t>
      </w:r>
      <w:r w:rsidR="00547F19">
        <w:t xml:space="preserve">. </w:t>
      </w:r>
      <w:r w:rsidR="004E5C77">
        <w:t xml:space="preserve">The risk of not acting is that biodiversity loss continues to occur, which would not achieve the purpose of the RMA or implement </w:t>
      </w:r>
      <w:r w:rsidR="00A54055">
        <w:t>national direction, including the NPSFM</w:t>
      </w:r>
      <w:r w:rsidR="004E5C77">
        <w:t xml:space="preserve">. As the level of uncertainty is </w:t>
      </w:r>
      <w:proofErr w:type="gramStart"/>
      <w:r w:rsidR="004E5C77">
        <w:t>similar to</w:t>
      </w:r>
      <w:proofErr w:type="gramEnd"/>
      <w:r w:rsidR="004E5C77">
        <w:t xml:space="preserve"> that under the status quo, </w:t>
      </w:r>
      <w:r w:rsidR="00BE6873">
        <w:t>and less than options 2 and 3,</w:t>
      </w:r>
      <w:r w:rsidR="004E5C77">
        <w:t xml:space="preserve"> the provisions in </w:t>
      </w:r>
      <w:r w:rsidR="00AA73D5">
        <w:t xml:space="preserve">option </w:t>
      </w:r>
      <w:r w:rsidR="00BE6873">
        <w:t>4</w:t>
      </w:r>
      <w:r w:rsidR="00AA73D5">
        <w:t xml:space="preserve"> are considered to be more efficient and effective in achieving the objectives, it is appropriate to act.</w:t>
      </w:r>
    </w:p>
    <w:p w14:paraId="3ADC4B60" w14:textId="27E22B61" w:rsidR="00E9552F" w:rsidRDefault="00E9552F" w:rsidP="0082271A">
      <w:pPr>
        <w:pStyle w:val="Heading3"/>
      </w:pPr>
      <w:r>
        <w:t>Conclusion</w:t>
      </w:r>
    </w:p>
    <w:p w14:paraId="46AC1B11" w14:textId="2590825E" w:rsidR="00CC2712" w:rsidRDefault="008B4A36" w:rsidP="00A247C5">
      <w:pPr>
        <w:pStyle w:val="Normal2"/>
      </w:pPr>
      <w:r>
        <w:t>The</w:t>
      </w:r>
      <w:r w:rsidR="004E5C77">
        <w:t xml:space="preserve"> proposed policy approach in the PORPS 2021 recognises that significant loss of biodiversity has occurred in Otago and continues to occur</w:t>
      </w:r>
      <w:r>
        <w:t>, warranting a stronger approach to region-wide biodiversity management</w:t>
      </w:r>
      <w:r w:rsidR="00E049ED">
        <w:t xml:space="preserve"> than the status quo</w:t>
      </w:r>
      <w:r>
        <w:t xml:space="preserve">. It also responds to a shift in national policy, which </w:t>
      </w:r>
      <w:r w:rsidR="00BD53C6">
        <w:t xml:space="preserve">is directing considerably strengthened protection for some areas and improved management of others. While broadly the </w:t>
      </w:r>
      <w:r w:rsidR="00982181">
        <w:t xml:space="preserve">policy intent is not dissimilar to the PORPS 2019, option </w:t>
      </w:r>
      <w:r w:rsidR="00BE6873">
        <w:t>4</w:t>
      </w:r>
      <w:r w:rsidR="00982181">
        <w:t xml:space="preserve"> contains </w:t>
      </w:r>
      <w:r w:rsidR="00D719FA">
        <w:t xml:space="preserve">greater clarity and specification which will assist local authorities </w:t>
      </w:r>
      <w:proofErr w:type="gramStart"/>
      <w:r w:rsidR="00D719FA">
        <w:t>in particular to</w:t>
      </w:r>
      <w:proofErr w:type="gramEnd"/>
      <w:r w:rsidR="00D719FA">
        <w:t xml:space="preserve"> understand their obligations and implement them. </w:t>
      </w:r>
      <w:r w:rsidR="00CC2712">
        <w:t>T</w:t>
      </w:r>
      <w:r w:rsidR="00C6187B">
        <w:t xml:space="preserve">here will inevitably be </w:t>
      </w:r>
      <w:r w:rsidR="00780189">
        <w:t xml:space="preserve">unquantifiable </w:t>
      </w:r>
      <w:r w:rsidR="00CC2712">
        <w:t>economic</w:t>
      </w:r>
      <w:r w:rsidR="00780189">
        <w:t xml:space="preserve"> and </w:t>
      </w:r>
      <w:r w:rsidR="00CC2712">
        <w:t>social</w:t>
      </w:r>
      <w:r w:rsidR="00780189">
        <w:t xml:space="preserve"> costs</w:t>
      </w:r>
      <w:r w:rsidR="00CC2712">
        <w:t xml:space="preserve"> largely </w:t>
      </w:r>
      <w:proofErr w:type="gramStart"/>
      <w:r w:rsidR="00CC2712">
        <w:t>as a result of</w:t>
      </w:r>
      <w:proofErr w:type="gramEnd"/>
      <w:r w:rsidR="00CC2712">
        <w:t xml:space="preserve"> restrictions on uses of resources. However, there will also be environmental and cultural benefits</w:t>
      </w:r>
      <w:r w:rsidR="00761AA9">
        <w:t>.</w:t>
      </w:r>
      <w:r w:rsidR="00D719FA">
        <w:t xml:space="preserve"> </w:t>
      </w:r>
      <w:r w:rsidR="00CC2712">
        <w:t xml:space="preserve">Feedback from the community during the development of the PORPS 2021 indicated support for strengthening management of indigenous biodiversity and a desire not only to halt current decline but seek an increase in indigenous biodiversity quality and extent across the region. </w:t>
      </w:r>
    </w:p>
    <w:p w14:paraId="5A912BAE" w14:textId="390AC08B" w:rsidR="00E20D7A" w:rsidRDefault="00D719FA" w:rsidP="00A247C5">
      <w:pPr>
        <w:pStyle w:val="Normal2"/>
      </w:pPr>
      <w:r>
        <w:t xml:space="preserve">Overall, the PORPS 2021 provisions are generally more efficient than the </w:t>
      </w:r>
      <w:r w:rsidR="00BE6873">
        <w:t>other options</w:t>
      </w:r>
      <w:r>
        <w:t xml:space="preserve"> and more effective at achieving the objectives of the PORPS 2021</w:t>
      </w:r>
      <w:r w:rsidR="00CC2712">
        <w:t xml:space="preserve"> because of the environmental and cultural benefits they will deliver. The costs are considered justified in this context</w:t>
      </w:r>
      <w:r w:rsidR="0027767E">
        <w:t>, particularly as further inaction risks further biodiversity loss</w:t>
      </w:r>
      <w:r>
        <w:t xml:space="preserve">.  </w:t>
      </w:r>
    </w:p>
    <w:p w14:paraId="33EA98A6" w14:textId="77777777" w:rsidR="00E20D7A" w:rsidRDefault="00E20D7A">
      <w:r>
        <w:br w:type="page"/>
      </w:r>
    </w:p>
    <w:p w14:paraId="379AD2D0" w14:textId="753445B0" w:rsidR="00E20D7A" w:rsidRDefault="00A97861" w:rsidP="00CB405E">
      <w:pPr>
        <w:pStyle w:val="Heading2"/>
      </w:pPr>
      <w:bookmarkStart w:id="102" w:name="_Toc72507642"/>
      <w:bookmarkStart w:id="103" w:name="_Ref73023896"/>
      <w:r>
        <w:lastRenderedPageBreak/>
        <w:t xml:space="preserve">EIT – </w:t>
      </w:r>
      <w:r w:rsidR="00E20D7A">
        <w:t>Energy, infrastructure, and transport</w:t>
      </w:r>
      <w:bookmarkEnd w:id="102"/>
      <w:bookmarkEnd w:id="103"/>
    </w:p>
    <w:p w14:paraId="237CF61B" w14:textId="77777777" w:rsidR="00E20D7A" w:rsidRPr="00964FE1" w:rsidRDefault="00E20D7A" w:rsidP="00A247C5">
      <w:pPr>
        <w:pStyle w:val="Normal2"/>
      </w:pPr>
      <w:r>
        <w:t xml:space="preserve">The Otago region includes nationally and regionally significant renewable energy resources, </w:t>
      </w:r>
      <w:proofErr w:type="gramStart"/>
      <w:r>
        <w:t>infrastructure</w:t>
      </w:r>
      <w:proofErr w:type="gramEnd"/>
      <w:r>
        <w:t xml:space="preserve"> and transport networks. There are overlapping responsibilities between regional and district councils for managing the effects from energy, infrastructure, and transport networks under the RMA. In addition, there is a suite of regulations under several other statutes which interface with RMA functions. Many of the energy, transport and infrastructure matters also traverse the coastal environment, both within the coastal marine area and adjacent to </w:t>
      </w:r>
      <w:proofErr w:type="gramStart"/>
      <w:r>
        <w:t>it, and</w:t>
      </w:r>
      <w:proofErr w:type="gramEnd"/>
      <w:r>
        <w:t xml:space="preserve"> interact with urban form and development.  This complexity means that it is important the region has a clearly articulated approach to managing these activities and their environmental effects, as well as effects on the operation of them.</w:t>
      </w:r>
    </w:p>
    <w:p w14:paraId="0BFA2681" w14:textId="6B8A0C69" w:rsidR="00E20D7A" w:rsidRDefault="00E20D7A" w:rsidP="00A247C5">
      <w:pPr>
        <w:pStyle w:val="Normal2"/>
      </w:pPr>
      <w:r>
        <w:t>This section of the report assesses the provisions proposed in the PORPS 2021 related to energy, infrastructure, and transport. The three topics are contained in one chapter of the PORPS 2021. Each topic then has its own sub-section within the chapter that contains objectives, policies, and methods. This evaluation assesses the three topics separately.</w:t>
      </w:r>
    </w:p>
    <w:p w14:paraId="16A3DB4A" w14:textId="5D59C92B" w:rsidR="00E20D7A" w:rsidRDefault="00A97861" w:rsidP="0082271A">
      <w:pPr>
        <w:pStyle w:val="Heading3"/>
      </w:pPr>
      <w:bookmarkStart w:id="104" w:name="_Ref72670442"/>
      <w:r>
        <w:t xml:space="preserve">EIT–EN – </w:t>
      </w:r>
      <w:r w:rsidR="00E20D7A">
        <w:t>Energy</w:t>
      </w:r>
      <w:bookmarkEnd w:id="104"/>
    </w:p>
    <w:p w14:paraId="272050BE" w14:textId="77777777" w:rsidR="00E20D7A" w:rsidRDefault="00E20D7A" w:rsidP="00DE069C">
      <w:pPr>
        <w:pStyle w:val="Heading4"/>
      </w:pPr>
      <w:r>
        <w:t>Introduction</w:t>
      </w:r>
    </w:p>
    <w:p w14:paraId="09661CBB" w14:textId="26A22E59" w:rsidR="00953637" w:rsidRDefault="00E20D7A" w:rsidP="00A247C5">
      <w:pPr>
        <w:pStyle w:val="Normal2"/>
      </w:pPr>
      <w:r>
        <w:t xml:space="preserve">The Otago region contributes significantly to New Zealand’s renewable electricity generation through hydro dams on the Clutha and the </w:t>
      </w:r>
      <w:proofErr w:type="spellStart"/>
      <w:r>
        <w:t>Waipori</w:t>
      </w:r>
      <w:proofErr w:type="spellEnd"/>
      <w:r>
        <w:t xml:space="preserve"> rivers and the </w:t>
      </w:r>
      <w:proofErr w:type="spellStart"/>
      <w:r>
        <w:t>Mahinerangi</w:t>
      </w:r>
      <w:proofErr w:type="spellEnd"/>
      <w:r>
        <w:t xml:space="preserve"> wind farm. The Otago region also has potential for additional renewable e</w:t>
      </w:r>
      <w:r w:rsidR="00606949">
        <w:t>lectricity</w:t>
      </w:r>
      <w:r>
        <w:t xml:space="preserve"> generation</w:t>
      </w:r>
      <w:r w:rsidR="00606949">
        <w:t xml:space="preserve"> from a variety of sources, including solar, wind, hydro and biomass.  There are no known geothermal resources, however at a smaller scale it is possible to utilise ground based </w:t>
      </w:r>
      <w:proofErr w:type="spellStart"/>
      <w:r w:rsidR="00606949">
        <w:t>heatpump</w:t>
      </w:r>
      <w:proofErr w:type="spellEnd"/>
      <w:r w:rsidR="00606949">
        <w:t xml:space="preserve"> systems for heating, using stored heat in the earth.</w:t>
      </w:r>
      <w:r w:rsidR="00651201">
        <w:t xml:space="preserve"> </w:t>
      </w:r>
    </w:p>
    <w:p w14:paraId="1DC65EF8" w14:textId="21A671BD" w:rsidR="00E20D7A" w:rsidRDefault="00E20D7A" w:rsidP="00A247C5">
      <w:pPr>
        <w:pStyle w:val="Normal2"/>
      </w:pPr>
      <w:r>
        <w:t xml:space="preserve">The purpose of this section of the report is to recognise the issues associated with energy in Otago. This is limited to the generation and use of energy and does not address issues associated with electricity transmission activities which are addressed under the infrastructure section. </w:t>
      </w:r>
    </w:p>
    <w:p w14:paraId="5E3610AE" w14:textId="77777777" w:rsidR="00E20D7A" w:rsidRDefault="00E20D7A" w:rsidP="00A247C5">
      <w:pPr>
        <w:pStyle w:val="Normal2"/>
      </w:pPr>
      <w:r>
        <w:t>The relevant provisions for this section are:</w:t>
      </w:r>
    </w:p>
    <w:p w14:paraId="14F08760" w14:textId="112A6FB6" w:rsidR="00E20D7A" w:rsidRPr="00572290" w:rsidRDefault="00E20D7A" w:rsidP="00A247C5">
      <w:pPr>
        <w:pStyle w:val="Normal3"/>
      </w:pPr>
      <w:r>
        <w:t>EIT</w:t>
      </w:r>
      <w:r w:rsidR="00651201">
        <w:t>–</w:t>
      </w:r>
      <w:r>
        <w:t>EN</w:t>
      </w:r>
      <w:r w:rsidR="00651201">
        <w:t>–</w:t>
      </w:r>
      <w:r w:rsidR="00325452">
        <w:t xml:space="preserve">O1 </w:t>
      </w:r>
      <w:r>
        <w:t>– Energy and social and economic wellbeing</w:t>
      </w:r>
    </w:p>
    <w:p w14:paraId="6A8630EF" w14:textId="0A3A0BA9" w:rsidR="00E20D7A" w:rsidRPr="00572290" w:rsidRDefault="00E20D7A" w:rsidP="00A247C5">
      <w:pPr>
        <w:pStyle w:val="Normal3"/>
      </w:pPr>
      <w:r>
        <w:t>EIT</w:t>
      </w:r>
      <w:r w:rsidR="00651201">
        <w:t>–</w:t>
      </w:r>
      <w:r>
        <w:t>EN</w:t>
      </w:r>
      <w:r w:rsidR="00651201">
        <w:t>–</w:t>
      </w:r>
      <w:r w:rsidR="00325452">
        <w:t xml:space="preserve">O2 </w:t>
      </w:r>
      <w:r>
        <w:t xml:space="preserve">– Renewable energy </w:t>
      </w:r>
      <w:r w:rsidR="00325452">
        <w:t xml:space="preserve">electricity </w:t>
      </w:r>
      <w:r>
        <w:t>generation</w:t>
      </w:r>
    </w:p>
    <w:p w14:paraId="39103078" w14:textId="5D40120F" w:rsidR="00E20D7A" w:rsidRPr="00572290" w:rsidRDefault="00E20D7A" w:rsidP="00A247C5">
      <w:pPr>
        <w:pStyle w:val="Normal3"/>
      </w:pPr>
      <w:r>
        <w:t>EIT</w:t>
      </w:r>
      <w:r w:rsidR="00651201">
        <w:t>–</w:t>
      </w:r>
      <w:r>
        <w:t>EN</w:t>
      </w:r>
      <w:r w:rsidR="00651201">
        <w:t>–</w:t>
      </w:r>
      <w:r w:rsidR="00325452">
        <w:t xml:space="preserve">O3 </w:t>
      </w:r>
      <w:r>
        <w:t>– Energy use</w:t>
      </w:r>
    </w:p>
    <w:p w14:paraId="3D2037CC" w14:textId="6CAF8737" w:rsidR="00E20D7A" w:rsidRPr="00572290" w:rsidRDefault="00E20D7A" w:rsidP="00A247C5">
      <w:pPr>
        <w:pStyle w:val="Normal3"/>
      </w:pPr>
      <w:r>
        <w:t>EIT</w:t>
      </w:r>
      <w:r w:rsidR="00651201">
        <w:t>–</w:t>
      </w:r>
      <w:r>
        <w:t>EN</w:t>
      </w:r>
      <w:r w:rsidR="00651201">
        <w:t>–</w:t>
      </w:r>
      <w:r>
        <w:t>P1 – Operation and maintenance</w:t>
      </w:r>
    </w:p>
    <w:p w14:paraId="18095C89" w14:textId="48E93FFB" w:rsidR="00E20D7A" w:rsidRPr="00572290" w:rsidRDefault="00E20D7A" w:rsidP="00A247C5">
      <w:pPr>
        <w:pStyle w:val="Normal3"/>
      </w:pPr>
      <w:r>
        <w:t>EIT</w:t>
      </w:r>
      <w:r w:rsidR="00651201">
        <w:t>–</w:t>
      </w:r>
      <w:r>
        <w:t>EN</w:t>
      </w:r>
      <w:r w:rsidR="00651201">
        <w:t>–</w:t>
      </w:r>
      <w:r>
        <w:t>P2 – Recognising renewable electricity generation activities in decision making</w:t>
      </w:r>
    </w:p>
    <w:p w14:paraId="3A2FBBED" w14:textId="0AF8282D" w:rsidR="00E20D7A" w:rsidRPr="00572290" w:rsidRDefault="00E20D7A" w:rsidP="00A247C5">
      <w:pPr>
        <w:pStyle w:val="Normal3"/>
      </w:pPr>
      <w:r>
        <w:t>EIT</w:t>
      </w:r>
      <w:r w:rsidR="00651201">
        <w:t>–</w:t>
      </w:r>
      <w:r>
        <w:t>EN</w:t>
      </w:r>
      <w:r w:rsidR="00651201">
        <w:t>–</w:t>
      </w:r>
      <w:r>
        <w:t>P3 – Development and upgrade of renewable electricity generation activities</w:t>
      </w:r>
    </w:p>
    <w:p w14:paraId="544949DD" w14:textId="5D5EB1CF" w:rsidR="00E20D7A" w:rsidRPr="00572290" w:rsidRDefault="00E20D7A" w:rsidP="00A247C5">
      <w:pPr>
        <w:pStyle w:val="Normal3"/>
      </w:pPr>
      <w:r>
        <w:t>EIT</w:t>
      </w:r>
      <w:r w:rsidR="00651201">
        <w:t>–</w:t>
      </w:r>
      <w:r>
        <w:t>EN</w:t>
      </w:r>
      <w:r w:rsidR="00651201">
        <w:t>–</w:t>
      </w:r>
      <w:r>
        <w:t>P4 – Identifying new sites or resources</w:t>
      </w:r>
    </w:p>
    <w:p w14:paraId="1AA38A2A" w14:textId="049B6159" w:rsidR="00E20D7A" w:rsidRPr="00572290" w:rsidRDefault="00E20D7A" w:rsidP="00A247C5">
      <w:pPr>
        <w:pStyle w:val="Normal3"/>
      </w:pPr>
      <w:r>
        <w:t>EIT</w:t>
      </w:r>
      <w:r w:rsidR="00651201">
        <w:t>–</w:t>
      </w:r>
      <w:r>
        <w:t>EN</w:t>
      </w:r>
      <w:r w:rsidR="00651201">
        <w:t>–</w:t>
      </w:r>
      <w:r>
        <w:t>P5 – Non-renewable energy generation</w:t>
      </w:r>
    </w:p>
    <w:p w14:paraId="0EF82FCC" w14:textId="55F9FC89" w:rsidR="00E20D7A" w:rsidRPr="00572290" w:rsidRDefault="00E20D7A" w:rsidP="00A247C5">
      <w:pPr>
        <w:pStyle w:val="Normal3"/>
      </w:pPr>
      <w:r>
        <w:t>EIT</w:t>
      </w:r>
      <w:r w:rsidR="00651201">
        <w:t>–</w:t>
      </w:r>
      <w:r>
        <w:t>EN</w:t>
      </w:r>
      <w:r w:rsidR="00651201">
        <w:t>–</w:t>
      </w:r>
      <w:r>
        <w:t>P6 – Managing effects</w:t>
      </w:r>
    </w:p>
    <w:p w14:paraId="624E63F9" w14:textId="5B3ED4C6" w:rsidR="00E20D7A" w:rsidRPr="00572290" w:rsidRDefault="00E20D7A" w:rsidP="00A247C5">
      <w:pPr>
        <w:pStyle w:val="Normal3"/>
      </w:pPr>
      <w:r>
        <w:t>EIT</w:t>
      </w:r>
      <w:r w:rsidR="00651201">
        <w:t>–</w:t>
      </w:r>
      <w:r>
        <w:t>EN</w:t>
      </w:r>
      <w:r w:rsidR="00651201">
        <w:t>–</w:t>
      </w:r>
      <w:r>
        <w:t>P7 – Reverse sensitivity</w:t>
      </w:r>
    </w:p>
    <w:p w14:paraId="745E3081" w14:textId="0C32F775" w:rsidR="00E20D7A" w:rsidRPr="00572290" w:rsidRDefault="00E20D7A" w:rsidP="00A247C5">
      <w:pPr>
        <w:pStyle w:val="Normal3"/>
      </w:pPr>
      <w:r>
        <w:t>EIT</w:t>
      </w:r>
      <w:r w:rsidR="00651201">
        <w:t>–</w:t>
      </w:r>
      <w:r>
        <w:t>EN</w:t>
      </w:r>
      <w:r w:rsidR="00651201">
        <w:t>–</w:t>
      </w:r>
      <w:r>
        <w:t>P8 – Small and community scale distributed electricity generation</w:t>
      </w:r>
    </w:p>
    <w:p w14:paraId="5C77B807" w14:textId="0E8BC628" w:rsidR="00E20D7A" w:rsidRPr="00572290" w:rsidRDefault="00E20D7A" w:rsidP="00A247C5">
      <w:pPr>
        <w:pStyle w:val="Normal3"/>
      </w:pPr>
      <w:r>
        <w:t>EIT</w:t>
      </w:r>
      <w:r w:rsidR="00651201">
        <w:t>–</w:t>
      </w:r>
      <w:r>
        <w:t>EN</w:t>
      </w:r>
      <w:r w:rsidR="00651201">
        <w:t>–</w:t>
      </w:r>
      <w:r>
        <w:t>P9 – Energy conservation and efficiency</w:t>
      </w:r>
    </w:p>
    <w:p w14:paraId="77DBC56C" w14:textId="0E92F222" w:rsidR="00E20D7A" w:rsidRPr="00572290" w:rsidRDefault="00E20D7A" w:rsidP="00A247C5">
      <w:pPr>
        <w:pStyle w:val="Normal3"/>
      </w:pPr>
      <w:r>
        <w:t>EIT</w:t>
      </w:r>
      <w:r w:rsidR="00651201">
        <w:t>–</w:t>
      </w:r>
      <w:r>
        <w:t>EN</w:t>
      </w:r>
      <w:r w:rsidR="00651201">
        <w:t>–</w:t>
      </w:r>
      <w:r>
        <w:t>M1 – Regional plans</w:t>
      </w:r>
    </w:p>
    <w:p w14:paraId="4531BB1E" w14:textId="7754891B" w:rsidR="00E20D7A" w:rsidRPr="00572290" w:rsidRDefault="00E20D7A" w:rsidP="00A247C5">
      <w:pPr>
        <w:pStyle w:val="Normal3"/>
      </w:pPr>
      <w:r>
        <w:t>EIT</w:t>
      </w:r>
      <w:r w:rsidR="00651201">
        <w:t>–</w:t>
      </w:r>
      <w:r>
        <w:t>EN</w:t>
      </w:r>
      <w:r w:rsidR="00651201">
        <w:t>–</w:t>
      </w:r>
      <w:r>
        <w:t>M2 – District plans</w:t>
      </w:r>
    </w:p>
    <w:p w14:paraId="1FE4438B" w14:textId="679F9925" w:rsidR="00E20D7A" w:rsidRDefault="00E20D7A" w:rsidP="00A247C5">
      <w:pPr>
        <w:pStyle w:val="Normal3"/>
      </w:pPr>
      <w:r>
        <w:t>EIT</w:t>
      </w:r>
      <w:r w:rsidR="00651201">
        <w:t>–</w:t>
      </w:r>
      <w:r>
        <w:t>EN</w:t>
      </w:r>
      <w:r w:rsidR="00651201">
        <w:t>–</w:t>
      </w:r>
      <w:r>
        <w:t>M3 – Education and information</w:t>
      </w:r>
    </w:p>
    <w:p w14:paraId="12FFF694" w14:textId="77777777" w:rsidR="00E20D7A" w:rsidRDefault="00E20D7A" w:rsidP="00DE069C">
      <w:pPr>
        <w:pStyle w:val="Heading4"/>
      </w:pPr>
      <w:r>
        <w:lastRenderedPageBreak/>
        <w:t>Current issues</w:t>
      </w:r>
    </w:p>
    <w:p w14:paraId="00A33F65" w14:textId="192D1C62" w:rsidR="00E20D7A" w:rsidRDefault="00E20D7A" w:rsidP="00A247C5">
      <w:pPr>
        <w:pStyle w:val="Normal2"/>
      </w:pPr>
      <w:r>
        <w:t>Energy is critical to enabling the community to provide for their wellbeing and health and safety, and it is essential to the regional economy. However, its generation and use can result in adverse effects, some potentially significant and/or irreversible. The benefits of renewable e</w:t>
      </w:r>
      <w:r w:rsidR="008E012C">
        <w:t>lectricity</w:t>
      </w:r>
      <w:r>
        <w:t xml:space="preserve"> generation to New Zealand and the need to operate, maintain, </w:t>
      </w:r>
      <w:proofErr w:type="gramStart"/>
      <w:r>
        <w:t>develop</w:t>
      </w:r>
      <w:proofErr w:type="gramEnd"/>
      <w:r>
        <w:t xml:space="preserve"> and upgrade these assets are matters of national significance, provided for through the NPSREG. </w:t>
      </w:r>
    </w:p>
    <w:p w14:paraId="11C3BEF1" w14:textId="22562AD0" w:rsidR="00E20D7A" w:rsidRDefault="00E20D7A" w:rsidP="00A247C5">
      <w:pPr>
        <w:pStyle w:val="Normal2"/>
      </w:pPr>
      <w:r>
        <w:t xml:space="preserve">Renewable electricity generation will play a part in New Zealand’s action plan to address climate change, with the Government setting a target for 100% of New Zealand’s electricity to be generated from renewable sources by 2035 </w:t>
      </w:r>
      <w:sdt>
        <w:sdtPr>
          <w:id w:val="-1124620046"/>
          <w:placeholder>
            <w:docPart w:val="DefaultPlaceholder_1081868574"/>
          </w:placeholder>
          <w:citation/>
        </w:sdtPr>
        <w:sdtContent>
          <w:r>
            <w:fldChar w:fldCharType="begin"/>
          </w:r>
          <w:r>
            <w:instrText xml:space="preserve"> CITATION New19 \l 5129 </w:instrText>
          </w:r>
          <w:r>
            <w:fldChar w:fldCharType="separate"/>
          </w:r>
          <w:r>
            <w:rPr>
              <w:noProof/>
            </w:rPr>
            <w:t>(New Zealand Government, 2019)</w:t>
          </w:r>
          <w:r>
            <w:fldChar w:fldCharType="end"/>
          </w:r>
        </w:sdtContent>
      </w:sdt>
      <w:r>
        <w:t xml:space="preserve">. In 2019, 82.4% of New Zealand’s electricity came from renewable energy sources </w:t>
      </w:r>
      <w:sdt>
        <w:sdtPr>
          <w:id w:val="-1088383784"/>
          <w:placeholder>
            <w:docPart w:val="DefaultPlaceholder_1081868574"/>
          </w:placeholder>
          <w:citation/>
        </w:sdtPr>
        <w:sdtContent>
          <w:r>
            <w:fldChar w:fldCharType="begin"/>
          </w:r>
          <w:r>
            <w:instrText xml:space="preserve"> CITATION Min201 \l 5129 </w:instrText>
          </w:r>
          <w:r>
            <w:fldChar w:fldCharType="separate"/>
          </w:r>
          <w:r>
            <w:rPr>
              <w:noProof/>
            </w:rPr>
            <w:t>(Ministry of Business, Innovation &amp; Employment, 2020)</w:t>
          </w:r>
          <w:r>
            <w:fldChar w:fldCharType="end"/>
          </w:r>
        </w:sdtContent>
      </w:sdt>
      <w:r>
        <w:t xml:space="preserve">. This indicates that there will need to be an increase in renewable electricity generation in the coming decades, whether that is through development of existing schemes or establishment of new activities. Given Otago’s natural resources and proximity to National Grid infrastructure, it is likely that some of the opportunities for increased renewable generation will be found in Otago. One recent example is the proposal for a pumped storage scheme at Lake </w:t>
      </w:r>
      <w:proofErr w:type="spellStart"/>
      <w:r>
        <w:t>Onslow</w:t>
      </w:r>
      <w:proofErr w:type="spellEnd"/>
      <w:r>
        <w:t xml:space="preserve"> which would divert water from the Clutha River, already a nationally significant source of </w:t>
      </w:r>
      <w:proofErr w:type="gramStart"/>
      <w:r>
        <w:t>hydro-electricity</w:t>
      </w:r>
      <w:proofErr w:type="gramEnd"/>
      <w:r>
        <w:t xml:space="preserve"> in New Zealand.  </w:t>
      </w:r>
    </w:p>
    <w:p w14:paraId="1D80CE57" w14:textId="77777777" w:rsidR="00E20D7A" w:rsidRDefault="00E20D7A" w:rsidP="00A247C5">
      <w:pPr>
        <w:pStyle w:val="Normal2"/>
      </w:pPr>
      <w:r>
        <w:t xml:space="preserve">Otago’s planning framework must recognise the benefits of renewable electricity generation, including nationally, while also managing the adverse effects of those activities and complying with other national direction. </w:t>
      </w:r>
      <w:proofErr w:type="gramStart"/>
      <w:r>
        <w:t>Hydro-electricity</w:t>
      </w:r>
      <w:proofErr w:type="gramEnd"/>
      <w:r>
        <w:t xml:space="preserve"> is already a significant renewable electricity source in Otago with potential for this to increase, however the NPSFM may make it more difficult to develop freshwater resources for this purpose as the specific provisions for hydro schemes only apply to listed schemes already existing at 1 August 2019. Wind farms are another renewable electricity source already in operation in Otago, however their development can be difficult depending on the landscapes they are proposed to locate within. Otago is home to large areas of land considered to be an outstanding natural feature or landscape.</w:t>
      </w:r>
    </w:p>
    <w:p w14:paraId="717893B7" w14:textId="0682FBE6" w:rsidR="00E20D7A" w:rsidRDefault="00E20D7A" w:rsidP="00A247C5">
      <w:pPr>
        <w:pStyle w:val="Normal2"/>
      </w:pPr>
      <w:r w:rsidRPr="00501426">
        <w:t>The PORPS 2019 addresses energy</w:t>
      </w:r>
      <w:r w:rsidRPr="00501426" w:rsidDel="00501426">
        <w:t xml:space="preserve"> </w:t>
      </w:r>
      <w:r w:rsidR="00501426">
        <w:t>at</w:t>
      </w:r>
      <w:r w:rsidRPr="00501426">
        <w:t xml:space="preserve"> Objective 4.4 and Policies 4.4.1 to 4.4.7. Objective 4.4</w:t>
      </w:r>
      <w:r>
        <w:t xml:space="preserve"> seeks to ensure that energy resources and supplies are secure, reliable, and sustainable. This is a very broad objective that does not provide much guidance to the policies and methods.  It does not fully recognise the objective of the NPSREG as it does not seek to achieve an increase in the proportion of New Zealand’s energy from renewable sources.</w:t>
      </w:r>
    </w:p>
    <w:p w14:paraId="39C7CD34" w14:textId="77777777" w:rsidR="00E20D7A" w:rsidRDefault="00E20D7A" w:rsidP="00A247C5">
      <w:pPr>
        <w:pStyle w:val="Normal2"/>
      </w:pPr>
      <w:r>
        <w:t xml:space="preserve">Policy 4.4.1 provides specifically for renewable electricity generation by recognising its benefits, functional </w:t>
      </w:r>
      <w:proofErr w:type="gramStart"/>
      <w:r>
        <w:t>requirements</w:t>
      </w:r>
      <w:proofErr w:type="gramEnd"/>
      <w:r>
        <w:t xml:space="preserve"> and resource needs, while promoting efficient use and the investigation and development of new sites or sources. The scope of this policy is very broad which makes implementation more difficult. Some of the terms used in the provisions need revision to comply with the definitions in the National Planning Standards which will alter the intent of the current policy. The policies promote </w:t>
      </w:r>
      <w:proofErr w:type="gramStart"/>
      <w:r>
        <w:t>small</w:t>
      </w:r>
      <w:proofErr w:type="gramEnd"/>
      <w:r>
        <w:t xml:space="preserve"> and community-scale renewable electricity generation activities and Policy 4.4.3 seeks to protect the generation output of existing nationally or regionally significant renewable electricity generation activity, including by managing effects in particular ways. These will continue to be appropriate actions in the future.</w:t>
      </w:r>
    </w:p>
    <w:p w14:paraId="41180D8C" w14:textId="77777777" w:rsidR="00E20D7A" w:rsidRDefault="00E20D7A" w:rsidP="00A247C5">
      <w:pPr>
        <w:pStyle w:val="Normal2"/>
      </w:pPr>
      <w:r>
        <w:t xml:space="preserve">Policy 4.4.7 relates specifically to fuels.  It recognises and provides for reliable and resilient fuel supply chain infrastructure to meet community needs, including for the transition to a </w:t>
      </w:r>
      <w:r>
        <w:lastRenderedPageBreak/>
        <w:t xml:space="preserve">lower carbon future. It does not include </w:t>
      </w:r>
      <w:proofErr w:type="gramStart"/>
      <w:r>
        <w:t>particular actions</w:t>
      </w:r>
      <w:proofErr w:type="gramEnd"/>
      <w:r>
        <w:t xml:space="preserve"> to be taken, which reduces its effectiveness.</w:t>
      </w:r>
    </w:p>
    <w:p w14:paraId="52CC7C8A" w14:textId="77777777" w:rsidR="00E20D7A" w:rsidRDefault="00E20D7A" w:rsidP="00A247C5">
      <w:pPr>
        <w:pStyle w:val="Normal2"/>
      </w:pPr>
      <w:r>
        <w:t xml:space="preserve">The methods to implement the policies rely generally on regional and district plans including objectives, </w:t>
      </w:r>
      <w:proofErr w:type="gramStart"/>
      <w:r>
        <w:t>policies</w:t>
      </w:r>
      <w:proofErr w:type="gramEnd"/>
      <w:r>
        <w:t xml:space="preserve"> and methods to give effect to them but no specific detail is provided. There are additional methods relating to education, information and advocacy which are not compulsory. These methods suggest ORC and territorial authorities provide information on energy efficiency, energy conservation and opportunities for the development of small-scale renewable electricity generation and advocate for development that increases passive solar gain. As these methods are not compulsory, their effectiveness is limited. </w:t>
      </w:r>
    </w:p>
    <w:p w14:paraId="09D29B52" w14:textId="77777777" w:rsidR="00E20D7A" w:rsidRDefault="00E20D7A" w:rsidP="00A247C5">
      <w:pPr>
        <w:pStyle w:val="Normal2"/>
      </w:pPr>
      <w:r>
        <w:t xml:space="preserve">Community feedback from the public survey undertaken in February 2020 and the energy, infrastructure and transport reference group indicates a desire to encourage and promote sustainable energy alternatives and reduce dependence on fossil fuels, particularly at a community and local scale. It is also evident that significant value is placed on the role of the region in generating </w:t>
      </w:r>
      <w:proofErr w:type="gramStart"/>
      <w:r>
        <w:t>hydro-electricity</w:t>
      </w:r>
      <w:proofErr w:type="gramEnd"/>
      <w:r>
        <w:t xml:space="preserve"> for use by local communities and nationally. Broadly, the current policy framework for managing energy resources is mostly appropriate but needs to be repackaged and refined to comply with the National Planning Standards.</w:t>
      </w:r>
    </w:p>
    <w:p w14:paraId="6F9D3C74" w14:textId="77777777" w:rsidR="00E20D7A" w:rsidRDefault="00E20D7A" w:rsidP="00DE069C">
      <w:pPr>
        <w:pStyle w:val="Heading4"/>
      </w:pPr>
      <w:r>
        <w:t>Objectives</w:t>
      </w:r>
    </w:p>
    <w:p w14:paraId="7E2519A9" w14:textId="47468582" w:rsidR="00E20D7A" w:rsidRDefault="00E20D7A" w:rsidP="00A247C5">
      <w:pPr>
        <w:pStyle w:val="Normal2"/>
      </w:pPr>
      <w:r>
        <w:t xml:space="preserve">Section 32(1)(b) requires examining whether the provisions in the proposal are the most appropriate way of achieving the objectives. The relevant objectives for this topic are included in </w:t>
      </w:r>
      <w:r>
        <w:fldChar w:fldCharType="begin"/>
      </w:r>
      <w:r>
        <w:instrText xml:space="preserve"> REF _Ref70490414 \h </w:instrText>
      </w:r>
      <w:r>
        <w:fldChar w:fldCharType="separate"/>
      </w:r>
      <w:r w:rsidR="002A7A16">
        <w:t xml:space="preserve">Table </w:t>
      </w:r>
      <w:r w:rsidR="002A7A16">
        <w:rPr>
          <w:noProof/>
        </w:rPr>
        <w:t>40</w:t>
      </w:r>
      <w:r>
        <w:fldChar w:fldCharType="end"/>
      </w:r>
      <w:r>
        <w:t xml:space="preserve"> below.</w:t>
      </w:r>
    </w:p>
    <w:p w14:paraId="70565B68" w14:textId="57A8B901" w:rsidR="00E20D7A" w:rsidRDefault="00E20D7A" w:rsidP="00E20D7A">
      <w:pPr>
        <w:pStyle w:val="Caption"/>
        <w:keepNext/>
        <w:ind w:left="709"/>
      </w:pPr>
      <w:bookmarkStart w:id="105" w:name="_Ref70490414"/>
      <w:r>
        <w:t xml:space="preserve">Table </w:t>
      </w:r>
      <w:r>
        <w:fldChar w:fldCharType="begin"/>
      </w:r>
      <w:r>
        <w:instrText>SEQ Table \* ARABIC</w:instrText>
      </w:r>
      <w:r>
        <w:fldChar w:fldCharType="separate"/>
      </w:r>
      <w:r w:rsidR="002A7A16">
        <w:rPr>
          <w:noProof/>
        </w:rPr>
        <w:t>40</w:t>
      </w:r>
      <w:r>
        <w:fldChar w:fldCharType="end"/>
      </w:r>
      <w:bookmarkEnd w:id="105"/>
      <w:r>
        <w:t>: Energy objectives</w:t>
      </w:r>
    </w:p>
    <w:tbl>
      <w:tblPr>
        <w:tblStyle w:val="TableGrid"/>
        <w:tblW w:w="0" w:type="auto"/>
        <w:tblInd w:w="720" w:type="dxa"/>
        <w:tblLook w:val="04A0" w:firstRow="1" w:lastRow="0" w:firstColumn="1" w:lastColumn="0" w:noHBand="0" w:noVBand="1"/>
      </w:tblPr>
      <w:tblGrid>
        <w:gridCol w:w="2677"/>
        <w:gridCol w:w="5619"/>
      </w:tblGrid>
      <w:tr w:rsidR="00E20D7A" w14:paraId="4D7F8E47"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3593EBC2" w14:textId="3CC255E9" w:rsidR="00E20D7A" w:rsidRDefault="00E20D7A" w:rsidP="00A247C5">
            <w:pPr>
              <w:pStyle w:val="Table1"/>
            </w:pPr>
            <w:r>
              <w:t>EIT-EN-</w:t>
            </w:r>
            <w:r w:rsidR="006E76CD">
              <w:t xml:space="preserve">O1 </w:t>
            </w:r>
            <w:r>
              <w:t>– Energy and social and economic wellbeing</w:t>
            </w:r>
          </w:p>
        </w:tc>
        <w:tc>
          <w:tcPr>
            <w:tcW w:w="5619" w:type="dxa"/>
            <w:tcBorders>
              <w:top w:val="single" w:sz="4" w:space="0" w:color="auto"/>
              <w:left w:val="single" w:sz="4" w:space="0" w:color="auto"/>
              <w:bottom w:val="single" w:sz="4" w:space="0" w:color="auto"/>
              <w:right w:val="single" w:sz="4" w:space="0" w:color="auto"/>
            </w:tcBorders>
            <w:hideMark/>
          </w:tcPr>
          <w:p w14:paraId="06C84EB1" w14:textId="0666AEB4" w:rsidR="00E20D7A" w:rsidRDefault="00E20D7A" w:rsidP="00A247C5">
            <w:pPr>
              <w:pStyle w:val="Table1"/>
            </w:pPr>
            <w:r>
              <w:t>Otago’s communities and economy are supported by renewable energy generation within the region that is safe, secure, and resilient.</w:t>
            </w:r>
          </w:p>
        </w:tc>
      </w:tr>
      <w:tr w:rsidR="00E20D7A" w14:paraId="0ADDBF98"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3182198D" w14:textId="6E7C862F" w:rsidR="00E20D7A" w:rsidRDefault="00E20D7A" w:rsidP="00A247C5">
            <w:pPr>
              <w:pStyle w:val="Table1"/>
            </w:pPr>
            <w:r>
              <w:t>EIT-EN-</w:t>
            </w:r>
            <w:r w:rsidR="006E76CD">
              <w:t xml:space="preserve">O2 </w:t>
            </w:r>
            <w:r>
              <w:t>– Renewable energy generation</w:t>
            </w:r>
          </w:p>
        </w:tc>
        <w:tc>
          <w:tcPr>
            <w:tcW w:w="5619" w:type="dxa"/>
            <w:tcBorders>
              <w:top w:val="single" w:sz="4" w:space="0" w:color="auto"/>
              <w:left w:val="single" w:sz="4" w:space="0" w:color="auto"/>
              <w:bottom w:val="single" w:sz="4" w:space="0" w:color="auto"/>
              <w:right w:val="single" w:sz="4" w:space="0" w:color="auto"/>
            </w:tcBorders>
            <w:hideMark/>
          </w:tcPr>
          <w:p w14:paraId="671B154E" w14:textId="77777777" w:rsidR="00E20D7A" w:rsidRDefault="00E20D7A" w:rsidP="00A247C5">
            <w:pPr>
              <w:pStyle w:val="Table1"/>
            </w:pPr>
            <w:r>
              <w:t xml:space="preserve">The generation capacity of renewable electricity generation activities in Otago:  </w:t>
            </w:r>
          </w:p>
          <w:p w14:paraId="150D3E6F" w14:textId="71681D35" w:rsidR="00E20D7A" w:rsidRDefault="00E20D7A" w:rsidP="00A247C5">
            <w:pPr>
              <w:pStyle w:val="Table1"/>
              <w:ind w:left="319"/>
            </w:pPr>
            <w:r>
              <w:t>(1)</w:t>
            </w:r>
            <w:r>
              <w:tab/>
              <w:t xml:space="preserve">is maintained and, </w:t>
            </w:r>
            <w:r w:rsidR="00EA4243" w:rsidRPr="009E6804">
              <w:t xml:space="preserve">if practicable, maximised, within environmental limits, </w:t>
            </w:r>
            <w:r w:rsidR="00EA4243" w:rsidRPr="00A70BC4">
              <w:t>and</w:t>
            </w:r>
          </w:p>
          <w:p w14:paraId="624EFA1B" w14:textId="68BF6A75" w:rsidR="00E20D7A" w:rsidRDefault="00E20D7A" w:rsidP="00A247C5">
            <w:pPr>
              <w:pStyle w:val="Table1"/>
              <w:ind w:left="319"/>
            </w:pPr>
            <w:r>
              <w:t>(2)</w:t>
            </w:r>
            <w:r>
              <w:tab/>
              <w:t>contributes to meeting New Zealand’s national target for renewable electricity generation</w:t>
            </w:r>
            <w:r w:rsidR="00740929">
              <w:t>.</w:t>
            </w:r>
            <w:r>
              <w:t xml:space="preserve"> </w:t>
            </w:r>
          </w:p>
        </w:tc>
      </w:tr>
      <w:tr w:rsidR="00E20D7A" w14:paraId="4766B769"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780BDF44" w14:textId="1263ED7D" w:rsidR="00E20D7A" w:rsidRDefault="00E20D7A" w:rsidP="00A247C5">
            <w:pPr>
              <w:pStyle w:val="Table1"/>
            </w:pPr>
            <w:r>
              <w:t>EIT-EN-</w:t>
            </w:r>
            <w:r w:rsidR="006E76CD">
              <w:t xml:space="preserve">O3 </w:t>
            </w:r>
            <w:r>
              <w:t>– Energy use</w:t>
            </w:r>
          </w:p>
        </w:tc>
        <w:tc>
          <w:tcPr>
            <w:tcW w:w="5619" w:type="dxa"/>
            <w:tcBorders>
              <w:top w:val="single" w:sz="4" w:space="0" w:color="auto"/>
              <w:left w:val="single" w:sz="4" w:space="0" w:color="auto"/>
              <w:bottom w:val="single" w:sz="4" w:space="0" w:color="auto"/>
              <w:right w:val="single" w:sz="4" w:space="0" w:color="auto"/>
            </w:tcBorders>
            <w:hideMark/>
          </w:tcPr>
          <w:p w14:paraId="7A81249E" w14:textId="03AC3527" w:rsidR="00E20D7A" w:rsidRDefault="003C7524" w:rsidP="00A247C5">
            <w:pPr>
              <w:pStyle w:val="Table1"/>
            </w:pPr>
            <w:r w:rsidRPr="003C7524">
              <w:t xml:space="preserve">Development is located and designed to facilitate the efficient use of energy and to reduce demand if possible, minimising the contribution </w:t>
            </w:r>
            <w:r w:rsidR="004B47AE">
              <w:t>that</w:t>
            </w:r>
            <w:r w:rsidRPr="003C7524">
              <w:t xml:space="preserve"> Otago </w:t>
            </w:r>
            <w:r w:rsidR="004B47AE">
              <w:t xml:space="preserve">makes </w:t>
            </w:r>
            <w:r w:rsidRPr="003C7524">
              <w:t>to total greenhouse gas emissions.</w:t>
            </w:r>
          </w:p>
        </w:tc>
      </w:tr>
    </w:tbl>
    <w:p w14:paraId="4A971448" w14:textId="77777777" w:rsidR="00E20D7A" w:rsidRDefault="00E20D7A" w:rsidP="00A247C5">
      <w:pPr>
        <w:pStyle w:val="Normal2"/>
        <w:numPr>
          <w:ilvl w:val="0"/>
          <w:numId w:val="0"/>
        </w:numPr>
        <w:ind w:left="709"/>
      </w:pPr>
    </w:p>
    <w:p w14:paraId="20F1DF88" w14:textId="77777777" w:rsidR="00E20D7A" w:rsidRDefault="00E20D7A" w:rsidP="00DE069C">
      <w:pPr>
        <w:pStyle w:val="Heading4"/>
      </w:pPr>
      <w:r>
        <w:t>Reasonably practicable options</w:t>
      </w:r>
    </w:p>
    <w:p w14:paraId="7A1921EB" w14:textId="77777777" w:rsidR="00E20D7A" w:rsidRDefault="00E20D7A" w:rsidP="00A247C5">
      <w:pPr>
        <w:pStyle w:val="Normal2"/>
      </w:pPr>
      <w:r>
        <w:t>Three reasonably practicable options were identified to achieve the objectives:</w:t>
      </w:r>
    </w:p>
    <w:p w14:paraId="31373972" w14:textId="77777777" w:rsidR="00E20D7A" w:rsidRDefault="00E20D7A" w:rsidP="00A247C5">
      <w:pPr>
        <w:pStyle w:val="Normal3"/>
        <w:numPr>
          <w:ilvl w:val="1"/>
          <w:numId w:val="70"/>
        </w:numPr>
      </w:pPr>
      <w:r w:rsidRPr="00A247C5">
        <w:rPr>
          <w:b/>
          <w:bCs/>
        </w:rPr>
        <w:t>Option 1:</w:t>
      </w:r>
      <w:r>
        <w:t xml:space="preserve"> Status quo (PORPS 2019)</w:t>
      </w:r>
    </w:p>
    <w:p w14:paraId="2EA394AB" w14:textId="77777777" w:rsidR="00E20D7A" w:rsidRDefault="00E20D7A" w:rsidP="00A247C5">
      <w:pPr>
        <w:pStyle w:val="Normal3"/>
        <w:numPr>
          <w:ilvl w:val="1"/>
          <w:numId w:val="70"/>
        </w:numPr>
      </w:pPr>
      <w:r w:rsidRPr="00A247C5">
        <w:rPr>
          <w:b/>
          <w:bCs/>
        </w:rPr>
        <w:t>Option 2:</w:t>
      </w:r>
      <w:r>
        <w:t xml:space="preserve"> Status quo (PORPS 2019) with efficiency and effectiveness improvements </w:t>
      </w:r>
    </w:p>
    <w:p w14:paraId="548B3E2F" w14:textId="0D11E8CD" w:rsidR="00E20D7A" w:rsidRDefault="00E20D7A" w:rsidP="00A247C5">
      <w:pPr>
        <w:pStyle w:val="Normal3"/>
        <w:numPr>
          <w:ilvl w:val="1"/>
          <w:numId w:val="70"/>
        </w:numPr>
      </w:pPr>
      <w:r w:rsidRPr="00A247C5">
        <w:rPr>
          <w:b/>
          <w:bCs/>
        </w:rPr>
        <w:t>Option 3:</w:t>
      </w:r>
      <w:r>
        <w:t xml:space="preserve"> PORPS 2021 </w:t>
      </w:r>
      <w:r w:rsidR="00CD3F72">
        <w:t xml:space="preserve">– </w:t>
      </w:r>
      <w:r w:rsidR="00CD3F72">
        <w:rPr>
          <w:i/>
          <w:iCs/>
        </w:rPr>
        <w:t xml:space="preserve">preferred </w:t>
      </w:r>
    </w:p>
    <w:p w14:paraId="7CDD77A6" w14:textId="77777777" w:rsidR="00E20D7A" w:rsidRDefault="00E20D7A" w:rsidP="000B61EC">
      <w:pPr>
        <w:pStyle w:val="Heading5"/>
      </w:pPr>
      <w:r>
        <w:lastRenderedPageBreak/>
        <w:t>Option 1: Status quo</w:t>
      </w:r>
    </w:p>
    <w:p w14:paraId="57440EB1" w14:textId="277EA9E8" w:rsidR="00E20D7A" w:rsidRDefault="00E20D7A" w:rsidP="00A247C5">
      <w:pPr>
        <w:pStyle w:val="Normal2"/>
      </w:pPr>
      <w:r>
        <w:t xml:space="preserve">The status quo and associated issues are outlined in section </w:t>
      </w:r>
      <w:r w:rsidR="006E471E">
        <w:t>5.9.</w:t>
      </w:r>
      <w:r w:rsidR="00BE26CE">
        <w:t>1</w:t>
      </w:r>
      <w:r w:rsidR="006E471E">
        <w:t>.2</w:t>
      </w:r>
      <w:r w:rsidR="006E471E">
        <w:rPr>
          <w:b/>
          <w:lang w:val="en-US"/>
        </w:rPr>
        <w:t>.</w:t>
      </w:r>
      <w:r>
        <w:rPr>
          <w:b/>
          <w:lang w:val="en-US"/>
        </w:rPr>
        <w:t xml:space="preserve"> </w:t>
      </w:r>
      <w:r>
        <w:t>As outlined in that section, the status quo is not considered to be effective or efficient, although the policy direction and content is generally appropriate.</w:t>
      </w:r>
    </w:p>
    <w:p w14:paraId="68F49203" w14:textId="77777777" w:rsidR="00E20D7A" w:rsidRDefault="00E20D7A" w:rsidP="000B61EC">
      <w:pPr>
        <w:pStyle w:val="Heading5"/>
      </w:pPr>
      <w:r>
        <w:t xml:space="preserve">Option 2: Status quo (PORPS 2019) with efficiency and effectiveness improvements </w:t>
      </w:r>
    </w:p>
    <w:p w14:paraId="099264A5" w14:textId="5237CD26" w:rsidR="00E20D7A" w:rsidRDefault="00E20D7A" w:rsidP="00A247C5">
      <w:pPr>
        <w:pStyle w:val="Normal2"/>
      </w:pPr>
      <w:r>
        <w:t xml:space="preserve">Alternative options considered during the drafting of the </w:t>
      </w:r>
      <w:proofErr w:type="gramStart"/>
      <w:r w:rsidR="004828CC">
        <w:t>PO</w:t>
      </w:r>
      <w:r>
        <w:t>RPS, and</w:t>
      </w:r>
      <w:proofErr w:type="gramEnd"/>
      <w:r>
        <w:t xml:space="preserve"> presented to the Reference Group are summarised </w:t>
      </w:r>
      <w:r w:rsidRPr="009736CD">
        <w:t xml:space="preserve">in Appendix </w:t>
      </w:r>
      <w:r w:rsidR="00DD77A8" w:rsidRPr="009736CD">
        <w:t>18</w:t>
      </w:r>
      <w:r w:rsidR="00DF6F2A" w:rsidRPr="009736CD">
        <w:t xml:space="preserve"> </w:t>
      </w:r>
      <w:r w:rsidRPr="009736CD">
        <w:t>(Part 1).  This</w:t>
      </w:r>
      <w:r>
        <w:t xml:space="preserve"> largely implements the same policy approach as the PORPS 2019 but repackaged to improve the effectiveness and efficiency of the policies.  Direction on energy provision remains at a high level rather than providing specific policy guidance applicable to different types of energy generation.  </w:t>
      </w:r>
    </w:p>
    <w:p w14:paraId="502BC277" w14:textId="05D80601" w:rsidR="00E20D7A" w:rsidRDefault="00E20D7A" w:rsidP="00A247C5">
      <w:pPr>
        <w:pStyle w:val="Normal2"/>
      </w:pPr>
      <w:r>
        <w:t>Option 2 includes an approach which supported the provision of the development of renewable electricity generation and sets up a framework to manage effects by listing a series of locations which need to be avoided</w:t>
      </w:r>
      <w:r w:rsidR="00535F7D">
        <w:t>. Where avoidance</w:t>
      </w:r>
      <w:r>
        <w:t xml:space="preserve"> cannot be achieved, then the extent and magnitude of adverse effects on the environment, to which regard is to be had</w:t>
      </w:r>
      <w:r w:rsidR="000D7749">
        <w:t xml:space="preserve"> is described</w:t>
      </w:r>
      <w:r>
        <w:t xml:space="preserve">, and a requirement that unavoidable adverse effects be remedied or mitigated.  </w:t>
      </w:r>
    </w:p>
    <w:p w14:paraId="39D035BC" w14:textId="5FBB4AEB" w:rsidR="00E20D7A" w:rsidRDefault="00E20D7A" w:rsidP="00A247C5">
      <w:pPr>
        <w:pStyle w:val="Normal2"/>
      </w:pPr>
      <w:r>
        <w:t xml:space="preserve">A specific provision to guide the ongoing operation and maintenance of electricity transmission networks is included in Option 2.  The approach largely replicates the requirements of the </w:t>
      </w:r>
      <w:r w:rsidR="000D7749">
        <w:t>NPSET</w:t>
      </w:r>
      <w:r>
        <w:t xml:space="preserve">, without applying a more specific Otago approach or clearly </w:t>
      </w:r>
      <w:r w:rsidR="000D7749">
        <w:t xml:space="preserve">articulating </w:t>
      </w:r>
      <w:r>
        <w:t xml:space="preserve">how any effects of such activities are to be appropriately managed.    </w:t>
      </w:r>
    </w:p>
    <w:p w14:paraId="03AA335C" w14:textId="77777777" w:rsidR="00E20D7A" w:rsidRDefault="00E20D7A" w:rsidP="00A247C5">
      <w:pPr>
        <w:pStyle w:val="Normal2"/>
      </w:pPr>
      <w:r>
        <w:t xml:space="preserve">Option 2 also considered an approach to provide direction on the provision of small and community scale renewable electricity generation, along with providing for the efficient use of energy by linking energy use with development types, sustainable </w:t>
      </w:r>
      <w:proofErr w:type="gramStart"/>
      <w:r>
        <w:t>design</w:t>
      </w:r>
      <w:proofErr w:type="gramEnd"/>
      <w:r>
        <w:t xml:space="preserve"> and transmission losses. </w:t>
      </w:r>
    </w:p>
    <w:p w14:paraId="3380FD88" w14:textId="77777777" w:rsidR="00E20D7A" w:rsidRDefault="00E20D7A" w:rsidP="00A247C5">
      <w:pPr>
        <w:pStyle w:val="Normal2"/>
      </w:pPr>
      <w:r>
        <w:t>The above policy direction has not been considered appropriate to continue for the following reasons:</w:t>
      </w:r>
    </w:p>
    <w:p w14:paraId="768B0B37" w14:textId="75594650" w:rsidR="00E20D7A" w:rsidRPr="00887C45" w:rsidRDefault="001C315A" w:rsidP="00A247C5">
      <w:pPr>
        <w:pStyle w:val="Normal3"/>
      </w:pPr>
      <w:r>
        <w:t>It d</w:t>
      </w:r>
      <w:r w:rsidR="00E20D7A">
        <w:t xml:space="preserve">oes not provide appropriate direction on the role of energy development in addressing climate change impacts including reducing demand of energy consumption and hence reduce energy need. </w:t>
      </w:r>
    </w:p>
    <w:p w14:paraId="4F3A41C1" w14:textId="1A29CDF1" w:rsidR="00E20D7A" w:rsidRDefault="00E20D7A" w:rsidP="00A247C5">
      <w:pPr>
        <w:pStyle w:val="Normal3"/>
      </w:pPr>
      <w:r>
        <w:t xml:space="preserve">The parameters of managing effects of energy generation </w:t>
      </w:r>
      <w:r w:rsidR="00EA6E30">
        <w:t>are</w:t>
      </w:r>
      <w:r>
        <w:t xml:space="preserve"> addressed through the </w:t>
      </w:r>
      <w:r w:rsidR="00EA6E30">
        <w:t>direction</w:t>
      </w:r>
      <w:r>
        <w:t xml:space="preserve"> set across the whole </w:t>
      </w:r>
      <w:r w:rsidR="00EA6E30">
        <w:t>PO</w:t>
      </w:r>
      <w:r>
        <w:t xml:space="preserve">RPS.  Further, as providing clarification of national and regionally significant infrastructure, electricity generation activities will fall within these definitions, and hence a framework to manage effects may be more efficient to sit within the infrastructure section of this chapter. </w:t>
      </w:r>
    </w:p>
    <w:p w14:paraId="08F95DDC" w14:textId="00585E86" w:rsidR="00E20D7A" w:rsidRPr="00612A76" w:rsidRDefault="00E20D7A" w:rsidP="000B61EC">
      <w:pPr>
        <w:pStyle w:val="Heading5"/>
        <w:rPr>
          <w:i/>
          <w:iCs/>
        </w:rPr>
      </w:pPr>
      <w:r>
        <w:t>Option 3: PORPS 2021</w:t>
      </w:r>
      <w:r w:rsidR="00CD3F72">
        <w:t xml:space="preserve"> </w:t>
      </w:r>
      <w:r w:rsidR="00612A76">
        <w:t>–</w:t>
      </w:r>
      <w:r w:rsidR="00CD3F72">
        <w:t xml:space="preserve"> </w:t>
      </w:r>
      <w:r w:rsidR="00612A76">
        <w:rPr>
          <w:i/>
          <w:iCs/>
        </w:rPr>
        <w:t xml:space="preserve">preferred </w:t>
      </w:r>
    </w:p>
    <w:p w14:paraId="6192851B" w14:textId="3BAA2526" w:rsidR="00E20D7A" w:rsidRDefault="000E1E53" w:rsidP="00A247C5">
      <w:pPr>
        <w:pStyle w:val="Normal2"/>
      </w:pPr>
      <w:r>
        <w:t>The PORPS 2021 proposes specific policy direction to address the current gaps and limitations in the PORPS 2019, while retaining the overarching</w:t>
      </w:r>
      <w:r w:rsidR="00B02B8D">
        <w:t xml:space="preserve"> direction</w:t>
      </w:r>
      <w:r>
        <w:t>. The c</w:t>
      </w:r>
      <w:r w:rsidR="00E20D7A">
        <w:t xml:space="preserve">hanges proposed </w:t>
      </w:r>
      <w:r>
        <w:t xml:space="preserve">are </w:t>
      </w:r>
      <w:r w:rsidR="00E20D7A">
        <w:t>to:</w:t>
      </w:r>
    </w:p>
    <w:p w14:paraId="4D0941E3" w14:textId="77777777" w:rsidR="00E20D7A" w:rsidRPr="00887C45" w:rsidRDefault="00E20D7A" w:rsidP="00A247C5">
      <w:pPr>
        <w:pStyle w:val="Normal3"/>
      </w:pPr>
      <w:r>
        <w:t>ensure the provisions give effect to the relevant higher order documents, including adopting the structure and definitions in the National Planning Standards,</w:t>
      </w:r>
    </w:p>
    <w:p w14:paraId="77317C93" w14:textId="77777777" w:rsidR="00E20D7A" w:rsidRPr="00887C45" w:rsidRDefault="00E20D7A" w:rsidP="00A247C5">
      <w:pPr>
        <w:pStyle w:val="Normal3"/>
      </w:pPr>
      <w:r>
        <w:t>require recognition of the resource needs of renewable electricity generation activities when making decisions on the allocation of natural and physical resources,</w:t>
      </w:r>
    </w:p>
    <w:p w14:paraId="40850ECF" w14:textId="592EDEB8" w:rsidR="00E20D7A" w:rsidRPr="00887C45" w:rsidRDefault="00C53813" w:rsidP="00A247C5">
      <w:pPr>
        <w:pStyle w:val="Normal3"/>
      </w:pPr>
      <w:r>
        <w:t xml:space="preserve">avoid </w:t>
      </w:r>
      <w:r w:rsidR="00E20D7A">
        <w:t>the development of non-renewable energy generation activities,</w:t>
      </w:r>
    </w:p>
    <w:p w14:paraId="4B95FB55" w14:textId="77777777" w:rsidR="00E20D7A" w:rsidRPr="00887C45" w:rsidRDefault="00E20D7A" w:rsidP="00A247C5">
      <w:pPr>
        <w:pStyle w:val="Normal3"/>
      </w:pPr>
      <w:r>
        <w:t>improve the overall clarity and provide more specific guidance to assist implementation, and</w:t>
      </w:r>
    </w:p>
    <w:p w14:paraId="53D7C771" w14:textId="77777777" w:rsidR="00E20D7A" w:rsidRDefault="00E20D7A" w:rsidP="00A247C5">
      <w:pPr>
        <w:pStyle w:val="Normal3"/>
      </w:pPr>
      <w:r>
        <w:lastRenderedPageBreak/>
        <w:t>include policy direction on energy conservation and efficiency.</w:t>
      </w:r>
    </w:p>
    <w:p w14:paraId="180B128B" w14:textId="4D656A44" w:rsidR="00E20D7A" w:rsidRDefault="00E20D7A" w:rsidP="00A247C5">
      <w:pPr>
        <w:pStyle w:val="Normal2"/>
      </w:pPr>
      <w:r>
        <w:t>Option 3 includes a suite of policies designed to achieve the objectives. Policy EIT</w:t>
      </w:r>
      <w:r w:rsidR="00612A76">
        <w:t>–</w:t>
      </w:r>
      <w:r>
        <w:t>EN</w:t>
      </w:r>
      <w:r w:rsidR="00612A76">
        <w:t>–</w:t>
      </w:r>
      <w:r>
        <w:t>P1 requires providing for the operation and maintenance of existing activities while minimising adverse effects. This is to recognise the importance of the ongoing operation of these activities alongside the need to reduce environmental impacts. Policy EIT</w:t>
      </w:r>
      <w:r w:rsidR="00612A76">
        <w:t>–</w:t>
      </w:r>
      <w:r>
        <w:t>EN</w:t>
      </w:r>
      <w:r w:rsidR="00612A76">
        <w:t>–</w:t>
      </w:r>
      <w:r>
        <w:t xml:space="preserve">P2 requires decisions on allocation and use of resources to recognise the benefits of existing activities and </w:t>
      </w:r>
      <w:proofErr w:type="gramStart"/>
      <w:r>
        <w:t>take into account</w:t>
      </w:r>
      <w:proofErr w:type="gramEnd"/>
      <w:r>
        <w:t xml:space="preserve"> the need to maintain or increase </w:t>
      </w:r>
      <w:r w:rsidR="003950FD">
        <w:t xml:space="preserve">renewable electricity </w:t>
      </w:r>
      <w:r>
        <w:t>generation capacity</w:t>
      </w:r>
      <w:r w:rsidR="00253FFD">
        <w:t xml:space="preserve"> </w:t>
      </w:r>
      <w:r w:rsidR="00253FFD" w:rsidRPr="00A70BC4">
        <w:t xml:space="preserve">and will require significant development of </w:t>
      </w:r>
      <w:r w:rsidR="00253FFD" w:rsidRPr="002A4427">
        <w:t>renewable electricity generation activitie</w:t>
      </w:r>
      <w:r w:rsidR="00253FFD" w:rsidRPr="00A70BC4">
        <w:rPr>
          <w:i/>
          <w:iCs/>
        </w:rPr>
        <w:t>s</w:t>
      </w:r>
      <w:r>
        <w:t>. This policy is intended to support Objective EIT</w:t>
      </w:r>
      <w:r w:rsidR="00612A76">
        <w:t>–</w:t>
      </w:r>
      <w:r>
        <w:t>EN</w:t>
      </w:r>
      <w:r w:rsidR="00612A76">
        <w:t>–</w:t>
      </w:r>
      <w:r>
        <w:t xml:space="preserve">O2 </w:t>
      </w:r>
      <w:proofErr w:type="gramStart"/>
      <w:r>
        <w:t>in particular by</w:t>
      </w:r>
      <w:proofErr w:type="gramEnd"/>
      <w:r>
        <w:t xml:space="preserve"> including consideration of renewable energy generation early in plan-making processes.</w:t>
      </w:r>
    </w:p>
    <w:p w14:paraId="7BD325D3" w14:textId="2C54181C" w:rsidR="00E20D7A" w:rsidRDefault="00E20D7A" w:rsidP="00A247C5">
      <w:pPr>
        <w:pStyle w:val="Normal2"/>
      </w:pPr>
      <w:r>
        <w:t>Policy EIT</w:t>
      </w:r>
      <w:r w:rsidR="00612A76">
        <w:t>–</w:t>
      </w:r>
      <w:r>
        <w:t>EN</w:t>
      </w:r>
      <w:r w:rsidR="00612A76">
        <w:t>–</w:t>
      </w:r>
      <w:r>
        <w:t xml:space="preserve">P3 </w:t>
      </w:r>
      <w:r w:rsidR="002D2E1F">
        <w:t>facilitates</w:t>
      </w:r>
      <w:r>
        <w:t xml:space="preserve"> the development or upgrade of generation activities </w:t>
      </w:r>
      <w:r w:rsidR="00E0312F">
        <w:t xml:space="preserve">so that </w:t>
      </w:r>
      <w:r>
        <w:t>they maintain or improve security of supply by increasing generation capacity and diversifying the type or location of generation. Linking with this policy is Policy EIT</w:t>
      </w:r>
      <w:r w:rsidR="00612A76">
        <w:t>–</w:t>
      </w:r>
      <w:r>
        <w:t>EN</w:t>
      </w:r>
      <w:r w:rsidR="00612A76">
        <w:t>–</w:t>
      </w:r>
      <w:r>
        <w:t xml:space="preserve">P4 which </w:t>
      </w:r>
      <w:r w:rsidR="001A5973">
        <w:t>provides</w:t>
      </w:r>
      <w:r>
        <w:t xml:space="preserve"> for activities associated with investigating, </w:t>
      </w:r>
      <w:proofErr w:type="gramStart"/>
      <w:r>
        <w:t>identifying</w:t>
      </w:r>
      <w:proofErr w:type="gramEnd"/>
      <w:r>
        <w:t xml:space="preserve"> and assessing potential sites and source</w:t>
      </w:r>
      <w:r w:rsidR="00DB066F">
        <w:t>s</w:t>
      </w:r>
      <w:r>
        <w:t xml:space="preserve"> for generation</w:t>
      </w:r>
      <w:r w:rsidR="00156E00">
        <w:t>. It also</w:t>
      </w:r>
      <w:r w:rsidR="00002B9A">
        <w:t xml:space="preserve"> directs that</w:t>
      </w:r>
      <w:r w:rsidR="00B8096A">
        <w:t xml:space="preserve"> when selecting a site for new </w:t>
      </w:r>
      <w:r w:rsidR="00B8096A" w:rsidRPr="00D6725A">
        <w:rPr>
          <w:i/>
          <w:iCs/>
        </w:rPr>
        <w:t>renewable electricity generation</w:t>
      </w:r>
      <w:r w:rsidR="00B8096A">
        <w:t xml:space="preserve">, </w:t>
      </w:r>
      <w:r w:rsidR="00387DF2">
        <w:t>to</w:t>
      </w:r>
      <w:r>
        <w:t xml:space="preserve"> prioriti</w:t>
      </w:r>
      <w:r w:rsidR="00387DF2">
        <w:t>se</w:t>
      </w:r>
      <w:r>
        <w:t xml:space="preserve"> sites where adverse effects on highly valued natural and physical resources </w:t>
      </w:r>
      <w:r w:rsidR="001679F0" w:rsidRPr="00A70BC4">
        <w:t xml:space="preserve">and </w:t>
      </w:r>
      <w:bookmarkStart w:id="106" w:name="OLE_LINK1"/>
      <w:r w:rsidR="001679F0" w:rsidRPr="00A70BC4">
        <w:rPr>
          <w:i/>
        </w:rPr>
        <w:t>mana whenua</w:t>
      </w:r>
      <w:r w:rsidR="001679F0" w:rsidRPr="00A70BC4">
        <w:t xml:space="preserve"> </w:t>
      </w:r>
      <w:bookmarkEnd w:id="106"/>
      <w:r w:rsidR="001679F0" w:rsidRPr="00A70BC4">
        <w:t>values</w:t>
      </w:r>
      <w:r w:rsidR="001679F0">
        <w:t xml:space="preserve"> </w:t>
      </w:r>
      <w:r>
        <w:t>can be avoided or minimised. The intent of these policies together is to ensure that any future generation activities are both beneficial in terms of their contribution to increasing New Zealand’s renewable electricity generation and minimise their adverse effects on the environment.</w:t>
      </w:r>
    </w:p>
    <w:p w14:paraId="6E5F0CDB" w14:textId="55AE61ED" w:rsidR="00E20D7A" w:rsidRDefault="00E20D7A" w:rsidP="00A247C5">
      <w:pPr>
        <w:pStyle w:val="Normal2"/>
      </w:pPr>
      <w:r>
        <w:t>Feedback from the Reference Group (Energy, Infrastructure and Transport) showed a clear preference for avoiding the development of new non-renewable energy generation in Otago and phasing out existing sources, including fossil fuels. This was largely in recognition of climate change and the need to reduce emissions. Accordingly, Policy EIT</w:t>
      </w:r>
      <w:r w:rsidR="00612A76">
        <w:t>–</w:t>
      </w:r>
      <w:r>
        <w:t>EN</w:t>
      </w:r>
      <w:r w:rsidR="00612A76">
        <w:t>–</w:t>
      </w:r>
      <w:r>
        <w:t>P5 implements this direction.</w:t>
      </w:r>
    </w:p>
    <w:p w14:paraId="4F7D1B7A" w14:textId="4C6CAD07" w:rsidR="00E20D7A" w:rsidRDefault="00E20D7A" w:rsidP="00A247C5">
      <w:pPr>
        <w:pStyle w:val="Normal2"/>
      </w:pPr>
      <w:r>
        <w:t>Energy generation does result in adverse effects on the environment. Policy EIT</w:t>
      </w:r>
      <w:r w:rsidR="00612A76">
        <w:t>–</w:t>
      </w:r>
      <w:r>
        <w:t>EN</w:t>
      </w:r>
      <w:r w:rsidR="00612A76">
        <w:t>–</w:t>
      </w:r>
      <w:r>
        <w:t>P6 sets out how to manage those effects, including by having regard to the functional and operational needs of generation activities, the extent and magnitude of adverse effects and the degree to which unavoidable adverse effects can be remedied or mitigated</w:t>
      </w:r>
      <w:r w:rsidR="00973965">
        <w:t>, or residual adverse effects are offset or compensated for</w:t>
      </w:r>
      <w:r>
        <w:t>. It also requires consideration of alternative sites, methods and designs, and any offsetting or compensation measures where adverse effects are potentially significant or irreversible. The section also applies Policy EIT</w:t>
      </w:r>
      <w:r w:rsidR="00612A76">
        <w:t>–</w:t>
      </w:r>
      <w:r>
        <w:t>INF</w:t>
      </w:r>
      <w:r w:rsidR="00612A76">
        <w:t>–</w:t>
      </w:r>
      <w:r>
        <w:t>P13 in relation to locat</w:t>
      </w:r>
      <w:r w:rsidR="00612A76">
        <w:t>ing</w:t>
      </w:r>
      <w:r>
        <w:t xml:space="preserve"> and managing effects of new infrastructure outside the coastal environment. </w:t>
      </w:r>
      <w:r w:rsidR="00DE21FA">
        <w:t>It is noted that EIT</w:t>
      </w:r>
      <w:r w:rsidR="00612A76">
        <w:t>–</w:t>
      </w:r>
      <w:r w:rsidR="00DE21FA">
        <w:t>INF</w:t>
      </w:r>
      <w:r w:rsidR="00612A76">
        <w:t>–</w:t>
      </w:r>
      <w:r w:rsidR="00DE21FA">
        <w:t xml:space="preserve">P13(2)(a) also references </w:t>
      </w:r>
      <w:proofErr w:type="gramStart"/>
      <w:r w:rsidR="00DE21FA">
        <w:t>a number of</w:t>
      </w:r>
      <w:proofErr w:type="gramEnd"/>
      <w:r w:rsidR="00DE21FA">
        <w:t xml:space="preserve"> other policies in the document which contain topic specific effects cascades.</w:t>
      </w:r>
    </w:p>
    <w:p w14:paraId="0D940325" w14:textId="099E4B2B" w:rsidR="00E20D7A" w:rsidRDefault="00E20D7A" w:rsidP="00A247C5">
      <w:pPr>
        <w:pStyle w:val="Normal2"/>
      </w:pPr>
      <w:r>
        <w:t>Policy EIT</w:t>
      </w:r>
      <w:r w:rsidR="00612A76">
        <w:t>–</w:t>
      </w:r>
      <w:r>
        <w:t>EN</w:t>
      </w:r>
      <w:r w:rsidR="00612A76">
        <w:t>–</w:t>
      </w:r>
      <w:r>
        <w:t xml:space="preserve">P7 addresses the issue of reverse </w:t>
      </w:r>
      <w:proofErr w:type="gramStart"/>
      <w:r>
        <w:t xml:space="preserve">sensitivity, </w:t>
      </w:r>
      <w:r w:rsidR="009D6BF7">
        <w:t>if</w:t>
      </w:r>
      <w:proofErr w:type="gramEnd"/>
      <w:r w:rsidR="009D6BF7">
        <w:t xml:space="preserve"> </w:t>
      </w:r>
      <w:r>
        <w:t xml:space="preserve">existing activities can be compromised or adversely affected by the establishment of other activities nearby. This policy requires those activities to be avoided as </w:t>
      </w:r>
      <w:proofErr w:type="gramStart"/>
      <w:r>
        <w:t>a first priority</w:t>
      </w:r>
      <w:proofErr w:type="gramEnd"/>
      <w:r>
        <w:t xml:space="preserve"> and only where avoidance is not practicable, managed so the effects on generation activities are minimised. </w:t>
      </w:r>
    </w:p>
    <w:p w14:paraId="02496488" w14:textId="315FED3C" w:rsidR="00E20D7A" w:rsidRDefault="00E20D7A" w:rsidP="00A247C5">
      <w:pPr>
        <w:pStyle w:val="Normal2"/>
      </w:pPr>
      <w:r>
        <w:t>Policy EIT</w:t>
      </w:r>
      <w:r w:rsidR="00612A76">
        <w:t>–</w:t>
      </w:r>
      <w:r>
        <w:t>EN</w:t>
      </w:r>
      <w:r w:rsidR="00612A76">
        <w:t>–</w:t>
      </w:r>
      <w:r>
        <w:t>P8 seeks to provide for small and community scale distributed electricity generation activities while Policy EIT</w:t>
      </w:r>
      <w:r w:rsidR="00612A76">
        <w:t>–</w:t>
      </w:r>
      <w:r>
        <w:t>EN</w:t>
      </w:r>
      <w:r w:rsidR="00612A76">
        <w:t>–</w:t>
      </w:r>
      <w:r>
        <w:t xml:space="preserve">P9 requires development to be designed so that energy use is efficient, energy waste is </w:t>
      </w:r>
      <w:proofErr w:type="gramStart"/>
      <w:r>
        <w:t>minimised</w:t>
      </w:r>
      <w:proofErr w:type="gramEnd"/>
      <w:r>
        <w:t xml:space="preserve"> and passive solar gain is optimised. These policies </w:t>
      </w:r>
      <w:proofErr w:type="gramStart"/>
      <w:r>
        <w:t>in particular will</w:t>
      </w:r>
      <w:proofErr w:type="gramEnd"/>
      <w:r>
        <w:t xml:space="preserve"> assist with smaller scale, often urban, activities that can assist with reducing energy demand or improving efficiency of use.</w:t>
      </w:r>
    </w:p>
    <w:p w14:paraId="54A270D3" w14:textId="0C050E38" w:rsidR="00E20D7A" w:rsidRDefault="00E20D7A" w:rsidP="00A247C5">
      <w:pPr>
        <w:pStyle w:val="Normal2"/>
      </w:pPr>
      <w:r>
        <w:lastRenderedPageBreak/>
        <w:t>Methods EIT</w:t>
      </w:r>
      <w:r w:rsidR="00612A76">
        <w:t>–</w:t>
      </w:r>
      <w:r>
        <w:t>EN</w:t>
      </w:r>
      <w:r w:rsidR="00612A76">
        <w:t>–</w:t>
      </w:r>
      <w:r>
        <w:t>M1 and EIT</w:t>
      </w:r>
      <w:r w:rsidR="00612A76">
        <w:t>–</w:t>
      </w:r>
      <w:r>
        <w:t>EN</w:t>
      </w:r>
      <w:r w:rsidR="00612A76">
        <w:t>–</w:t>
      </w:r>
      <w:r>
        <w:t xml:space="preserve">M2 specify the provisions required in regional and district plans </w:t>
      </w:r>
      <w:proofErr w:type="gramStart"/>
      <w:r>
        <w:t>in order to</w:t>
      </w:r>
      <w:proofErr w:type="gramEnd"/>
      <w:r>
        <w:t xml:space="preserve"> implement policies EIT</w:t>
      </w:r>
      <w:r w:rsidR="00612A76">
        <w:t>–</w:t>
      </w:r>
      <w:r>
        <w:t>EN</w:t>
      </w:r>
      <w:r w:rsidR="00612A76">
        <w:t>–</w:t>
      </w:r>
      <w:r>
        <w:t>P1 to EIT</w:t>
      </w:r>
      <w:r w:rsidR="00612A76">
        <w:t>–</w:t>
      </w:r>
      <w:r>
        <w:t>EN</w:t>
      </w:r>
      <w:r w:rsidR="00612A76">
        <w:t>–</w:t>
      </w:r>
      <w:r>
        <w:t>P9 while Method EIT</w:t>
      </w:r>
      <w:r w:rsidR="00612A76">
        <w:t>–</w:t>
      </w:r>
      <w:r>
        <w:t>EN</w:t>
      </w:r>
      <w:r w:rsidR="00612A76">
        <w:t>–</w:t>
      </w:r>
      <w:r>
        <w:t>M3 requires ORC and territorial authorities to provide education and information to improve energy efficiency and encourage the adoption of renewable energy sources.</w:t>
      </w:r>
    </w:p>
    <w:p w14:paraId="76CF2A10" w14:textId="77777777" w:rsidR="00E20D7A" w:rsidRDefault="00E20D7A" w:rsidP="00DE069C">
      <w:pPr>
        <w:pStyle w:val="Heading4"/>
      </w:pPr>
      <w:r>
        <w:t>Consultation summary</w:t>
      </w:r>
    </w:p>
    <w:p w14:paraId="74296118" w14:textId="09AAA382" w:rsidR="008271AE" w:rsidRPr="00F66895" w:rsidRDefault="008271AE" w:rsidP="000B61EC">
      <w:pPr>
        <w:pStyle w:val="Heading5"/>
      </w:pPr>
      <w:r w:rsidRPr="00F66895">
        <w:t>Clause 3</w:t>
      </w:r>
      <w:r>
        <w:t xml:space="preserve"> consultation</w:t>
      </w:r>
    </w:p>
    <w:p w14:paraId="727EDBEA" w14:textId="6309FA39" w:rsidR="008271AE" w:rsidRPr="00F66895" w:rsidRDefault="008271AE"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 MERGEFORMAT </w:instrText>
      </w:r>
      <w:r>
        <w:fldChar w:fldCharType="separate"/>
      </w:r>
      <w:r w:rsidR="002A7A16">
        <w:t>2.5.1</w:t>
      </w:r>
      <w:r>
        <w:fldChar w:fldCharType="end"/>
      </w:r>
      <w:r>
        <w:t xml:space="preserve"> of this report. </w:t>
      </w:r>
      <w:r w:rsidRPr="002A4427">
        <w:t>Ten parties</w:t>
      </w:r>
      <w:r>
        <w:t xml:space="preserve"> in addition to the reference group provided feedback on the EIT</w:t>
      </w:r>
      <w:r w:rsidR="00422704">
        <w:t>–</w:t>
      </w:r>
      <w:r>
        <w:t xml:space="preserve">EN </w:t>
      </w:r>
      <w:r w:rsidR="00422704">
        <w:t>section</w:t>
      </w:r>
      <w:r>
        <w:t xml:space="preserve"> through clause 3 consultation. </w:t>
      </w:r>
    </w:p>
    <w:p w14:paraId="07C78624" w14:textId="0589E14A" w:rsidR="008271AE" w:rsidRPr="00F66895" w:rsidRDefault="008271AE" w:rsidP="00A247C5">
      <w:pPr>
        <w:pStyle w:val="Normal2"/>
      </w:pPr>
      <w:r>
        <w:t xml:space="preserve">The feedback included support for the general approach of the </w:t>
      </w:r>
      <w:r w:rsidR="00422704">
        <w:t>c</w:t>
      </w:r>
      <w:r>
        <w:t xml:space="preserve">hapter, together with comments that ranged from minor amendments to correct errors or improve clarity of provisions (which were largely accepted by ORC) to a modification of policy approach. This included amendments to improve alignment with superior </w:t>
      </w:r>
      <w:r w:rsidR="00422704">
        <w:t xml:space="preserve">documents and provisions </w:t>
      </w:r>
      <w:r>
        <w:t>(</w:t>
      </w:r>
      <w:proofErr w:type="gramStart"/>
      <w:r>
        <w:t>e</w:t>
      </w:r>
      <w:r w:rsidR="00422704">
        <w:t>.</w:t>
      </w:r>
      <w:r>
        <w:t>g</w:t>
      </w:r>
      <w:r w:rsidR="00422704">
        <w:t>.</w:t>
      </w:r>
      <w:proofErr w:type="gramEnd"/>
      <w:r>
        <w:t xml:space="preserve"> NPSREG matters clarified in relation to EIT</w:t>
      </w:r>
      <w:r w:rsidR="00422704">
        <w:t>–</w:t>
      </w:r>
      <w:r>
        <w:t>EN</w:t>
      </w:r>
      <w:r w:rsidR="00422704">
        <w:t>–</w:t>
      </w:r>
      <w:r>
        <w:t>03). New methods for EIT</w:t>
      </w:r>
      <w:r w:rsidR="00422704">
        <w:t>–</w:t>
      </w:r>
      <w:r>
        <w:t>EN</w:t>
      </w:r>
      <w:r w:rsidR="00422704">
        <w:t>–</w:t>
      </w:r>
      <w:r>
        <w:t>M2 were included to address development of new renewable energy generation in district plans.</w:t>
      </w:r>
    </w:p>
    <w:p w14:paraId="0C71B65F" w14:textId="327AB505" w:rsidR="008271AE" w:rsidRPr="00F66895" w:rsidRDefault="008271AE" w:rsidP="00A247C5">
      <w:pPr>
        <w:pStyle w:val="Normal2"/>
      </w:pPr>
      <w:r>
        <w:t>Matters that materially changed the intended strength of provisions (e</w:t>
      </w:r>
      <w:r w:rsidR="00422704">
        <w:t>.</w:t>
      </w:r>
      <w:r>
        <w:t>g</w:t>
      </w:r>
      <w:r w:rsidR="00422704">
        <w:t>.</w:t>
      </w:r>
      <w:r>
        <w:t xml:space="preserve"> addition</w:t>
      </w:r>
      <w:r w:rsidR="009F5CA4">
        <w:t>al</w:t>
      </w:r>
      <w:r>
        <w:t xml:space="preserve"> offsetting measures under EIT</w:t>
      </w:r>
      <w:r w:rsidR="00422704">
        <w:t>–</w:t>
      </w:r>
      <w:r>
        <w:t>EN</w:t>
      </w:r>
      <w:r w:rsidR="00422704">
        <w:t>–</w:t>
      </w:r>
      <w:r>
        <w:t>P6; changing EIT</w:t>
      </w:r>
      <w:r w:rsidR="00422704">
        <w:t>–</w:t>
      </w:r>
      <w:r>
        <w:t>EN</w:t>
      </w:r>
      <w:r w:rsidR="00422704">
        <w:t>–</w:t>
      </w:r>
      <w:r>
        <w:t>P5 from ‘avoid’ to ‘avoid as far as practical’); or reduced coverage (e</w:t>
      </w:r>
      <w:r w:rsidR="00422704">
        <w:t>.</w:t>
      </w:r>
      <w:r>
        <w:t>g</w:t>
      </w:r>
      <w:r w:rsidR="00422704">
        <w:t>.</w:t>
      </w:r>
      <w:r>
        <w:t xml:space="preserve"> not considering multi-modal transport options in rural residential locations under EIT</w:t>
      </w:r>
      <w:r w:rsidR="00422704">
        <w:t>–</w:t>
      </w:r>
      <w:r>
        <w:t>EN</w:t>
      </w:r>
      <w:r w:rsidR="00422704">
        <w:t>–</w:t>
      </w:r>
      <w:r>
        <w:t xml:space="preserve">M2); or would compromise the necessary consideration </w:t>
      </w:r>
      <w:r w:rsidR="00A81941">
        <w:t>of</w:t>
      </w:r>
      <w:r>
        <w:t xml:space="preserve"> the facts of individual circumstances of a proposal</w:t>
      </w:r>
      <w:r w:rsidR="009F5CA4">
        <w:t xml:space="preserve"> </w:t>
      </w:r>
      <w:r>
        <w:t xml:space="preserve">and weighing of evidence, were not amended unless there was a reason for amendment based on superior provisions. </w:t>
      </w:r>
    </w:p>
    <w:p w14:paraId="016E2332" w14:textId="3472072A" w:rsidR="008271AE" w:rsidRDefault="008271AE" w:rsidP="00A247C5">
      <w:pPr>
        <w:pStyle w:val="Normal2"/>
      </w:pPr>
      <w:r>
        <w:t>Provision suggestions that did not contribute to clarity, were contrary to superior provisions (</w:t>
      </w:r>
      <w:proofErr w:type="spellStart"/>
      <w:proofErr w:type="gramStart"/>
      <w:r>
        <w:t>eg</w:t>
      </w:r>
      <w:proofErr w:type="spellEnd"/>
      <w:proofErr w:type="gramEnd"/>
      <w:r>
        <w:t xml:space="preserve"> National Policy Statements)</w:t>
      </w:r>
      <w:r w:rsidR="00902AC3">
        <w:t>,</w:t>
      </w:r>
      <w:r>
        <w:t xml:space="preserve"> contrary to case law, or were redundant (</w:t>
      </w:r>
      <w:proofErr w:type="spellStart"/>
      <w:r>
        <w:t>eg</w:t>
      </w:r>
      <w:proofErr w:type="spellEnd"/>
      <w:r>
        <w:t xml:space="preserve"> by being already addressed through definitions or by superior provisions) were not amended except for clarification purposes.  </w:t>
      </w:r>
    </w:p>
    <w:p w14:paraId="2C2A3C2D" w14:textId="592F5F92" w:rsidR="008271AE" w:rsidRDefault="008271AE" w:rsidP="000B61EC">
      <w:pPr>
        <w:pStyle w:val="Heading5"/>
      </w:pPr>
      <w:r>
        <w:t>Clause 4A consultation</w:t>
      </w:r>
    </w:p>
    <w:p w14:paraId="01B1846E" w14:textId="287F5CD5" w:rsidR="001021FB" w:rsidRDefault="00D92894" w:rsidP="00A247C5">
      <w:pPr>
        <w:pStyle w:val="Normal2"/>
      </w:pPr>
      <w:r w:rsidRPr="00D92894">
        <w:t xml:space="preserve">Feedback via Clause 4A consultation was generally supportive of the objectives, </w:t>
      </w:r>
      <w:proofErr w:type="gramStart"/>
      <w:r w:rsidRPr="00D92894">
        <w:t>policies</w:t>
      </w:r>
      <w:proofErr w:type="gramEnd"/>
      <w:r w:rsidRPr="00D92894">
        <w:t xml:space="preserve"> and methods of the EIT chapter, with two suggestions for improvements in the energy sub-chapter. These have been implemented</w:t>
      </w:r>
      <w:r w:rsidR="001021FB">
        <w:t>.</w:t>
      </w:r>
    </w:p>
    <w:p w14:paraId="3C5C9910" w14:textId="77777777" w:rsidR="004844EC" w:rsidRDefault="004844EC" w:rsidP="00A247C5">
      <w:pPr>
        <w:pStyle w:val="Normal2"/>
      </w:pPr>
      <w:r>
        <w:t xml:space="preserve">The main areas of substantive feedback related to </w:t>
      </w:r>
    </w:p>
    <w:p w14:paraId="4768D4BA" w14:textId="36230BF5" w:rsidR="004844EC" w:rsidRPr="0011512F" w:rsidRDefault="004844EC" w:rsidP="00A247C5">
      <w:pPr>
        <w:pStyle w:val="Normal3"/>
        <w:rPr>
          <w:rStyle w:val="normaltextrun"/>
        </w:rPr>
      </w:pPr>
      <w:r>
        <w:t xml:space="preserve">inclusion of </w:t>
      </w:r>
      <w:r>
        <w:rPr>
          <w:rStyle w:val="normaltextrun"/>
          <w:rFonts w:ascii="Calibri" w:hAnsi="Calibri" w:cs="Calibri"/>
          <w:color w:val="000000"/>
          <w:bdr w:val="none" w:sz="0" w:space="0" w:color="auto" w:frame="1"/>
        </w:rPr>
        <w:t>mana whenua value</w:t>
      </w:r>
      <w:r w:rsidR="009F5CA4">
        <w:rPr>
          <w:rStyle w:val="normaltextrun"/>
          <w:rFonts w:ascii="Calibri" w:hAnsi="Calibri" w:cs="Calibri"/>
          <w:color w:val="000000"/>
          <w:bdr w:val="none" w:sz="0" w:space="0" w:color="auto" w:frame="1"/>
        </w:rPr>
        <w:t>s</w:t>
      </w:r>
      <w:r>
        <w:rPr>
          <w:rStyle w:val="normaltextrun"/>
          <w:rFonts w:ascii="Calibri" w:hAnsi="Calibri" w:cs="Calibri"/>
          <w:color w:val="000000"/>
          <w:bdr w:val="none" w:sz="0" w:space="0" w:color="auto" w:frame="1"/>
        </w:rPr>
        <w:t xml:space="preserve"> in EIT</w:t>
      </w:r>
      <w:r w:rsidR="009F5CA4">
        <w:t>–</w:t>
      </w:r>
      <w:r>
        <w:rPr>
          <w:rStyle w:val="normaltextrun"/>
          <w:rFonts w:ascii="Calibri" w:hAnsi="Calibri" w:cs="Calibri"/>
          <w:color w:val="000000"/>
          <w:bdr w:val="none" w:sz="0" w:space="0" w:color="auto" w:frame="1"/>
        </w:rPr>
        <w:t>EN</w:t>
      </w:r>
      <w:r w:rsidR="009F5CA4">
        <w:t>–</w:t>
      </w:r>
      <w:r>
        <w:rPr>
          <w:rStyle w:val="normaltextrun"/>
          <w:rFonts w:ascii="Calibri" w:hAnsi="Calibri" w:cs="Calibri"/>
          <w:color w:val="000000"/>
          <w:bdr w:val="none" w:sz="0" w:space="0" w:color="auto" w:frame="1"/>
        </w:rPr>
        <w:t>P4, and associated references in the methods section for regional and district plans, and</w:t>
      </w:r>
    </w:p>
    <w:p w14:paraId="1BB5BC37" w14:textId="55DF3BC7" w:rsidR="004844EC" w:rsidRDefault="004844EC" w:rsidP="00A247C5">
      <w:pPr>
        <w:pStyle w:val="Normal3"/>
      </w:pPr>
      <w:r>
        <w:rPr>
          <w:rStyle w:val="normaltextrun"/>
          <w:rFonts w:ascii="Calibri" w:hAnsi="Calibri" w:cs="Calibri"/>
          <w:color w:val="000000"/>
          <w:bdr w:val="none" w:sz="0" w:space="0" w:color="auto" w:frame="1"/>
        </w:rPr>
        <w:t>clarification of the meaning of cultural values in EIT</w:t>
      </w:r>
      <w:r w:rsidR="009F5CA4">
        <w:t>–</w:t>
      </w:r>
      <w:r>
        <w:rPr>
          <w:rStyle w:val="normaltextrun"/>
          <w:rFonts w:ascii="Calibri" w:hAnsi="Calibri" w:cs="Calibri"/>
          <w:color w:val="000000"/>
          <w:bdr w:val="none" w:sz="0" w:space="0" w:color="auto" w:frame="1"/>
        </w:rPr>
        <w:t>EN</w:t>
      </w:r>
      <w:r w:rsidR="009F5CA4">
        <w:t>–</w:t>
      </w:r>
      <w:r>
        <w:rPr>
          <w:rStyle w:val="normaltextrun"/>
          <w:rFonts w:ascii="Calibri" w:hAnsi="Calibri" w:cs="Calibri"/>
          <w:color w:val="000000"/>
          <w:bdr w:val="none" w:sz="0" w:space="0" w:color="auto" w:frame="1"/>
        </w:rPr>
        <w:t>PR1.</w:t>
      </w:r>
    </w:p>
    <w:p w14:paraId="6B00AF4E" w14:textId="77777777" w:rsidR="0020107F" w:rsidRDefault="0020107F" w:rsidP="00A247C5">
      <w:pPr>
        <w:pStyle w:val="Normal3"/>
        <w:numPr>
          <w:ilvl w:val="0"/>
          <w:numId w:val="0"/>
        </w:numPr>
        <w:ind w:left="1440"/>
      </w:pPr>
    </w:p>
    <w:p w14:paraId="4A9B85F4" w14:textId="77777777" w:rsidR="00E20D7A" w:rsidRDefault="00E20D7A" w:rsidP="00DE069C">
      <w:pPr>
        <w:pStyle w:val="Heading4"/>
      </w:pPr>
      <w:r>
        <w:t>Efficiency and effectiveness evaluation</w:t>
      </w:r>
    </w:p>
    <w:p w14:paraId="4B6EC67E" w14:textId="01F2A8A0" w:rsidR="00E20D7A" w:rsidRDefault="00367354" w:rsidP="00A247C5">
      <w:pPr>
        <w:pStyle w:val="Normal2"/>
      </w:pPr>
      <w:r>
        <w:fldChar w:fldCharType="begin"/>
      </w:r>
      <w:r>
        <w:instrText xml:space="preserve"> REF _Ref70490471 \h </w:instrText>
      </w:r>
      <w:r>
        <w:fldChar w:fldCharType="separate"/>
      </w:r>
      <w:r w:rsidR="002A7A16">
        <w:t xml:space="preserve">Table </w:t>
      </w:r>
      <w:r w:rsidR="002A7A16">
        <w:rPr>
          <w:noProof/>
        </w:rPr>
        <w:t>41</w:t>
      </w:r>
      <w:r>
        <w:fldChar w:fldCharType="end"/>
      </w:r>
      <w:r w:rsidR="00E20D7A">
        <w:t xml:space="preserve"> below identifies and assesses the benefits and costs of the environmental, cultural, </w:t>
      </w:r>
      <w:proofErr w:type="gramStart"/>
      <w:r w:rsidR="00E20D7A">
        <w:t>social</w:t>
      </w:r>
      <w:proofErr w:type="gramEnd"/>
      <w:r w:rsidR="00E20D7A">
        <w:t xml:space="preserve"> and economic effects that are anticipated from the implementation of the provisions proposed under Option 3 above.</w:t>
      </w:r>
      <w:r w:rsidR="00B94873">
        <w:t xml:space="preserve"> Given the high level that the assessment is undertaken (</w:t>
      </w:r>
      <w:proofErr w:type="gramStart"/>
      <w:r w:rsidR="00B94873">
        <w:t>i.e.</w:t>
      </w:r>
      <w:proofErr w:type="gramEnd"/>
      <w:r w:rsidR="00B94873">
        <w:t xml:space="preserve"> policy level in the regional policy statement), and the uncertainty with how the provisions will </w:t>
      </w:r>
      <w:r w:rsidR="00B94873">
        <w:lastRenderedPageBreak/>
        <w:t xml:space="preserve">be implemented and the direct impacts on project costs, a qualitative assessment has been undertaken.  </w:t>
      </w:r>
    </w:p>
    <w:p w14:paraId="73C1BC57" w14:textId="5E8C4E79" w:rsidR="00E20D7A" w:rsidRDefault="00E20D7A" w:rsidP="00E20D7A">
      <w:pPr>
        <w:pStyle w:val="Caption"/>
        <w:keepNext/>
      </w:pPr>
      <w:bookmarkStart w:id="107" w:name="_Ref70490471"/>
      <w:r>
        <w:t xml:space="preserve">Table </w:t>
      </w:r>
      <w:r>
        <w:fldChar w:fldCharType="begin"/>
      </w:r>
      <w:r>
        <w:instrText>SEQ Table \* ARABIC</w:instrText>
      </w:r>
      <w:r>
        <w:fldChar w:fldCharType="separate"/>
      </w:r>
      <w:r w:rsidR="002A7A16">
        <w:rPr>
          <w:noProof/>
        </w:rPr>
        <w:t>41</w:t>
      </w:r>
      <w:r>
        <w:fldChar w:fldCharType="end"/>
      </w:r>
      <w:bookmarkEnd w:id="107"/>
      <w:r>
        <w:t>: Benefits and costs for energy</w:t>
      </w:r>
    </w:p>
    <w:tbl>
      <w:tblPr>
        <w:tblStyle w:val="ListTable1Light-Accent1"/>
        <w:tblW w:w="0" w:type="auto"/>
        <w:tblLook w:val="04A0" w:firstRow="1" w:lastRow="0" w:firstColumn="1" w:lastColumn="0" w:noHBand="0" w:noVBand="1"/>
      </w:tblPr>
      <w:tblGrid>
        <w:gridCol w:w="4508"/>
        <w:gridCol w:w="4508"/>
      </w:tblGrid>
      <w:tr w:rsidR="00E20D7A" w14:paraId="4665865C" w14:textId="77777777" w:rsidTr="00E20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nil"/>
              <w:right w:val="nil"/>
            </w:tcBorders>
            <w:hideMark/>
          </w:tcPr>
          <w:p w14:paraId="6A635D60" w14:textId="77777777" w:rsidR="00E20D7A" w:rsidRDefault="00E20D7A">
            <w:pPr>
              <w:jc w:val="center"/>
              <w:rPr>
                <w:sz w:val="20"/>
              </w:rPr>
            </w:pPr>
            <w:r>
              <w:rPr>
                <w:sz w:val="20"/>
              </w:rPr>
              <w:t>BENEFITS</w:t>
            </w:r>
          </w:p>
        </w:tc>
        <w:tc>
          <w:tcPr>
            <w:tcW w:w="4508" w:type="dxa"/>
            <w:tcBorders>
              <w:top w:val="nil"/>
              <w:left w:val="nil"/>
              <w:right w:val="nil"/>
            </w:tcBorders>
            <w:hideMark/>
          </w:tcPr>
          <w:p w14:paraId="01020AD0" w14:textId="77777777" w:rsidR="00E20D7A" w:rsidRDefault="00E20D7A">
            <w:pPr>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COSTS</w:t>
            </w:r>
          </w:p>
        </w:tc>
      </w:tr>
      <w:tr w:rsidR="00E20D7A" w14:paraId="19C8A96E"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3FE04520" w14:textId="77777777" w:rsidR="00E20D7A" w:rsidRDefault="00E20D7A">
            <w:pPr>
              <w:jc w:val="center"/>
              <w:rPr>
                <w:sz w:val="20"/>
              </w:rPr>
            </w:pPr>
            <w:r>
              <w:rPr>
                <w:sz w:val="20"/>
              </w:rPr>
              <w:t>Environmental</w:t>
            </w:r>
          </w:p>
        </w:tc>
      </w:tr>
      <w:tr w:rsidR="00E20D7A" w14:paraId="4874BC71" w14:textId="77777777" w:rsidTr="00E20D7A">
        <w:tc>
          <w:tcPr>
            <w:cnfStyle w:val="001000000000" w:firstRow="0" w:lastRow="0" w:firstColumn="1" w:lastColumn="0" w:oddVBand="0" w:evenVBand="0" w:oddHBand="0" w:evenHBand="0" w:firstRowFirstColumn="0" w:firstRowLastColumn="0" w:lastRowFirstColumn="0" w:lastRowLastColumn="0"/>
            <w:tcW w:w="4508" w:type="dxa"/>
            <w:hideMark/>
          </w:tcPr>
          <w:p w14:paraId="42189B68" w14:textId="77777777" w:rsidR="00E20D7A" w:rsidRPr="00E8358C" w:rsidRDefault="00E20D7A" w:rsidP="00621A09">
            <w:pPr>
              <w:pStyle w:val="ListParagraph"/>
              <w:numPr>
                <w:ilvl w:val="0"/>
                <w:numId w:val="36"/>
              </w:numPr>
              <w:spacing w:after="60"/>
              <w:ind w:left="357" w:hanging="357"/>
              <w:jc w:val="both"/>
              <w:rPr>
                <w:b w:val="0"/>
                <w:sz w:val="20"/>
              </w:rPr>
            </w:pPr>
            <w:r>
              <w:rPr>
                <w:b w:val="0"/>
                <w:sz w:val="20"/>
              </w:rPr>
              <w:t xml:space="preserve">Providing for the development of renewable energy generation and preventing non-renewable energy generation activities will </w:t>
            </w:r>
            <w:r w:rsidRPr="00F4303E">
              <w:rPr>
                <w:b w:val="0"/>
                <w:sz w:val="20"/>
              </w:rPr>
              <w:t>reduce reliance on other</w:t>
            </w:r>
            <w:r w:rsidRPr="001B530B">
              <w:rPr>
                <w:b w:val="0"/>
                <w:sz w:val="20"/>
              </w:rPr>
              <w:t xml:space="preserve"> non-renewable energy sources, reducing carbon emissions</w:t>
            </w:r>
            <w:r w:rsidRPr="00E8358C">
              <w:rPr>
                <w:sz w:val="20"/>
              </w:rPr>
              <w:t>.</w:t>
            </w:r>
          </w:p>
          <w:p w14:paraId="450EB255" w14:textId="77777777" w:rsidR="00E20D7A" w:rsidRDefault="00E20D7A" w:rsidP="00621A09">
            <w:pPr>
              <w:pStyle w:val="ListParagraph"/>
              <w:numPr>
                <w:ilvl w:val="0"/>
                <w:numId w:val="36"/>
              </w:numPr>
              <w:spacing w:after="60"/>
              <w:ind w:left="357" w:hanging="357"/>
              <w:jc w:val="both"/>
              <w:rPr>
                <w:b w:val="0"/>
                <w:sz w:val="20"/>
              </w:rPr>
            </w:pPr>
            <w:r>
              <w:rPr>
                <w:b w:val="0"/>
                <w:sz w:val="20"/>
              </w:rPr>
              <w:t xml:space="preserve">More efficient use of energy will result in the ability to better meet demand within the existing network of energy generation and distribution. This will have environmental benefits by reducing the need for additional activities or reduce the resources needed to produce and distribute energy. </w:t>
            </w:r>
          </w:p>
          <w:p w14:paraId="5FDC40A4" w14:textId="77777777" w:rsidR="00E20D7A" w:rsidRDefault="00E20D7A" w:rsidP="00621A09">
            <w:pPr>
              <w:pStyle w:val="ListParagraph"/>
              <w:numPr>
                <w:ilvl w:val="0"/>
                <w:numId w:val="36"/>
              </w:numPr>
              <w:spacing w:after="60"/>
              <w:ind w:left="357" w:hanging="357"/>
              <w:jc w:val="both"/>
              <w:rPr>
                <w:b w:val="0"/>
                <w:sz w:val="20"/>
              </w:rPr>
            </w:pPr>
            <w:r>
              <w:rPr>
                <w:b w:val="0"/>
                <w:sz w:val="20"/>
              </w:rPr>
              <w:t>Sourcing an increasing proportion of energy production and use through domestic renewable energy resources places less reliance on finite (and typically international) fossil fuel resources. Use of fossil fuel resources typically produces greater levels of greenhouse gas emissions than renewable sources and can contribute to greater environmental degradation through extraction and distribution.</w:t>
            </w:r>
          </w:p>
          <w:p w14:paraId="1FA8C4A6" w14:textId="77777777" w:rsidR="00E20D7A" w:rsidRDefault="00E20D7A" w:rsidP="00621A09">
            <w:pPr>
              <w:pStyle w:val="ListParagraph"/>
              <w:numPr>
                <w:ilvl w:val="0"/>
                <w:numId w:val="36"/>
              </w:numPr>
              <w:spacing w:after="60"/>
              <w:ind w:left="357" w:hanging="357"/>
              <w:jc w:val="both"/>
              <w:rPr>
                <w:b w:val="0"/>
                <w:sz w:val="20"/>
              </w:rPr>
            </w:pPr>
            <w:r>
              <w:rPr>
                <w:b w:val="0"/>
                <w:sz w:val="20"/>
              </w:rPr>
              <w:t>Small and community scale energy generation is efficient as there is a limited distribution network, meaning less energy lost in transmission and potentially fewer resources required for distribution.</w:t>
            </w:r>
          </w:p>
        </w:tc>
        <w:tc>
          <w:tcPr>
            <w:tcW w:w="4508" w:type="dxa"/>
            <w:hideMark/>
          </w:tcPr>
          <w:p w14:paraId="288CCB74" w14:textId="77777777"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Option 3 recognises that renewable electricity generation activities have functional or operational needs limiting the location of infrastructure </w:t>
            </w:r>
            <w:r>
              <w:rPr>
                <w:bCs/>
                <w:sz w:val="20"/>
              </w:rPr>
              <w:t>which</w:t>
            </w:r>
            <w:r>
              <w:rPr>
                <w:sz w:val="20"/>
              </w:rPr>
              <w:t xml:space="preserve"> could coincide with areas of significant values. While the policies require consideration of alternatives, offsetting or compensation, there may be significant adverse effects particularly as the PORPS 2021 is more directive about providing for new generation activities.</w:t>
            </w:r>
          </w:p>
          <w:p w14:paraId="3C65EEFE" w14:textId="77777777"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The policy direction for small and community scale energy generation is </w:t>
            </w:r>
            <w:proofErr w:type="gramStart"/>
            <w:r>
              <w:rPr>
                <w:sz w:val="20"/>
              </w:rPr>
              <w:t>fairly permissive</w:t>
            </w:r>
            <w:proofErr w:type="gramEnd"/>
            <w:r>
              <w:rPr>
                <w:sz w:val="20"/>
              </w:rPr>
              <w:t>. There is a risk that there may be cumulative adverse effects on the environment if new activities at that scale increase in number, however that is considered unlikely.</w:t>
            </w:r>
          </w:p>
          <w:p w14:paraId="5D76EC98" w14:textId="359615A1" w:rsidR="006D4A13" w:rsidRDefault="00E20D7A" w:rsidP="00621A09">
            <w:pPr>
              <w:pStyle w:val="ListParagraph"/>
              <w:numPr>
                <w:ilvl w:val="0"/>
                <w:numId w:val="22"/>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Given the importance of energy infrastructure to the wellbeing, health and safety of people and communities, it is necessary to provide for the ongoing operation and maintenance of the infrastructure which is likely to have some adverse effects on the environment. This is mitigated by the policy seeking to minimise those effects as far as practicable.</w:t>
            </w:r>
            <w:r w:rsidR="00477D23">
              <w:rPr>
                <w:sz w:val="20"/>
              </w:rPr>
              <w:t xml:space="preserve"> </w:t>
            </w:r>
          </w:p>
          <w:p w14:paraId="2D8E558D" w14:textId="5C4A8196" w:rsidR="00E20D7A" w:rsidRDefault="006D4A13"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Environmental costs include</w:t>
            </w:r>
            <w:r w:rsidR="00866708">
              <w:rPr>
                <w:sz w:val="20"/>
              </w:rPr>
              <w:t xml:space="preserve"> </w:t>
            </w:r>
            <w:r w:rsidR="004A5DE8">
              <w:rPr>
                <w:sz w:val="20"/>
              </w:rPr>
              <w:t xml:space="preserve">for example </w:t>
            </w:r>
            <w:r w:rsidR="00866708">
              <w:rPr>
                <w:sz w:val="20"/>
              </w:rPr>
              <w:t>impacts on water flow</w:t>
            </w:r>
            <w:r w:rsidR="00FB741F">
              <w:rPr>
                <w:sz w:val="20"/>
              </w:rPr>
              <w:t xml:space="preserve"> regimes, natural character (including braided river systems),</w:t>
            </w:r>
            <w:r w:rsidR="00866708">
              <w:rPr>
                <w:sz w:val="20"/>
              </w:rPr>
              <w:t xml:space="preserve"> </w:t>
            </w:r>
            <w:r w:rsidR="004A5DE8">
              <w:rPr>
                <w:sz w:val="20"/>
              </w:rPr>
              <w:t xml:space="preserve">ecosystems and indigenous biodiversity, </w:t>
            </w:r>
            <w:proofErr w:type="gramStart"/>
            <w:r w:rsidR="00FB741F">
              <w:rPr>
                <w:sz w:val="20"/>
              </w:rPr>
              <w:t xml:space="preserve">and  </w:t>
            </w:r>
            <w:r w:rsidR="004A5DE8">
              <w:rPr>
                <w:sz w:val="20"/>
              </w:rPr>
              <w:t>natural</w:t>
            </w:r>
            <w:proofErr w:type="gramEnd"/>
            <w:r w:rsidR="004A5DE8">
              <w:rPr>
                <w:sz w:val="20"/>
              </w:rPr>
              <w:t xml:space="preserve"> landscapes</w:t>
            </w:r>
            <w:r w:rsidR="00FB741F">
              <w:rPr>
                <w:sz w:val="20"/>
              </w:rPr>
              <w:t xml:space="preserve"> and features</w:t>
            </w:r>
            <w:r w:rsidR="004A5DE8">
              <w:rPr>
                <w:sz w:val="20"/>
              </w:rPr>
              <w:t>.</w:t>
            </w:r>
          </w:p>
        </w:tc>
      </w:tr>
      <w:tr w:rsidR="00E20D7A" w14:paraId="37EA9794"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416E1A0F" w14:textId="77777777" w:rsidR="00E20D7A" w:rsidRDefault="00E20D7A">
            <w:pPr>
              <w:jc w:val="center"/>
              <w:rPr>
                <w:sz w:val="20"/>
              </w:rPr>
            </w:pPr>
            <w:r>
              <w:rPr>
                <w:sz w:val="20"/>
              </w:rPr>
              <w:t>Cultural</w:t>
            </w:r>
          </w:p>
        </w:tc>
      </w:tr>
      <w:tr w:rsidR="00E20D7A" w14:paraId="6224C4A0" w14:textId="77777777" w:rsidTr="00E20D7A">
        <w:tc>
          <w:tcPr>
            <w:cnfStyle w:val="001000000000" w:firstRow="0" w:lastRow="0" w:firstColumn="1" w:lastColumn="0" w:oddVBand="0" w:evenVBand="0" w:oddHBand="0" w:evenHBand="0" w:firstRowFirstColumn="0" w:firstRowLastColumn="0" w:lastRowFirstColumn="0" w:lastRowLastColumn="0"/>
            <w:tcW w:w="4508" w:type="dxa"/>
          </w:tcPr>
          <w:p w14:paraId="3DC5D258" w14:textId="77777777" w:rsidR="00E20D7A" w:rsidRDefault="00E20D7A" w:rsidP="004806D3">
            <w:pPr>
              <w:pStyle w:val="ListParagraph"/>
              <w:numPr>
                <w:ilvl w:val="0"/>
                <w:numId w:val="36"/>
              </w:numPr>
              <w:jc w:val="both"/>
              <w:rPr>
                <w:b w:val="0"/>
                <w:sz w:val="20"/>
              </w:rPr>
            </w:pPr>
            <w:r>
              <w:rPr>
                <w:b w:val="0"/>
                <w:sz w:val="20"/>
              </w:rPr>
              <w:t xml:space="preserve"> The policies include direction to prioritise avoiding locating activities within highly valued areas, including those of significance to mana whenua (for example, </w:t>
            </w:r>
            <w:proofErr w:type="spellStart"/>
            <w:r>
              <w:rPr>
                <w:b w:val="0"/>
                <w:sz w:val="20"/>
              </w:rPr>
              <w:t>wāhi</w:t>
            </w:r>
            <w:proofErr w:type="spellEnd"/>
            <w:r>
              <w:rPr>
                <w:b w:val="0"/>
                <w:sz w:val="20"/>
              </w:rPr>
              <w:t xml:space="preserve"> tūpuna). This will assist with protecting resources of significance to mana whenua and provide for consideration of cultural values.</w:t>
            </w:r>
          </w:p>
          <w:p w14:paraId="6923620B" w14:textId="77777777" w:rsidR="00E20D7A" w:rsidRDefault="00E20D7A">
            <w:pPr>
              <w:pStyle w:val="ListParagraph"/>
              <w:ind w:left="360"/>
              <w:jc w:val="both"/>
              <w:rPr>
                <w:b w:val="0"/>
                <w:sz w:val="20"/>
              </w:rPr>
            </w:pPr>
          </w:p>
        </w:tc>
        <w:tc>
          <w:tcPr>
            <w:tcW w:w="4508" w:type="dxa"/>
            <w:hideMark/>
          </w:tcPr>
          <w:p w14:paraId="0D75254D" w14:textId="77777777" w:rsidR="00E20D7A" w:rsidRDefault="00E20D7A" w:rsidP="004806D3">
            <w:pPr>
              <w:pStyle w:val="ListParagraph"/>
              <w:numPr>
                <w:ilvl w:val="0"/>
                <w:numId w:val="36"/>
              </w:numPr>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Due to the locational constraints for renewable electricity generation </w:t>
            </w:r>
            <w:proofErr w:type="gramStart"/>
            <w:r>
              <w:rPr>
                <w:sz w:val="20"/>
              </w:rPr>
              <w:t>activities</w:t>
            </w:r>
            <w:proofErr w:type="gramEnd"/>
            <w:r>
              <w:rPr>
                <w:sz w:val="20"/>
              </w:rPr>
              <w:t xml:space="preserve"> it is possible there may be adverse effects on places or areas of significance to Kāi </w:t>
            </w:r>
            <w:proofErr w:type="spellStart"/>
            <w:r>
              <w:rPr>
                <w:sz w:val="20"/>
              </w:rPr>
              <w:t>Tahu</w:t>
            </w:r>
            <w:proofErr w:type="spellEnd"/>
            <w:r>
              <w:rPr>
                <w:sz w:val="20"/>
              </w:rPr>
              <w:t xml:space="preserve">. </w:t>
            </w:r>
          </w:p>
        </w:tc>
      </w:tr>
      <w:tr w:rsidR="00E20D7A" w14:paraId="61A3DBCD"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37981D2B" w14:textId="77777777" w:rsidR="00E20D7A" w:rsidRDefault="00E20D7A">
            <w:pPr>
              <w:jc w:val="center"/>
              <w:rPr>
                <w:sz w:val="20"/>
              </w:rPr>
            </w:pPr>
            <w:r>
              <w:rPr>
                <w:sz w:val="20"/>
              </w:rPr>
              <w:t>Social</w:t>
            </w:r>
          </w:p>
        </w:tc>
      </w:tr>
      <w:tr w:rsidR="00E20D7A" w14:paraId="353F0AB0" w14:textId="77777777" w:rsidTr="00E20D7A">
        <w:tc>
          <w:tcPr>
            <w:cnfStyle w:val="001000000000" w:firstRow="0" w:lastRow="0" w:firstColumn="1" w:lastColumn="0" w:oddVBand="0" w:evenVBand="0" w:oddHBand="0" w:evenHBand="0" w:firstRowFirstColumn="0" w:firstRowLastColumn="0" w:lastRowFirstColumn="0" w:lastRowLastColumn="0"/>
            <w:tcW w:w="4508" w:type="dxa"/>
            <w:hideMark/>
          </w:tcPr>
          <w:p w14:paraId="663437DD" w14:textId="77777777" w:rsidR="00E20D7A" w:rsidRDefault="00E20D7A" w:rsidP="00621A09">
            <w:pPr>
              <w:pStyle w:val="ListParagraph"/>
              <w:numPr>
                <w:ilvl w:val="0"/>
                <w:numId w:val="36"/>
              </w:numPr>
              <w:spacing w:after="60"/>
              <w:ind w:left="357" w:hanging="357"/>
              <w:jc w:val="both"/>
              <w:rPr>
                <w:bCs w:val="0"/>
                <w:sz w:val="20"/>
              </w:rPr>
            </w:pPr>
            <w:r>
              <w:rPr>
                <w:b w:val="0"/>
                <w:bCs w:val="0"/>
                <w:sz w:val="20"/>
              </w:rPr>
              <w:t xml:space="preserve">The PORPS 2021 includes more directive guidance to recognise the importance of renewable energy generation activities ensuring that the ongoing operation and maintenance of existing infrastructure is protected to provide for the health and safety and social wellbeing of Otago communities. </w:t>
            </w:r>
          </w:p>
          <w:p w14:paraId="7C5004CE" w14:textId="77777777" w:rsidR="00E20D7A" w:rsidRDefault="00E20D7A" w:rsidP="00621A09">
            <w:pPr>
              <w:pStyle w:val="ListParagraph"/>
              <w:numPr>
                <w:ilvl w:val="0"/>
                <w:numId w:val="36"/>
              </w:numPr>
              <w:spacing w:after="60"/>
              <w:ind w:left="357" w:hanging="357"/>
              <w:jc w:val="both"/>
              <w:rPr>
                <w:b w:val="0"/>
                <w:sz w:val="20"/>
              </w:rPr>
            </w:pPr>
            <w:r>
              <w:rPr>
                <w:b w:val="0"/>
                <w:sz w:val="20"/>
              </w:rPr>
              <w:t xml:space="preserve">Providing for small and community scale energy generation allows people and communities to provide for their energy needs without relying on </w:t>
            </w:r>
            <w:r>
              <w:rPr>
                <w:b w:val="0"/>
                <w:sz w:val="20"/>
              </w:rPr>
              <w:lastRenderedPageBreak/>
              <w:t xml:space="preserve">large energy providers or national infrastructure, supporting their wellbeing and health and safety. </w:t>
            </w:r>
          </w:p>
          <w:p w14:paraId="24D545C7" w14:textId="77777777" w:rsidR="00E20D7A" w:rsidRDefault="00E20D7A" w:rsidP="00621A09">
            <w:pPr>
              <w:pStyle w:val="ListParagraph"/>
              <w:numPr>
                <w:ilvl w:val="0"/>
                <w:numId w:val="36"/>
              </w:numPr>
              <w:jc w:val="both"/>
              <w:rPr>
                <w:b w:val="0"/>
                <w:bCs w:val="0"/>
                <w:sz w:val="20"/>
              </w:rPr>
            </w:pPr>
            <w:r>
              <w:rPr>
                <w:b w:val="0"/>
                <w:bCs w:val="0"/>
                <w:sz w:val="20"/>
              </w:rPr>
              <w:t>A secure and reliable energy supply is a fundamental requirement for enabling people and communities to provide for their wellbeing. It will also support continuing employment opportunities for those already working in the industry in Otago.</w:t>
            </w:r>
          </w:p>
        </w:tc>
        <w:tc>
          <w:tcPr>
            <w:tcW w:w="4508" w:type="dxa"/>
            <w:hideMark/>
          </w:tcPr>
          <w:p w14:paraId="24E2AF59" w14:textId="77777777"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lastRenderedPageBreak/>
              <w:t xml:space="preserve">The provisions include a requirement to manage other activities to protect renewable energy generation activities which may reduce the potential uses of land close to this infrastructure. This is slightly more directive than the status quo as it relates to reverse sensitivity and activities that may </w:t>
            </w:r>
            <w:r>
              <w:rPr>
                <w:sz w:val="20"/>
              </w:rPr>
              <w:t>compromise</w:t>
            </w:r>
            <w:r>
              <w:rPr>
                <w:bCs/>
                <w:sz w:val="20"/>
              </w:rPr>
              <w:t xml:space="preserve"> the operation or maintenance of renewable energy generation activities. </w:t>
            </w:r>
          </w:p>
          <w:p w14:paraId="276DAAD2" w14:textId="77777777"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t xml:space="preserve">There may be social costs if there is an increase in renewable energy generation. For example, </w:t>
            </w:r>
            <w:r>
              <w:rPr>
                <w:bCs/>
                <w:sz w:val="20"/>
              </w:rPr>
              <w:lastRenderedPageBreak/>
              <w:t xml:space="preserve">water diverted from a river to generate electricity may </w:t>
            </w:r>
            <w:r>
              <w:rPr>
                <w:sz w:val="20"/>
              </w:rPr>
              <w:t>limit</w:t>
            </w:r>
            <w:r>
              <w:rPr>
                <w:bCs/>
                <w:sz w:val="20"/>
              </w:rPr>
              <w:t xml:space="preserve"> the diversity of flows available to recreational users such as kayakers.</w:t>
            </w:r>
          </w:p>
        </w:tc>
      </w:tr>
      <w:tr w:rsidR="00E20D7A" w14:paraId="192E9990"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4E89D7F4" w14:textId="77777777" w:rsidR="00E20D7A" w:rsidRDefault="00E20D7A">
            <w:pPr>
              <w:jc w:val="center"/>
              <w:rPr>
                <w:sz w:val="20"/>
              </w:rPr>
            </w:pPr>
            <w:r>
              <w:rPr>
                <w:sz w:val="20"/>
              </w:rPr>
              <w:lastRenderedPageBreak/>
              <w:t>Economic</w:t>
            </w:r>
          </w:p>
        </w:tc>
      </w:tr>
      <w:tr w:rsidR="00E20D7A" w14:paraId="1134F8EF" w14:textId="77777777" w:rsidTr="00E20D7A">
        <w:tc>
          <w:tcPr>
            <w:cnfStyle w:val="001000000000" w:firstRow="0" w:lastRow="0" w:firstColumn="1" w:lastColumn="0" w:oddVBand="0" w:evenVBand="0" w:oddHBand="0" w:evenHBand="0" w:firstRowFirstColumn="0" w:firstRowLastColumn="0" w:lastRowFirstColumn="0" w:lastRowLastColumn="0"/>
            <w:tcW w:w="4508" w:type="dxa"/>
            <w:hideMark/>
          </w:tcPr>
          <w:p w14:paraId="2BC5EEB3" w14:textId="77777777" w:rsidR="00E20D7A" w:rsidRDefault="00E20D7A" w:rsidP="00621A09">
            <w:pPr>
              <w:pStyle w:val="ListParagraph"/>
              <w:numPr>
                <w:ilvl w:val="0"/>
                <w:numId w:val="36"/>
              </w:numPr>
              <w:spacing w:after="60"/>
              <w:jc w:val="both"/>
              <w:rPr>
                <w:b w:val="0"/>
                <w:sz w:val="20"/>
              </w:rPr>
            </w:pPr>
            <w:r>
              <w:rPr>
                <w:b w:val="0"/>
                <w:sz w:val="20"/>
              </w:rPr>
              <w:t>Enabling the ongoing operation and maintenance of existing renewable energy activities and providing for the development of new infrastructure supports the existing local economy and will enable regional economic growth.</w:t>
            </w:r>
          </w:p>
          <w:p w14:paraId="63630425" w14:textId="77777777" w:rsidR="00E20D7A" w:rsidRDefault="00E20D7A" w:rsidP="00621A09">
            <w:pPr>
              <w:pStyle w:val="ListParagraph"/>
              <w:numPr>
                <w:ilvl w:val="0"/>
                <w:numId w:val="36"/>
              </w:numPr>
              <w:spacing w:after="60"/>
              <w:jc w:val="both"/>
              <w:rPr>
                <w:b w:val="0"/>
                <w:sz w:val="20"/>
              </w:rPr>
            </w:pPr>
            <w:r>
              <w:rPr>
                <w:b w:val="0"/>
                <w:sz w:val="20"/>
              </w:rPr>
              <w:t>Maximising the use of existing renewable electricity generation assets and using energy efficiency ensures expenditure on new infrastructure is only required when demand necessitates.</w:t>
            </w:r>
          </w:p>
          <w:p w14:paraId="68A2E557" w14:textId="35EDA36C" w:rsidR="00E20D7A" w:rsidRDefault="00E20D7A" w:rsidP="00621A09">
            <w:pPr>
              <w:pStyle w:val="ListParagraph"/>
              <w:numPr>
                <w:ilvl w:val="0"/>
                <w:numId w:val="36"/>
              </w:numPr>
              <w:spacing w:after="60"/>
              <w:jc w:val="both"/>
              <w:rPr>
                <w:b w:val="0"/>
                <w:sz w:val="20"/>
              </w:rPr>
            </w:pPr>
            <w:r>
              <w:rPr>
                <w:b w:val="0"/>
                <w:sz w:val="20"/>
              </w:rPr>
              <w:t>Clearer policy direction will reduce implementation costs when preparing draft regional or district plans</w:t>
            </w:r>
            <w:r w:rsidR="009D72F6">
              <w:rPr>
                <w:b w:val="0"/>
                <w:sz w:val="20"/>
              </w:rPr>
              <w:t>, which support</w:t>
            </w:r>
            <w:r w:rsidR="00B776EA">
              <w:rPr>
                <w:b w:val="0"/>
                <w:sz w:val="20"/>
              </w:rPr>
              <w:t>s</w:t>
            </w:r>
            <w:r w:rsidR="009D72F6">
              <w:rPr>
                <w:b w:val="0"/>
                <w:sz w:val="20"/>
              </w:rPr>
              <w:t xml:space="preserve"> investment certainty.</w:t>
            </w:r>
          </w:p>
          <w:p w14:paraId="4C453C02" w14:textId="77777777" w:rsidR="00E20D7A" w:rsidRDefault="00E20D7A" w:rsidP="00621A09">
            <w:pPr>
              <w:pStyle w:val="ListParagraph"/>
              <w:numPr>
                <w:ilvl w:val="0"/>
                <w:numId w:val="36"/>
              </w:numPr>
              <w:spacing w:after="60"/>
              <w:jc w:val="both"/>
              <w:rPr>
                <w:b w:val="0"/>
                <w:sz w:val="20"/>
              </w:rPr>
            </w:pPr>
            <w:r>
              <w:rPr>
                <w:b w:val="0"/>
                <w:sz w:val="20"/>
              </w:rPr>
              <w:t>The policies encourage resilience in energy supply, particularly by supporting small and community scale energy generation, which will assist with reducing the economic effects of events such as floods or snow fall which may affect normal infrastructure networks.</w:t>
            </w:r>
          </w:p>
          <w:p w14:paraId="171BE6CE" w14:textId="77777777" w:rsidR="00E20D7A" w:rsidRDefault="00E20D7A" w:rsidP="00621A09">
            <w:pPr>
              <w:pStyle w:val="ListParagraph"/>
              <w:numPr>
                <w:ilvl w:val="0"/>
                <w:numId w:val="36"/>
              </w:numPr>
              <w:spacing w:after="60"/>
              <w:jc w:val="both"/>
              <w:rPr>
                <w:b w:val="0"/>
                <w:sz w:val="20"/>
              </w:rPr>
            </w:pPr>
            <w:r>
              <w:rPr>
                <w:b w:val="0"/>
                <w:sz w:val="20"/>
              </w:rPr>
              <w:t>People and communities may benefit economically if they are able to produce energy at a cheaper rate than a national provider.</w:t>
            </w:r>
          </w:p>
          <w:p w14:paraId="50216498" w14:textId="060C40C0" w:rsidR="004744E0" w:rsidRPr="004744E0" w:rsidRDefault="00E20D7A" w:rsidP="00621A09">
            <w:pPr>
              <w:pStyle w:val="ListParagraph"/>
              <w:numPr>
                <w:ilvl w:val="0"/>
                <w:numId w:val="22"/>
              </w:numPr>
              <w:spacing w:after="60"/>
              <w:jc w:val="both"/>
              <w:rPr>
                <w:b w:val="0"/>
                <w:sz w:val="20"/>
              </w:rPr>
            </w:pPr>
            <w:r w:rsidRPr="004744E0">
              <w:rPr>
                <w:b w:val="0"/>
                <w:sz w:val="20"/>
              </w:rPr>
              <w:t xml:space="preserve">Option 3 provides certainty to generators about how proposals to operate, maintain, develop, </w:t>
            </w:r>
            <w:proofErr w:type="gramStart"/>
            <w:r w:rsidRPr="004744E0">
              <w:rPr>
                <w:b w:val="0"/>
                <w:sz w:val="20"/>
              </w:rPr>
              <w:t>upgrade</w:t>
            </w:r>
            <w:proofErr w:type="gramEnd"/>
            <w:r w:rsidRPr="004744E0">
              <w:rPr>
                <w:b w:val="0"/>
                <w:sz w:val="20"/>
              </w:rPr>
              <w:t xml:space="preserve"> or establish new generation activities </w:t>
            </w:r>
            <w:r w:rsidR="007C17BE" w:rsidRPr="00A012D0">
              <w:rPr>
                <w:b w:val="0"/>
                <w:sz w:val="20"/>
              </w:rPr>
              <w:t xml:space="preserve">to </w:t>
            </w:r>
            <w:r w:rsidRPr="00A012D0">
              <w:rPr>
                <w:b w:val="0"/>
                <w:sz w:val="20"/>
              </w:rPr>
              <w:t>be considered under the planning framework</w:t>
            </w:r>
            <w:r w:rsidRPr="004744E0">
              <w:rPr>
                <w:b w:val="0"/>
                <w:sz w:val="20"/>
              </w:rPr>
              <w:t>.</w:t>
            </w:r>
            <w:r w:rsidR="000167CD" w:rsidRPr="004744E0">
              <w:rPr>
                <w:b w:val="0"/>
                <w:sz w:val="20"/>
              </w:rPr>
              <w:t xml:space="preserve"> </w:t>
            </w:r>
            <w:r w:rsidR="007C17BE" w:rsidRPr="005300CE">
              <w:rPr>
                <w:b w:val="0"/>
                <w:sz w:val="20"/>
              </w:rPr>
              <w:t xml:space="preserve">This is </w:t>
            </w:r>
            <w:r w:rsidR="00FD215D" w:rsidRPr="005300CE">
              <w:rPr>
                <w:b w:val="0"/>
                <w:sz w:val="20"/>
              </w:rPr>
              <w:t xml:space="preserve">critical </w:t>
            </w:r>
            <w:r w:rsidR="00A57BE4" w:rsidRPr="005300CE">
              <w:rPr>
                <w:b w:val="0"/>
                <w:sz w:val="20"/>
              </w:rPr>
              <w:t xml:space="preserve">in balancing </w:t>
            </w:r>
            <w:r w:rsidR="00A7291B" w:rsidRPr="005300CE">
              <w:rPr>
                <w:b w:val="0"/>
                <w:sz w:val="20"/>
              </w:rPr>
              <w:t xml:space="preserve">the benefits </w:t>
            </w:r>
            <w:r w:rsidR="00DB299A" w:rsidRPr="005300CE">
              <w:rPr>
                <w:b w:val="0"/>
                <w:sz w:val="20"/>
              </w:rPr>
              <w:t xml:space="preserve">of </w:t>
            </w:r>
            <w:r w:rsidR="00C41EEF">
              <w:rPr>
                <w:b w:val="0"/>
                <w:sz w:val="20"/>
              </w:rPr>
              <w:t>renewable energy generation</w:t>
            </w:r>
            <w:r w:rsidR="00157689" w:rsidRPr="005300CE">
              <w:rPr>
                <w:b w:val="0"/>
                <w:sz w:val="20"/>
              </w:rPr>
              <w:t xml:space="preserve"> </w:t>
            </w:r>
            <w:r w:rsidR="00333C3C" w:rsidRPr="005300CE">
              <w:rPr>
                <w:b w:val="0"/>
                <w:sz w:val="20"/>
              </w:rPr>
              <w:t xml:space="preserve">against </w:t>
            </w:r>
            <w:r w:rsidR="006A20D0" w:rsidRPr="005300CE">
              <w:rPr>
                <w:b w:val="0"/>
                <w:sz w:val="20"/>
              </w:rPr>
              <w:t>its externalities.</w:t>
            </w:r>
            <w:r w:rsidR="004744E0">
              <w:rPr>
                <w:b w:val="0"/>
                <w:sz w:val="20"/>
              </w:rPr>
              <w:t xml:space="preserve"> </w:t>
            </w:r>
            <w:r w:rsidR="00A012D0">
              <w:rPr>
                <w:b w:val="0"/>
                <w:sz w:val="20"/>
              </w:rPr>
              <w:t>R</w:t>
            </w:r>
            <w:r w:rsidR="00C41EEF">
              <w:rPr>
                <w:b w:val="0"/>
                <w:sz w:val="20"/>
              </w:rPr>
              <w:t>enewable energy generation</w:t>
            </w:r>
            <w:r w:rsidR="0064023C" w:rsidRPr="0064023C">
              <w:rPr>
                <w:b w:val="0"/>
                <w:sz w:val="20"/>
              </w:rPr>
              <w:t xml:space="preserve"> is critical to the regional </w:t>
            </w:r>
            <w:r w:rsidR="00F93984">
              <w:rPr>
                <w:b w:val="0"/>
                <w:sz w:val="20"/>
              </w:rPr>
              <w:t xml:space="preserve">and national </w:t>
            </w:r>
            <w:r w:rsidR="0064023C" w:rsidRPr="0064023C">
              <w:rPr>
                <w:b w:val="0"/>
                <w:sz w:val="20"/>
              </w:rPr>
              <w:t xml:space="preserve">economy. </w:t>
            </w:r>
          </w:p>
          <w:p w14:paraId="5A7900FE" w14:textId="57D637A4" w:rsidR="006F3B0A" w:rsidRPr="005300CE" w:rsidRDefault="006F63A3" w:rsidP="00621A09">
            <w:pPr>
              <w:pStyle w:val="ListParagraph"/>
              <w:numPr>
                <w:ilvl w:val="0"/>
                <w:numId w:val="22"/>
              </w:numPr>
              <w:spacing w:after="60"/>
              <w:jc w:val="both"/>
              <w:rPr>
                <w:b w:val="0"/>
                <w:sz w:val="20"/>
              </w:rPr>
            </w:pPr>
            <w:r>
              <w:rPr>
                <w:b w:val="0"/>
                <w:sz w:val="20"/>
              </w:rPr>
              <w:t xml:space="preserve">Employment in the </w:t>
            </w:r>
            <w:r w:rsidR="007A7610">
              <w:rPr>
                <w:b w:val="0"/>
                <w:sz w:val="20"/>
              </w:rPr>
              <w:t xml:space="preserve">energy </w:t>
            </w:r>
            <w:r w:rsidR="005D2FDE">
              <w:rPr>
                <w:b w:val="0"/>
                <w:sz w:val="20"/>
              </w:rPr>
              <w:t xml:space="preserve">generation </w:t>
            </w:r>
            <w:r w:rsidR="007A7610">
              <w:rPr>
                <w:b w:val="0"/>
                <w:sz w:val="20"/>
              </w:rPr>
              <w:t xml:space="preserve">sector is not </w:t>
            </w:r>
            <w:r w:rsidR="004C3106">
              <w:rPr>
                <w:b w:val="0"/>
                <w:sz w:val="20"/>
              </w:rPr>
              <w:t>expected to be materially impacted</w:t>
            </w:r>
            <w:r w:rsidR="005507E4">
              <w:rPr>
                <w:b w:val="0"/>
                <w:sz w:val="20"/>
              </w:rPr>
              <w:t xml:space="preserve">.  Employment in the </w:t>
            </w:r>
            <w:r w:rsidR="00AB416F">
              <w:rPr>
                <w:b w:val="0"/>
                <w:sz w:val="20"/>
              </w:rPr>
              <w:t>environmental sector could be expected to increase</w:t>
            </w:r>
            <w:r w:rsidR="005C5924">
              <w:rPr>
                <w:b w:val="0"/>
                <w:sz w:val="20"/>
              </w:rPr>
              <w:t xml:space="preserve"> if</w:t>
            </w:r>
            <w:r w:rsidR="00CA635B">
              <w:rPr>
                <w:b w:val="0"/>
                <w:sz w:val="20"/>
              </w:rPr>
              <w:t xml:space="preserve"> measures </w:t>
            </w:r>
            <w:r w:rsidR="005C5924">
              <w:rPr>
                <w:b w:val="0"/>
                <w:sz w:val="20"/>
              </w:rPr>
              <w:t>are</w:t>
            </w:r>
            <w:r w:rsidR="00CA635B">
              <w:rPr>
                <w:b w:val="0"/>
                <w:sz w:val="20"/>
              </w:rPr>
              <w:t xml:space="preserve"> required to avoid</w:t>
            </w:r>
            <w:r w:rsidR="00F06D32">
              <w:rPr>
                <w:b w:val="0"/>
                <w:sz w:val="20"/>
              </w:rPr>
              <w:t xml:space="preserve">, </w:t>
            </w:r>
            <w:r w:rsidR="00ED41EB">
              <w:rPr>
                <w:b w:val="0"/>
                <w:sz w:val="20"/>
              </w:rPr>
              <w:t>manage</w:t>
            </w:r>
            <w:r w:rsidR="005D2FDE">
              <w:rPr>
                <w:b w:val="0"/>
                <w:sz w:val="20"/>
              </w:rPr>
              <w:t xml:space="preserve"> activities</w:t>
            </w:r>
            <w:r w:rsidR="00ED41EB" w:rsidRPr="005300CE">
              <w:rPr>
                <w:b w:val="0"/>
                <w:sz w:val="20"/>
              </w:rPr>
              <w:t>,</w:t>
            </w:r>
            <w:r w:rsidR="00F06D32">
              <w:rPr>
                <w:b w:val="0"/>
                <w:sz w:val="20"/>
              </w:rPr>
              <w:t xml:space="preserve"> or implement</w:t>
            </w:r>
            <w:r w:rsidR="00A36E58">
              <w:rPr>
                <w:b w:val="0"/>
                <w:sz w:val="20"/>
              </w:rPr>
              <w:t xml:space="preserve"> </w:t>
            </w:r>
            <w:r w:rsidR="00540CE9">
              <w:rPr>
                <w:b w:val="0"/>
                <w:sz w:val="20"/>
              </w:rPr>
              <w:t>offsetting or compensation measures.</w:t>
            </w:r>
          </w:p>
          <w:p w14:paraId="74ED3F36" w14:textId="08F479B4" w:rsidR="00A012D0" w:rsidRPr="00D57F92" w:rsidRDefault="00941032" w:rsidP="00621A09">
            <w:pPr>
              <w:pStyle w:val="ListParagraph"/>
              <w:numPr>
                <w:ilvl w:val="0"/>
                <w:numId w:val="22"/>
              </w:numPr>
              <w:spacing w:after="60"/>
              <w:jc w:val="both"/>
              <w:rPr>
                <w:b w:val="0"/>
                <w:sz w:val="20"/>
              </w:rPr>
            </w:pPr>
            <w:r>
              <w:rPr>
                <w:b w:val="0"/>
                <w:sz w:val="20"/>
              </w:rPr>
              <w:t>There can</w:t>
            </w:r>
            <w:r w:rsidR="009F5CA4">
              <w:rPr>
                <w:b w:val="0"/>
                <w:sz w:val="20"/>
              </w:rPr>
              <w:t xml:space="preserve"> </w:t>
            </w:r>
            <w:r w:rsidR="009F5CA4">
              <w:rPr>
                <w:b w:val="0"/>
                <w:bCs w:val="0"/>
                <w:sz w:val="20"/>
              </w:rPr>
              <w:t>be</w:t>
            </w:r>
            <w:r>
              <w:rPr>
                <w:b w:val="0"/>
                <w:sz w:val="20"/>
              </w:rPr>
              <w:t xml:space="preserve"> economic benefits through protection</w:t>
            </w:r>
            <w:r w:rsidR="00C65ADB">
              <w:rPr>
                <w:b w:val="0"/>
                <w:sz w:val="20"/>
              </w:rPr>
              <w:t xml:space="preserve">, and responsible management of natural </w:t>
            </w:r>
            <w:r w:rsidR="00A012D0">
              <w:rPr>
                <w:b w:val="0"/>
                <w:sz w:val="20"/>
              </w:rPr>
              <w:t>resource</w:t>
            </w:r>
            <w:r w:rsidR="00067915">
              <w:rPr>
                <w:b w:val="0"/>
                <w:sz w:val="20"/>
              </w:rPr>
              <w:t>s</w:t>
            </w:r>
            <w:r w:rsidR="00C65ADB">
              <w:rPr>
                <w:b w:val="0"/>
                <w:sz w:val="20"/>
              </w:rPr>
              <w:t xml:space="preserve"> </w:t>
            </w:r>
            <w:r w:rsidR="00333821">
              <w:rPr>
                <w:b w:val="0"/>
                <w:sz w:val="20"/>
              </w:rPr>
              <w:t xml:space="preserve">for example, </w:t>
            </w:r>
            <w:r w:rsidR="00696C41">
              <w:rPr>
                <w:b w:val="0"/>
                <w:sz w:val="20"/>
              </w:rPr>
              <w:t>landscape value to tourism</w:t>
            </w:r>
            <w:r w:rsidR="00067915">
              <w:rPr>
                <w:b w:val="0"/>
                <w:sz w:val="20"/>
              </w:rPr>
              <w:t xml:space="preserve"> and</w:t>
            </w:r>
            <w:r w:rsidR="00696C41">
              <w:rPr>
                <w:b w:val="0"/>
                <w:sz w:val="20"/>
              </w:rPr>
              <w:t xml:space="preserve"> biodiversity increasing agricultural productivity.</w:t>
            </w:r>
          </w:p>
          <w:p w14:paraId="24722AA7" w14:textId="4C9EF952" w:rsidR="00E20D7A" w:rsidRDefault="00A012D0" w:rsidP="00621A09">
            <w:pPr>
              <w:pStyle w:val="ListParagraph"/>
              <w:numPr>
                <w:ilvl w:val="0"/>
                <w:numId w:val="36"/>
              </w:numPr>
              <w:spacing w:after="60"/>
              <w:jc w:val="both"/>
              <w:rPr>
                <w:b w:val="0"/>
                <w:sz w:val="20"/>
              </w:rPr>
            </w:pPr>
            <w:r>
              <w:rPr>
                <w:b w:val="0"/>
                <w:sz w:val="20"/>
              </w:rPr>
              <w:t>Increased contribution of renewable electricity sources will assist with reducing carbon emissions and potentially reduce impacts from climate change, resulting in a more stable economy.</w:t>
            </w:r>
          </w:p>
        </w:tc>
        <w:tc>
          <w:tcPr>
            <w:tcW w:w="4508" w:type="dxa"/>
            <w:hideMark/>
          </w:tcPr>
          <w:p w14:paraId="4ADB1CE3" w14:textId="4B9D76EC"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Option 3 prevents the development of non-renewable energy generation activities which could foreclose economic opportunities</w:t>
            </w:r>
            <w:r w:rsidR="007943FB">
              <w:rPr>
                <w:sz w:val="20"/>
              </w:rPr>
              <w:t xml:space="preserve">, for example </w:t>
            </w:r>
            <w:r w:rsidR="00AF3E75">
              <w:rPr>
                <w:sz w:val="20"/>
              </w:rPr>
              <w:t xml:space="preserve">coal </w:t>
            </w:r>
            <w:r w:rsidR="00D65D2D">
              <w:rPr>
                <w:sz w:val="20"/>
              </w:rPr>
              <w:t xml:space="preserve">or natural gas </w:t>
            </w:r>
            <w:r w:rsidR="00AF3E75">
              <w:rPr>
                <w:sz w:val="20"/>
              </w:rPr>
              <w:t>heating may be cheapest for an institution</w:t>
            </w:r>
            <w:r w:rsidR="00A46438">
              <w:rPr>
                <w:sz w:val="20"/>
              </w:rPr>
              <w:t>al</w:t>
            </w:r>
            <w:r w:rsidR="00AF3E75">
              <w:rPr>
                <w:sz w:val="20"/>
              </w:rPr>
              <w:t xml:space="preserve"> situation (</w:t>
            </w:r>
            <w:proofErr w:type="spellStart"/>
            <w:proofErr w:type="gramStart"/>
            <w:r w:rsidR="00AF3E75">
              <w:rPr>
                <w:sz w:val="20"/>
              </w:rPr>
              <w:t>eg</w:t>
            </w:r>
            <w:proofErr w:type="spellEnd"/>
            <w:proofErr w:type="gramEnd"/>
            <w:r w:rsidR="00AF3E75">
              <w:rPr>
                <w:sz w:val="20"/>
              </w:rPr>
              <w:t xml:space="preserve"> hospital) but has implications for carbon emissions.</w:t>
            </w:r>
          </w:p>
          <w:p w14:paraId="52F01099" w14:textId="134BD077" w:rsidR="00E20D7A" w:rsidRDefault="00E20D7A"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Restricting activities that may cause reverse sensitivity effects on renewable electricity generation activities may have an opportunity cost to landowners</w:t>
            </w:r>
            <w:r w:rsidR="005D74EA">
              <w:rPr>
                <w:sz w:val="20"/>
              </w:rPr>
              <w:t xml:space="preserve"> and/or some </w:t>
            </w:r>
            <w:r w:rsidR="002157A8">
              <w:rPr>
                <w:sz w:val="20"/>
              </w:rPr>
              <w:t>land</w:t>
            </w:r>
            <w:r w:rsidR="00A012D0">
              <w:rPr>
                <w:sz w:val="20"/>
              </w:rPr>
              <w:t xml:space="preserve"> </w:t>
            </w:r>
            <w:r w:rsidR="002157A8">
              <w:rPr>
                <w:sz w:val="20"/>
              </w:rPr>
              <w:t xml:space="preserve">uses or development opportunities may be foreclosed or limited. </w:t>
            </w:r>
          </w:p>
          <w:p w14:paraId="3A2380E6" w14:textId="77777777" w:rsidR="00E20D7A" w:rsidRDefault="00E20D7A" w:rsidP="00621A09">
            <w:pPr>
              <w:pStyle w:val="ListParagraph"/>
              <w:numPr>
                <w:ilvl w:val="0"/>
                <w:numId w:val="22"/>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As Option 3 does not specifically prevent energy generation activities </w:t>
            </w:r>
            <w:proofErr w:type="gramStart"/>
            <w:r>
              <w:rPr>
                <w:sz w:val="20"/>
              </w:rPr>
              <w:t>being located in</w:t>
            </w:r>
            <w:proofErr w:type="gramEnd"/>
            <w:r>
              <w:rPr>
                <w:sz w:val="20"/>
              </w:rPr>
              <w:t xml:space="preserve"> any particular areas, there may be costs to applicants and councils in gathering information and undertaking the necessary assessments through resource consent processes. The scale of this effect will depend on the proposed locations and design of activities.</w:t>
            </w:r>
          </w:p>
          <w:p w14:paraId="5EB99925" w14:textId="72AA0627" w:rsidR="00E20D7A" w:rsidRDefault="00C76458" w:rsidP="00621A09">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There will be increased cost to the </w:t>
            </w:r>
            <w:r w:rsidR="001C24BB">
              <w:rPr>
                <w:sz w:val="20"/>
              </w:rPr>
              <w:t>infrastructure developers</w:t>
            </w:r>
            <w:r w:rsidR="006E099B">
              <w:rPr>
                <w:sz w:val="20"/>
              </w:rPr>
              <w:t xml:space="preserve"> if </w:t>
            </w:r>
            <w:r w:rsidR="006E099B" w:rsidRPr="006E099B">
              <w:rPr>
                <w:sz w:val="20"/>
              </w:rPr>
              <w:t>measures are required to avoid</w:t>
            </w:r>
            <w:r w:rsidR="005D2FDE">
              <w:rPr>
                <w:sz w:val="20"/>
              </w:rPr>
              <w:t xml:space="preserve"> and </w:t>
            </w:r>
            <w:r w:rsidR="006E099B" w:rsidRPr="006E099B">
              <w:rPr>
                <w:sz w:val="20"/>
              </w:rPr>
              <w:t xml:space="preserve">manage </w:t>
            </w:r>
            <w:r w:rsidR="005D2FDE">
              <w:rPr>
                <w:sz w:val="20"/>
              </w:rPr>
              <w:t xml:space="preserve">activities </w:t>
            </w:r>
            <w:r w:rsidR="006E099B" w:rsidRPr="006E099B">
              <w:rPr>
                <w:sz w:val="20"/>
              </w:rPr>
              <w:t xml:space="preserve">or </w:t>
            </w:r>
            <w:r w:rsidR="001C24BB">
              <w:rPr>
                <w:sz w:val="20"/>
              </w:rPr>
              <w:t>require</w:t>
            </w:r>
            <w:r w:rsidR="006E099B" w:rsidRPr="006E099B">
              <w:rPr>
                <w:sz w:val="20"/>
              </w:rPr>
              <w:t xml:space="preserve"> offsetting or compensation measures</w:t>
            </w:r>
            <w:r w:rsidR="001C24BB">
              <w:rPr>
                <w:sz w:val="20"/>
              </w:rPr>
              <w:t>.</w:t>
            </w:r>
          </w:p>
        </w:tc>
      </w:tr>
    </w:tbl>
    <w:p w14:paraId="383EB028" w14:textId="77777777" w:rsidR="00E20D7A" w:rsidRDefault="00E20D7A" w:rsidP="00E20D7A"/>
    <w:p w14:paraId="57F8C55F" w14:textId="57A975B3" w:rsidR="00E20D7A" w:rsidRDefault="00367354" w:rsidP="00E20D7A">
      <w:r>
        <w:fldChar w:fldCharType="begin"/>
      </w:r>
      <w:r>
        <w:instrText xml:space="preserve"> REF _Ref70490490 \h </w:instrText>
      </w:r>
      <w:r>
        <w:fldChar w:fldCharType="separate"/>
      </w:r>
      <w:r w:rsidR="002A7A16">
        <w:t xml:space="preserve">Table </w:t>
      </w:r>
      <w:r w:rsidR="002A7A16">
        <w:rPr>
          <w:noProof/>
        </w:rPr>
        <w:t>42</w:t>
      </w:r>
      <w:r>
        <w:fldChar w:fldCharType="end"/>
      </w:r>
      <w:r w:rsidR="00E20D7A">
        <w:t xml:space="preserve"> below assesses the effectiveness and efficiency of the proposed provisions in achieving the objectives.</w:t>
      </w:r>
    </w:p>
    <w:p w14:paraId="7DB8BB5A" w14:textId="608B7DA0" w:rsidR="00E20D7A" w:rsidRDefault="00E20D7A" w:rsidP="00E20D7A">
      <w:pPr>
        <w:pStyle w:val="Caption"/>
        <w:keepNext/>
      </w:pPr>
      <w:bookmarkStart w:id="108" w:name="_Ref70490490"/>
      <w:r>
        <w:t xml:space="preserve">Table </w:t>
      </w:r>
      <w:r>
        <w:fldChar w:fldCharType="begin"/>
      </w:r>
      <w:r>
        <w:instrText>SEQ Table \* ARABIC</w:instrText>
      </w:r>
      <w:r>
        <w:fldChar w:fldCharType="separate"/>
      </w:r>
      <w:r w:rsidR="002A7A16">
        <w:rPr>
          <w:noProof/>
        </w:rPr>
        <w:t>42</w:t>
      </w:r>
      <w:r>
        <w:fldChar w:fldCharType="end"/>
      </w:r>
      <w:bookmarkEnd w:id="108"/>
      <w:r>
        <w:t>: Efficiency and effectiveness evaluation for energy</w:t>
      </w:r>
    </w:p>
    <w:tbl>
      <w:tblPr>
        <w:tblW w:w="0" w:type="auto"/>
        <w:tblLook w:val="04A0" w:firstRow="1" w:lastRow="0" w:firstColumn="1" w:lastColumn="0" w:noHBand="0" w:noVBand="1"/>
      </w:tblPr>
      <w:tblGrid>
        <w:gridCol w:w="1413"/>
        <w:gridCol w:w="7603"/>
      </w:tblGrid>
      <w:tr w:rsidR="00E20D7A" w14:paraId="254F565F"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32F876D7" w14:textId="77777777" w:rsidR="00E20D7A" w:rsidRDefault="00E20D7A">
            <w:pPr>
              <w:rPr>
                <w:b/>
                <w:sz w:val="20"/>
              </w:rPr>
            </w:pPr>
            <w:r>
              <w:rPr>
                <w:b/>
                <w:sz w:val="20"/>
              </w:rPr>
              <w:t>Efficiency</w:t>
            </w:r>
          </w:p>
        </w:tc>
        <w:tc>
          <w:tcPr>
            <w:tcW w:w="7603" w:type="dxa"/>
            <w:tcBorders>
              <w:top w:val="single" w:sz="4" w:space="0" w:color="C9C9C9" w:themeColor="accent3" w:themeTint="99"/>
              <w:left w:val="nil"/>
              <w:bottom w:val="single" w:sz="4" w:space="0" w:color="C9C9C9" w:themeColor="accent3" w:themeTint="99"/>
              <w:right w:val="nil"/>
            </w:tcBorders>
            <w:hideMark/>
          </w:tcPr>
          <w:p w14:paraId="00F3D56D" w14:textId="65A09709" w:rsidR="00E20D7A" w:rsidRDefault="00E20D7A">
            <w:pPr>
              <w:jc w:val="both"/>
              <w:rPr>
                <w:sz w:val="20"/>
              </w:rPr>
            </w:pPr>
            <w:r>
              <w:rPr>
                <w:sz w:val="20"/>
              </w:rPr>
              <w:t xml:space="preserve">While there are costs associated with the policy approach to provide for the continued operation of existing assets and the development of new renewable electricity activities, these costs are not significantly greater than the status quo and will be outweighed by the benefits. Existing renewable electricity generation activities within the region are significant and ensuring these can continue will have substantial social and economic benefits, supporting economic growth and providing for the health and safety of the Otago community. It is acknowledged that there may be environmental costs of adopting these provisions but there is clear direction in the PORPS 2021 to protect significant values and manage development in sensitive locations.  The PORPS 2021 provisions are drafted in a clearer manner and will therefore be easier to implement reducing uncertainty costs. </w:t>
            </w:r>
          </w:p>
        </w:tc>
      </w:tr>
      <w:tr w:rsidR="00E20D7A" w14:paraId="0B94FCD5"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6FB12E96" w14:textId="77777777" w:rsidR="00E20D7A" w:rsidRDefault="00E20D7A">
            <w:pPr>
              <w:jc w:val="both"/>
              <w:rPr>
                <w:b/>
                <w:sz w:val="20"/>
              </w:rPr>
            </w:pPr>
            <w:r>
              <w:rPr>
                <w:b/>
                <w:sz w:val="20"/>
              </w:rPr>
              <w:t>Effectiveness</w:t>
            </w:r>
          </w:p>
        </w:tc>
        <w:tc>
          <w:tcPr>
            <w:tcW w:w="7603" w:type="dxa"/>
            <w:tcBorders>
              <w:top w:val="single" w:sz="4" w:space="0" w:color="C9C9C9" w:themeColor="accent3" w:themeTint="99"/>
              <w:left w:val="nil"/>
              <w:bottom w:val="single" w:sz="4" w:space="0" w:color="C9C9C9" w:themeColor="accent3" w:themeTint="99"/>
              <w:right w:val="nil"/>
            </w:tcBorders>
            <w:hideMark/>
          </w:tcPr>
          <w:p w14:paraId="7B551F0C" w14:textId="2AAF1912" w:rsidR="00E20D7A" w:rsidRDefault="00E20D7A">
            <w:pPr>
              <w:jc w:val="both"/>
              <w:rPr>
                <w:sz w:val="20"/>
              </w:rPr>
            </w:pPr>
            <w:r>
              <w:rPr>
                <w:sz w:val="20"/>
              </w:rPr>
              <w:t>Option 3 is more effective at achieving the objectives as the provisions set out clearer directions, particularly for the development of new generation activities</w:t>
            </w:r>
            <w:r w:rsidR="00696C41">
              <w:rPr>
                <w:sz w:val="20"/>
              </w:rPr>
              <w:t>. It also</w:t>
            </w:r>
            <w:r>
              <w:rPr>
                <w:sz w:val="20"/>
              </w:rPr>
              <w:t xml:space="preserve"> </w:t>
            </w:r>
            <w:r w:rsidR="006A0FC7">
              <w:rPr>
                <w:sz w:val="20"/>
              </w:rPr>
              <w:t xml:space="preserve">sets </w:t>
            </w:r>
            <w:r>
              <w:rPr>
                <w:sz w:val="20"/>
              </w:rPr>
              <w:t xml:space="preserve">out methods to improve the </w:t>
            </w:r>
            <w:r w:rsidR="00696C41">
              <w:rPr>
                <w:sz w:val="20"/>
              </w:rPr>
              <w:t xml:space="preserve">effective </w:t>
            </w:r>
            <w:r>
              <w:rPr>
                <w:sz w:val="20"/>
              </w:rPr>
              <w:t>use of energy</w:t>
            </w:r>
            <w:r w:rsidR="009F5CA4">
              <w:rPr>
                <w:sz w:val="20"/>
              </w:rPr>
              <w:t>,</w:t>
            </w:r>
            <w:r w:rsidR="00FF62B4">
              <w:rPr>
                <w:sz w:val="20"/>
              </w:rPr>
              <w:t xml:space="preserve"> potentially reducing energy demand</w:t>
            </w:r>
            <w:r w:rsidR="006A0FC7">
              <w:rPr>
                <w:sz w:val="20"/>
              </w:rPr>
              <w:t xml:space="preserve"> and associated economic costs</w:t>
            </w:r>
            <w:r w:rsidR="004B19D1">
              <w:rPr>
                <w:sz w:val="20"/>
              </w:rPr>
              <w:t xml:space="preserve">; </w:t>
            </w:r>
            <w:r w:rsidR="00ED342C">
              <w:rPr>
                <w:sz w:val="20"/>
              </w:rPr>
              <w:t>support</w:t>
            </w:r>
            <w:r w:rsidR="006A0FC7">
              <w:rPr>
                <w:sz w:val="20"/>
              </w:rPr>
              <w:t>s</w:t>
            </w:r>
            <w:r w:rsidR="00ED342C">
              <w:rPr>
                <w:sz w:val="20"/>
              </w:rPr>
              <w:t xml:space="preserve"> a regulatory framework that contributes to reducing carbon emissions; protect</w:t>
            </w:r>
            <w:r w:rsidR="004B19D1">
              <w:rPr>
                <w:sz w:val="20"/>
              </w:rPr>
              <w:t>s</w:t>
            </w:r>
            <w:r w:rsidR="00ED342C">
              <w:rPr>
                <w:sz w:val="20"/>
              </w:rPr>
              <w:t xml:space="preserve"> cultural values; </w:t>
            </w:r>
            <w:r w:rsidR="004B19D1">
              <w:rPr>
                <w:sz w:val="20"/>
              </w:rPr>
              <w:t xml:space="preserve">enhances </w:t>
            </w:r>
            <w:r w:rsidR="00ED342C">
              <w:rPr>
                <w:sz w:val="20"/>
              </w:rPr>
              <w:t xml:space="preserve">community energy security; </w:t>
            </w:r>
            <w:r w:rsidR="004B19D1">
              <w:rPr>
                <w:sz w:val="20"/>
              </w:rPr>
              <w:t xml:space="preserve">enhances </w:t>
            </w:r>
            <w:r w:rsidR="00ED342C">
              <w:rPr>
                <w:sz w:val="20"/>
              </w:rPr>
              <w:t>investment certaint</w:t>
            </w:r>
            <w:r w:rsidR="006848E8">
              <w:rPr>
                <w:sz w:val="20"/>
              </w:rPr>
              <w:t>y</w:t>
            </w:r>
            <w:r w:rsidR="00064871">
              <w:rPr>
                <w:sz w:val="20"/>
              </w:rPr>
              <w:t>;</w:t>
            </w:r>
            <w:r w:rsidR="006848E8">
              <w:rPr>
                <w:sz w:val="20"/>
              </w:rPr>
              <w:t xml:space="preserve"> and </w:t>
            </w:r>
            <w:r w:rsidR="00ED342C">
              <w:rPr>
                <w:sz w:val="20"/>
              </w:rPr>
              <w:t xml:space="preserve">energy resilience.  </w:t>
            </w:r>
          </w:p>
        </w:tc>
      </w:tr>
    </w:tbl>
    <w:p w14:paraId="6DB43963" w14:textId="77777777" w:rsidR="00E20D7A" w:rsidRDefault="00E20D7A" w:rsidP="00DE069C">
      <w:pPr>
        <w:pStyle w:val="Heading4"/>
      </w:pPr>
      <w:r>
        <w:t>Risk of acting or not acting</w:t>
      </w:r>
    </w:p>
    <w:p w14:paraId="360A8C24" w14:textId="7C2DA770" w:rsidR="00E20D7A" w:rsidRDefault="00E20D7A"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 In this case, there is uncertainty about the potential for future renewable generation activities and therefore the likelihood that new infrastructure will be developed. </w:t>
      </w:r>
      <w:r w:rsidR="006C5F8C">
        <w:t xml:space="preserve">However, the risk of not acting could result in not achieving clear actions </w:t>
      </w:r>
      <w:r w:rsidR="009813CF">
        <w:t>for</w:t>
      </w:r>
      <w:r w:rsidR="006C5F8C">
        <w:t xml:space="preserve"> working towards better managing climate change and achieving a national target of 100% renewable electricity generation. </w:t>
      </w:r>
      <w:r w:rsidR="00B2324F">
        <w:t>There are also risks to existing infrastructure if reverse sensitivity effects are not appropriately managed, such as restrictions on their operation.</w:t>
      </w:r>
      <w:r w:rsidR="006C5F8C">
        <w:t xml:space="preserve"> As such, it is considered appropriate to implement the provisions notwithstanding this uncertainty.</w:t>
      </w:r>
      <w:r w:rsidR="000055CD">
        <w:t xml:space="preserve"> </w:t>
      </w:r>
    </w:p>
    <w:p w14:paraId="2C609025" w14:textId="77777777" w:rsidR="00AE6E68" w:rsidRDefault="00AE6E68" w:rsidP="00DE069C">
      <w:pPr>
        <w:pStyle w:val="Heading4"/>
      </w:pPr>
      <w:r>
        <w:t>Conclusion</w:t>
      </w:r>
    </w:p>
    <w:p w14:paraId="6BF10234" w14:textId="77777777" w:rsidR="00ED68AF" w:rsidRDefault="00AE6E68" w:rsidP="00A247C5">
      <w:pPr>
        <w:pStyle w:val="Normal2"/>
      </w:pPr>
      <w:r>
        <w:t xml:space="preserve">The </w:t>
      </w:r>
      <w:r w:rsidR="00266B02" w:rsidRPr="00266B02">
        <w:t>cost-benefit and effectiveness and efficiency assessments have shown that overall,</w:t>
      </w:r>
      <w:r>
        <w:t xml:space="preserve"> PORPS 2021 </w:t>
      </w:r>
      <w:r w:rsidR="004323C9">
        <w:t xml:space="preserve">proposed </w:t>
      </w:r>
      <w:r w:rsidR="00266B02" w:rsidRPr="00266B02">
        <w:t xml:space="preserve">provisions </w:t>
      </w:r>
      <w:r w:rsidR="00513D2D">
        <w:t xml:space="preserve">(Option 3) </w:t>
      </w:r>
      <w:r w:rsidR="00266B02" w:rsidRPr="00266B02">
        <w:t>are generally more efficient</w:t>
      </w:r>
      <w:r w:rsidR="00051738">
        <w:t xml:space="preserve"> </w:t>
      </w:r>
      <w:r w:rsidR="00266B02" w:rsidRPr="00266B02">
        <w:t xml:space="preserve">than </w:t>
      </w:r>
      <w:r w:rsidR="00051738">
        <w:t>Options 1 and 2</w:t>
      </w:r>
      <w:r w:rsidR="00ED68AF">
        <w:t xml:space="preserve"> and</w:t>
      </w:r>
      <w:r w:rsidR="00266B02" w:rsidRPr="00266B02">
        <w:t xml:space="preserve"> more effective </w:t>
      </w:r>
      <w:r w:rsidR="00774C3E">
        <w:t>in</w:t>
      </w:r>
      <w:r w:rsidR="00266B02" w:rsidRPr="00266B02">
        <w:t xml:space="preserve"> achieving the objectives of the PORPS 2021 than reasonable alternatives</w:t>
      </w:r>
      <w:r w:rsidR="002F77CC">
        <w:t>.</w:t>
      </w:r>
      <w:r>
        <w:t xml:space="preserve"> </w:t>
      </w:r>
      <w:r w:rsidR="001045A8">
        <w:t>Option 3</w:t>
      </w:r>
      <w:r>
        <w:t xml:space="preserve"> also responds to a shift in national policy, which is directing considerably strengthened protection for some areas and improved management of others</w:t>
      </w:r>
      <w:r w:rsidR="00851544">
        <w:t xml:space="preserve">, particularly in relation to </w:t>
      </w:r>
      <w:r w:rsidR="00D47A00">
        <w:t>mana whenua values</w:t>
      </w:r>
      <w:r w:rsidR="002F1548">
        <w:t xml:space="preserve">, </w:t>
      </w:r>
      <w:r w:rsidR="00851544">
        <w:t>coastal, water</w:t>
      </w:r>
      <w:r w:rsidR="003D2504">
        <w:t xml:space="preserve">, ecosystems and indigenous </w:t>
      </w:r>
      <w:r w:rsidR="009359D4">
        <w:t xml:space="preserve">biodiversity, </w:t>
      </w:r>
      <w:r w:rsidR="00BF579C">
        <w:t>climate change</w:t>
      </w:r>
      <w:r w:rsidR="008311D3">
        <w:t xml:space="preserve"> </w:t>
      </w:r>
      <w:r w:rsidR="009666DE">
        <w:t>challenges</w:t>
      </w:r>
      <w:r w:rsidR="00BF579C">
        <w:t xml:space="preserve"> </w:t>
      </w:r>
      <w:r w:rsidR="009359D4">
        <w:t>and</w:t>
      </w:r>
      <w:r w:rsidR="00B02F6F">
        <w:t xml:space="preserve"> </w:t>
      </w:r>
      <w:r w:rsidR="007A1B3A">
        <w:t xml:space="preserve">at the same time </w:t>
      </w:r>
      <w:r w:rsidR="00E52BA6">
        <w:t>addressing</w:t>
      </w:r>
      <w:r w:rsidR="007A1B3A">
        <w:t xml:space="preserve"> </w:t>
      </w:r>
      <w:r w:rsidR="00E52BA6">
        <w:t xml:space="preserve">the requirements of </w:t>
      </w:r>
      <w:r w:rsidR="007A1B3A">
        <w:t>the NPS</w:t>
      </w:r>
      <w:r w:rsidR="00BC0282">
        <w:t>REG</w:t>
      </w:r>
      <w:r w:rsidR="009359D4">
        <w:t>.</w:t>
      </w:r>
      <w:r>
        <w:t xml:space="preserve"> </w:t>
      </w:r>
    </w:p>
    <w:p w14:paraId="0F86A0D4" w14:textId="0B6CE745" w:rsidR="00AE6E68" w:rsidRDefault="00AE6E68" w:rsidP="00A247C5">
      <w:pPr>
        <w:pStyle w:val="Normal2"/>
      </w:pPr>
      <w:r>
        <w:t xml:space="preserve">While broadly the policy intent is not dissimilar to the PORPS 2019, </w:t>
      </w:r>
      <w:r w:rsidR="00513D2D">
        <w:t>O</w:t>
      </w:r>
      <w:r>
        <w:t xml:space="preserve">ption </w:t>
      </w:r>
      <w:r w:rsidR="004F1EF3">
        <w:t>3</w:t>
      </w:r>
      <w:r>
        <w:t xml:space="preserve"> contains greater clarity and specification which will assist local authorities</w:t>
      </w:r>
      <w:r w:rsidR="00DC2157">
        <w:t xml:space="preserve">, </w:t>
      </w:r>
      <w:proofErr w:type="gramStart"/>
      <w:r w:rsidR="00DC2157">
        <w:t>business</w:t>
      </w:r>
      <w:r w:rsidR="001045A8">
        <w:t>es</w:t>
      </w:r>
      <w:proofErr w:type="gramEnd"/>
      <w:r w:rsidR="00DC2157">
        <w:t xml:space="preserve"> and the community</w:t>
      </w:r>
      <w:r>
        <w:t xml:space="preserve"> to understand their obligations and implement the</w:t>
      </w:r>
      <w:r w:rsidR="004128FC">
        <w:t xml:space="preserve"> provisions</w:t>
      </w:r>
      <w:r w:rsidR="00D44BBC">
        <w:t>,</w:t>
      </w:r>
      <w:r w:rsidR="005D408B">
        <w:t xml:space="preserve"> which is critical for </w:t>
      </w:r>
      <w:r w:rsidR="004C7021">
        <w:t xml:space="preserve">managing </w:t>
      </w:r>
      <w:r w:rsidR="005D408B">
        <w:t xml:space="preserve">future </w:t>
      </w:r>
      <w:r w:rsidR="00183A70">
        <w:t>operation</w:t>
      </w:r>
      <w:r w:rsidR="00341415">
        <w:t>s</w:t>
      </w:r>
      <w:r w:rsidR="00476E09">
        <w:t xml:space="preserve">, investment and </w:t>
      </w:r>
      <w:r w:rsidR="0038291C">
        <w:t>development</w:t>
      </w:r>
      <w:r>
        <w:t>.</w:t>
      </w:r>
      <w:r w:rsidR="00232340">
        <w:t xml:space="preserve"> </w:t>
      </w:r>
      <w:r w:rsidR="005A70F5">
        <w:t>I</w:t>
      </w:r>
      <w:r w:rsidR="006F74CA">
        <w:t xml:space="preserve">t </w:t>
      </w:r>
      <w:r w:rsidR="005A70F5">
        <w:t xml:space="preserve">is </w:t>
      </w:r>
      <w:r w:rsidR="006F74CA">
        <w:t xml:space="preserve">expected </w:t>
      </w:r>
      <w:r>
        <w:t xml:space="preserve">there will be </w:t>
      </w:r>
      <w:r w:rsidR="006F74CA">
        <w:t>some</w:t>
      </w:r>
      <w:r>
        <w:t xml:space="preserve"> economic costs</w:t>
      </w:r>
      <w:r w:rsidR="006F74CA">
        <w:t xml:space="preserve"> </w:t>
      </w:r>
      <w:r w:rsidR="005A70F5">
        <w:t>noting</w:t>
      </w:r>
      <w:r w:rsidR="00535BF4">
        <w:t xml:space="preserve"> </w:t>
      </w:r>
      <w:r w:rsidR="004128FC">
        <w:t xml:space="preserve">it </w:t>
      </w:r>
      <w:r w:rsidR="00535BF4">
        <w:t xml:space="preserve">is not practical to quantify them </w:t>
      </w:r>
      <w:r w:rsidR="005A70F5">
        <w:t xml:space="preserve">at </w:t>
      </w:r>
      <w:r w:rsidR="004128FC">
        <w:t xml:space="preserve">this </w:t>
      </w:r>
      <w:r w:rsidR="005A70F5">
        <w:t xml:space="preserve">time </w:t>
      </w:r>
      <w:r w:rsidR="00535BF4">
        <w:t xml:space="preserve">due to </w:t>
      </w:r>
      <w:r w:rsidR="004128FC">
        <w:t xml:space="preserve">the </w:t>
      </w:r>
      <w:r w:rsidR="00535BF4">
        <w:t xml:space="preserve">broad nature and </w:t>
      </w:r>
      <w:r w:rsidR="004128FC">
        <w:t xml:space="preserve">high </w:t>
      </w:r>
      <w:r w:rsidR="00535BF4">
        <w:lastRenderedPageBreak/>
        <w:t xml:space="preserve">level </w:t>
      </w:r>
      <w:r w:rsidR="004128FC">
        <w:t>of t</w:t>
      </w:r>
      <w:r w:rsidR="006018BA">
        <w:t>hese policies</w:t>
      </w:r>
      <w:r w:rsidR="00596F01">
        <w:t>.</w:t>
      </w:r>
      <w:r w:rsidR="00F53298">
        <w:t xml:space="preserve"> However, </w:t>
      </w:r>
      <w:r w:rsidR="00EB3763">
        <w:t xml:space="preserve">some </w:t>
      </w:r>
      <w:r w:rsidR="00206161">
        <w:t>costs</w:t>
      </w:r>
      <w:r w:rsidR="00EB3763">
        <w:t xml:space="preserve"> may be offset by increased employment </w:t>
      </w:r>
      <w:r w:rsidR="00507A64">
        <w:t>in environment and cultural management sectors</w:t>
      </w:r>
      <w:r w:rsidR="00165F4C">
        <w:t xml:space="preserve">. </w:t>
      </w:r>
      <w:r w:rsidR="0073307D">
        <w:t>T</w:t>
      </w:r>
      <w:r>
        <w:t xml:space="preserve">he suite of policies proposed is considered to balance these factors as they will achieve the purpose of the Act. Overall, the PORPS 2021 provisions are generally more efficient </w:t>
      </w:r>
      <w:r w:rsidR="00FF1B84">
        <w:t xml:space="preserve">and effective </w:t>
      </w:r>
      <w:r>
        <w:t xml:space="preserve">than the other options and more effective at achieving the objectives of the PORPS 2021.  </w:t>
      </w:r>
    </w:p>
    <w:p w14:paraId="4DAF209C" w14:textId="2A91ED98" w:rsidR="00E20D7A" w:rsidRDefault="00A97861" w:rsidP="0082271A">
      <w:pPr>
        <w:pStyle w:val="Heading3"/>
      </w:pPr>
      <w:bookmarkStart w:id="109" w:name="_Ref72670623"/>
      <w:r>
        <w:t xml:space="preserve">EIT–INF – </w:t>
      </w:r>
      <w:r w:rsidR="00E20D7A">
        <w:t>Infrastructure</w:t>
      </w:r>
      <w:bookmarkEnd w:id="109"/>
    </w:p>
    <w:p w14:paraId="5282F137" w14:textId="77777777" w:rsidR="00E20D7A" w:rsidRDefault="00E20D7A" w:rsidP="00DE069C">
      <w:pPr>
        <w:pStyle w:val="Heading4"/>
      </w:pPr>
      <w:r>
        <w:t>Introduction</w:t>
      </w:r>
    </w:p>
    <w:p w14:paraId="046C9E14" w14:textId="77777777" w:rsidR="00E20D7A" w:rsidRDefault="00E20D7A" w:rsidP="00A247C5">
      <w:pPr>
        <w:pStyle w:val="Normal2"/>
      </w:pPr>
      <w:r>
        <w:t xml:space="preserve">This purpose of this section of the report is to recognise the issues associated with infrastructure, and </w:t>
      </w:r>
      <w:proofErr w:type="gramStart"/>
      <w:r>
        <w:t>in particular nationally</w:t>
      </w:r>
      <w:proofErr w:type="gramEnd"/>
      <w:r>
        <w:t xml:space="preserve"> and regionally significant infrastructure, in the Otago Region.</w:t>
      </w:r>
    </w:p>
    <w:p w14:paraId="55F92999" w14:textId="77777777" w:rsidR="00E20D7A" w:rsidRDefault="00E20D7A" w:rsidP="00A247C5">
      <w:pPr>
        <w:pStyle w:val="Normal2"/>
      </w:pPr>
      <w:r>
        <w:t>The relevant provisions for this section are:</w:t>
      </w:r>
    </w:p>
    <w:p w14:paraId="55525174" w14:textId="4934E589" w:rsidR="00E20D7A" w:rsidRPr="006C5F8C" w:rsidRDefault="00E20D7A" w:rsidP="00A247C5">
      <w:pPr>
        <w:pStyle w:val="Normal3"/>
      </w:pPr>
      <w:r>
        <w:t>EIT</w:t>
      </w:r>
      <w:r w:rsidR="009F5CA4">
        <w:t>–</w:t>
      </w:r>
      <w:r>
        <w:t>INF</w:t>
      </w:r>
      <w:r w:rsidR="009F5CA4">
        <w:t>–</w:t>
      </w:r>
      <w:r w:rsidR="00885E69">
        <w:t xml:space="preserve">O4 </w:t>
      </w:r>
      <w:r>
        <w:t>– Provision of infrastructure</w:t>
      </w:r>
    </w:p>
    <w:p w14:paraId="51AA8726" w14:textId="3130156E" w:rsidR="00037F18" w:rsidRDefault="00E20D7A" w:rsidP="00A247C5">
      <w:pPr>
        <w:pStyle w:val="Normal3"/>
      </w:pPr>
      <w:r>
        <w:t>EIT–INF–</w:t>
      </w:r>
      <w:r w:rsidR="00885E69">
        <w:t xml:space="preserve">O5 </w:t>
      </w:r>
      <w:r>
        <w:t>– Integration</w:t>
      </w:r>
    </w:p>
    <w:p w14:paraId="520BA4EF" w14:textId="06E3A2CA" w:rsidR="00E20D7A" w:rsidRPr="006C5F8C" w:rsidRDefault="00E20D7A" w:rsidP="00A247C5">
      <w:pPr>
        <w:pStyle w:val="Normal3"/>
      </w:pPr>
      <w:r>
        <w:t>EIT</w:t>
      </w:r>
      <w:r w:rsidR="009F5CA4">
        <w:t>–</w:t>
      </w:r>
      <w:r>
        <w:t>INF</w:t>
      </w:r>
      <w:r w:rsidR="009F5CA4">
        <w:t>–</w:t>
      </w:r>
      <w:r w:rsidR="00037F18">
        <w:t xml:space="preserve">O6 </w:t>
      </w:r>
      <w:r>
        <w:t>– Long-term planning for electricity transmission infrastructure</w:t>
      </w:r>
    </w:p>
    <w:p w14:paraId="23C33DD7" w14:textId="1C581E5C" w:rsidR="00E20D7A" w:rsidRPr="006C5F8C" w:rsidRDefault="00E20D7A" w:rsidP="00A247C5">
      <w:pPr>
        <w:pStyle w:val="Normal3"/>
      </w:pPr>
      <w:r>
        <w:t>EIT</w:t>
      </w:r>
      <w:r w:rsidR="009F5CA4">
        <w:t>–</w:t>
      </w:r>
      <w:r>
        <w:t>INF</w:t>
      </w:r>
      <w:r w:rsidR="009F5CA4">
        <w:t>–</w:t>
      </w:r>
      <w:r>
        <w:t xml:space="preserve">P10 – Recognising resource requirements </w:t>
      </w:r>
    </w:p>
    <w:p w14:paraId="142832DB" w14:textId="2C7439C3" w:rsidR="00E20D7A" w:rsidRPr="006C5F8C" w:rsidRDefault="00E20D7A" w:rsidP="00A247C5">
      <w:pPr>
        <w:pStyle w:val="Normal3"/>
      </w:pPr>
      <w:r>
        <w:t>EIT</w:t>
      </w:r>
      <w:r w:rsidR="009F5CA4">
        <w:t>–</w:t>
      </w:r>
      <w:r>
        <w:t>INF</w:t>
      </w:r>
      <w:r w:rsidR="009F5CA4">
        <w:t>–</w:t>
      </w:r>
      <w:r>
        <w:t>P11 – Operation and maintenance</w:t>
      </w:r>
    </w:p>
    <w:p w14:paraId="6533B58D" w14:textId="349C7522" w:rsidR="00E20D7A" w:rsidRPr="006C5F8C" w:rsidRDefault="00E20D7A" w:rsidP="00A247C5">
      <w:pPr>
        <w:pStyle w:val="Normal3"/>
      </w:pPr>
      <w:r>
        <w:t>EIT</w:t>
      </w:r>
      <w:r w:rsidR="009F5CA4">
        <w:t>–</w:t>
      </w:r>
      <w:r>
        <w:t>INF</w:t>
      </w:r>
      <w:r w:rsidR="009F5CA4">
        <w:t>–</w:t>
      </w:r>
      <w:r>
        <w:t>P12 – Upgrades and development</w:t>
      </w:r>
    </w:p>
    <w:p w14:paraId="0BC8D2B2" w14:textId="5585A4B3" w:rsidR="00E20D7A" w:rsidRPr="006C5F8C" w:rsidRDefault="00E20D7A" w:rsidP="00A247C5">
      <w:pPr>
        <w:pStyle w:val="Normal3"/>
      </w:pPr>
      <w:r>
        <w:t>EIT</w:t>
      </w:r>
      <w:r w:rsidR="009F5CA4">
        <w:t>–</w:t>
      </w:r>
      <w:r>
        <w:t>INF</w:t>
      </w:r>
      <w:r w:rsidR="009F5CA4">
        <w:t>–</w:t>
      </w:r>
      <w:r>
        <w:t>P13 – Locating and managing effects of infrastructure</w:t>
      </w:r>
    </w:p>
    <w:p w14:paraId="32479C6E" w14:textId="77777777" w:rsidR="00E20D7A" w:rsidRPr="006C5F8C" w:rsidRDefault="00E20D7A" w:rsidP="00A247C5">
      <w:pPr>
        <w:pStyle w:val="Normal3"/>
      </w:pPr>
      <w:r>
        <w:t>EIT–INF–P14 – Decision-making considerations</w:t>
      </w:r>
    </w:p>
    <w:p w14:paraId="0048F06C" w14:textId="77777777" w:rsidR="00E20D7A" w:rsidRPr="006C5F8C" w:rsidRDefault="00E20D7A" w:rsidP="00A247C5">
      <w:pPr>
        <w:pStyle w:val="Normal3"/>
      </w:pPr>
      <w:r>
        <w:t>EIT–INF–P15 – Protecting nationally or regionally significant infrastructure</w:t>
      </w:r>
    </w:p>
    <w:p w14:paraId="093C0527" w14:textId="77777777" w:rsidR="00E20D7A" w:rsidRPr="006C5F8C" w:rsidRDefault="00E20D7A" w:rsidP="00A247C5">
      <w:pPr>
        <w:pStyle w:val="Normal3"/>
      </w:pPr>
      <w:r>
        <w:t>EIT–INF–P16 – Providing for electricity transmissions and the National Grid</w:t>
      </w:r>
    </w:p>
    <w:p w14:paraId="5E9E5932" w14:textId="77777777" w:rsidR="00E20D7A" w:rsidRPr="006C5F8C" w:rsidRDefault="00E20D7A" w:rsidP="00A247C5">
      <w:pPr>
        <w:pStyle w:val="Normal3"/>
      </w:pPr>
      <w:r>
        <w:t>EIT–INF–P17 – Urban growth and infrastructure</w:t>
      </w:r>
    </w:p>
    <w:p w14:paraId="7BD0CBF0" w14:textId="35FD48A4" w:rsidR="00E20D7A" w:rsidRPr="006C5F8C" w:rsidRDefault="00E20D7A" w:rsidP="00A247C5">
      <w:pPr>
        <w:pStyle w:val="Normal3"/>
      </w:pPr>
      <w:r>
        <w:t>EIT</w:t>
      </w:r>
      <w:r w:rsidR="00222696">
        <w:t>–</w:t>
      </w:r>
      <w:r>
        <w:t>INF</w:t>
      </w:r>
      <w:r w:rsidR="00222696">
        <w:t>–</w:t>
      </w:r>
      <w:r>
        <w:t>M4 – Regional plans</w:t>
      </w:r>
    </w:p>
    <w:p w14:paraId="142C9F9D" w14:textId="5D0968C1" w:rsidR="00E20D7A" w:rsidRPr="006C5F8C" w:rsidRDefault="00E20D7A" w:rsidP="00A247C5">
      <w:pPr>
        <w:pStyle w:val="Normal3"/>
      </w:pPr>
      <w:r>
        <w:t>EIT</w:t>
      </w:r>
      <w:r w:rsidR="00222696">
        <w:t>–</w:t>
      </w:r>
      <w:r>
        <w:t>INF</w:t>
      </w:r>
      <w:r w:rsidR="00222696">
        <w:t>–</w:t>
      </w:r>
      <w:r>
        <w:t xml:space="preserve">M5 – District plans </w:t>
      </w:r>
    </w:p>
    <w:p w14:paraId="0EF41365" w14:textId="2C06C6A4" w:rsidR="00E20D7A" w:rsidRDefault="00E20D7A" w:rsidP="00A247C5">
      <w:pPr>
        <w:pStyle w:val="Normal3"/>
      </w:pPr>
      <w:r>
        <w:t>EIT</w:t>
      </w:r>
      <w:r w:rsidR="00222696">
        <w:t>–</w:t>
      </w:r>
      <w:r>
        <w:t>INF</w:t>
      </w:r>
      <w:r w:rsidR="00222696">
        <w:t>–</w:t>
      </w:r>
      <w:r>
        <w:t>M6 – Advocacy</w:t>
      </w:r>
    </w:p>
    <w:p w14:paraId="4498B680" w14:textId="77777777" w:rsidR="00E20D7A" w:rsidRDefault="00E20D7A" w:rsidP="00DE069C">
      <w:pPr>
        <w:pStyle w:val="Heading4"/>
      </w:pPr>
      <w:r>
        <w:t>Current issues</w:t>
      </w:r>
    </w:p>
    <w:p w14:paraId="319E17CE" w14:textId="77777777" w:rsidR="00E20D7A" w:rsidRDefault="00E20D7A" w:rsidP="00A247C5">
      <w:pPr>
        <w:pStyle w:val="Normal2"/>
      </w:pPr>
      <w:r>
        <w:t xml:space="preserve">The provision of effective infrastructure is fundamental to the health and safety of communities, and their social and economic wellbeing. The nature of this infrastructure means there are typically operational and functional constraints which restrict where and how they operate </w:t>
      </w:r>
      <w:proofErr w:type="gramStart"/>
      <w:r>
        <w:t>in order to</w:t>
      </w:r>
      <w:proofErr w:type="gramEnd"/>
      <w:r>
        <w:t xml:space="preserve"> properly serve local communities. It is also important that infrastructure is well integrated with urban development to enable efficient use of existing infrastructure and fully achieve the benefits of these activities.</w:t>
      </w:r>
    </w:p>
    <w:p w14:paraId="1904025F" w14:textId="409F4519" w:rsidR="00E20D7A" w:rsidRDefault="00E20D7A" w:rsidP="00A247C5">
      <w:pPr>
        <w:pStyle w:val="Normal2"/>
      </w:pPr>
      <w:r>
        <w:t xml:space="preserve">The scale and type of activities involved in the operation, maintenance, upgrading and development of infrastructure is such that adverse effects on the environment are likely and include, at times, significant adverse effects. Efforts are required to reduce potential impacts, particularly where infrastructure operates to a sub-standard level or where alternatives are available. There will be instances however where adverse effects cannot be avoided, </w:t>
      </w:r>
      <w:proofErr w:type="gramStart"/>
      <w:r>
        <w:t>remedied</w:t>
      </w:r>
      <w:proofErr w:type="gramEnd"/>
      <w:r>
        <w:t xml:space="preserve"> or mitigated</w:t>
      </w:r>
      <w:r w:rsidR="005A0D1D">
        <w:t>, or no alternative locations are available.</w:t>
      </w:r>
    </w:p>
    <w:p w14:paraId="49DBA365" w14:textId="7B8A43F8" w:rsidR="00E20D7A" w:rsidRDefault="00E20D7A" w:rsidP="00A247C5">
      <w:pPr>
        <w:pStyle w:val="Normal2"/>
      </w:pPr>
      <w:r>
        <w:t xml:space="preserve">The PORPS 2019 seeks to manage infrastructure in a sustainable way (Objective 4.3). To achieve this objective, the provisions set out what </w:t>
      </w:r>
      <w:proofErr w:type="gramStart"/>
      <w:r>
        <w:t>is considered to be</w:t>
      </w:r>
      <w:proofErr w:type="gramEnd"/>
      <w:r>
        <w:t xml:space="preserve"> nationally and regionally significant infrastructure (Policy 4.3.2) and seek to provide for their functional needs and to manage adverse effects, including the avoidance of particular effects. Because Policy 4.3.2 </w:t>
      </w:r>
      <w:r>
        <w:lastRenderedPageBreak/>
        <w:t>conflates nationally significant and regionally significant</w:t>
      </w:r>
      <w:r w:rsidR="005A0D1D">
        <w:t xml:space="preserve"> infrastructure</w:t>
      </w:r>
      <w:r>
        <w:t>, there is a lack of clarity in related policies about whether there should be a distinction in how they are applied for nationally significant infrastructure versus regionally significant infrastructure. The infrastructure listed in Policy 4.3.2 is not consistent with the definition of nationally significant infrastructure included in the NESF or the draft NPSIB.</w:t>
      </w:r>
    </w:p>
    <w:p w14:paraId="0A182BF7" w14:textId="77777777" w:rsidR="00E20D7A" w:rsidRDefault="00E20D7A" w:rsidP="00A247C5">
      <w:pPr>
        <w:pStyle w:val="Normal2"/>
      </w:pPr>
      <w:r>
        <w:t xml:space="preserve">Policy 4.3.5 seeks to protect nationally and regionally significant infrastructure by managing activities that may result in reverse sensitivity effects or effects on the functional needs of this infrastructure.  </w:t>
      </w:r>
      <w:proofErr w:type="gramStart"/>
      <w:r>
        <w:t>A number of</w:t>
      </w:r>
      <w:proofErr w:type="gramEnd"/>
      <w:r>
        <w:t xml:space="preserve"> provisions relate to the ‘functional needs’ of infrastructure. The PORPS 2019 definition of this term differs to the definition in the National Planning Standards, which will change the way these provisions are applied and, </w:t>
      </w:r>
      <w:proofErr w:type="gramStart"/>
      <w:r>
        <w:t>on the whole</w:t>
      </w:r>
      <w:proofErr w:type="gramEnd"/>
      <w:r>
        <w:t>, make them more restrictive than they were intended to be. This may not appropriately provide for the types of infrastructure needs intended in the PORPS.</w:t>
      </w:r>
    </w:p>
    <w:p w14:paraId="5C5B6723" w14:textId="77777777" w:rsidR="00E20D7A" w:rsidRDefault="00E20D7A" w:rsidP="00A247C5">
      <w:pPr>
        <w:pStyle w:val="Normal2"/>
      </w:pPr>
      <w:r>
        <w:t>Policies 4.3.6 and 4.3.7 address specific infrastructure, namely the National Grid and port activities at Port Chalmers and Dunedin. Policies 4.4.4 and 4.4.5 relate to the transport and distribution of electricity and together seek to enable the distribution of electricity while minimising adverse effects of new and upgraded infrastructure and managing activities that may impact the functional needs of this infrastructure. It is not clear whether Policy 4.4.5 is intended to apply to activities that are not managed under Policy 4.4.4, or whether both policies apply (and if so, how they are intended to interact).  Additionally, the PORPS 2019 does not express the detail held in the objective for the National Policy Statement on Electricity Transmission.</w:t>
      </w:r>
    </w:p>
    <w:p w14:paraId="3990A3B3" w14:textId="77777777" w:rsidR="00E20D7A" w:rsidRDefault="00E20D7A" w:rsidP="00A247C5">
      <w:pPr>
        <w:pStyle w:val="Normal2"/>
      </w:pPr>
      <w:r>
        <w:t xml:space="preserve">Objective 4.5 of the PORPS seeks to ensure that urban growth is well designed and integrated with adjoining urban and rural environments. Policy 4.5.2 requires recognising and providing for the functional needs of infrastructure; locating and designing infrastructure to </w:t>
      </w:r>
      <w:proofErr w:type="gramStart"/>
      <w:r>
        <w:t>take into account</w:t>
      </w:r>
      <w:proofErr w:type="gramEnd"/>
      <w:r>
        <w:t xml:space="preserve"> land use change, projected demographic changes, demand, natural and physical constraint and effects on resources, effects of climate change and natural hazard risk. The scope of this policy is very broad, which may make it more difficult to implement. The provisions provide some useful direction, but additional guidance may be necessary to provide greater clarity on how infrastructure is to be co-ordinated with growth. </w:t>
      </w:r>
    </w:p>
    <w:p w14:paraId="7CE4D8C6" w14:textId="77777777" w:rsidR="00E20D7A" w:rsidRDefault="00E20D7A" w:rsidP="00A247C5">
      <w:pPr>
        <w:pStyle w:val="Normal2"/>
      </w:pPr>
      <w:r>
        <w:t xml:space="preserve">Methods 3.1 and 4.1 require regional and district plans (respectively) to set objectives, </w:t>
      </w:r>
      <w:proofErr w:type="gramStart"/>
      <w:r>
        <w:t>policies</w:t>
      </w:r>
      <w:proofErr w:type="gramEnd"/>
      <w:r>
        <w:t xml:space="preserve"> and methods to implement the policies in the RPS. For infrastructure, Methods 3.1.5 and 4.1.16 require the regional council and territorial authorities to ensure the functional needs of infrastructure are not compromised. Method 4.1.17 requires district plans to identify National Grid transmission lines and corridors, and Method 4.1.18 requires identification of nationally or regionally significant infrastructure on planning maps.  Both methods require plans to include provisions to avoid reverse sensitivity effects on the National Grid and nationally and regionally significant infrastructure and provide controls on activities to ensure their functional needs are not compromised. This provides clear direction to district councils on their roles and responsibilities, but there is a lack of specificity about some of ORC’s functions. There is also a lack of direction about how adverse effects should be managed.</w:t>
      </w:r>
    </w:p>
    <w:p w14:paraId="725D2075" w14:textId="77777777" w:rsidR="00E20D7A" w:rsidRDefault="00E20D7A" w:rsidP="00A247C5">
      <w:pPr>
        <w:pStyle w:val="Normal2"/>
      </w:pPr>
      <w:r>
        <w:t>Methods 4.1.18 and 4.1.19 also specifically require territorial authorities to have regard to the NZECP34:2001 Electrical Code of Practice for Electrical Safe Distances and the Electricity (Hazards from Trees) Regulations 2003. It is less clear from the methods how ORC is required to implement the provisions in the regional plan and how adverse effects should be managed.</w:t>
      </w:r>
    </w:p>
    <w:p w14:paraId="79B32482" w14:textId="77777777" w:rsidR="00E20D7A" w:rsidRDefault="00E20D7A" w:rsidP="00A247C5">
      <w:pPr>
        <w:pStyle w:val="Normal2"/>
      </w:pPr>
      <w:r>
        <w:t>Community feedback from the public survey undertaken in February 2020 and the Reference Group (Energy, Infrastructure and Transport) indicates:</w:t>
      </w:r>
    </w:p>
    <w:p w14:paraId="688C80BE" w14:textId="3B327571" w:rsidR="00E20D7A" w:rsidRDefault="00E20D7A" w:rsidP="00A247C5">
      <w:pPr>
        <w:pStyle w:val="Normal3"/>
      </w:pPr>
      <w:r>
        <w:lastRenderedPageBreak/>
        <w:t xml:space="preserve">Concerns that community infrastructure, particularly water and wastewater need to meet the demands of growing urban areas as subdivision </w:t>
      </w:r>
      <w:r w:rsidR="005A0D1D">
        <w:t>has</w:t>
      </w:r>
      <w:r>
        <w:t xml:space="preserve"> placed strain on this infrastructure and upgrades are overdue.</w:t>
      </w:r>
    </w:p>
    <w:p w14:paraId="7133DA0E" w14:textId="77777777" w:rsidR="00E20D7A" w:rsidRDefault="00E20D7A" w:rsidP="00A247C5">
      <w:pPr>
        <w:pStyle w:val="Normal3"/>
      </w:pPr>
      <w:r>
        <w:t>Public transport, including rail should be recognised as regionally significant infrastructure and upgrades are required to increase accessibility and reduce strain on the roading network.</w:t>
      </w:r>
    </w:p>
    <w:p w14:paraId="6D412D8A" w14:textId="77777777" w:rsidR="00E20D7A" w:rsidRPr="009E2A36" w:rsidRDefault="00E20D7A" w:rsidP="00A247C5">
      <w:pPr>
        <w:pStyle w:val="Normal3"/>
        <w:rPr>
          <w:i/>
          <w:iCs/>
        </w:rPr>
      </w:pPr>
      <w:r>
        <w:t>There are questions over the current definition of municipal infrastructure and why it does not extend to the entire network within urban areas.</w:t>
      </w:r>
    </w:p>
    <w:p w14:paraId="787CFB0B" w14:textId="77777777" w:rsidR="00E20D7A" w:rsidRDefault="00E20D7A" w:rsidP="00DE069C">
      <w:pPr>
        <w:pStyle w:val="Heading4"/>
      </w:pPr>
      <w:r>
        <w:t>Objectives</w:t>
      </w:r>
    </w:p>
    <w:p w14:paraId="6DB7D532" w14:textId="3FFCF84A" w:rsidR="00E20D7A" w:rsidRDefault="00E20D7A" w:rsidP="00A247C5">
      <w:pPr>
        <w:pStyle w:val="Normal2"/>
      </w:pPr>
      <w:r>
        <w:t xml:space="preserve">Section 32(1)(b) requires examining whether the provisions in the proposal are the most appropriate way of achieving the objectives. The relevant objectives for this topic are included in </w:t>
      </w:r>
      <w:r>
        <w:fldChar w:fldCharType="begin"/>
      </w:r>
      <w:r>
        <w:instrText xml:space="preserve"> REF _Ref70490527 \h </w:instrText>
      </w:r>
      <w:r>
        <w:fldChar w:fldCharType="separate"/>
      </w:r>
      <w:r w:rsidR="002A7A16">
        <w:t xml:space="preserve">Table </w:t>
      </w:r>
      <w:r w:rsidR="002A7A16">
        <w:rPr>
          <w:noProof/>
        </w:rPr>
        <w:t>43</w:t>
      </w:r>
      <w:r>
        <w:fldChar w:fldCharType="end"/>
      </w:r>
      <w:r>
        <w:t xml:space="preserve"> below.</w:t>
      </w:r>
    </w:p>
    <w:p w14:paraId="407AD746" w14:textId="68CB67E3" w:rsidR="00E20D7A" w:rsidRDefault="00E20D7A" w:rsidP="00E20D7A">
      <w:pPr>
        <w:pStyle w:val="Caption"/>
        <w:keepNext/>
        <w:ind w:left="709"/>
      </w:pPr>
      <w:bookmarkStart w:id="110" w:name="_Ref70490527"/>
      <w:r>
        <w:t xml:space="preserve">Table </w:t>
      </w:r>
      <w:r>
        <w:fldChar w:fldCharType="begin"/>
      </w:r>
      <w:r>
        <w:instrText>SEQ Table \* ARABIC</w:instrText>
      </w:r>
      <w:r>
        <w:fldChar w:fldCharType="separate"/>
      </w:r>
      <w:r w:rsidR="002A7A16">
        <w:rPr>
          <w:noProof/>
        </w:rPr>
        <w:t>43</w:t>
      </w:r>
      <w:r>
        <w:fldChar w:fldCharType="end"/>
      </w:r>
      <w:bookmarkEnd w:id="110"/>
      <w:r>
        <w:t>: Infrastructure objectives</w:t>
      </w:r>
    </w:p>
    <w:tbl>
      <w:tblPr>
        <w:tblStyle w:val="TableGrid"/>
        <w:tblW w:w="0" w:type="auto"/>
        <w:tblInd w:w="720" w:type="dxa"/>
        <w:tblLook w:val="04A0" w:firstRow="1" w:lastRow="0" w:firstColumn="1" w:lastColumn="0" w:noHBand="0" w:noVBand="1"/>
      </w:tblPr>
      <w:tblGrid>
        <w:gridCol w:w="2677"/>
        <w:gridCol w:w="5619"/>
      </w:tblGrid>
      <w:tr w:rsidR="00E20D7A" w14:paraId="1CCA6AA7"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56B4F0CA" w14:textId="08890BEF" w:rsidR="00E20D7A" w:rsidRDefault="00E20D7A" w:rsidP="00A247C5">
            <w:pPr>
              <w:pStyle w:val="Table1"/>
            </w:pPr>
            <w:r>
              <w:t>EIT-INF-O</w:t>
            </w:r>
            <w:r w:rsidR="00BC6CCD">
              <w:t>4</w:t>
            </w:r>
            <w:r>
              <w:t xml:space="preserve"> – Provision of infrastructure</w:t>
            </w:r>
          </w:p>
        </w:tc>
        <w:tc>
          <w:tcPr>
            <w:tcW w:w="5619" w:type="dxa"/>
            <w:tcBorders>
              <w:top w:val="single" w:sz="4" w:space="0" w:color="auto"/>
              <w:left w:val="single" w:sz="4" w:space="0" w:color="auto"/>
              <w:bottom w:val="single" w:sz="4" w:space="0" w:color="auto"/>
              <w:right w:val="single" w:sz="4" w:space="0" w:color="auto"/>
            </w:tcBorders>
            <w:hideMark/>
          </w:tcPr>
          <w:p w14:paraId="76866480" w14:textId="137D2B5B" w:rsidR="00E20D7A" w:rsidRDefault="00E20D7A" w:rsidP="00A247C5">
            <w:pPr>
              <w:pStyle w:val="Table1"/>
            </w:pPr>
            <w:r>
              <w:t xml:space="preserve">Effective, </w:t>
            </w:r>
            <w:proofErr w:type="gramStart"/>
            <w:r>
              <w:t>efficient</w:t>
            </w:r>
            <w:proofErr w:type="gramEnd"/>
            <w:r>
              <w:t xml:space="preserve"> and resilient infrastructure enables the people and communities of Otago to provide for their social and </w:t>
            </w:r>
            <w:r w:rsidR="00454BC1">
              <w:t>their</w:t>
            </w:r>
            <w:r>
              <w:t xml:space="preserve"> cultural well</w:t>
            </w:r>
            <w:r w:rsidR="00454BC1">
              <w:t>-</w:t>
            </w:r>
            <w:r>
              <w:t xml:space="preserve">being, their health and safety, and supports sustainable economic development and growth within the region </w:t>
            </w:r>
            <w:r w:rsidR="00A544DE">
              <w:t>within environmental limits</w:t>
            </w:r>
            <w:r>
              <w:t>.</w:t>
            </w:r>
          </w:p>
        </w:tc>
      </w:tr>
      <w:tr w:rsidR="00E20D7A" w14:paraId="0076ABD0"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1C6A4EBA" w14:textId="46D1FE15" w:rsidR="00E20D7A" w:rsidRDefault="00E20D7A" w:rsidP="00A247C5">
            <w:pPr>
              <w:pStyle w:val="Table1"/>
            </w:pPr>
            <w:r>
              <w:t>EIT-INF-O</w:t>
            </w:r>
            <w:r w:rsidR="00BC6CCD">
              <w:t>5</w:t>
            </w:r>
            <w:r>
              <w:t xml:space="preserve"> – Integration</w:t>
            </w:r>
          </w:p>
        </w:tc>
        <w:tc>
          <w:tcPr>
            <w:tcW w:w="5619" w:type="dxa"/>
            <w:tcBorders>
              <w:top w:val="single" w:sz="4" w:space="0" w:color="auto"/>
              <w:left w:val="single" w:sz="4" w:space="0" w:color="auto"/>
              <w:bottom w:val="single" w:sz="4" w:space="0" w:color="auto"/>
              <w:right w:val="single" w:sz="4" w:space="0" w:color="auto"/>
            </w:tcBorders>
            <w:hideMark/>
          </w:tcPr>
          <w:p w14:paraId="355B090B" w14:textId="42557579" w:rsidR="00E20D7A" w:rsidRDefault="00E20D7A" w:rsidP="00A247C5">
            <w:pPr>
              <w:pStyle w:val="Table1"/>
            </w:pPr>
            <w:r>
              <w:t xml:space="preserve">Development of nationally and regionally significant infrastructure, as well as land use change, occurs in a co-ordinated manner to minimise adverse effects on the environment and increase efficiency in the delivery, </w:t>
            </w:r>
            <w:proofErr w:type="gramStart"/>
            <w:r>
              <w:t>operation</w:t>
            </w:r>
            <w:proofErr w:type="gramEnd"/>
            <w:r>
              <w:t xml:space="preserve"> </w:t>
            </w:r>
            <w:r w:rsidR="001B3FB1">
              <w:t xml:space="preserve">and </w:t>
            </w:r>
            <w:r>
              <w:t>use of the infrastructure.</w:t>
            </w:r>
          </w:p>
        </w:tc>
      </w:tr>
      <w:tr w:rsidR="00E20D7A" w14:paraId="1917AB86"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63AA029B" w14:textId="74A7C457" w:rsidR="00E20D7A" w:rsidRDefault="00E20D7A" w:rsidP="00A247C5">
            <w:pPr>
              <w:pStyle w:val="Table1"/>
            </w:pPr>
            <w:r>
              <w:t>EIT-INF-O</w:t>
            </w:r>
            <w:r w:rsidR="00BC6CCD">
              <w:t>6</w:t>
            </w:r>
            <w:r>
              <w:t xml:space="preserve"> – Long-term planning for electricity transmission infrastructure</w:t>
            </w:r>
          </w:p>
        </w:tc>
        <w:tc>
          <w:tcPr>
            <w:tcW w:w="5619" w:type="dxa"/>
            <w:tcBorders>
              <w:top w:val="single" w:sz="4" w:space="0" w:color="auto"/>
              <w:left w:val="single" w:sz="4" w:space="0" w:color="auto"/>
              <w:bottom w:val="single" w:sz="4" w:space="0" w:color="auto"/>
              <w:right w:val="single" w:sz="4" w:space="0" w:color="auto"/>
            </w:tcBorders>
            <w:hideMark/>
          </w:tcPr>
          <w:p w14:paraId="0C32EF6C" w14:textId="77777777" w:rsidR="00E20D7A" w:rsidRDefault="00E20D7A" w:rsidP="00A247C5">
            <w:pPr>
              <w:pStyle w:val="Table1"/>
            </w:pPr>
            <w:r>
              <w:t>Long-term investment in, and planning for, electricity transmission infrastructure, and its integration with land use, is sustained.</w:t>
            </w:r>
          </w:p>
        </w:tc>
      </w:tr>
    </w:tbl>
    <w:p w14:paraId="3C1BEA61" w14:textId="77777777" w:rsidR="00E20D7A" w:rsidRDefault="00E20D7A" w:rsidP="00DE069C">
      <w:pPr>
        <w:pStyle w:val="Heading4"/>
      </w:pPr>
      <w:r>
        <w:t>Reasonably practicable options</w:t>
      </w:r>
    </w:p>
    <w:p w14:paraId="15FB55A5" w14:textId="77777777" w:rsidR="00E20D7A" w:rsidRDefault="00E20D7A" w:rsidP="00A247C5">
      <w:pPr>
        <w:pStyle w:val="Normal2"/>
      </w:pPr>
      <w:r>
        <w:t>Three reasonably practicable options were identified to achieve the objectives:</w:t>
      </w:r>
    </w:p>
    <w:p w14:paraId="66115C94" w14:textId="77777777" w:rsidR="00E20D7A" w:rsidRPr="006C5F8C" w:rsidRDefault="00E20D7A" w:rsidP="00A247C5">
      <w:pPr>
        <w:pStyle w:val="Normal3"/>
      </w:pPr>
      <w:r w:rsidRPr="29589E8D">
        <w:rPr>
          <w:b/>
          <w:bCs/>
        </w:rPr>
        <w:t>Option 1:</w:t>
      </w:r>
      <w:r>
        <w:t xml:space="preserve"> Status quo (PORPS 2019)</w:t>
      </w:r>
    </w:p>
    <w:p w14:paraId="4319781A" w14:textId="14F63F84" w:rsidR="00E20D7A" w:rsidRPr="006C5F8C" w:rsidRDefault="00E20D7A" w:rsidP="00A247C5">
      <w:pPr>
        <w:pStyle w:val="Normal3"/>
      </w:pPr>
      <w:r w:rsidRPr="29589E8D">
        <w:rPr>
          <w:b/>
          <w:bCs/>
        </w:rPr>
        <w:t>Option 2:</w:t>
      </w:r>
      <w:r>
        <w:t xml:space="preserve"> PORPS 2019 approach with reference group options</w:t>
      </w:r>
    </w:p>
    <w:p w14:paraId="43214B39" w14:textId="594388E0" w:rsidR="00E20D7A" w:rsidRDefault="00E20D7A" w:rsidP="00A247C5">
      <w:pPr>
        <w:pStyle w:val="Normal3"/>
      </w:pPr>
      <w:r w:rsidRPr="29589E8D">
        <w:rPr>
          <w:b/>
          <w:bCs/>
        </w:rPr>
        <w:t>Option 3</w:t>
      </w:r>
      <w:r>
        <w:t>: PORPS 2021</w:t>
      </w:r>
      <w:r w:rsidR="006C5F8C">
        <w:t xml:space="preserve"> – </w:t>
      </w:r>
      <w:r w:rsidR="006C5F8C" w:rsidRPr="29589E8D">
        <w:rPr>
          <w:i/>
          <w:iCs/>
        </w:rPr>
        <w:t xml:space="preserve">preferred </w:t>
      </w:r>
    </w:p>
    <w:p w14:paraId="6F4F9203" w14:textId="77777777" w:rsidR="00E20D7A" w:rsidRDefault="00E20D7A" w:rsidP="000B61EC">
      <w:pPr>
        <w:pStyle w:val="Heading5"/>
      </w:pPr>
      <w:r>
        <w:t>Option 1: Status quo</w:t>
      </w:r>
    </w:p>
    <w:p w14:paraId="5AA161CB" w14:textId="57CFA7E7" w:rsidR="00E20D7A" w:rsidRDefault="00E20D7A" w:rsidP="00A247C5">
      <w:pPr>
        <w:pStyle w:val="Normal2"/>
      </w:pPr>
      <w:r>
        <w:t xml:space="preserve">The status quo and associated issues are outlined in section </w:t>
      </w:r>
      <w:r w:rsidR="002A4190">
        <w:t>5.9.2.2.</w:t>
      </w:r>
      <w:r>
        <w:t xml:space="preserve"> As outlined in that section, the status quo is not considered to be effective or efficient although the policy direction and content is generally appropriate.</w:t>
      </w:r>
    </w:p>
    <w:p w14:paraId="13237DE4" w14:textId="66A9C1C2" w:rsidR="00E20D7A" w:rsidRDefault="00E20D7A" w:rsidP="000B61EC">
      <w:pPr>
        <w:pStyle w:val="Heading5"/>
      </w:pPr>
      <w:r>
        <w:t>Option 2: PORPS 2019 approach with reference group options (</w:t>
      </w:r>
      <w:r w:rsidR="00DF6F2A">
        <w:t>see also</w:t>
      </w:r>
      <w:r>
        <w:t xml:space="preserve"> Appendix </w:t>
      </w:r>
      <w:r w:rsidR="002A4190">
        <w:t>18</w:t>
      </w:r>
      <w:r>
        <w:t>, Part 2)</w:t>
      </w:r>
    </w:p>
    <w:p w14:paraId="53A14BCC" w14:textId="403C8119" w:rsidR="00E20D7A" w:rsidRDefault="00E20D7A" w:rsidP="00A247C5">
      <w:pPr>
        <w:pStyle w:val="Normal2"/>
      </w:pPr>
      <w:r>
        <w:t xml:space="preserve">Alternative options considered during the drafting of the </w:t>
      </w:r>
      <w:r w:rsidR="0094058F">
        <w:t>PO</w:t>
      </w:r>
      <w:r>
        <w:t xml:space="preserve">RPS and presented to the Reference Group </w:t>
      </w:r>
      <w:r w:rsidR="008F7F6C">
        <w:t>are set out below.</w:t>
      </w:r>
      <w:r>
        <w:t xml:space="preserve">  This largely implements the same policy approach as the PORPS </w:t>
      </w:r>
      <w:proofErr w:type="gramStart"/>
      <w:r>
        <w:t>2019, but</w:t>
      </w:r>
      <w:proofErr w:type="gramEnd"/>
      <w:r>
        <w:t xml:space="preserve"> has been repackaged to improve the effective and efficiency of the policies.  The approach below largely focusses on better defining </w:t>
      </w:r>
      <w:r w:rsidR="00382BC7">
        <w:t>n</w:t>
      </w:r>
      <w:r>
        <w:t xml:space="preserve">ationally and </w:t>
      </w:r>
      <w:r w:rsidR="00382BC7">
        <w:t>r</w:t>
      </w:r>
      <w:r>
        <w:t xml:space="preserve">egionally </w:t>
      </w:r>
      <w:r w:rsidR="00382BC7">
        <w:t>s</w:t>
      </w:r>
      <w:r>
        <w:t>ignificant Infrastructure as providing policy direction for such infrastructure (</w:t>
      </w:r>
      <w:r w:rsidR="00DF6F2A">
        <w:t>see</w:t>
      </w:r>
      <w:r>
        <w:t xml:space="preserve"> Definitions</w:t>
      </w:r>
      <w:r w:rsidR="008473CA">
        <w:t xml:space="preserve"> and</w:t>
      </w:r>
      <w:r>
        <w:t xml:space="preserve"> Appendix </w:t>
      </w:r>
      <w:r w:rsidR="00DF6F2A">
        <w:t>18</w:t>
      </w:r>
      <w:r>
        <w:t xml:space="preserve">, Part 2).  The approach </w:t>
      </w:r>
      <w:r w:rsidR="00E11408">
        <w:t>offers</w:t>
      </w:r>
      <w:r>
        <w:t xml:space="preserve"> limited policy direction on infrastructure and largely </w:t>
      </w:r>
      <w:r>
        <w:lastRenderedPageBreak/>
        <w:t xml:space="preserve">relies on providing policy direction through defining an infrastructure hierarchy rather than setting a more prescriptive management approach.  </w:t>
      </w:r>
    </w:p>
    <w:p w14:paraId="6DE5C53F" w14:textId="5CA14CE4" w:rsidR="00E20D7A" w:rsidRDefault="00E20D7A" w:rsidP="00A247C5">
      <w:pPr>
        <w:pStyle w:val="Normal2"/>
      </w:pPr>
      <w:r>
        <w:t>To implement EIT</w:t>
      </w:r>
      <w:r w:rsidR="00382BC7">
        <w:t>–</w:t>
      </w:r>
      <w:r>
        <w:t>INF</w:t>
      </w:r>
      <w:r w:rsidR="00382BC7">
        <w:t>–</w:t>
      </w:r>
      <w:r>
        <w:t>O1, the draft EIT</w:t>
      </w:r>
      <w:r w:rsidR="00382BC7">
        <w:t>–</w:t>
      </w:r>
      <w:r>
        <w:t>INF</w:t>
      </w:r>
      <w:r w:rsidR="00382BC7">
        <w:t>–</w:t>
      </w:r>
      <w:r>
        <w:t>P1 and P2 of Option 2 (</w:t>
      </w:r>
      <w:r w:rsidR="00DF6F2A">
        <w:t>see</w:t>
      </w:r>
      <w:r>
        <w:t xml:space="preserve"> Appendix </w:t>
      </w:r>
      <w:r w:rsidR="00DF6F2A">
        <w:t xml:space="preserve">18, </w:t>
      </w:r>
      <w:r>
        <w:t xml:space="preserve">Part 2), provide for the operation and maintenance, </w:t>
      </w:r>
      <w:proofErr w:type="gramStart"/>
      <w:r>
        <w:t>upgrades</w:t>
      </w:r>
      <w:proofErr w:type="gramEnd"/>
      <w:r>
        <w:t xml:space="preserve"> and development of nationally and regionally significant infrastructure whilst minimising adverse effects on the environment.  P2 provides a pathway for infrastructure recognising the functional and operational needs of infrastructure may sometimes have adverse effects on the environment.  The policy approach does</w:t>
      </w:r>
      <w:r w:rsidR="00E11408">
        <w:t xml:space="preserve"> not</w:t>
      </w:r>
      <w:r>
        <w:t xml:space="preserve"> </w:t>
      </w:r>
      <w:r w:rsidR="00E11408">
        <w:t>set out different</w:t>
      </w:r>
      <w:r>
        <w:t xml:space="preserve"> pathway</w:t>
      </w:r>
      <w:r w:rsidR="00E11408">
        <w:t>s</w:t>
      </w:r>
      <w:r>
        <w:t xml:space="preserve"> for nationally and regionally significant infrastructure.  </w:t>
      </w:r>
    </w:p>
    <w:p w14:paraId="22CCF08F" w14:textId="105C1038" w:rsidR="00E20D7A" w:rsidRDefault="00E20D7A" w:rsidP="00A247C5">
      <w:pPr>
        <w:pStyle w:val="Normal2"/>
      </w:pPr>
      <w:r>
        <w:t>EIT</w:t>
      </w:r>
      <w:r w:rsidR="00382BC7">
        <w:t>–</w:t>
      </w:r>
      <w:r>
        <w:t>INF</w:t>
      </w:r>
      <w:r w:rsidR="00382BC7">
        <w:t>–</w:t>
      </w:r>
      <w:r>
        <w:t>P3 (</w:t>
      </w:r>
      <w:r w:rsidR="00DF6F2A">
        <w:t xml:space="preserve">see </w:t>
      </w:r>
      <w:r>
        <w:t xml:space="preserve">Appendix </w:t>
      </w:r>
      <w:r w:rsidR="00DF6F2A">
        <w:t>18</w:t>
      </w:r>
      <w:r>
        <w:t xml:space="preserve">, Part 2) recognises the effects that activities could have on nationally and regionally significant infrastructure which may compromise their functionality.  It provides an approach to managing effects of avoiding, </w:t>
      </w:r>
      <w:proofErr w:type="gramStart"/>
      <w:r>
        <w:t>remedying</w:t>
      </w:r>
      <w:proofErr w:type="gramEnd"/>
      <w:r>
        <w:t xml:space="preserve"> or mitigating adverse effects.   </w:t>
      </w:r>
    </w:p>
    <w:p w14:paraId="2B355C5E" w14:textId="77777777" w:rsidR="00E20D7A" w:rsidRDefault="00E20D7A" w:rsidP="00A247C5">
      <w:pPr>
        <w:pStyle w:val="Normal2"/>
      </w:pPr>
      <w:r>
        <w:t>This approach is not considered to be the most efficient or effective policy approach due to the following reasons:</w:t>
      </w:r>
    </w:p>
    <w:p w14:paraId="39254163" w14:textId="0704CD32" w:rsidR="00E20D7A" w:rsidRPr="006C5F8C" w:rsidRDefault="00E11408" w:rsidP="00A247C5">
      <w:pPr>
        <w:pStyle w:val="Normal3"/>
      </w:pPr>
      <w:r>
        <w:t>It relies</w:t>
      </w:r>
      <w:r w:rsidR="00E20D7A">
        <w:t xml:space="preserve"> heavily on definitions to provide further clarification from the PORPS</w:t>
      </w:r>
      <w:r w:rsidR="007D7447">
        <w:t xml:space="preserve"> </w:t>
      </w:r>
      <w:r w:rsidR="00E20D7A">
        <w:t xml:space="preserve">2019 and </w:t>
      </w:r>
      <w:r w:rsidR="00F00156">
        <w:t xml:space="preserve">as </w:t>
      </w:r>
      <w:r w:rsidR="00E20D7A">
        <w:t xml:space="preserve">an appropriate policy approach </w:t>
      </w:r>
      <w:r w:rsidR="00F00156">
        <w:t xml:space="preserve">it </w:t>
      </w:r>
      <w:r w:rsidR="00E20D7A">
        <w:t xml:space="preserve">does not set out a policy pathway to achieve the objective.  </w:t>
      </w:r>
    </w:p>
    <w:p w14:paraId="654A587E" w14:textId="77777777" w:rsidR="00E20D7A" w:rsidRDefault="00E20D7A" w:rsidP="00A247C5">
      <w:pPr>
        <w:pStyle w:val="Normal3"/>
      </w:pPr>
      <w:r>
        <w:t xml:space="preserve">Feedback from the reference group desired an approach to provide policy direction specific to the different types of infrastructure and effects on the environment.  This includes an approach which adequately acknowledges the hierarchy of infrastructure and implementing approaches consistent with national policy direction.  </w:t>
      </w:r>
    </w:p>
    <w:p w14:paraId="7031B855" w14:textId="67CE0275" w:rsidR="00E20D7A" w:rsidRPr="00633B01" w:rsidRDefault="00E20D7A" w:rsidP="000B61EC">
      <w:pPr>
        <w:pStyle w:val="Heading5"/>
        <w:rPr>
          <w:i/>
          <w:iCs/>
        </w:rPr>
      </w:pPr>
      <w:r>
        <w:t>Option 3: PORPS 2021</w:t>
      </w:r>
      <w:r w:rsidR="00633B01">
        <w:t xml:space="preserve"> – </w:t>
      </w:r>
      <w:r w:rsidR="00633B01">
        <w:rPr>
          <w:i/>
          <w:iCs/>
        </w:rPr>
        <w:t xml:space="preserve">preferred </w:t>
      </w:r>
    </w:p>
    <w:p w14:paraId="3E79778F" w14:textId="77777777" w:rsidR="00E20D7A" w:rsidRDefault="00E20D7A" w:rsidP="00A247C5">
      <w:pPr>
        <w:pStyle w:val="Normal2"/>
      </w:pPr>
      <w:r>
        <w:t>Overall, the provisions in the PORPS 2019 are not considered to be efficient or effective as they are inconsistent with national direction and require updating to ensure they are clear and give effect to the higher order documents. The key changes proposed in the PORPS 2021 include:</w:t>
      </w:r>
    </w:p>
    <w:p w14:paraId="54EC8B54" w14:textId="77777777" w:rsidR="00E20D7A" w:rsidRDefault="00E20D7A" w:rsidP="00A247C5">
      <w:pPr>
        <w:pStyle w:val="Normal3"/>
      </w:pPr>
      <w:r>
        <w:t xml:space="preserve">Inserting separate definitions of regionally significant infrastructure and nationally significant infrastructure. </w:t>
      </w:r>
    </w:p>
    <w:p w14:paraId="11AA0251" w14:textId="77777777" w:rsidR="00E20D7A" w:rsidRDefault="00E20D7A" w:rsidP="00A247C5">
      <w:pPr>
        <w:pStyle w:val="Normal3"/>
      </w:pPr>
      <w:r>
        <w:t>Not carrying over the definition of municipal infrastructure – instead these assets, including the distribution networks within urban areas are encompassed in the definition of regionally significant infrastructure.</w:t>
      </w:r>
    </w:p>
    <w:p w14:paraId="42278703" w14:textId="5E40A372" w:rsidR="00E20D7A" w:rsidRDefault="00E20D7A" w:rsidP="00A247C5">
      <w:pPr>
        <w:pStyle w:val="Normal2"/>
      </w:pPr>
      <w:r>
        <w:t>Option 3 proposes an approach to provide for infrastructure that is efficient, effective and minimises the adverse effects of it</w:t>
      </w:r>
      <w:r w:rsidR="007D7447">
        <w:t>s</w:t>
      </w:r>
      <w:r>
        <w:t xml:space="preserve"> use and development on the environment. Some of the policies apply specifically to nationally and regionally significant infrastructure (which are defined separately) while others apply to all infrastructure (as defined in the RMA 1991). This recognises that the different types of infrastructure operate at different scales and can have significantly different effects (both positive and negative).</w:t>
      </w:r>
    </w:p>
    <w:p w14:paraId="017350AA" w14:textId="3A1B3242" w:rsidR="00E20D7A" w:rsidRDefault="00E20D7A" w:rsidP="00A247C5">
      <w:pPr>
        <w:pStyle w:val="Normal2"/>
      </w:pPr>
      <w:r>
        <w:t>Policies EIT</w:t>
      </w:r>
      <w:r w:rsidR="00633B01">
        <w:t>–</w:t>
      </w:r>
      <w:r>
        <w:t>EN</w:t>
      </w:r>
      <w:r w:rsidR="00633B01">
        <w:t>–</w:t>
      </w:r>
      <w:r>
        <w:t xml:space="preserve">P10, P11, P12 and P15 apply only to nationally and regionally significant infrastructure. While the policies apply to both categories, it is expected that decision-making would apply the content of the policies in accordance with the significance of the infrastructure. </w:t>
      </w:r>
      <w:proofErr w:type="gramStart"/>
      <w:r>
        <w:t>Similar to</w:t>
      </w:r>
      <w:proofErr w:type="gramEnd"/>
      <w:r>
        <w:t xml:space="preserve"> Policy EIT</w:t>
      </w:r>
      <w:r w:rsidR="00633B01">
        <w:t>–</w:t>
      </w:r>
      <w:r>
        <w:t>EN</w:t>
      </w:r>
      <w:r w:rsidR="00633B01">
        <w:t>–</w:t>
      </w:r>
      <w:r>
        <w:t>P2, Policy EIT</w:t>
      </w:r>
      <w:r w:rsidR="00633B01">
        <w:t>–</w:t>
      </w:r>
      <w:r>
        <w:t>INF</w:t>
      </w:r>
      <w:r w:rsidR="00633B01">
        <w:t>–</w:t>
      </w:r>
      <w:r>
        <w:t>P10 requires decision-making on allocation and use of natural and physical resources to make provision for nationally and regionally significant infrastructure. The direction in this policy is less specific than in EIT</w:t>
      </w:r>
      <w:r w:rsidR="00633B01">
        <w:t>–</w:t>
      </w:r>
      <w:r>
        <w:t>EN</w:t>
      </w:r>
      <w:r w:rsidR="00633B01">
        <w:t>–</w:t>
      </w:r>
      <w:r>
        <w:lastRenderedPageBreak/>
        <w:t>P2 as the infrastructure it applies to is broader and not necessarily subject to the provisions of the NPSREG.</w:t>
      </w:r>
    </w:p>
    <w:p w14:paraId="3FEA43AD" w14:textId="64C40186" w:rsidR="00E20D7A" w:rsidRDefault="00E20D7A" w:rsidP="00A247C5">
      <w:pPr>
        <w:pStyle w:val="Normal2"/>
      </w:pPr>
      <w:r>
        <w:t>Recognising their importance, Policy EIT</w:t>
      </w:r>
      <w:r w:rsidR="00633B01">
        <w:t>–</w:t>
      </w:r>
      <w:r>
        <w:t>INF</w:t>
      </w:r>
      <w:r w:rsidR="00633B01">
        <w:t>–</w:t>
      </w:r>
      <w:r>
        <w:t xml:space="preserve">P11 enables the use, </w:t>
      </w:r>
      <w:proofErr w:type="gramStart"/>
      <w:r w:rsidR="00BC01E9">
        <w:t>operation</w:t>
      </w:r>
      <w:proofErr w:type="gramEnd"/>
      <w:r w:rsidR="00BC01E9">
        <w:t xml:space="preserve"> and </w:t>
      </w:r>
      <w:r>
        <w:t xml:space="preserve">maintenance of existing nationally and regionally significant infrastructure while avoiding, as </w:t>
      </w:r>
      <w:r w:rsidR="00FA1C82">
        <w:t xml:space="preserve">the </w:t>
      </w:r>
      <w:r>
        <w:t xml:space="preserve">first priority, significant adverse effects and </w:t>
      </w:r>
      <w:r w:rsidR="008278B3">
        <w:t xml:space="preserve">if </w:t>
      </w:r>
      <w:r>
        <w:t>this is not practicable, minimising those effects and other adverse effects. Policy EIT</w:t>
      </w:r>
      <w:r w:rsidR="00633B01">
        <w:t>–</w:t>
      </w:r>
      <w:r>
        <w:t>INF</w:t>
      </w:r>
      <w:r w:rsidR="00633B01">
        <w:t>–</w:t>
      </w:r>
      <w:r>
        <w:t xml:space="preserve">P12 </w:t>
      </w:r>
      <w:r w:rsidR="008278B3">
        <w:t>provides</w:t>
      </w:r>
      <w:r>
        <w:t xml:space="preserve"> for upgrades to</w:t>
      </w:r>
      <w:r w:rsidR="003A2117">
        <w:t>,</w:t>
      </w:r>
      <w:r>
        <w:t xml:space="preserve"> and development of nationally and regionally significant infrastructure where that infrastructure is designed and located (as far as practicable) to maintain functionality after natural hazard events and the upgrades or development are co-ordinated with long-term land use planning (as far as practicable). </w:t>
      </w:r>
    </w:p>
    <w:p w14:paraId="19332D5A" w14:textId="4F856645" w:rsidR="00E20D7A" w:rsidRDefault="00E20D7A" w:rsidP="00A247C5">
      <w:pPr>
        <w:pStyle w:val="Normal2"/>
      </w:pPr>
      <w:r>
        <w:t>Policy EIT</w:t>
      </w:r>
      <w:r w:rsidR="00633B01">
        <w:t>–</w:t>
      </w:r>
      <w:r>
        <w:t>INF</w:t>
      </w:r>
      <w:r w:rsidR="00633B01">
        <w:t>–</w:t>
      </w:r>
      <w:r>
        <w:t xml:space="preserve">P14 applies to all infrastructure and sets out decision making considerations for </w:t>
      </w:r>
      <w:r w:rsidR="00A72E6F">
        <w:t xml:space="preserve">development, </w:t>
      </w:r>
      <w:r>
        <w:t xml:space="preserve">operation, maintenance, </w:t>
      </w:r>
      <w:r w:rsidR="00A72E6F">
        <w:t xml:space="preserve">or </w:t>
      </w:r>
      <w:r>
        <w:t xml:space="preserve">upgrade, having </w:t>
      </w:r>
      <w:r w:rsidR="00633B01">
        <w:t xml:space="preserve">regard </w:t>
      </w:r>
      <w:r w:rsidR="00187CA6">
        <w:t>to</w:t>
      </w:r>
      <w:r>
        <w:t xml:space="preserve"> alternative sites, and opportunities to reduce adverse effects from upgrades.</w:t>
      </w:r>
    </w:p>
    <w:p w14:paraId="5B5F8B0B" w14:textId="32F0A367" w:rsidR="00E20D7A" w:rsidRDefault="004C53E5" w:rsidP="00A247C5">
      <w:pPr>
        <w:pStyle w:val="Normal2"/>
      </w:pPr>
      <w:proofErr w:type="gramStart"/>
      <w:r>
        <w:t xml:space="preserve">Similar </w:t>
      </w:r>
      <w:r w:rsidR="00E20D7A">
        <w:t>to</w:t>
      </w:r>
      <w:proofErr w:type="gramEnd"/>
      <w:r w:rsidR="00E20D7A">
        <w:t xml:space="preserve"> EIT</w:t>
      </w:r>
      <w:r w:rsidR="00633B01">
        <w:t>–</w:t>
      </w:r>
      <w:r w:rsidR="00E20D7A">
        <w:t>EN</w:t>
      </w:r>
      <w:r w:rsidR="00633B01">
        <w:t>–</w:t>
      </w:r>
      <w:r w:rsidR="00E20D7A">
        <w:t>P7, Policy EIT</w:t>
      </w:r>
      <w:r w:rsidR="00633B01">
        <w:t>–</w:t>
      </w:r>
      <w:r w:rsidR="00E20D7A">
        <w:t>INF</w:t>
      </w:r>
      <w:r w:rsidR="00633B01">
        <w:t>–</w:t>
      </w:r>
      <w:r w:rsidR="00E20D7A">
        <w:t xml:space="preserve">P15 addresses reverse sensitivity effects that can arise when activities locate nearby infrastructure, potentially compromising their operation. This policy </w:t>
      </w:r>
      <w:r w:rsidR="001B4A05">
        <w:t>seeks to avoid</w:t>
      </w:r>
      <w:r w:rsidR="00E20D7A">
        <w:t xml:space="preserve"> </w:t>
      </w:r>
      <w:r w:rsidR="003B1D12" w:rsidRPr="003B1D12">
        <w:t xml:space="preserve">activities that may result in reverse sensitivity effects on nationally or regionally infrastructure or that are incompatible </w:t>
      </w:r>
      <w:r w:rsidR="00FA621C">
        <w:t>(</w:t>
      </w:r>
      <w:r w:rsidR="00FA621C" w:rsidRPr="003B1D12">
        <w:t>where they may compromis</w:t>
      </w:r>
      <w:r w:rsidR="00FA621C">
        <w:t>e</w:t>
      </w:r>
      <w:r w:rsidR="00FA621C" w:rsidRPr="003B1D12">
        <w:t xml:space="preserve"> the functional or operational needs</w:t>
      </w:r>
      <w:r w:rsidR="00FA621C">
        <w:t>)</w:t>
      </w:r>
      <w:r w:rsidR="003B1D12" w:rsidRPr="003B1D12">
        <w:t xml:space="preserve"> with the anticipated effects of that nationally or regionally infrastructure</w:t>
      </w:r>
      <w:r w:rsidR="00081289">
        <w:t>.</w:t>
      </w:r>
      <w:r w:rsidR="00E20D7A">
        <w:t xml:space="preserve"> This does</w:t>
      </w:r>
      <w:r w:rsidR="0054627E">
        <w:t xml:space="preserve"> not</w:t>
      </w:r>
      <w:r w:rsidR="00E20D7A">
        <w:t xml:space="preserve"> require avoiding the activities entirely (although that may be the outcome in some cases), rather </w:t>
      </w:r>
      <w:r w:rsidR="0054627E">
        <w:t>it</w:t>
      </w:r>
      <w:r w:rsidR="00E20D7A">
        <w:t xml:space="preserve"> </w:t>
      </w:r>
      <w:r w:rsidR="002C1C83">
        <w:t xml:space="preserve">requires </w:t>
      </w:r>
      <w:r w:rsidR="00E20D7A">
        <w:t>controlling the way they occur.</w:t>
      </w:r>
    </w:p>
    <w:p w14:paraId="7B660B6B" w14:textId="68ED5E79" w:rsidR="00E20D7A" w:rsidRPr="00146F27" w:rsidRDefault="00E20D7A" w:rsidP="00A247C5">
      <w:pPr>
        <w:pStyle w:val="Normal2"/>
      </w:pPr>
      <w:r>
        <w:t>Policy EIT</w:t>
      </w:r>
      <w:r w:rsidR="00633B01">
        <w:t>–</w:t>
      </w:r>
      <w:r>
        <w:t>INF</w:t>
      </w:r>
      <w:r w:rsidR="00633B01">
        <w:t>–</w:t>
      </w:r>
      <w:r>
        <w:t xml:space="preserve">P13 applies to all infrastructure and sets out how the adverse effects of infrastructure are to be managed outside of the Coastal Environment, including by prioritising avoiding locating infrastructure in sensitive or highly valued areas, avoiding some types of adverse effects, considering alternatives, having regard to offsets and compensation, utilising opportunities to reduce adverse effects, and managing activities in wetlands according to more specific direction in the LF chapter. This policy recognises the needs of infrastructure and their importance to communities, while encouraging a reduction in adverse effects by a range of means.  </w:t>
      </w:r>
      <w:r w:rsidR="00B92055">
        <w:t>Activities in the c</w:t>
      </w:r>
      <w:r>
        <w:t xml:space="preserve">oastal </w:t>
      </w:r>
      <w:r w:rsidR="00B92055">
        <w:t>e</w:t>
      </w:r>
      <w:r>
        <w:t>nvironment</w:t>
      </w:r>
      <w:r w:rsidR="00B92055">
        <w:t>, including infrastructure,</w:t>
      </w:r>
      <w:r>
        <w:t xml:space="preserve"> are </w:t>
      </w:r>
      <w:r w:rsidR="00B92055">
        <w:t xml:space="preserve">also </w:t>
      </w:r>
      <w:r>
        <w:t xml:space="preserve">addressed by </w:t>
      </w:r>
      <w:r w:rsidRPr="00146F27">
        <w:t>CE</w:t>
      </w:r>
      <w:r w:rsidR="00633B01">
        <w:t>–</w:t>
      </w:r>
      <w:r w:rsidRPr="00146F27">
        <w:t>P9(3</w:t>
      </w:r>
      <w:r w:rsidR="00B92055" w:rsidRPr="00146F27">
        <w:t>)</w:t>
      </w:r>
      <w:r w:rsidRPr="00146F27">
        <w:t>.</w:t>
      </w:r>
    </w:p>
    <w:p w14:paraId="4473FF92" w14:textId="5C90C0B0" w:rsidR="00385B8E" w:rsidRPr="00146F27" w:rsidRDefault="00E20D7A" w:rsidP="00A247C5">
      <w:pPr>
        <w:pStyle w:val="Normal2"/>
      </w:pPr>
      <w:r>
        <w:t xml:space="preserve">The NPSET contains provisions managing the effects of the electricity transmission network. The </w:t>
      </w:r>
      <w:r w:rsidRPr="00146F27">
        <w:t>NPS</w:t>
      </w:r>
      <w:r w:rsidR="00B3706B">
        <w:t>ET</w:t>
      </w:r>
      <w:r>
        <w:t xml:space="preserve"> is supported by the NESETA which contains corresponding rules. In response, Policy EIT</w:t>
      </w:r>
      <w:r w:rsidR="00633B01">
        <w:t>–</w:t>
      </w:r>
      <w:r>
        <w:t>INF</w:t>
      </w:r>
      <w:r w:rsidR="00633B01">
        <w:t>–</w:t>
      </w:r>
      <w:r>
        <w:t>P16</w:t>
      </w:r>
      <w:r w:rsidR="00B3706B">
        <w:t>, in combination with EIT</w:t>
      </w:r>
      <w:r w:rsidR="00633B01">
        <w:t>–</w:t>
      </w:r>
      <w:r w:rsidR="00B3706B">
        <w:t>INF</w:t>
      </w:r>
      <w:r w:rsidR="00633B01">
        <w:t>–</w:t>
      </w:r>
      <w:r w:rsidR="00B3706B">
        <w:t>P13,</w:t>
      </w:r>
      <w:r>
        <w:t xml:space="preserve"> sets out how Otago’s electricity transmission network (and particularly the National Grid infrastructure) will be recognised and provided for.</w:t>
      </w:r>
      <w:r w:rsidR="009F1A7D">
        <w:t xml:space="preserve"> </w:t>
      </w:r>
      <w:r w:rsidR="008F584C">
        <w:t xml:space="preserve">  </w:t>
      </w:r>
    </w:p>
    <w:p w14:paraId="1013EC83" w14:textId="110B57D4" w:rsidR="00FF7422" w:rsidRDefault="00FF7422" w:rsidP="00A247C5">
      <w:pPr>
        <w:pStyle w:val="Normal2"/>
      </w:pPr>
      <w:r>
        <w:t>It is important to note that many of the provisions that are relevant to electricity transmission in relation to the National Grid are also important for other types of regionally or nationally significant infrastructure.  It is for this reason that EIT</w:t>
      </w:r>
      <w:r w:rsidR="00633B01">
        <w:t>–</w:t>
      </w:r>
      <w:r>
        <w:t>INF</w:t>
      </w:r>
      <w:r w:rsidR="00633B01">
        <w:t>–</w:t>
      </w:r>
      <w:r>
        <w:t>P13 has been developed as the effects cascade for all infrastructure, and in doing so has been drafted to give effect to the NPSET.</w:t>
      </w:r>
    </w:p>
    <w:p w14:paraId="676522BF" w14:textId="77777777" w:rsidR="00FF7422" w:rsidRDefault="00FF7422" w:rsidP="00A247C5">
      <w:pPr>
        <w:pStyle w:val="Normal2"/>
      </w:pPr>
      <w:r>
        <w:t>A key component of the NPSET is Policy 8, which states:</w:t>
      </w:r>
    </w:p>
    <w:p w14:paraId="2DF2EC54" w14:textId="77777777" w:rsidR="00FF7422" w:rsidRPr="00B27799" w:rsidRDefault="00FF7422" w:rsidP="00A247C5">
      <w:pPr>
        <w:pStyle w:val="Normal2"/>
        <w:numPr>
          <w:ilvl w:val="0"/>
          <w:numId w:val="0"/>
        </w:numPr>
        <w:ind w:left="720"/>
        <w:rPr>
          <w:i/>
          <w:iCs/>
        </w:rPr>
      </w:pPr>
      <w:r w:rsidRPr="00B27799">
        <w:rPr>
          <w:i/>
          <w:iCs/>
          <w:lang w:val="en-AU"/>
        </w:rPr>
        <w:t>In rural environments, planning and development of the transmission system should seek to avoid adverse effects on outstanding natural landscapes, areas of high natural character and areas of high recreation value and amenity and existing sensitive activities.</w:t>
      </w:r>
    </w:p>
    <w:p w14:paraId="5B611E6B" w14:textId="77777777" w:rsidR="00FF7422" w:rsidRPr="00D57F92" w:rsidRDefault="00FF7422" w:rsidP="00A247C5">
      <w:pPr>
        <w:pStyle w:val="Normal2"/>
        <w:numPr>
          <w:ilvl w:val="0"/>
          <w:numId w:val="0"/>
        </w:numPr>
        <w:ind w:left="720"/>
      </w:pPr>
    </w:p>
    <w:p w14:paraId="37D8C8C9" w14:textId="3DACC0C8" w:rsidR="00FF7422" w:rsidRDefault="00FF7422" w:rsidP="00A247C5">
      <w:pPr>
        <w:pStyle w:val="Normal2"/>
      </w:pPr>
      <w:r w:rsidRPr="00D57F92">
        <w:lastRenderedPageBreak/>
        <w:t>It is noted that Policy 8 only addresses a “seek to avoid” approach for Outstanding Natural Features (‘ONLs’), areas of high natural character, areas of high recreation value and amenity, and existing sensitive activities.  It is limited to rural environments only.</w:t>
      </w:r>
      <w:r>
        <w:t xml:space="preserve"> </w:t>
      </w:r>
      <w:r w:rsidRPr="0023547F">
        <w:t xml:space="preserve">It does not stipulate a “seek to avoid” approach for Significant Natural Areas (SNAs), natural wetlands or outstanding waterbodies, </w:t>
      </w:r>
      <w:proofErr w:type="gramStart"/>
      <w:r w:rsidRPr="0023547F">
        <w:t>places</w:t>
      </w:r>
      <w:proofErr w:type="gramEnd"/>
      <w:r w:rsidRPr="0023547F">
        <w:t xml:space="preserve"> or areas of significant or outstanding historic heritage, or </w:t>
      </w:r>
      <w:proofErr w:type="spellStart"/>
      <w:r w:rsidRPr="0023547F">
        <w:t>wāhi</w:t>
      </w:r>
      <w:proofErr w:type="spellEnd"/>
      <w:r w:rsidRPr="0023547F">
        <w:t xml:space="preserve"> </w:t>
      </w:r>
      <w:proofErr w:type="spellStart"/>
      <w:r w:rsidRPr="0023547F">
        <w:t>tapu</w:t>
      </w:r>
      <w:proofErr w:type="spellEnd"/>
      <w:r w:rsidRPr="0023547F">
        <w:t xml:space="preserve"> and areas with protected customary rights.  The NPSET is silent on these resources.</w:t>
      </w:r>
    </w:p>
    <w:p w14:paraId="7748EBA9" w14:textId="4D2D0A71" w:rsidR="00FF7422" w:rsidRDefault="00FF7422" w:rsidP="00A247C5">
      <w:pPr>
        <w:pStyle w:val="Normal2"/>
      </w:pPr>
      <w:r w:rsidRPr="00D57F92">
        <w:t>Policy EIT</w:t>
      </w:r>
      <w:r w:rsidR="00633B01">
        <w:t>–</w:t>
      </w:r>
      <w:r w:rsidRPr="00D57F92">
        <w:t>INF</w:t>
      </w:r>
      <w:r w:rsidR="00633B01">
        <w:t>–</w:t>
      </w:r>
      <w:r w:rsidRPr="00D57F92">
        <w:t xml:space="preserve">P13 provides a framework for all </w:t>
      </w:r>
      <w:proofErr w:type="gramStart"/>
      <w:r w:rsidRPr="00D57F92">
        <w:t>infrastructure, and</w:t>
      </w:r>
      <w:proofErr w:type="gramEnd"/>
      <w:r w:rsidRPr="00D57F92">
        <w:t xml:space="preserve"> gives interpretive meaning to how the “seek to avoid effects on significant resources” approach is to be managed, by avoiding as the first priority locating in those areas.  The approach is </w:t>
      </w:r>
      <w:proofErr w:type="gramStart"/>
      <w:r w:rsidRPr="00D57F92">
        <w:t>similar to</w:t>
      </w:r>
      <w:proofErr w:type="gramEnd"/>
      <w:r w:rsidRPr="00D57F92">
        <w:t xml:space="preserve"> that taken in Policy 4.3.4 in the operative ORPS.</w:t>
      </w:r>
      <w:r>
        <w:t xml:space="preserve"> </w:t>
      </w:r>
      <w:r w:rsidRPr="5292A31F">
        <w:rPr>
          <w:rFonts w:ascii="Calibri" w:eastAsia="Calibri" w:hAnsi="Calibri" w:cs="Calibri"/>
          <w:color w:val="000000" w:themeColor="text1"/>
          <w:lang w:val="en-AU"/>
        </w:rPr>
        <w:t xml:space="preserve">If avoidance is not possible because of </w:t>
      </w:r>
      <w:r w:rsidR="00B214FA">
        <w:rPr>
          <w:rFonts w:ascii="Calibri" w:eastAsia="Calibri" w:hAnsi="Calibri" w:cs="Calibri"/>
          <w:color w:val="000000" w:themeColor="text1"/>
          <w:lang w:val="en-AU"/>
        </w:rPr>
        <w:t xml:space="preserve">the </w:t>
      </w:r>
      <w:r w:rsidRPr="5292A31F">
        <w:rPr>
          <w:rFonts w:ascii="Calibri" w:eastAsia="Calibri" w:hAnsi="Calibri" w:cs="Calibri"/>
          <w:color w:val="000000" w:themeColor="text1"/>
          <w:lang w:val="en-AU"/>
        </w:rPr>
        <w:t>functional or operational needs of infrastructure (noting that this is now defined under the National Planning Standard definitions), then the approach is to minimise adverse effects as far as practicable for nationally or regionally significant infrastructure, on the areas that contribute to the area’s significance.</w:t>
      </w:r>
      <w:r>
        <w:rPr>
          <w:rFonts w:ascii="Calibri" w:eastAsia="Calibri" w:hAnsi="Calibri" w:cs="Calibri"/>
          <w:color w:val="000000" w:themeColor="text1"/>
          <w:lang w:val="en-AU"/>
        </w:rPr>
        <w:t xml:space="preserve">  </w:t>
      </w:r>
      <w:r w:rsidRPr="5292A31F">
        <w:rPr>
          <w:rFonts w:ascii="Calibri" w:eastAsia="Calibri" w:hAnsi="Calibri" w:cs="Calibri"/>
          <w:color w:val="000000" w:themeColor="text1"/>
          <w:lang w:val="en-AU"/>
        </w:rPr>
        <w:t>For all other infrastructure, the direction is to avoid adverse effects on the values that contribute to the area’s significance.</w:t>
      </w:r>
    </w:p>
    <w:p w14:paraId="2C786526" w14:textId="6EEC3579" w:rsidR="00390744" w:rsidRPr="00B27799" w:rsidRDefault="00FF7422" w:rsidP="00A247C5">
      <w:pPr>
        <w:pStyle w:val="Normal2"/>
      </w:pPr>
      <w:r w:rsidRPr="5292A31F">
        <w:rPr>
          <w:lang w:val="en-AU"/>
        </w:rPr>
        <w:t>The NPSET does not prioritise the National Grid above other infrastructure, it simply recognises the National Grid as nationally significant.</w:t>
      </w:r>
      <w:r>
        <w:rPr>
          <w:lang w:val="en-AU"/>
        </w:rPr>
        <w:t xml:space="preserve"> </w:t>
      </w:r>
      <w:r w:rsidRPr="5292A31F">
        <w:rPr>
          <w:lang w:val="en-AU"/>
        </w:rPr>
        <w:t xml:space="preserve">The principal approach set out in the NPSET (which is to </w:t>
      </w:r>
      <w:r>
        <w:rPr>
          <w:lang w:val="en-AU"/>
        </w:rPr>
        <w:t>“</w:t>
      </w:r>
      <w:r w:rsidRPr="5292A31F">
        <w:rPr>
          <w:lang w:val="en-AU"/>
        </w:rPr>
        <w:t>seek to avoid</w:t>
      </w:r>
      <w:r>
        <w:rPr>
          <w:lang w:val="en-AU"/>
        </w:rPr>
        <w:t>”</w:t>
      </w:r>
      <w:r w:rsidRPr="5292A31F">
        <w:rPr>
          <w:lang w:val="en-AU"/>
        </w:rPr>
        <w:t xml:space="preserve"> adverse effects on significant resources) </w:t>
      </w:r>
      <w:proofErr w:type="gramStart"/>
      <w:r w:rsidRPr="5292A31F">
        <w:rPr>
          <w:lang w:val="en-AU"/>
        </w:rPr>
        <w:t xml:space="preserve">is </w:t>
      </w:r>
      <w:r>
        <w:rPr>
          <w:lang w:val="en-AU"/>
        </w:rPr>
        <w:t>considered to be</w:t>
      </w:r>
      <w:proofErr w:type="gramEnd"/>
      <w:r>
        <w:rPr>
          <w:lang w:val="en-AU"/>
        </w:rPr>
        <w:t xml:space="preserve"> a </w:t>
      </w:r>
      <w:r w:rsidRPr="5292A31F">
        <w:rPr>
          <w:lang w:val="en-AU"/>
        </w:rPr>
        <w:t xml:space="preserve">useful </w:t>
      </w:r>
      <w:r>
        <w:rPr>
          <w:lang w:val="en-AU"/>
        </w:rPr>
        <w:t xml:space="preserve">approach </w:t>
      </w:r>
      <w:r w:rsidRPr="5292A31F">
        <w:rPr>
          <w:lang w:val="en-AU"/>
        </w:rPr>
        <w:t>not only for the National Grid, but for other nationally and regionally significant infrastructure as well.</w:t>
      </w:r>
      <w:r w:rsidR="00390744" w:rsidRPr="00390744">
        <w:rPr>
          <w:lang w:val="en-AU"/>
        </w:rPr>
        <w:t xml:space="preserve"> </w:t>
      </w:r>
      <w:r w:rsidR="00390744">
        <w:rPr>
          <w:lang w:val="en-AU"/>
        </w:rPr>
        <w:t xml:space="preserve">Option 3 therefore provides much greater direction than Options 1 and 2 for locating any infrastructure in </w:t>
      </w:r>
      <w:r w:rsidR="008104BA">
        <w:rPr>
          <w:lang w:val="en-AU"/>
        </w:rPr>
        <w:t>relation to</w:t>
      </w:r>
      <w:r w:rsidR="00390744">
        <w:rPr>
          <w:lang w:val="en-AU"/>
        </w:rPr>
        <w:t xml:space="preserve"> </w:t>
      </w:r>
      <w:r w:rsidR="008104BA">
        <w:rPr>
          <w:lang w:val="en-AU"/>
        </w:rPr>
        <w:t>areas of significance</w:t>
      </w:r>
      <w:r w:rsidR="00390744">
        <w:rPr>
          <w:lang w:val="en-AU"/>
        </w:rPr>
        <w:t>.</w:t>
      </w:r>
    </w:p>
    <w:p w14:paraId="238849FF" w14:textId="433F89E7" w:rsidR="008F78C0" w:rsidRPr="008F78C0" w:rsidRDefault="008F78C0" w:rsidP="008F78C0">
      <w:pPr>
        <w:pStyle w:val="Normal2"/>
      </w:pPr>
      <w:r w:rsidRPr="008F78C0">
        <w:rPr>
          <w:lang w:val="en-AU"/>
        </w:rPr>
        <w:t xml:space="preserve">The table below sets an </w:t>
      </w:r>
      <w:r w:rsidRPr="008F78C0">
        <w:t>assessment</w:t>
      </w:r>
      <w:r w:rsidRPr="008F78C0">
        <w:rPr>
          <w:lang w:val="en-AU"/>
        </w:rPr>
        <w:t xml:space="preserve"> of Policy 8, against Option 1 and 2, and Option 3.  It indicates that the preferred option to be the most appropriate to protect and manage the relevant resource issues:</w:t>
      </w:r>
    </w:p>
    <w:p w14:paraId="779A4CDD" w14:textId="7366E2DC" w:rsidR="008F78C0" w:rsidRPr="00732C1E" w:rsidRDefault="008F78C0" w:rsidP="008F78C0">
      <w:pPr>
        <w:pStyle w:val="Caption"/>
        <w:ind w:left="709"/>
      </w:pPr>
      <w:r>
        <w:t xml:space="preserve">Table </w:t>
      </w:r>
      <w:r>
        <w:fldChar w:fldCharType="begin"/>
      </w:r>
      <w:r>
        <w:instrText xml:space="preserve"> SEQ Table \* ARABIC </w:instrText>
      </w:r>
      <w:r>
        <w:fldChar w:fldCharType="separate"/>
      </w:r>
      <w:r w:rsidR="002A7A16">
        <w:rPr>
          <w:noProof/>
        </w:rPr>
        <w:t>44</w:t>
      </w:r>
      <w:r>
        <w:rPr>
          <w:noProof/>
        </w:rPr>
        <w:fldChar w:fldCharType="end"/>
      </w:r>
      <w:r>
        <w:t>: Options assessment</w:t>
      </w:r>
    </w:p>
    <w:tbl>
      <w:tblPr>
        <w:tblStyle w:val="TableGrid"/>
        <w:tblW w:w="8222" w:type="dxa"/>
        <w:tblInd w:w="704" w:type="dxa"/>
        <w:tblLook w:val="04A0" w:firstRow="1" w:lastRow="0" w:firstColumn="1" w:lastColumn="0" w:noHBand="0" w:noVBand="1"/>
      </w:tblPr>
      <w:tblGrid>
        <w:gridCol w:w="1765"/>
        <w:gridCol w:w="2152"/>
        <w:gridCol w:w="2152"/>
        <w:gridCol w:w="2153"/>
      </w:tblGrid>
      <w:tr w:rsidR="008F78C0" w14:paraId="04B8CD3E" w14:textId="77777777" w:rsidTr="008F78C0">
        <w:trPr>
          <w:trHeight w:val="300"/>
        </w:trPr>
        <w:tc>
          <w:tcPr>
            <w:tcW w:w="1765" w:type="dxa"/>
          </w:tcPr>
          <w:p w14:paraId="3E8B739C" w14:textId="77777777" w:rsidR="008F78C0" w:rsidRDefault="008F78C0" w:rsidP="008F78C0">
            <w:pPr>
              <w:pStyle w:val="Table1"/>
              <w:rPr>
                <w:lang w:val="en-AU"/>
              </w:rPr>
            </w:pPr>
          </w:p>
        </w:tc>
        <w:tc>
          <w:tcPr>
            <w:tcW w:w="2152" w:type="dxa"/>
          </w:tcPr>
          <w:p w14:paraId="06DEF574" w14:textId="77777777" w:rsidR="008F78C0" w:rsidRPr="008F78C0" w:rsidRDefault="008F78C0" w:rsidP="008F78C0">
            <w:pPr>
              <w:pStyle w:val="Table1"/>
              <w:rPr>
                <w:b/>
                <w:bCs/>
                <w:lang w:val="en-AU"/>
              </w:rPr>
            </w:pPr>
            <w:r w:rsidRPr="008F78C0">
              <w:rPr>
                <w:b/>
                <w:bCs/>
                <w:lang w:val="en-AU"/>
              </w:rPr>
              <w:t xml:space="preserve">NPSET Policy 8 </w:t>
            </w:r>
          </w:p>
          <w:p w14:paraId="327B0516" w14:textId="77777777" w:rsidR="008F78C0" w:rsidRPr="008F78C0" w:rsidRDefault="008F78C0" w:rsidP="008F78C0">
            <w:pPr>
              <w:pStyle w:val="Table1"/>
              <w:rPr>
                <w:b/>
                <w:bCs/>
                <w:lang w:val="en-AU"/>
              </w:rPr>
            </w:pPr>
          </w:p>
        </w:tc>
        <w:tc>
          <w:tcPr>
            <w:tcW w:w="2152" w:type="dxa"/>
          </w:tcPr>
          <w:p w14:paraId="347EDB55" w14:textId="77777777" w:rsidR="008F78C0" w:rsidRPr="008F78C0" w:rsidRDefault="008F78C0" w:rsidP="008F78C0">
            <w:pPr>
              <w:pStyle w:val="Table1"/>
              <w:rPr>
                <w:b/>
                <w:bCs/>
                <w:lang w:val="en-AU"/>
              </w:rPr>
            </w:pPr>
            <w:r w:rsidRPr="008F78C0">
              <w:rPr>
                <w:b/>
                <w:bCs/>
                <w:lang w:val="en-AU"/>
              </w:rPr>
              <w:t>Option 1 &amp; 2</w:t>
            </w:r>
            <w:r w:rsidRPr="008F78C0">
              <w:rPr>
                <w:b/>
                <w:bCs/>
                <w:lang w:val="en-AU"/>
              </w:rPr>
              <w:br/>
              <w:t>RPS 2019 4.3.6 (all areas)</w:t>
            </w:r>
          </w:p>
        </w:tc>
        <w:tc>
          <w:tcPr>
            <w:tcW w:w="2153" w:type="dxa"/>
          </w:tcPr>
          <w:p w14:paraId="01B12A84" w14:textId="77777777" w:rsidR="008F78C0" w:rsidRPr="008F78C0" w:rsidRDefault="008F78C0" w:rsidP="008F78C0">
            <w:pPr>
              <w:pStyle w:val="Table1"/>
              <w:rPr>
                <w:b/>
                <w:bCs/>
                <w:lang w:val="en-AU"/>
              </w:rPr>
            </w:pPr>
            <w:r w:rsidRPr="008F78C0">
              <w:rPr>
                <w:b/>
                <w:bCs/>
                <w:lang w:val="en-AU"/>
              </w:rPr>
              <w:t>Option 3</w:t>
            </w:r>
            <w:r w:rsidRPr="008F78C0">
              <w:rPr>
                <w:b/>
                <w:bCs/>
                <w:lang w:val="en-AU"/>
              </w:rPr>
              <w:br/>
              <w:t>RPS 2021 Policy EIT-INF-P13 &amp; P16</w:t>
            </w:r>
          </w:p>
        </w:tc>
      </w:tr>
      <w:tr w:rsidR="008F78C0" w14:paraId="3D4D7D9D" w14:textId="77777777" w:rsidTr="008F78C0">
        <w:trPr>
          <w:trHeight w:val="300"/>
        </w:trPr>
        <w:tc>
          <w:tcPr>
            <w:tcW w:w="1765" w:type="dxa"/>
          </w:tcPr>
          <w:p w14:paraId="40A67B59" w14:textId="77777777" w:rsidR="008F78C0" w:rsidRPr="008F78C0" w:rsidRDefault="008F78C0" w:rsidP="008F78C0">
            <w:pPr>
              <w:pStyle w:val="Table1"/>
              <w:jc w:val="left"/>
              <w:rPr>
                <w:b/>
                <w:bCs/>
                <w:lang w:val="en-AU"/>
              </w:rPr>
            </w:pPr>
            <w:r w:rsidRPr="008F78C0">
              <w:rPr>
                <w:b/>
                <w:bCs/>
                <w:lang w:val="en-AU"/>
              </w:rPr>
              <w:t>Spatial coverage</w:t>
            </w:r>
          </w:p>
        </w:tc>
        <w:tc>
          <w:tcPr>
            <w:tcW w:w="2152" w:type="dxa"/>
          </w:tcPr>
          <w:p w14:paraId="4DD6DC2A" w14:textId="77777777" w:rsidR="008F78C0" w:rsidRPr="008F78C0" w:rsidRDefault="008F78C0" w:rsidP="008F78C0">
            <w:pPr>
              <w:pStyle w:val="Table1"/>
              <w:rPr>
                <w:b/>
                <w:bCs/>
                <w:lang w:val="en-AU"/>
              </w:rPr>
            </w:pPr>
            <w:r w:rsidRPr="008F78C0">
              <w:rPr>
                <w:b/>
                <w:bCs/>
                <w:lang w:val="en-AU"/>
              </w:rPr>
              <w:t>Limited to rural areas</w:t>
            </w:r>
          </w:p>
        </w:tc>
        <w:tc>
          <w:tcPr>
            <w:tcW w:w="2152" w:type="dxa"/>
          </w:tcPr>
          <w:p w14:paraId="46C915D1" w14:textId="77777777" w:rsidR="008F78C0" w:rsidRPr="008F78C0" w:rsidRDefault="008F78C0" w:rsidP="008F78C0">
            <w:pPr>
              <w:pStyle w:val="Table1"/>
              <w:rPr>
                <w:b/>
                <w:bCs/>
                <w:lang w:val="en-AU"/>
              </w:rPr>
            </w:pPr>
            <w:r w:rsidRPr="008F78C0">
              <w:rPr>
                <w:b/>
                <w:bCs/>
                <w:lang w:val="en-AU"/>
              </w:rPr>
              <w:t>All areas</w:t>
            </w:r>
          </w:p>
        </w:tc>
        <w:tc>
          <w:tcPr>
            <w:tcW w:w="2153" w:type="dxa"/>
          </w:tcPr>
          <w:p w14:paraId="2B56D59C" w14:textId="77777777" w:rsidR="008F78C0" w:rsidRPr="008F78C0" w:rsidRDefault="008F78C0" w:rsidP="008F78C0">
            <w:pPr>
              <w:pStyle w:val="Table1"/>
              <w:rPr>
                <w:b/>
                <w:bCs/>
                <w:lang w:val="en-AU"/>
              </w:rPr>
            </w:pPr>
            <w:r w:rsidRPr="008F78C0">
              <w:rPr>
                <w:b/>
                <w:bCs/>
                <w:lang w:val="en-AU"/>
              </w:rPr>
              <w:t>All areas</w:t>
            </w:r>
          </w:p>
        </w:tc>
      </w:tr>
      <w:tr w:rsidR="008F78C0" w14:paraId="3B13B97C" w14:textId="77777777" w:rsidTr="008F78C0">
        <w:tc>
          <w:tcPr>
            <w:tcW w:w="1765" w:type="dxa"/>
          </w:tcPr>
          <w:p w14:paraId="60D8D5DC" w14:textId="77777777" w:rsidR="008F78C0" w:rsidRPr="008F78C0" w:rsidRDefault="008F78C0" w:rsidP="008F78C0">
            <w:pPr>
              <w:pStyle w:val="Table1"/>
              <w:jc w:val="left"/>
              <w:rPr>
                <w:b/>
                <w:bCs/>
                <w:lang w:val="en-AU"/>
              </w:rPr>
            </w:pPr>
            <w:r w:rsidRPr="008F78C0">
              <w:rPr>
                <w:b/>
                <w:bCs/>
                <w:lang w:val="en-AU"/>
              </w:rPr>
              <w:t>ONLs</w:t>
            </w:r>
          </w:p>
        </w:tc>
        <w:tc>
          <w:tcPr>
            <w:tcW w:w="2152" w:type="dxa"/>
          </w:tcPr>
          <w:p w14:paraId="7991535A" w14:textId="77777777" w:rsidR="008F78C0" w:rsidRDefault="008F78C0" w:rsidP="008F78C0">
            <w:pPr>
              <w:pStyle w:val="Table1"/>
              <w:rPr>
                <w:lang w:val="en-AU"/>
              </w:rPr>
            </w:pPr>
            <w:r w:rsidRPr="24F946B2">
              <w:rPr>
                <w:lang w:val="en-AU"/>
              </w:rPr>
              <w:t>Yes</w:t>
            </w:r>
          </w:p>
        </w:tc>
        <w:tc>
          <w:tcPr>
            <w:tcW w:w="2152" w:type="dxa"/>
          </w:tcPr>
          <w:p w14:paraId="57379C41" w14:textId="77777777" w:rsidR="008F78C0" w:rsidRDefault="008F78C0" w:rsidP="008F78C0">
            <w:pPr>
              <w:pStyle w:val="Table1"/>
              <w:rPr>
                <w:lang w:val="en-AU"/>
              </w:rPr>
            </w:pPr>
            <w:r w:rsidRPr="24F946B2">
              <w:rPr>
                <w:lang w:val="en-AU"/>
              </w:rPr>
              <w:t>Yes</w:t>
            </w:r>
          </w:p>
        </w:tc>
        <w:tc>
          <w:tcPr>
            <w:tcW w:w="2153" w:type="dxa"/>
          </w:tcPr>
          <w:p w14:paraId="0B724D7F" w14:textId="77777777" w:rsidR="008F78C0" w:rsidRDefault="008F78C0" w:rsidP="008F78C0">
            <w:pPr>
              <w:pStyle w:val="Table1"/>
              <w:rPr>
                <w:lang w:val="en-AU"/>
              </w:rPr>
            </w:pPr>
            <w:r w:rsidRPr="24F946B2">
              <w:rPr>
                <w:lang w:val="en-AU"/>
              </w:rPr>
              <w:t>Yes</w:t>
            </w:r>
          </w:p>
        </w:tc>
      </w:tr>
      <w:tr w:rsidR="008F78C0" w14:paraId="2BF365C4" w14:textId="77777777" w:rsidTr="008F78C0">
        <w:tc>
          <w:tcPr>
            <w:tcW w:w="1765" w:type="dxa"/>
          </w:tcPr>
          <w:p w14:paraId="7EBF944C" w14:textId="77777777" w:rsidR="008F78C0" w:rsidRPr="008F78C0" w:rsidRDefault="008F78C0" w:rsidP="008F78C0">
            <w:pPr>
              <w:pStyle w:val="Table1"/>
              <w:jc w:val="left"/>
              <w:rPr>
                <w:b/>
                <w:bCs/>
                <w:lang w:val="en-AU"/>
              </w:rPr>
            </w:pPr>
            <w:r w:rsidRPr="008F78C0">
              <w:rPr>
                <w:b/>
                <w:bCs/>
                <w:lang w:val="en-AU"/>
              </w:rPr>
              <w:t>Areas of high natural character</w:t>
            </w:r>
          </w:p>
        </w:tc>
        <w:tc>
          <w:tcPr>
            <w:tcW w:w="2152" w:type="dxa"/>
          </w:tcPr>
          <w:p w14:paraId="16A9280A" w14:textId="77777777" w:rsidR="008F78C0" w:rsidRDefault="008F78C0" w:rsidP="008F78C0">
            <w:pPr>
              <w:pStyle w:val="Table1"/>
              <w:rPr>
                <w:lang w:val="en-AU"/>
              </w:rPr>
            </w:pPr>
            <w:r w:rsidRPr="24F946B2">
              <w:rPr>
                <w:lang w:val="en-AU"/>
              </w:rPr>
              <w:t>Yes</w:t>
            </w:r>
          </w:p>
        </w:tc>
        <w:tc>
          <w:tcPr>
            <w:tcW w:w="2152" w:type="dxa"/>
          </w:tcPr>
          <w:p w14:paraId="7271C7FE" w14:textId="77777777" w:rsidR="008F78C0" w:rsidRDefault="008F78C0" w:rsidP="008F78C0">
            <w:pPr>
              <w:pStyle w:val="Table1"/>
              <w:rPr>
                <w:lang w:val="en-AU"/>
              </w:rPr>
            </w:pPr>
            <w:r w:rsidRPr="24F946B2">
              <w:rPr>
                <w:lang w:val="en-AU"/>
              </w:rPr>
              <w:t>No</w:t>
            </w:r>
          </w:p>
        </w:tc>
        <w:tc>
          <w:tcPr>
            <w:tcW w:w="2153" w:type="dxa"/>
          </w:tcPr>
          <w:p w14:paraId="12125C9A" w14:textId="77777777" w:rsidR="008F78C0" w:rsidRDefault="008F78C0" w:rsidP="008F78C0">
            <w:pPr>
              <w:pStyle w:val="Table1"/>
              <w:rPr>
                <w:lang w:val="en-AU"/>
              </w:rPr>
            </w:pPr>
            <w:r>
              <w:rPr>
                <w:lang w:val="en-AU"/>
              </w:rPr>
              <w:t>Yes</w:t>
            </w:r>
          </w:p>
          <w:p w14:paraId="65774733" w14:textId="77777777" w:rsidR="008F78C0" w:rsidRDefault="008F78C0" w:rsidP="008F78C0">
            <w:pPr>
              <w:pStyle w:val="Table1"/>
              <w:rPr>
                <w:lang w:val="en-AU"/>
              </w:rPr>
            </w:pPr>
          </w:p>
        </w:tc>
      </w:tr>
      <w:tr w:rsidR="008F78C0" w14:paraId="22C0F692" w14:textId="77777777" w:rsidTr="008F78C0">
        <w:tc>
          <w:tcPr>
            <w:tcW w:w="1765" w:type="dxa"/>
          </w:tcPr>
          <w:p w14:paraId="3393DBCF" w14:textId="77777777" w:rsidR="008F78C0" w:rsidRPr="008F78C0" w:rsidRDefault="008F78C0" w:rsidP="008F78C0">
            <w:pPr>
              <w:pStyle w:val="Table1"/>
              <w:jc w:val="left"/>
              <w:rPr>
                <w:b/>
                <w:bCs/>
                <w:lang w:val="en-AU"/>
              </w:rPr>
            </w:pPr>
            <w:r w:rsidRPr="008F78C0">
              <w:rPr>
                <w:b/>
                <w:bCs/>
                <w:lang w:val="en-AU"/>
              </w:rPr>
              <w:t>Areas of high recreation and amenity value</w:t>
            </w:r>
          </w:p>
        </w:tc>
        <w:tc>
          <w:tcPr>
            <w:tcW w:w="2152" w:type="dxa"/>
          </w:tcPr>
          <w:p w14:paraId="4A64523D" w14:textId="77777777" w:rsidR="008F78C0" w:rsidRDefault="008F78C0" w:rsidP="008F78C0">
            <w:pPr>
              <w:pStyle w:val="Table1"/>
              <w:rPr>
                <w:lang w:val="en-AU"/>
              </w:rPr>
            </w:pPr>
            <w:r w:rsidRPr="24F946B2">
              <w:rPr>
                <w:lang w:val="en-AU"/>
              </w:rPr>
              <w:t>Yes</w:t>
            </w:r>
          </w:p>
        </w:tc>
        <w:tc>
          <w:tcPr>
            <w:tcW w:w="2152" w:type="dxa"/>
          </w:tcPr>
          <w:p w14:paraId="05B3D74A" w14:textId="77777777" w:rsidR="008F78C0" w:rsidRDefault="008F78C0" w:rsidP="008F78C0">
            <w:pPr>
              <w:pStyle w:val="Table1"/>
              <w:rPr>
                <w:lang w:val="en-AU"/>
              </w:rPr>
            </w:pPr>
            <w:r w:rsidRPr="24F946B2">
              <w:rPr>
                <w:lang w:val="en-AU"/>
              </w:rPr>
              <w:t>No</w:t>
            </w:r>
          </w:p>
        </w:tc>
        <w:tc>
          <w:tcPr>
            <w:tcW w:w="2153" w:type="dxa"/>
          </w:tcPr>
          <w:p w14:paraId="5F56DF4A" w14:textId="77777777" w:rsidR="008F78C0" w:rsidRDefault="008F78C0" w:rsidP="008F78C0">
            <w:pPr>
              <w:pStyle w:val="Table1"/>
              <w:rPr>
                <w:lang w:val="en-AU"/>
              </w:rPr>
            </w:pPr>
            <w:r w:rsidRPr="24F946B2">
              <w:rPr>
                <w:lang w:val="en-AU"/>
              </w:rPr>
              <w:t>Yes</w:t>
            </w:r>
          </w:p>
        </w:tc>
      </w:tr>
      <w:tr w:rsidR="008F78C0" w14:paraId="1CE561B9" w14:textId="77777777" w:rsidTr="008F78C0">
        <w:tc>
          <w:tcPr>
            <w:tcW w:w="1765" w:type="dxa"/>
          </w:tcPr>
          <w:p w14:paraId="5FC00CF6" w14:textId="77777777" w:rsidR="008F78C0" w:rsidRPr="008F78C0" w:rsidRDefault="008F78C0" w:rsidP="008F78C0">
            <w:pPr>
              <w:pStyle w:val="Table1"/>
              <w:jc w:val="left"/>
              <w:rPr>
                <w:b/>
                <w:bCs/>
                <w:lang w:val="en-AU"/>
              </w:rPr>
            </w:pPr>
            <w:r w:rsidRPr="008F78C0">
              <w:rPr>
                <w:b/>
                <w:bCs/>
                <w:lang w:val="en-AU"/>
              </w:rPr>
              <w:t>ONFs</w:t>
            </w:r>
          </w:p>
        </w:tc>
        <w:tc>
          <w:tcPr>
            <w:tcW w:w="2152" w:type="dxa"/>
          </w:tcPr>
          <w:p w14:paraId="65BE35F9" w14:textId="77777777" w:rsidR="008F78C0" w:rsidRDefault="008F78C0" w:rsidP="008F78C0">
            <w:pPr>
              <w:pStyle w:val="Table1"/>
              <w:rPr>
                <w:lang w:val="en-AU"/>
              </w:rPr>
            </w:pPr>
            <w:r w:rsidRPr="24F946B2">
              <w:rPr>
                <w:lang w:val="en-AU"/>
              </w:rPr>
              <w:t>No</w:t>
            </w:r>
          </w:p>
        </w:tc>
        <w:tc>
          <w:tcPr>
            <w:tcW w:w="2152" w:type="dxa"/>
          </w:tcPr>
          <w:p w14:paraId="4D296DEB" w14:textId="77777777" w:rsidR="008F78C0" w:rsidRDefault="008F78C0" w:rsidP="008F78C0">
            <w:pPr>
              <w:pStyle w:val="Table1"/>
              <w:rPr>
                <w:lang w:val="en-AU"/>
              </w:rPr>
            </w:pPr>
            <w:r w:rsidRPr="24F946B2">
              <w:rPr>
                <w:lang w:val="en-AU"/>
              </w:rPr>
              <w:t>Yes</w:t>
            </w:r>
          </w:p>
        </w:tc>
        <w:tc>
          <w:tcPr>
            <w:tcW w:w="2153" w:type="dxa"/>
          </w:tcPr>
          <w:p w14:paraId="496AAFC1" w14:textId="77777777" w:rsidR="008F78C0" w:rsidRDefault="008F78C0" w:rsidP="008F78C0">
            <w:pPr>
              <w:pStyle w:val="Table1"/>
              <w:rPr>
                <w:lang w:val="en-AU"/>
              </w:rPr>
            </w:pPr>
            <w:r w:rsidRPr="24F946B2">
              <w:rPr>
                <w:lang w:val="en-AU"/>
              </w:rPr>
              <w:t>Yes</w:t>
            </w:r>
          </w:p>
        </w:tc>
      </w:tr>
      <w:tr w:rsidR="008F78C0" w14:paraId="0B9712F4" w14:textId="77777777" w:rsidTr="008F78C0">
        <w:tc>
          <w:tcPr>
            <w:tcW w:w="1765" w:type="dxa"/>
          </w:tcPr>
          <w:p w14:paraId="26E2AB2F" w14:textId="77777777" w:rsidR="008F78C0" w:rsidRPr="008F78C0" w:rsidRDefault="008F78C0" w:rsidP="008F78C0">
            <w:pPr>
              <w:pStyle w:val="Table1"/>
              <w:jc w:val="left"/>
              <w:rPr>
                <w:b/>
                <w:bCs/>
                <w:lang w:val="en-AU"/>
              </w:rPr>
            </w:pPr>
            <w:r w:rsidRPr="008F78C0">
              <w:rPr>
                <w:b/>
                <w:bCs/>
                <w:lang w:val="en-AU"/>
              </w:rPr>
              <w:t>Outstanding seascapes</w:t>
            </w:r>
          </w:p>
        </w:tc>
        <w:tc>
          <w:tcPr>
            <w:tcW w:w="2152" w:type="dxa"/>
          </w:tcPr>
          <w:p w14:paraId="60CDEDA8" w14:textId="77777777" w:rsidR="008F78C0" w:rsidRDefault="008F78C0" w:rsidP="008F78C0">
            <w:pPr>
              <w:pStyle w:val="Table1"/>
              <w:rPr>
                <w:lang w:val="en-AU"/>
              </w:rPr>
            </w:pPr>
            <w:r w:rsidRPr="24F946B2">
              <w:rPr>
                <w:lang w:val="en-AU"/>
              </w:rPr>
              <w:t>No</w:t>
            </w:r>
          </w:p>
        </w:tc>
        <w:tc>
          <w:tcPr>
            <w:tcW w:w="2152" w:type="dxa"/>
          </w:tcPr>
          <w:p w14:paraId="57234017" w14:textId="77777777" w:rsidR="008F78C0" w:rsidRDefault="008F78C0" w:rsidP="008F78C0">
            <w:pPr>
              <w:pStyle w:val="Table1"/>
              <w:rPr>
                <w:lang w:val="en-AU"/>
              </w:rPr>
            </w:pPr>
            <w:r w:rsidRPr="24F946B2">
              <w:rPr>
                <w:lang w:val="en-AU"/>
              </w:rPr>
              <w:t>Yes</w:t>
            </w:r>
          </w:p>
        </w:tc>
        <w:tc>
          <w:tcPr>
            <w:tcW w:w="2153" w:type="dxa"/>
          </w:tcPr>
          <w:p w14:paraId="7E5E8812" w14:textId="77777777" w:rsidR="008F78C0" w:rsidRDefault="008F78C0" w:rsidP="008F78C0">
            <w:pPr>
              <w:pStyle w:val="Table1"/>
              <w:rPr>
                <w:lang w:val="en-AU"/>
              </w:rPr>
            </w:pPr>
            <w:r w:rsidRPr="24F946B2">
              <w:rPr>
                <w:lang w:val="en-AU"/>
              </w:rPr>
              <w:t>No (located in coastal environment chapter)</w:t>
            </w:r>
          </w:p>
        </w:tc>
      </w:tr>
      <w:tr w:rsidR="008F78C0" w14:paraId="181CE801" w14:textId="77777777" w:rsidTr="008F78C0">
        <w:tc>
          <w:tcPr>
            <w:tcW w:w="1765" w:type="dxa"/>
          </w:tcPr>
          <w:p w14:paraId="3DBECA38" w14:textId="77777777" w:rsidR="008F78C0" w:rsidRPr="008F78C0" w:rsidRDefault="008F78C0" w:rsidP="008F78C0">
            <w:pPr>
              <w:pStyle w:val="Table1"/>
              <w:jc w:val="left"/>
              <w:rPr>
                <w:b/>
                <w:bCs/>
                <w:lang w:val="en-AU"/>
              </w:rPr>
            </w:pPr>
            <w:r w:rsidRPr="008F78C0">
              <w:rPr>
                <w:b/>
                <w:bCs/>
                <w:lang w:val="en-AU"/>
              </w:rPr>
              <w:t>Areas of outstanding natural character</w:t>
            </w:r>
          </w:p>
        </w:tc>
        <w:tc>
          <w:tcPr>
            <w:tcW w:w="2152" w:type="dxa"/>
          </w:tcPr>
          <w:p w14:paraId="5B60AD4B" w14:textId="77777777" w:rsidR="008F78C0" w:rsidRDefault="008F78C0" w:rsidP="008F78C0">
            <w:pPr>
              <w:pStyle w:val="Table1"/>
              <w:rPr>
                <w:lang w:val="en-AU"/>
              </w:rPr>
            </w:pPr>
            <w:r w:rsidRPr="24F946B2">
              <w:rPr>
                <w:lang w:val="en-AU"/>
              </w:rPr>
              <w:t>No</w:t>
            </w:r>
          </w:p>
        </w:tc>
        <w:tc>
          <w:tcPr>
            <w:tcW w:w="2152" w:type="dxa"/>
          </w:tcPr>
          <w:p w14:paraId="26E5061E" w14:textId="77777777" w:rsidR="008F78C0" w:rsidRDefault="008F78C0" w:rsidP="008F78C0">
            <w:pPr>
              <w:pStyle w:val="Table1"/>
              <w:rPr>
                <w:lang w:val="en-AU"/>
              </w:rPr>
            </w:pPr>
            <w:r w:rsidRPr="24F946B2">
              <w:rPr>
                <w:lang w:val="en-AU"/>
              </w:rPr>
              <w:t>Yes</w:t>
            </w:r>
          </w:p>
        </w:tc>
        <w:tc>
          <w:tcPr>
            <w:tcW w:w="2153" w:type="dxa"/>
          </w:tcPr>
          <w:p w14:paraId="3B2867A5" w14:textId="77777777" w:rsidR="008F78C0" w:rsidRDefault="008F78C0" w:rsidP="008F78C0">
            <w:pPr>
              <w:pStyle w:val="Table1"/>
              <w:rPr>
                <w:lang w:val="en-AU"/>
              </w:rPr>
            </w:pPr>
            <w:r>
              <w:rPr>
                <w:lang w:val="en-AU"/>
              </w:rPr>
              <w:t>Yes</w:t>
            </w:r>
          </w:p>
        </w:tc>
      </w:tr>
      <w:tr w:rsidR="008F78C0" w14:paraId="75CF409A" w14:textId="77777777" w:rsidTr="008F78C0">
        <w:tc>
          <w:tcPr>
            <w:tcW w:w="1765" w:type="dxa"/>
          </w:tcPr>
          <w:p w14:paraId="27FD37A5" w14:textId="77777777" w:rsidR="008F78C0" w:rsidRPr="008F78C0" w:rsidRDefault="008F78C0" w:rsidP="008F78C0">
            <w:pPr>
              <w:pStyle w:val="Table1"/>
              <w:jc w:val="left"/>
              <w:rPr>
                <w:b/>
                <w:bCs/>
                <w:lang w:val="en-AU"/>
              </w:rPr>
            </w:pPr>
            <w:r w:rsidRPr="008F78C0">
              <w:rPr>
                <w:b/>
                <w:bCs/>
                <w:lang w:val="en-AU"/>
              </w:rPr>
              <w:t>SNAs</w:t>
            </w:r>
          </w:p>
        </w:tc>
        <w:tc>
          <w:tcPr>
            <w:tcW w:w="2152" w:type="dxa"/>
          </w:tcPr>
          <w:p w14:paraId="384C8125" w14:textId="77777777" w:rsidR="008F78C0" w:rsidRDefault="008F78C0" w:rsidP="008F78C0">
            <w:pPr>
              <w:pStyle w:val="Table1"/>
              <w:rPr>
                <w:lang w:val="en-AU"/>
              </w:rPr>
            </w:pPr>
            <w:r w:rsidRPr="24F946B2">
              <w:rPr>
                <w:lang w:val="en-AU"/>
              </w:rPr>
              <w:t>No</w:t>
            </w:r>
          </w:p>
        </w:tc>
        <w:tc>
          <w:tcPr>
            <w:tcW w:w="2152" w:type="dxa"/>
          </w:tcPr>
          <w:p w14:paraId="6A0337DD" w14:textId="77777777" w:rsidR="008F78C0" w:rsidRDefault="008F78C0" w:rsidP="008F78C0">
            <w:pPr>
              <w:pStyle w:val="Table1"/>
              <w:rPr>
                <w:lang w:val="en-AU"/>
              </w:rPr>
            </w:pPr>
            <w:r w:rsidRPr="24F946B2">
              <w:rPr>
                <w:lang w:val="en-AU"/>
              </w:rPr>
              <w:t>Yes</w:t>
            </w:r>
          </w:p>
        </w:tc>
        <w:tc>
          <w:tcPr>
            <w:tcW w:w="2153" w:type="dxa"/>
          </w:tcPr>
          <w:p w14:paraId="188307CF" w14:textId="77777777" w:rsidR="008F78C0" w:rsidRDefault="008F78C0" w:rsidP="008F78C0">
            <w:pPr>
              <w:pStyle w:val="Table1"/>
              <w:rPr>
                <w:lang w:val="en-AU"/>
              </w:rPr>
            </w:pPr>
            <w:r w:rsidRPr="24F946B2">
              <w:rPr>
                <w:lang w:val="en-AU"/>
              </w:rPr>
              <w:t>Yes</w:t>
            </w:r>
          </w:p>
        </w:tc>
      </w:tr>
      <w:tr w:rsidR="008F78C0" w14:paraId="7B724146" w14:textId="77777777" w:rsidTr="008F78C0">
        <w:tc>
          <w:tcPr>
            <w:tcW w:w="1765" w:type="dxa"/>
          </w:tcPr>
          <w:p w14:paraId="2AEE3AD3" w14:textId="77777777" w:rsidR="008F78C0" w:rsidRPr="008F78C0" w:rsidRDefault="008F78C0" w:rsidP="008F78C0">
            <w:pPr>
              <w:pStyle w:val="Table1"/>
              <w:jc w:val="left"/>
              <w:rPr>
                <w:b/>
                <w:bCs/>
                <w:lang w:val="en-AU"/>
              </w:rPr>
            </w:pPr>
            <w:r w:rsidRPr="008F78C0">
              <w:rPr>
                <w:b/>
                <w:bCs/>
                <w:lang w:val="en-AU"/>
              </w:rPr>
              <w:lastRenderedPageBreak/>
              <w:t>Natural wetlands and outstanding waterbodies</w:t>
            </w:r>
          </w:p>
        </w:tc>
        <w:tc>
          <w:tcPr>
            <w:tcW w:w="2152" w:type="dxa"/>
          </w:tcPr>
          <w:p w14:paraId="10537344" w14:textId="77777777" w:rsidR="008F78C0" w:rsidRDefault="008F78C0" w:rsidP="008F78C0">
            <w:pPr>
              <w:pStyle w:val="Table1"/>
              <w:rPr>
                <w:lang w:val="en-AU"/>
              </w:rPr>
            </w:pPr>
            <w:r w:rsidRPr="24F946B2">
              <w:rPr>
                <w:lang w:val="en-AU"/>
              </w:rPr>
              <w:t>No</w:t>
            </w:r>
          </w:p>
        </w:tc>
        <w:tc>
          <w:tcPr>
            <w:tcW w:w="2152" w:type="dxa"/>
          </w:tcPr>
          <w:p w14:paraId="6C79BD89" w14:textId="77777777" w:rsidR="008F78C0" w:rsidRDefault="008F78C0" w:rsidP="008F78C0">
            <w:pPr>
              <w:pStyle w:val="Table1"/>
              <w:rPr>
                <w:lang w:val="en-AU"/>
              </w:rPr>
            </w:pPr>
            <w:r w:rsidRPr="24F946B2">
              <w:rPr>
                <w:lang w:val="en-AU"/>
              </w:rPr>
              <w:t>Yes</w:t>
            </w:r>
          </w:p>
        </w:tc>
        <w:tc>
          <w:tcPr>
            <w:tcW w:w="2153" w:type="dxa"/>
          </w:tcPr>
          <w:p w14:paraId="156915B3" w14:textId="77777777" w:rsidR="008F78C0" w:rsidRDefault="008F78C0" w:rsidP="008F78C0">
            <w:pPr>
              <w:pStyle w:val="Table1"/>
              <w:rPr>
                <w:lang w:val="en-AU"/>
              </w:rPr>
            </w:pPr>
            <w:r w:rsidRPr="24F946B2">
              <w:rPr>
                <w:lang w:val="en-AU"/>
              </w:rPr>
              <w:t>Yes</w:t>
            </w:r>
          </w:p>
        </w:tc>
      </w:tr>
      <w:tr w:rsidR="008F78C0" w14:paraId="65BDCBB9" w14:textId="77777777" w:rsidTr="008F78C0">
        <w:tc>
          <w:tcPr>
            <w:tcW w:w="1765" w:type="dxa"/>
          </w:tcPr>
          <w:p w14:paraId="693F250B" w14:textId="77777777" w:rsidR="008F78C0" w:rsidRPr="008F78C0" w:rsidRDefault="008F78C0" w:rsidP="008F78C0">
            <w:pPr>
              <w:pStyle w:val="Table1"/>
              <w:jc w:val="left"/>
              <w:rPr>
                <w:b/>
                <w:bCs/>
                <w:lang w:val="en-AU"/>
              </w:rPr>
            </w:pPr>
            <w:r w:rsidRPr="008F78C0">
              <w:rPr>
                <w:b/>
                <w:bCs/>
                <w:lang w:val="en-AU"/>
              </w:rPr>
              <w:t>Places or areas of significant or outstanding historic heritage</w:t>
            </w:r>
          </w:p>
        </w:tc>
        <w:tc>
          <w:tcPr>
            <w:tcW w:w="2152" w:type="dxa"/>
          </w:tcPr>
          <w:p w14:paraId="367D18B3" w14:textId="77777777" w:rsidR="008F78C0" w:rsidRDefault="008F78C0" w:rsidP="008F78C0">
            <w:pPr>
              <w:pStyle w:val="Table1"/>
              <w:rPr>
                <w:lang w:val="en-AU"/>
              </w:rPr>
            </w:pPr>
            <w:r w:rsidRPr="24F946B2">
              <w:rPr>
                <w:lang w:val="en-AU"/>
              </w:rPr>
              <w:t>No</w:t>
            </w:r>
          </w:p>
        </w:tc>
        <w:tc>
          <w:tcPr>
            <w:tcW w:w="2152" w:type="dxa"/>
          </w:tcPr>
          <w:p w14:paraId="78294E9C" w14:textId="77777777" w:rsidR="008F78C0" w:rsidRDefault="008F78C0" w:rsidP="008F78C0">
            <w:pPr>
              <w:pStyle w:val="Table1"/>
              <w:rPr>
                <w:lang w:val="en-AU"/>
              </w:rPr>
            </w:pPr>
            <w:r w:rsidRPr="24F946B2">
              <w:rPr>
                <w:lang w:val="en-AU"/>
              </w:rPr>
              <w:t>Yes (uses nationally or regionally significant)</w:t>
            </w:r>
          </w:p>
        </w:tc>
        <w:tc>
          <w:tcPr>
            <w:tcW w:w="2153" w:type="dxa"/>
          </w:tcPr>
          <w:p w14:paraId="63B9B0BA" w14:textId="77777777" w:rsidR="008F78C0" w:rsidRDefault="008F78C0" w:rsidP="008F78C0">
            <w:pPr>
              <w:pStyle w:val="Table1"/>
              <w:rPr>
                <w:lang w:val="en-AU"/>
              </w:rPr>
            </w:pPr>
            <w:r w:rsidRPr="24F946B2">
              <w:rPr>
                <w:lang w:val="en-AU"/>
              </w:rPr>
              <w:t>Yes</w:t>
            </w:r>
          </w:p>
        </w:tc>
      </w:tr>
      <w:tr w:rsidR="008F78C0" w14:paraId="2BB25A2E" w14:textId="77777777" w:rsidTr="008F78C0">
        <w:tc>
          <w:tcPr>
            <w:tcW w:w="1765" w:type="dxa"/>
          </w:tcPr>
          <w:p w14:paraId="3D3D7796" w14:textId="77777777" w:rsidR="008F78C0" w:rsidRPr="008F78C0" w:rsidRDefault="008F78C0" w:rsidP="008F78C0">
            <w:pPr>
              <w:pStyle w:val="Table1"/>
              <w:jc w:val="left"/>
              <w:rPr>
                <w:b/>
                <w:bCs/>
                <w:lang w:val="en-AU"/>
              </w:rPr>
            </w:pPr>
            <w:proofErr w:type="spellStart"/>
            <w:r w:rsidRPr="008F78C0">
              <w:rPr>
                <w:b/>
                <w:bCs/>
                <w:lang w:val="en-AU"/>
              </w:rPr>
              <w:t>Wāhi</w:t>
            </w:r>
            <w:proofErr w:type="spellEnd"/>
            <w:r w:rsidRPr="008F78C0">
              <w:rPr>
                <w:b/>
                <w:bCs/>
                <w:lang w:val="en-AU"/>
              </w:rPr>
              <w:t xml:space="preserve"> tapu and areas with protected customary rights</w:t>
            </w:r>
          </w:p>
        </w:tc>
        <w:tc>
          <w:tcPr>
            <w:tcW w:w="2152" w:type="dxa"/>
          </w:tcPr>
          <w:p w14:paraId="7A21873C" w14:textId="77777777" w:rsidR="008F78C0" w:rsidRDefault="008F78C0" w:rsidP="008F78C0">
            <w:pPr>
              <w:pStyle w:val="Table1"/>
              <w:rPr>
                <w:lang w:val="en-AU"/>
              </w:rPr>
            </w:pPr>
            <w:r w:rsidRPr="24F946B2">
              <w:rPr>
                <w:lang w:val="en-AU"/>
              </w:rPr>
              <w:t>No</w:t>
            </w:r>
          </w:p>
        </w:tc>
        <w:tc>
          <w:tcPr>
            <w:tcW w:w="2152" w:type="dxa"/>
          </w:tcPr>
          <w:p w14:paraId="734E0F84" w14:textId="77777777" w:rsidR="008F78C0" w:rsidRDefault="008F78C0" w:rsidP="008F78C0">
            <w:pPr>
              <w:pStyle w:val="Table1"/>
              <w:rPr>
                <w:lang w:val="en-AU"/>
              </w:rPr>
            </w:pPr>
            <w:r w:rsidRPr="24F946B2">
              <w:rPr>
                <w:lang w:val="en-AU"/>
              </w:rPr>
              <w:t>No</w:t>
            </w:r>
          </w:p>
        </w:tc>
        <w:tc>
          <w:tcPr>
            <w:tcW w:w="2153" w:type="dxa"/>
          </w:tcPr>
          <w:p w14:paraId="14B62B93" w14:textId="77777777" w:rsidR="008F78C0" w:rsidRDefault="008F78C0" w:rsidP="008F78C0">
            <w:pPr>
              <w:pStyle w:val="Table1"/>
              <w:rPr>
                <w:lang w:val="en-AU"/>
              </w:rPr>
            </w:pPr>
            <w:r w:rsidRPr="24F946B2">
              <w:rPr>
                <w:lang w:val="en-AU"/>
              </w:rPr>
              <w:t>Yes</w:t>
            </w:r>
          </w:p>
        </w:tc>
      </w:tr>
    </w:tbl>
    <w:p w14:paraId="33ED1EAE" w14:textId="2531ADD2" w:rsidR="00E20D7A" w:rsidRDefault="00E20D7A" w:rsidP="00A247C5">
      <w:pPr>
        <w:pStyle w:val="Normal2"/>
      </w:pPr>
      <w:r>
        <w:t>Infrastructure is a key component of urban form and development, underpinning the sustainability of these activities and their ability to provide healthy, safe environments for people to live in. While urban form and development is more comprehensively addressed in the UFD chapter, Policy EIT</w:t>
      </w:r>
      <w:r w:rsidR="00633B01">
        <w:t>–</w:t>
      </w:r>
      <w:r>
        <w:t>INF</w:t>
      </w:r>
      <w:r w:rsidR="00633B01">
        <w:t>–</w:t>
      </w:r>
      <w:r>
        <w:t xml:space="preserve">P17 recognises the connections between these two activities and </w:t>
      </w:r>
      <w:r w:rsidR="001702DA">
        <w:t>provide</w:t>
      </w:r>
      <w:r w:rsidR="00A155C5">
        <w:t>s</w:t>
      </w:r>
      <w:r>
        <w:t xml:space="preserve"> for the types of infrastructure that support</w:t>
      </w:r>
      <w:r w:rsidR="00A155C5">
        <w:t>s</w:t>
      </w:r>
      <w:r>
        <w:t xml:space="preserve"> urban development.  </w:t>
      </w:r>
    </w:p>
    <w:p w14:paraId="2ABEC796" w14:textId="1E860CCF" w:rsidR="00E20D7A" w:rsidRDefault="00E20D7A" w:rsidP="00A247C5">
      <w:pPr>
        <w:pStyle w:val="Normal2"/>
      </w:pPr>
      <w:r>
        <w:t>Methods EIT</w:t>
      </w:r>
      <w:r w:rsidR="00633B01">
        <w:t>–</w:t>
      </w:r>
      <w:r>
        <w:t>INF</w:t>
      </w:r>
      <w:r w:rsidR="00633B01">
        <w:t>–</w:t>
      </w:r>
      <w:r>
        <w:t>M4 and EIT</w:t>
      </w:r>
      <w:r w:rsidR="00633B01">
        <w:t>–</w:t>
      </w:r>
      <w:r>
        <w:t>INF</w:t>
      </w:r>
      <w:r w:rsidR="00633B01">
        <w:t>–</w:t>
      </w:r>
      <w:r>
        <w:t xml:space="preserve">M5 specify the provisions required in regional and district plans </w:t>
      </w:r>
      <w:proofErr w:type="gramStart"/>
      <w:r>
        <w:t>in order to</w:t>
      </w:r>
      <w:proofErr w:type="gramEnd"/>
      <w:r>
        <w:t xml:space="preserve"> implement the policies. These provide clarity about responsibility for implementing the actions required by the policies, with the majority to be implemented through district plans. Policies ECO-M3 and M4 also provide for the maintenance and use of infrastructure, and </w:t>
      </w:r>
      <w:r w:rsidRPr="29589E8D">
        <w:rPr>
          <w:rFonts w:eastAsia="Calibri" w:cs="Times New Roman"/>
          <w:i/>
          <w:iCs/>
        </w:rPr>
        <w:t>infrastructure</w:t>
      </w:r>
      <w:r w:rsidRPr="29589E8D">
        <w:rPr>
          <w:rFonts w:eastAsia="Calibri" w:cs="Times New Roman"/>
        </w:rPr>
        <w:t xml:space="preserve"> that has a </w:t>
      </w:r>
      <w:r w:rsidRPr="29589E8D">
        <w:rPr>
          <w:rFonts w:eastAsia="Calibri" w:cs="Times New Roman"/>
          <w:i/>
          <w:iCs/>
        </w:rPr>
        <w:t>functional</w:t>
      </w:r>
      <w:r w:rsidRPr="29589E8D">
        <w:rPr>
          <w:rFonts w:eastAsia="Calibri" w:cs="Times New Roman"/>
        </w:rPr>
        <w:t xml:space="preserve"> or </w:t>
      </w:r>
      <w:r w:rsidRPr="29589E8D">
        <w:rPr>
          <w:rFonts w:eastAsia="Calibri" w:cs="Times New Roman"/>
          <w:i/>
          <w:iCs/>
        </w:rPr>
        <w:t>operational need</w:t>
      </w:r>
      <w:r w:rsidRPr="29589E8D">
        <w:rPr>
          <w:rFonts w:eastAsia="Calibri" w:cs="Times New Roman"/>
        </w:rPr>
        <w:t xml:space="preserve"> to be sited or operated in a particular location. </w:t>
      </w:r>
    </w:p>
    <w:p w14:paraId="73FB9F2E" w14:textId="45D44495" w:rsidR="00E20D7A" w:rsidRDefault="00E20D7A" w:rsidP="00A247C5">
      <w:pPr>
        <w:pStyle w:val="Normal2"/>
      </w:pPr>
      <w:r>
        <w:t>Method EIT</w:t>
      </w:r>
      <w:r w:rsidR="00633B01">
        <w:t>–</w:t>
      </w:r>
      <w:r>
        <w:t>INF</w:t>
      </w:r>
      <w:r w:rsidR="00633B01">
        <w:t>–</w:t>
      </w:r>
      <w:r>
        <w:t xml:space="preserve">M6 requires </w:t>
      </w:r>
      <w:r w:rsidR="001A7AAF">
        <w:t>local</w:t>
      </w:r>
      <w:r>
        <w:t xml:space="preserve"> authorities to advocate for upgrading or replacing infrastructure where its operation results in significant adverse effects and to work proactively to co-ordinate the co-location or concurrent construction of infrastructure. </w:t>
      </w:r>
    </w:p>
    <w:p w14:paraId="171691D0" w14:textId="77777777" w:rsidR="00E20D7A" w:rsidRDefault="00E20D7A" w:rsidP="00DE069C">
      <w:pPr>
        <w:pStyle w:val="Heading4"/>
      </w:pPr>
      <w:r>
        <w:t>Consultation summary</w:t>
      </w:r>
    </w:p>
    <w:p w14:paraId="57E493D4" w14:textId="15BCC2C7" w:rsidR="00E20D7A" w:rsidRDefault="00E20D7A" w:rsidP="000B61EC">
      <w:pPr>
        <w:pStyle w:val="Heading5"/>
      </w:pPr>
      <w:r>
        <w:t>Clause 3 consultation</w:t>
      </w:r>
    </w:p>
    <w:p w14:paraId="6C358C3C" w14:textId="7B3652F4" w:rsidR="00B43139" w:rsidRPr="00021A32" w:rsidRDefault="00B43139" w:rsidP="00A247C5">
      <w:pPr>
        <w:pStyle w:val="Normal2"/>
      </w:pPr>
      <w:r>
        <w:t xml:space="preserve">A summary of the process for consultation under clause 3 of Schedule 1 of the RMA, including the full list of parties involved, is provided in section </w:t>
      </w:r>
      <w:r w:rsidR="00443F89">
        <w:fldChar w:fldCharType="begin"/>
      </w:r>
      <w:r w:rsidR="00443F89">
        <w:instrText xml:space="preserve"> REF _Ref68867783 \r \h </w:instrText>
      </w:r>
      <w:r w:rsidR="00443F89">
        <w:fldChar w:fldCharType="separate"/>
      </w:r>
      <w:r w:rsidR="002A7A16">
        <w:t>2.5.1</w:t>
      </w:r>
      <w:r w:rsidR="00443F89">
        <w:fldChar w:fldCharType="end"/>
      </w:r>
      <w:r w:rsidR="00443F89">
        <w:t xml:space="preserve"> </w:t>
      </w:r>
      <w:r>
        <w:t>of this report. Ten parties in addition to the reference group provided feedback on the EIT</w:t>
      </w:r>
      <w:r w:rsidR="00443F89">
        <w:t>–</w:t>
      </w:r>
      <w:r>
        <w:t xml:space="preserve">INF </w:t>
      </w:r>
      <w:r w:rsidR="00443F89">
        <w:t>section</w:t>
      </w:r>
      <w:r>
        <w:t xml:space="preserve"> through clause 3 consultation. </w:t>
      </w:r>
    </w:p>
    <w:p w14:paraId="5D51D940" w14:textId="7BC5C964" w:rsidR="00B43139" w:rsidRPr="00021A32" w:rsidRDefault="00B43139" w:rsidP="00A247C5">
      <w:pPr>
        <w:pStyle w:val="Normal2"/>
      </w:pPr>
      <w:r>
        <w:t>The feedback included support for the general approach of the Chapter, together with comments that ranged from minor amendments to correct errors or improve clarity of provisions (which were largely accepted by ORC) to a modification of policy approach. This included amendments to improve alignment with superior requirements (</w:t>
      </w:r>
      <w:proofErr w:type="spellStart"/>
      <w:proofErr w:type="gramStart"/>
      <w:r>
        <w:t>eg</w:t>
      </w:r>
      <w:proofErr w:type="spellEnd"/>
      <w:proofErr w:type="gramEnd"/>
      <w:r>
        <w:t xml:space="preserve"> recognising </w:t>
      </w:r>
      <w:r w:rsidR="00DA7A7A">
        <w:t xml:space="preserve">the </w:t>
      </w:r>
      <w:r>
        <w:t>NPSET in EIT-INF-PR2).</w:t>
      </w:r>
    </w:p>
    <w:p w14:paraId="2808450B" w14:textId="77777777" w:rsidR="00B43139" w:rsidRPr="00021A32" w:rsidRDefault="00B43139" w:rsidP="00A247C5">
      <w:pPr>
        <w:pStyle w:val="Normal2"/>
      </w:pPr>
      <w:r>
        <w:t xml:space="preserve">Matters that materially changed the intended strength of provisions; or would compromise the necessary consideration the facts of individual circumstances of a proposal and weighing of evidence, were not amended unless there was a reason for amendment based on superior provisions. </w:t>
      </w:r>
    </w:p>
    <w:p w14:paraId="604D73D6" w14:textId="5AE59399" w:rsidR="00B43139" w:rsidRPr="00021A32" w:rsidRDefault="00B43139" w:rsidP="00A247C5">
      <w:pPr>
        <w:pStyle w:val="Normal2"/>
      </w:pPr>
      <w:r>
        <w:t>Provision suggestions that did not contribute to clarity, were contrary to superior provisions (</w:t>
      </w:r>
      <w:proofErr w:type="spellStart"/>
      <w:proofErr w:type="gramStart"/>
      <w:r>
        <w:t>eg</w:t>
      </w:r>
      <w:proofErr w:type="spellEnd"/>
      <w:proofErr w:type="gramEnd"/>
      <w:r>
        <w:t xml:space="preserve"> National Policy Statements)</w:t>
      </w:r>
      <w:r w:rsidR="00F81521">
        <w:t>,</w:t>
      </w:r>
      <w:r>
        <w:t xml:space="preserve"> contrary to case law, or were redundant (</w:t>
      </w:r>
      <w:proofErr w:type="spellStart"/>
      <w:r>
        <w:t>eg</w:t>
      </w:r>
      <w:proofErr w:type="spellEnd"/>
      <w:r>
        <w:t xml:space="preserve"> by being already addressed through definitions or by superior provisions) were not amended except for clarification purposes.  </w:t>
      </w:r>
    </w:p>
    <w:p w14:paraId="02E43023" w14:textId="3232A36F" w:rsidR="00E20D7A" w:rsidRDefault="00E20D7A" w:rsidP="000B61EC">
      <w:pPr>
        <w:pStyle w:val="Heading5"/>
      </w:pPr>
      <w:r>
        <w:lastRenderedPageBreak/>
        <w:t>Clause 4A consultation</w:t>
      </w:r>
    </w:p>
    <w:p w14:paraId="632FB04D" w14:textId="76BF8146" w:rsidR="00DB67CE" w:rsidRDefault="00DB67CE" w:rsidP="00A247C5">
      <w:pPr>
        <w:pStyle w:val="Normal2"/>
      </w:pPr>
      <w:r>
        <w:t xml:space="preserve">Feedback via Clause 4A consultation was generally supportive of the objectives, </w:t>
      </w:r>
      <w:proofErr w:type="gramStart"/>
      <w:r>
        <w:t>policies</w:t>
      </w:r>
      <w:proofErr w:type="gramEnd"/>
      <w:r>
        <w:t xml:space="preserve"> and methods of the EIT chapter</w:t>
      </w:r>
      <w:r w:rsidR="004844EC">
        <w:t xml:space="preserve">. </w:t>
      </w:r>
      <w:r w:rsidR="00D43B53">
        <w:t xml:space="preserve"> The suggestion </w:t>
      </w:r>
      <w:r w:rsidR="003C2FD2">
        <w:t xml:space="preserve">for </w:t>
      </w:r>
      <w:r w:rsidR="00A71DD2" w:rsidRPr="00A71DD2">
        <w:rPr>
          <w:i/>
          <w:iCs/>
        </w:rPr>
        <w:t>EIT–EN – Energy</w:t>
      </w:r>
      <w:r w:rsidR="00440F75">
        <w:t xml:space="preserve"> </w:t>
      </w:r>
      <w:r w:rsidR="00C775E4">
        <w:t>to include</w:t>
      </w:r>
      <w:r w:rsidR="00440F75">
        <w:t xml:space="preserve"> </w:t>
      </w:r>
      <w:r w:rsidR="00C775E4">
        <w:t xml:space="preserve">reference to </w:t>
      </w:r>
      <w:r w:rsidR="00440F75">
        <w:rPr>
          <w:rStyle w:val="normaltextrun"/>
          <w:rFonts w:ascii="Calibri" w:hAnsi="Calibri" w:cs="Calibri"/>
          <w:color w:val="000000"/>
          <w:bdr w:val="none" w:sz="0" w:space="0" w:color="auto" w:frame="1"/>
        </w:rPr>
        <w:t xml:space="preserve">mana whenua values in the methods section for regional and district plans </w:t>
      </w:r>
      <w:r w:rsidR="00A71DD2">
        <w:rPr>
          <w:rStyle w:val="normaltextrun"/>
          <w:rFonts w:ascii="Calibri" w:hAnsi="Calibri" w:cs="Calibri"/>
          <w:color w:val="000000"/>
          <w:bdr w:val="none" w:sz="0" w:space="0" w:color="auto" w:frame="1"/>
        </w:rPr>
        <w:t>was</w:t>
      </w:r>
      <w:r w:rsidR="00440F75">
        <w:rPr>
          <w:rStyle w:val="normaltextrun"/>
          <w:rFonts w:ascii="Calibri" w:hAnsi="Calibri" w:cs="Calibri"/>
          <w:color w:val="000000"/>
          <w:bdr w:val="none" w:sz="0" w:space="0" w:color="auto" w:frame="1"/>
        </w:rPr>
        <w:t xml:space="preserve"> also incorporated in </w:t>
      </w:r>
      <w:r w:rsidR="00A71DD2">
        <w:rPr>
          <w:rStyle w:val="normaltextrun"/>
          <w:rFonts w:ascii="Calibri" w:hAnsi="Calibri" w:cs="Calibri"/>
          <w:color w:val="000000"/>
          <w:bdr w:val="none" w:sz="0" w:space="0" w:color="auto" w:frame="1"/>
        </w:rPr>
        <w:t xml:space="preserve">the </w:t>
      </w:r>
      <w:r w:rsidR="00A71DD2" w:rsidRPr="00A71DD2">
        <w:rPr>
          <w:rStyle w:val="normaltextrun"/>
          <w:rFonts w:ascii="Calibri" w:hAnsi="Calibri" w:cs="Calibri"/>
          <w:i/>
          <w:iCs/>
          <w:color w:val="000000"/>
          <w:bdr w:val="none" w:sz="0" w:space="0" w:color="auto" w:frame="1"/>
        </w:rPr>
        <w:t>EIT</w:t>
      </w:r>
      <w:r w:rsidR="00A71DD2" w:rsidRPr="00A71DD2">
        <w:rPr>
          <w:i/>
          <w:iCs/>
        </w:rPr>
        <w:t>–INF – Infrastructure</w:t>
      </w:r>
      <w:r w:rsidR="00A71DD2">
        <w:t xml:space="preserve"> section.</w:t>
      </w:r>
    </w:p>
    <w:p w14:paraId="77081FDA" w14:textId="77777777" w:rsidR="00E20D7A" w:rsidRDefault="00E20D7A" w:rsidP="00DE069C">
      <w:pPr>
        <w:pStyle w:val="Heading4"/>
      </w:pPr>
      <w:r>
        <w:t>Efficiency and effectiveness evaluation</w:t>
      </w:r>
    </w:p>
    <w:p w14:paraId="0DBAE75C" w14:textId="169ADB5F" w:rsidR="00E20D7A" w:rsidRDefault="00E250BE" w:rsidP="00A247C5">
      <w:pPr>
        <w:pStyle w:val="Normal2"/>
      </w:pPr>
      <w:r>
        <w:fldChar w:fldCharType="begin"/>
      </w:r>
      <w:r>
        <w:instrText xml:space="preserve"> REF _Ref70490593 \h </w:instrText>
      </w:r>
      <w:r>
        <w:fldChar w:fldCharType="separate"/>
      </w:r>
      <w:r w:rsidR="002A7A16">
        <w:t xml:space="preserve">Table </w:t>
      </w:r>
      <w:r w:rsidR="002A7A16">
        <w:rPr>
          <w:noProof/>
        </w:rPr>
        <w:t>45</w:t>
      </w:r>
      <w:r>
        <w:fldChar w:fldCharType="end"/>
      </w:r>
      <w:r>
        <w:t xml:space="preserve"> </w:t>
      </w:r>
      <w:r w:rsidR="00E20D7A">
        <w:t xml:space="preserve">below identifies and assesses the benefits and costs of the environmental, cultural, </w:t>
      </w:r>
      <w:proofErr w:type="gramStart"/>
      <w:r w:rsidR="00E20D7A">
        <w:t>social</w:t>
      </w:r>
      <w:proofErr w:type="gramEnd"/>
      <w:r w:rsidR="00E20D7A">
        <w:t xml:space="preserve"> and economic effects that are anticipated from the implementation of the provisions proposed under Option 3 above.</w:t>
      </w:r>
    </w:p>
    <w:p w14:paraId="564A5CF5" w14:textId="13D25C59" w:rsidR="00E20D7A" w:rsidRDefault="00E20D7A" w:rsidP="00E20D7A">
      <w:pPr>
        <w:pStyle w:val="Caption"/>
        <w:keepNext/>
      </w:pPr>
      <w:bookmarkStart w:id="111" w:name="_Ref70490593"/>
      <w:r>
        <w:t xml:space="preserve">Table </w:t>
      </w:r>
      <w:r>
        <w:fldChar w:fldCharType="begin"/>
      </w:r>
      <w:r>
        <w:instrText>SEQ Table \* ARABIC</w:instrText>
      </w:r>
      <w:r>
        <w:fldChar w:fldCharType="separate"/>
      </w:r>
      <w:r w:rsidR="002A7A16">
        <w:rPr>
          <w:noProof/>
        </w:rPr>
        <w:t>45</w:t>
      </w:r>
      <w:r>
        <w:fldChar w:fldCharType="end"/>
      </w:r>
      <w:bookmarkEnd w:id="111"/>
      <w:r>
        <w:t>: Benefits and costs for infrastructure</w:t>
      </w:r>
    </w:p>
    <w:tbl>
      <w:tblPr>
        <w:tblStyle w:val="ListTable1Light-Accent1"/>
        <w:tblW w:w="0" w:type="auto"/>
        <w:tblLook w:val="04A0" w:firstRow="1" w:lastRow="0" w:firstColumn="1" w:lastColumn="0" w:noHBand="0" w:noVBand="1"/>
      </w:tblPr>
      <w:tblGrid>
        <w:gridCol w:w="4508"/>
        <w:gridCol w:w="4508"/>
      </w:tblGrid>
      <w:tr w:rsidR="00E20D7A" w14:paraId="2FD93591" w14:textId="77777777" w:rsidTr="00E20D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nil"/>
              <w:right w:val="nil"/>
            </w:tcBorders>
            <w:hideMark/>
          </w:tcPr>
          <w:p w14:paraId="7DDD071B" w14:textId="77777777" w:rsidR="00E20D7A" w:rsidRDefault="00E20D7A">
            <w:pPr>
              <w:jc w:val="center"/>
              <w:rPr>
                <w:sz w:val="20"/>
              </w:rPr>
            </w:pPr>
            <w:r>
              <w:rPr>
                <w:sz w:val="20"/>
              </w:rPr>
              <w:t>BENEFITS</w:t>
            </w:r>
          </w:p>
        </w:tc>
        <w:tc>
          <w:tcPr>
            <w:tcW w:w="4508" w:type="dxa"/>
            <w:tcBorders>
              <w:top w:val="nil"/>
              <w:left w:val="nil"/>
              <w:right w:val="nil"/>
            </w:tcBorders>
            <w:hideMark/>
          </w:tcPr>
          <w:p w14:paraId="23668A6D" w14:textId="77777777" w:rsidR="00E20D7A" w:rsidRDefault="00E20D7A">
            <w:pPr>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COSTS</w:t>
            </w:r>
          </w:p>
        </w:tc>
      </w:tr>
      <w:tr w:rsidR="00E20D7A" w14:paraId="0CD34E7D"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3AE8B778" w14:textId="77777777" w:rsidR="00E20D7A" w:rsidRDefault="00E20D7A">
            <w:pPr>
              <w:jc w:val="center"/>
              <w:rPr>
                <w:sz w:val="20"/>
              </w:rPr>
            </w:pPr>
            <w:r>
              <w:rPr>
                <w:sz w:val="20"/>
              </w:rPr>
              <w:t>Environmental</w:t>
            </w:r>
          </w:p>
        </w:tc>
      </w:tr>
      <w:tr w:rsidR="00E20D7A" w14:paraId="3207288E" w14:textId="77777777" w:rsidTr="00E20D7A">
        <w:tc>
          <w:tcPr>
            <w:cnfStyle w:val="001000000000" w:firstRow="0" w:lastRow="0" w:firstColumn="1" w:lastColumn="0" w:oddVBand="0" w:evenVBand="0" w:oddHBand="0" w:evenHBand="0" w:firstRowFirstColumn="0" w:firstRowLastColumn="0" w:lastRowFirstColumn="0" w:lastRowLastColumn="0"/>
            <w:tcW w:w="4508" w:type="dxa"/>
          </w:tcPr>
          <w:p w14:paraId="2176C75C" w14:textId="77777777" w:rsidR="00E20D7A" w:rsidRDefault="00E20D7A" w:rsidP="004806D3">
            <w:pPr>
              <w:pStyle w:val="ListParagraph"/>
              <w:numPr>
                <w:ilvl w:val="0"/>
                <w:numId w:val="36"/>
              </w:numPr>
              <w:spacing w:after="60"/>
              <w:ind w:left="357" w:hanging="357"/>
              <w:jc w:val="both"/>
              <w:rPr>
                <w:b w:val="0"/>
                <w:sz w:val="20"/>
              </w:rPr>
            </w:pPr>
            <w:r>
              <w:rPr>
                <w:b w:val="0"/>
                <w:sz w:val="20"/>
              </w:rPr>
              <w:t>Prioritising avoiding locating infrastructure within sensitive or highly valued areas will assist with protecting the values of these areas.</w:t>
            </w:r>
          </w:p>
          <w:p w14:paraId="64CAE5DE" w14:textId="77777777" w:rsidR="00E20D7A" w:rsidRDefault="00E20D7A" w:rsidP="004806D3">
            <w:pPr>
              <w:pStyle w:val="ListParagraph"/>
              <w:numPr>
                <w:ilvl w:val="0"/>
                <w:numId w:val="36"/>
              </w:numPr>
              <w:spacing w:after="60"/>
              <w:ind w:left="357" w:hanging="357"/>
              <w:jc w:val="both"/>
              <w:rPr>
                <w:b w:val="0"/>
                <w:sz w:val="20"/>
              </w:rPr>
            </w:pPr>
            <w:r>
              <w:rPr>
                <w:b w:val="0"/>
                <w:sz w:val="20"/>
              </w:rPr>
              <w:t>Clear direction about managing adverse effects encourages, in most cases, prioritising the avoidance of adverse effects and promotes reductions in or minimising adverse effects, which may result in better environmental outcomes.</w:t>
            </w:r>
          </w:p>
          <w:p w14:paraId="56E1607F" w14:textId="77777777" w:rsidR="00E20D7A" w:rsidRDefault="00E20D7A" w:rsidP="004806D3">
            <w:pPr>
              <w:pStyle w:val="ListParagraph"/>
              <w:numPr>
                <w:ilvl w:val="0"/>
                <w:numId w:val="36"/>
              </w:numPr>
              <w:jc w:val="both"/>
              <w:rPr>
                <w:b w:val="0"/>
                <w:sz w:val="20"/>
              </w:rPr>
            </w:pPr>
            <w:r>
              <w:rPr>
                <w:b w:val="0"/>
                <w:sz w:val="20"/>
              </w:rPr>
              <w:t>Requiring the co-ordination of land use activities, including the release of land for urban development with the provision of infrastructure will reduce the effects of development. This will also allow early planning for infrastructure enabling greater opportunity to protect existing environmental values.</w:t>
            </w:r>
          </w:p>
          <w:p w14:paraId="1F3FC2BA" w14:textId="77777777" w:rsidR="00E20D7A" w:rsidRDefault="00E20D7A">
            <w:pPr>
              <w:pStyle w:val="ListParagraph"/>
              <w:ind w:left="360"/>
              <w:rPr>
                <w:b w:val="0"/>
                <w:sz w:val="20"/>
              </w:rPr>
            </w:pPr>
          </w:p>
        </w:tc>
        <w:tc>
          <w:tcPr>
            <w:tcW w:w="4508" w:type="dxa"/>
          </w:tcPr>
          <w:p w14:paraId="6C1E2432"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sz w:val="20"/>
              </w:rPr>
              <w:t xml:space="preserve">Providing for the use, </w:t>
            </w:r>
            <w:proofErr w:type="gramStart"/>
            <w:r>
              <w:rPr>
                <w:sz w:val="20"/>
              </w:rPr>
              <w:t>operation</w:t>
            </w:r>
            <w:proofErr w:type="gramEnd"/>
            <w:r>
              <w:rPr>
                <w:sz w:val="20"/>
              </w:rPr>
              <w:t xml:space="preserve"> and maintenance of existing nationally or regionally significant infrastructure while minimising only the significant adverse effects recognises there will be </w:t>
            </w:r>
            <w:r>
              <w:rPr>
                <w:bCs/>
                <w:sz w:val="20"/>
              </w:rPr>
              <w:t xml:space="preserve">ongoing environmental impacts from this infrastructure. </w:t>
            </w:r>
          </w:p>
          <w:p w14:paraId="5B5F8F11"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bCs/>
                <w:sz w:val="20"/>
              </w:rPr>
              <w:t>In some cases, it will not be possible for infrastructure to avoid locating within sensitive or highly valued areas. This will likely result in adverse effects</w:t>
            </w:r>
            <w:r>
              <w:rPr>
                <w:sz w:val="20"/>
              </w:rPr>
              <w:t xml:space="preserve"> on those areas.</w:t>
            </w:r>
          </w:p>
          <w:p w14:paraId="7C007795" w14:textId="77777777" w:rsidR="00E20D7A" w:rsidRDefault="00E20D7A">
            <w:pPr>
              <w:pStyle w:val="ListParagraph"/>
              <w:ind w:left="360"/>
              <w:cnfStyle w:val="000000000000" w:firstRow="0" w:lastRow="0" w:firstColumn="0" w:lastColumn="0" w:oddVBand="0" w:evenVBand="0" w:oddHBand="0" w:evenHBand="0" w:firstRowFirstColumn="0" w:firstRowLastColumn="0" w:lastRowFirstColumn="0" w:lastRowLastColumn="0"/>
              <w:rPr>
                <w:sz w:val="20"/>
              </w:rPr>
            </w:pPr>
          </w:p>
          <w:p w14:paraId="38F88B5C" w14:textId="77777777" w:rsidR="00E20D7A" w:rsidRDefault="00E20D7A">
            <w:pPr>
              <w:pStyle w:val="ListParagraph"/>
              <w:ind w:left="360"/>
              <w:cnfStyle w:val="000000000000" w:firstRow="0" w:lastRow="0" w:firstColumn="0" w:lastColumn="0" w:oddVBand="0" w:evenVBand="0" w:oddHBand="0" w:evenHBand="0" w:firstRowFirstColumn="0" w:firstRowLastColumn="0" w:lastRowFirstColumn="0" w:lastRowLastColumn="0"/>
              <w:rPr>
                <w:i/>
                <w:iCs/>
                <w:sz w:val="20"/>
              </w:rPr>
            </w:pPr>
          </w:p>
        </w:tc>
      </w:tr>
      <w:tr w:rsidR="00E20D7A" w14:paraId="6FD1A94B"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57ABAB26" w14:textId="77777777" w:rsidR="00E20D7A" w:rsidRDefault="00E20D7A">
            <w:pPr>
              <w:jc w:val="center"/>
              <w:rPr>
                <w:sz w:val="20"/>
              </w:rPr>
            </w:pPr>
            <w:r>
              <w:rPr>
                <w:sz w:val="20"/>
              </w:rPr>
              <w:t>Cultural</w:t>
            </w:r>
          </w:p>
        </w:tc>
      </w:tr>
      <w:tr w:rsidR="00E20D7A" w14:paraId="6DF9DDC3" w14:textId="77777777" w:rsidTr="00E20D7A">
        <w:tc>
          <w:tcPr>
            <w:cnfStyle w:val="001000000000" w:firstRow="0" w:lastRow="0" w:firstColumn="1" w:lastColumn="0" w:oddVBand="0" w:evenVBand="0" w:oddHBand="0" w:evenHBand="0" w:firstRowFirstColumn="0" w:firstRowLastColumn="0" w:lastRowFirstColumn="0" w:lastRowLastColumn="0"/>
            <w:tcW w:w="4508" w:type="dxa"/>
          </w:tcPr>
          <w:p w14:paraId="59588FF1" w14:textId="77777777" w:rsidR="00E20D7A" w:rsidRDefault="00E20D7A" w:rsidP="004806D3">
            <w:pPr>
              <w:pStyle w:val="ListParagraph"/>
              <w:numPr>
                <w:ilvl w:val="0"/>
                <w:numId w:val="36"/>
              </w:numPr>
              <w:spacing w:after="60"/>
              <w:ind w:left="357" w:hanging="357"/>
              <w:jc w:val="both"/>
              <w:rPr>
                <w:b w:val="0"/>
                <w:sz w:val="20"/>
              </w:rPr>
            </w:pPr>
            <w:r>
              <w:rPr>
                <w:b w:val="0"/>
                <w:sz w:val="20"/>
              </w:rPr>
              <w:t>Prioritising avoiding locating infrastructure within sensitive or highly valued areas will assist with protecting the values of these areas, including cultural values.</w:t>
            </w:r>
          </w:p>
          <w:p w14:paraId="3596E765" w14:textId="77777777" w:rsidR="00E20D7A" w:rsidRDefault="00E20D7A" w:rsidP="009B37B4">
            <w:pPr>
              <w:pStyle w:val="ListParagraph"/>
              <w:ind w:left="360"/>
              <w:jc w:val="both"/>
              <w:rPr>
                <w:b w:val="0"/>
                <w:sz w:val="20"/>
              </w:rPr>
            </w:pPr>
          </w:p>
        </w:tc>
        <w:tc>
          <w:tcPr>
            <w:tcW w:w="4508" w:type="dxa"/>
            <w:hideMark/>
          </w:tcPr>
          <w:p w14:paraId="7937D52B"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There will continue to be adverse effects on the environment from operating, maintaining, </w:t>
            </w:r>
            <w:proofErr w:type="gramStart"/>
            <w:r>
              <w:rPr>
                <w:sz w:val="20"/>
              </w:rPr>
              <w:t>upgrading</w:t>
            </w:r>
            <w:proofErr w:type="gramEnd"/>
            <w:r>
              <w:rPr>
                <w:sz w:val="20"/>
              </w:rPr>
              <w:t xml:space="preserve"> and developing infrastructure, including potentially on cultural values and resources of significance to iwi.</w:t>
            </w:r>
          </w:p>
        </w:tc>
      </w:tr>
      <w:tr w:rsidR="00E20D7A" w14:paraId="6E391F86"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25BD6785" w14:textId="77777777" w:rsidR="00E20D7A" w:rsidRDefault="00E20D7A">
            <w:pPr>
              <w:jc w:val="center"/>
              <w:rPr>
                <w:sz w:val="20"/>
              </w:rPr>
            </w:pPr>
            <w:r>
              <w:rPr>
                <w:sz w:val="20"/>
              </w:rPr>
              <w:t>Social</w:t>
            </w:r>
          </w:p>
        </w:tc>
      </w:tr>
      <w:tr w:rsidR="00E20D7A" w14:paraId="3502818D" w14:textId="77777777" w:rsidTr="00E20D7A">
        <w:tc>
          <w:tcPr>
            <w:cnfStyle w:val="001000000000" w:firstRow="0" w:lastRow="0" w:firstColumn="1" w:lastColumn="0" w:oddVBand="0" w:evenVBand="0" w:oddHBand="0" w:evenHBand="0" w:firstRowFirstColumn="0" w:firstRowLastColumn="0" w:lastRowFirstColumn="0" w:lastRowLastColumn="0"/>
            <w:tcW w:w="4508" w:type="dxa"/>
            <w:hideMark/>
          </w:tcPr>
          <w:p w14:paraId="207B3917" w14:textId="77777777" w:rsidR="00E20D7A" w:rsidRDefault="00E20D7A" w:rsidP="004806D3">
            <w:pPr>
              <w:pStyle w:val="ListParagraph"/>
              <w:numPr>
                <w:ilvl w:val="0"/>
                <w:numId w:val="36"/>
              </w:numPr>
              <w:spacing w:after="60"/>
              <w:ind w:left="357" w:hanging="357"/>
              <w:jc w:val="both"/>
              <w:rPr>
                <w:b w:val="0"/>
                <w:sz w:val="20"/>
              </w:rPr>
            </w:pPr>
            <w:r>
              <w:rPr>
                <w:b w:val="0"/>
                <w:bCs w:val="0"/>
                <w:sz w:val="20"/>
              </w:rPr>
              <w:t xml:space="preserve">Providing for the operation and maintenance of nationally or regionally significant </w:t>
            </w:r>
            <w:proofErr w:type="gramStart"/>
            <w:r>
              <w:rPr>
                <w:b w:val="0"/>
                <w:bCs w:val="0"/>
                <w:sz w:val="20"/>
              </w:rPr>
              <w:t>infrastructure, and</w:t>
            </w:r>
            <w:proofErr w:type="gramEnd"/>
            <w:r>
              <w:rPr>
                <w:b w:val="0"/>
                <w:bCs w:val="0"/>
                <w:sz w:val="20"/>
              </w:rPr>
              <w:t xml:space="preserve"> </w:t>
            </w:r>
            <w:r>
              <w:rPr>
                <w:b w:val="0"/>
                <w:sz w:val="20"/>
              </w:rPr>
              <w:t>upgrading or development of new infrastructure will provide for the health and safety of communities.</w:t>
            </w:r>
          </w:p>
          <w:p w14:paraId="3249DFED" w14:textId="77777777" w:rsidR="00E20D7A" w:rsidRDefault="00E20D7A" w:rsidP="004806D3">
            <w:pPr>
              <w:pStyle w:val="ListParagraph"/>
              <w:numPr>
                <w:ilvl w:val="0"/>
                <w:numId w:val="36"/>
              </w:numPr>
              <w:spacing w:after="60"/>
              <w:ind w:left="357" w:hanging="357"/>
              <w:jc w:val="both"/>
              <w:rPr>
                <w:b w:val="0"/>
                <w:sz w:val="20"/>
              </w:rPr>
            </w:pPr>
            <w:r>
              <w:rPr>
                <w:b w:val="0"/>
                <w:sz w:val="20"/>
              </w:rPr>
              <w:t xml:space="preserve">Integrating infrastructure with land uses, particularly urban expansion can ensure that existing infrastructure is not compromised by development. </w:t>
            </w:r>
          </w:p>
          <w:p w14:paraId="57206641" w14:textId="77777777" w:rsidR="00E20D7A" w:rsidRDefault="00E20D7A" w:rsidP="004806D3">
            <w:pPr>
              <w:pStyle w:val="ListParagraph"/>
              <w:numPr>
                <w:ilvl w:val="0"/>
                <w:numId w:val="36"/>
              </w:numPr>
              <w:spacing w:after="60"/>
              <w:ind w:left="357" w:hanging="357"/>
              <w:jc w:val="both"/>
              <w:rPr>
                <w:b w:val="0"/>
                <w:bCs w:val="0"/>
                <w:sz w:val="20"/>
              </w:rPr>
            </w:pPr>
            <w:r>
              <w:rPr>
                <w:b w:val="0"/>
                <w:sz w:val="20"/>
              </w:rPr>
              <w:t>Extending the definition of regionally significant infrastructure to public transport facilities and regional airports provides greater recognition of these facilities</w:t>
            </w:r>
            <w:r>
              <w:rPr>
                <w:b w:val="0"/>
                <w:bCs w:val="0"/>
                <w:sz w:val="20"/>
              </w:rPr>
              <w:t xml:space="preserve"> and supports their ongoing use and development.</w:t>
            </w:r>
          </w:p>
          <w:p w14:paraId="10FFBFAE" w14:textId="23DD0F92" w:rsidR="00E20D7A" w:rsidRDefault="00E20D7A" w:rsidP="004806D3">
            <w:pPr>
              <w:pStyle w:val="ListParagraph"/>
              <w:numPr>
                <w:ilvl w:val="0"/>
                <w:numId w:val="36"/>
              </w:numPr>
              <w:spacing w:after="60"/>
              <w:ind w:left="357" w:hanging="357"/>
              <w:jc w:val="both"/>
              <w:rPr>
                <w:b w:val="0"/>
                <w:bCs w:val="0"/>
                <w:sz w:val="20"/>
              </w:rPr>
            </w:pPr>
            <w:r>
              <w:rPr>
                <w:b w:val="0"/>
                <w:bCs w:val="0"/>
                <w:sz w:val="20"/>
              </w:rPr>
              <w:lastRenderedPageBreak/>
              <w:t>Provid</w:t>
            </w:r>
            <w:r w:rsidR="00E4156E">
              <w:rPr>
                <w:b w:val="0"/>
                <w:bCs w:val="0"/>
                <w:sz w:val="20"/>
              </w:rPr>
              <w:t>ing</w:t>
            </w:r>
            <w:r>
              <w:rPr>
                <w:b w:val="0"/>
                <w:bCs w:val="0"/>
                <w:sz w:val="20"/>
              </w:rPr>
              <w:t xml:space="preserve"> stronger protection for infrastructure, and therefore the services it provides to communities, from the establishment of incompatible activities nearby.</w:t>
            </w:r>
          </w:p>
          <w:p w14:paraId="3E69378D" w14:textId="62E85A22" w:rsidR="00E20D7A" w:rsidRDefault="00E20D7A" w:rsidP="004806D3">
            <w:pPr>
              <w:pStyle w:val="ListParagraph"/>
              <w:numPr>
                <w:ilvl w:val="0"/>
                <w:numId w:val="36"/>
              </w:numPr>
              <w:spacing w:after="60"/>
              <w:ind w:left="357" w:hanging="357"/>
              <w:jc w:val="both"/>
              <w:rPr>
                <w:b w:val="0"/>
                <w:bCs w:val="0"/>
                <w:sz w:val="20"/>
              </w:rPr>
            </w:pPr>
            <w:r>
              <w:rPr>
                <w:b w:val="0"/>
                <w:bCs w:val="0"/>
                <w:sz w:val="20"/>
              </w:rPr>
              <w:t>A secure and efficient electricity transmission network will support the social and economic wellbeing of Otago’s communities.</w:t>
            </w:r>
          </w:p>
        </w:tc>
        <w:tc>
          <w:tcPr>
            <w:tcW w:w="4508" w:type="dxa"/>
            <w:hideMark/>
          </w:tcPr>
          <w:p w14:paraId="6584DEAF"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lastRenderedPageBreak/>
              <w:t xml:space="preserve">Requirements to co-ordinate land use activities with the development or upgrading of infrastructure may reduce development potential of some land. </w:t>
            </w:r>
          </w:p>
          <w:p w14:paraId="355FBDD6" w14:textId="3535931B"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t xml:space="preserve">Extending the definition of regionally significant infrastructure may increase restrictions on the subdivision, use and development of land near this infrastructure. </w:t>
            </w:r>
          </w:p>
        </w:tc>
      </w:tr>
      <w:tr w:rsidR="00E20D7A" w14:paraId="36DB26A2" w14:textId="77777777" w:rsidTr="00E20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3C30CAA6" w14:textId="77777777" w:rsidR="00E20D7A" w:rsidRDefault="00E20D7A">
            <w:pPr>
              <w:jc w:val="center"/>
              <w:rPr>
                <w:sz w:val="20"/>
              </w:rPr>
            </w:pPr>
            <w:r>
              <w:rPr>
                <w:sz w:val="20"/>
              </w:rPr>
              <w:t>Economic</w:t>
            </w:r>
          </w:p>
        </w:tc>
      </w:tr>
      <w:tr w:rsidR="00E20D7A" w14:paraId="7145A1DF" w14:textId="77777777" w:rsidTr="00E20D7A">
        <w:tc>
          <w:tcPr>
            <w:cnfStyle w:val="001000000000" w:firstRow="0" w:lastRow="0" w:firstColumn="1" w:lastColumn="0" w:oddVBand="0" w:evenVBand="0" w:oddHBand="0" w:evenHBand="0" w:firstRowFirstColumn="0" w:firstRowLastColumn="0" w:lastRowFirstColumn="0" w:lastRowLastColumn="0"/>
            <w:tcW w:w="4508" w:type="dxa"/>
            <w:hideMark/>
          </w:tcPr>
          <w:p w14:paraId="1065F703" w14:textId="77777777" w:rsidR="00E20D7A" w:rsidRDefault="00E20D7A" w:rsidP="00D7383E">
            <w:pPr>
              <w:pStyle w:val="ListParagraph"/>
              <w:numPr>
                <w:ilvl w:val="0"/>
                <w:numId w:val="36"/>
              </w:numPr>
              <w:spacing w:after="60"/>
              <w:jc w:val="both"/>
              <w:rPr>
                <w:b w:val="0"/>
                <w:sz w:val="20"/>
              </w:rPr>
            </w:pPr>
            <w:r>
              <w:rPr>
                <w:b w:val="0"/>
                <w:sz w:val="20"/>
              </w:rPr>
              <w:t>Providing for the operation and maintenance of existing infrastructure and the development of new infrastructure supports the regional economy and economic growth.</w:t>
            </w:r>
          </w:p>
          <w:p w14:paraId="32C1DF9E" w14:textId="5AB0550F" w:rsidR="00E20D7A" w:rsidRDefault="00E20D7A" w:rsidP="00D7383E">
            <w:pPr>
              <w:pStyle w:val="ListParagraph"/>
              <w:numPr>
                <w:ilvl w:val="0"/>
                <w:numId w:val="36"/>
              </w:numPr>
              <w:spacing w:after="60"/>
              <w:jc w:val="both"/>
              <w:rPr>
                <w:b w:val="0"/>
                <w:sz w:val="20"/>
              </w:rPr>
            </w:pPr>
            <w:r>
              <w:rPr>
                <w:b w:val="0"/>
                <w:sz w:val="20"/>
              </w:rPr>
              <w:t>Requiring the integration of infrastructure provision with urban growth avoids costs associated with duplication</w:t>
            </w:r>
            <w:r w:rsidR="00E04EC2">
              <w:rPr>
                <w:b w:val="0"/>
                <w:sz w:val="20"/>
              </w:rPr>
              <w:t>.</w:t>
            </w:r>
          </w:p>
          <w:p w14:paraId="52AC8CB6" w14:textId="77777777" w:rsidR="00E20D7A" w:rsidRDefault="00E20D7A" w:rsidP="00D7383E">
            <w:pPr>
              <w:pStyle w:val="ListParagraph"/>
              <w:numPr>
                <w:ilvl w:val="0"/>
                <w:numId w:val="36"/>
              </w:numPr>
              <w:spacing w:after="60"/>
              <w:jc w:val="both"/>
              <w:rPr>
                <w:b w:val="0"/>
                <w:sz w:val="20"/>
              </w:rPr>
            </w:pPr>
            <w:r>
              <w:rPr>
                <w:b w:val="0"/>
                <w:sz w:val="20"/>
              </w:rPr>
              <w:t>Extending the definition of regionally significant infrastructure to include the entire water supply, stormwater and sewerage treatment networks will ensure that a consistent approach is applied to these networks.</w:t>
            </w:r>
          </w:p>
          <w:p w14:paraId="409EF391" w14:textId="77777777" w:rsidR="00E20D7A" w:rsidRDefault="00E20D7A" w:rsidP="00D7383E">
            <w:pPr>
              <w:pStyle w:val="ListParagraph"/>
              <w:numPr>
                <w:ilvl w:val="0"/>
                <w:numId w:val="36"/>
              </w:numPr>
              <w:spacing w:after="60"/>
              <w:jc w:val="both"/>
              <w:rPr>
                <w:b w:val="0"/>
                <w:sz w:val="20"/>
              </w:rPr>
            </w:pPr>
            <w:r>
              <w:rPr>
                <w:b w:val="0"/>
                <w:sz w:val="20"/>
              </w:rPr>
              <w:t>Protecting infrastructure from incompatible nearby activities or activities that may compromise their operation will support their ongoing and long-term operation, providing certainty to infrastructure providers as well as communities.</w:t>
            </w:r>
          </w:p>
          <w:p w14:paraId="18F0D022" w14:textId="442A9129" w:rsidR="00E20D7A" w:rsidRPr="00CA332A" w:rsidRDefault="00E20D7A" w:rsidP="00D7383E">
            <w:pPr>
              <w:pStyle w:val="ListParagraph"/>
              <w:numPr>
                <w:ilvl w:val="0"/>
                <w:numId w:val="22"/>
              </w:numPr>
              <w:spacing w:after="60"/>
              <w:jc w:val="both"/>
              <w:rPr>
                <w:b w:val="0"/>
                <w:sz w:val="20"/>
              </w:rPr>
            </w:pPr>
            <w:r>
              <w:rPr>
                <w:b w:val="0"/>
                <w:sz w:val="20"/>
              </w:rPr>
              <w:t>Supports job security and certainty for people employed in the infrastructure provision industry.</w:t>
            </w:r>
          </w:p>
          <w:p w14:paraId="696D5934" w14:textId="5AD21079" w:rsidR="00D7383E" w:rsidRPr="008D325F" w:rsidRDefault="00D7383E" w:rsidP="00D7383E">
            <w:pPr>
              <w:pStyle w:val="ListParagraph"/>
              <w:numPr>
                <w:ilvl w:val="0"/>
                <w:numId w:val="22"/>
              </w:numPr>
              <w:spacing w:after="60"/>
              <w:rPr>
                <w:b w:val="0"/>
                <w:sz w:val="20"/>
              </w:rPr>
            </w:pPr>
            <w:r>
              <w:rPr>
                <w:b w:val="0"/>
                <w:sz w:val="20"/>
              </w:rPr>
              <w:t xml:space="preserve">Employment associated with </w:t>
            </w:r>
            <w:r w:rsidR="00E04EC2">
              <w:rPr>
                <w:b w:val="0"/>
                <w:sz w:val="20"/>
              </w:rPr>
              <w:t>the</w:t>
            </w:r>
            <w:r>
              <w:rPr>
                <w:b w:val="0"/>
                <w:sz w:val="20"/>
              </w:rPr>
              <w:t xml:space="preserve"> infrastructure sector is not expected to be materially impacted</w:t>
            </w:r>
            <w:r w:rsidR="00CD3838">
              <w:rPr>
                <w:b w:val="0"/>
                <w:sz w:val="20"/>
              </w:rPr>
              <w:t xml:space="preserve"> except </w:t>
            </w:r>
            <w:r w:rsidR="002944A0">
              <w:rPr>
                <w:b w:val="0"/>
                <w:sz w:val="20"/>
              </w:rPr>
              <w:t xml:space="preserve">in cases where alternative sites require </w:t>
            </w:r>
            <w:r w:rsidR="00C65A2A">
              <w:rPr>
                <w:b w:val="0"/>
                <w:sz w:val="20"/>
              </w:rPr>
              <w:t xml:space="preserve">additional servicing </w:t>
            </w:r>
            <w:proofErr w:type="spellStart"/>
            <w:proofErr w:type="gramStart"/>
            <w:r w:rsidR="00F2380D">
              <w:rPr>
                <w:b w:val="0"/>
                <w:sz w:val="20"/>
              </w:rPr>
              <w:t>eg</w:t>
            </w:r>
            <w:proofErr w:type="spellEnd"/>
            <w:proofErr w:type="gramEnd"/>
            <w:r w:rsidR="00F2380D">
              <w:rPr>
                <w:b w:val="0"/>
                <w:sz w:val="20"/>
              </w:rPr>
              <w:t xml:space="preserve"> </w:t>
            </w:r>
            <w:r w:rsidR="00D25C17">
              <w:rPr>
                <w:b w:val="0"/>
                <w:sz w:val="20"/>
              </w:rPr>
              <w:t>longer routes for transmissions lines</w:t>
            </w:r>
            <w:r>
              <w:rPr>
                <w:b w:val="0"/>
                <w:sz w:val="20"/>
              </w:rPr>
              <w:t>.</w:t>
            </w:r>
            <w:r w:rsidR="00CD3838">
              <w:rPr>
                <w:b w:val="0"/>
                <w:sz w:val="20"/>
              </w:rPr>
              <w:t xml:space="preserve"> </w:t>
            </w:r>
            <w:r>
              <w:rPr>
                <w:b w:val="0"/>
                <w:sz w:val="20"/>
              </w:rPr>
              <w:t>Employment in the environmental sector could be expected to increase if measures are required to avoid, manage activities</w:t>
            </w:r>
            <w:r>
              <w:rPr>
                <w:bCs w:val="0"/>
                <w:sz w:val="20"/>
              </w:rPr>
              <w:t>,</w:t>
            </w:r>
            <w:r>
              <w:rPr>
                <w:b w:val="0"/>
                <w:sz w:val="20"/>
              </w:rPr>
              <w:t xml:space="preserve"> or implement offsetting or compensation measures.</w:t>
            </w:r>
          </w:p>
          <w:p w14:paraId="2CF2C629" w14:textId="66821F39" w:rsidR="00E20D7A" w:rsidRDefault="00D7383E" w:rsidP="00D7383E">
            <w:pPr>
              <w:pStyle w:val="ListParagraph"/>
              <w:numPr>
                <w:ilvl w:val="0"/>
                <w:numId w:val="36"/>
              </w:numPr>
              <w:spacing w:after="60"/>
              <w:jc w:val="both"/>
              <w:rPr>
                <w:b w:val="0"/>
                <w:sz w:val="20"/>
              </w:rPr>
            </w:pPr>
            <w:r>
              <w:rPr>
                <w:b w:val="0"/>
                <w:sz w:val="20"/>
              </w:rPr>
              <w:t xml:space="preserve">There can </w:t>
            </w:r>
            <w:r w:rsidR="00D67807">
              <w:rPr>
                <w:b w:val="0"/>
                <w:sz w:val="20"/>
              </w:rPr>
              <w:t>be</w:t>
            </w:r>
            <w:r>
              <w:rPr>
                <w:b w:val="0"/>
                <w:sz w:val="20"/>
              </w:rPr>
              <w:t xml:space="preserve"> economic benefits through protection, and responsible management of natural resource for example, landscape value to tourism</w:t>
            </w:r>
            <w:r w:rsidR="00A65DAD">
              <w:rPr>
                <w:b w:val="0"/>
                <w:sz w:val="20"/>
              </w:rPr>
              <w:t xml:space="preserve"> and</w:t>
            </w:r>
            <w:r>
              <w:rPr>
                <w:b w:val="0"/>
                <w:sz w:val="20"/>
              </w:rPr>
              <w:t xml:space="preserve"> biodiversity increasing agricultural productivity.</w:t>
            </w:r>
          </w:p>
        </w:tc>
        <w:tc>
          <w:tcPr>
            <w:tcW w:w="4508" w:type="dxa"/>
            <w:hideMark/>
          </w:tcPr>
          <w:p w14:paraId="78A8ED7B"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Restricting activities that may affect the operation of nationally or regionally infrastructure may inhibit potential land uses.</w:t>
            </w:r>
          </w:p>
          <w:p w14:paraId="03AB78AE"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The requirements to avoid some adverse effects, or prioritise avoiding them, and minimise other adverse effects, may result in higher costs to infrastructure providers to prepare resource consent applications due to the information that may be needed to assess environmental impacts and how they are proposed to be managed.</w:t>
            </w:r>
          </w:p>
          <w:p w14:paraId="64415B63" w14:textId="77777777" w:rsidR="00E20D7A" w:rsidRDefault="00E20D7A"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Restrictions on the location of infrastructure may result in higher costs to infrastructure providers if alternative sites are more costly. </w:t>
            </w:r>
          </w:p>
          <w:p w14:paraId="5AFA5DCB" w14:textId="77777777" w:rsidR="00CD3838" w:rsidRDefault="00E20D7A" w:rsidP="004806D3">
            <w:pPr>
              <w:pStyle w:val="ListParagraph"/>
              <w:numPr>
                <w:ilvl w:val="0"/>
                <w:numId w:val="22"/>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There will be costs to local authorities, particularly territorial authorities, in implementing the provisions in Option 3.</w:t>
            </w:r>
          </w:p>
          <w:p w14:paraId="6314B96B" w14:textId="45EA14A0" w:rsidR="00E05A26" w:rsidRDefault="009F37ED" w:rsidP="004806D3">
            <w:pPr>
              <w:pStyle w:val="ListParagraph"/>
              <w:numPr>
                <w:ilvl w:val="0"/>
                <w:numId w:val="22"/>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In circumstances, where </w:t>
            </w:r>
            <w:r w:rsidR="00116D5E">
              <w:rPr>
                <w:sz w:val="20"/>
              </w:rPr>
              <w:t xml:space="preserve">alternative sites required additional </w:t>
            </w:r>
            <w:proofErr w:type="gramStart"/>
            <w:r w:rsidR="00116D5E">
              <w:rPr>
                <w:sz w:val="20"/>
              </w:rPr>
              <w:t>servicing</w:t>
            </w:r>
            <w:proofErr w:type="gramEnd"/>
            <w:r w:rsidR="00116D5E">
              <w:rPr>
                <w:sz w:val="20"/>
              </w:rPr>
              <w:t xml:space="preserve"> </w:t>
            </w:r>
            <w:r w:rsidR="009F0502">
              <w:rPr>
                <w:sz w:val="20"/>
              </w:rPr>
              <w:t>it</w:t>
            </w:r>
            <w:r w:rsidR="00116D5E">
              <w:rPr>
                <w:sz w:val="20"/>
              </w:rPr>
              <w:t xml:space="preserve"> </w:t>
            </w:r>
            <w:r w:rsidR="00E05A26">
              <w:rPr>
                <w:sz w:val="20"/>
              </w:rPr>
              <w:t>is likely there will be addition costs to the economy.</w:t>
            </w:r>
          </w:p>
          <w:p w14:paraId="3A5BDD4D" w14:textId="04C84C2D" w:rsidR="00E20D7A" w:rsidRDefault="00CD3838" w:rsidP="004806D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t>There will be increased cost</w:t>
            </w:r>
            <w:r w:rsidR="007E2547">
              <w:rPr>
                <w:sz w:val="20"/>
              </w:rPr>
              <w:t>s</w:t>
            </w:r>
            <w:r>
              <w:rPr>
                <w:sz w:val="20"/>
              </w:rPr>
              <w:t xml:space="preserve"> to the economy if </w:t>
            </w:r>
            <w:r w:rsidRPr="006E099B">
              <w:rPr>
                <w:sz w:val="20"/>
              </w:rPr>
              <w:t>measures are required to avoid</w:t>
            </w:r>
            <w:r>
              <w:rPr>
                <w:sz w:val="20"/>
              </w:rPr>
              <w:t xml:space="preserve"> and</w:t>
            </w:r>
            <w:r w:rsidRPr="006E099B">
              <w:rPr>
                <w:sz w:val="20"/>
              </w:rPr>
              <w:t xml:space="preserve"> manage </w:t>
            </w:r>
            <w:r>
              <w:rPr>
                <w:sz w:val="20"/>
              </w:rPr>
              <w:t xml:space="preserve">activities </w:t>
            </w:r>
            <w:r w:rsidRPr="006E099B">
              <w:rPr>
                <w:sz w:val="20"/>
              </w:rPr>
              <w:t>or imp</w:t>
            </w:r>
            <w:r w:rsidR="007E2547">
              <w:rPr>
                <w:sz w:val="20"/>
              </w:rPr>
              <w:t>lement</w:t>
            </w:r>
            <w:r w:rsidRPr="006E099B">
              <w:rPr>
                <w:sz w:val="20"/>
              </w:rPr>
              <w:t xml:space="preserve"> offsetting or compensation </w:t>
            </w:r>
            <w:proofErr w:type="gramStart"/>
            <w:r w:rsidRPr="006E099B">
              <w:rPr>
                <w:sz w:val="20"/>
              </w:rPr>
              <w:t>measures</w:t>
            </w:r>
            <w:proofErr w:type="gramEnd"/>
            <w:r w:rsidR="00E04EC2">
              <w:rPr>
                <w:sz w:val="20"/>
              </w:rPr>
              <w:t xml:space="preserve"> if necessary</w:t>
            </w:r>
            <w:r w:rsidR="00A9444D">
              <w:rPr>
                <w:sz w:val="20"/>
              </w:rPr>
              <w:t>,</w:t>
            </w:r>
            <w:r w:rsidR="00E04EC2">
              <w:rPr>
                <w:sz w:val="20"/>
              </w:rPr>
              <w:t xml:space="preserve"> to address residual adverse effects</w:t>
            </w:r>
            <w:r>
              <w:rPr>
                <w:sz w:val="20"/>
              </w:rPr>
              <w:t>.</w:t>
            </w:r>
            <w:r w:rsidR="00E20D7A">
              <w:rPr>
                <w:sz w:val="20"/>
              </w:rPr>
              <w:t xml:space="preserve"> </w:t>
            </w:r>
          </w:p>
        </w:tc>
      </w:tr>
    </w:tbl>
    <w:p w14:paraId="175FCC1E" w14:textId="77777777" w:rsidR="00E20D7A" w:rsidRDefault="00E20D7A" w:rsidP="00E20D7A"/>
    <w:p w14:paraId="51266826" w14:textId="2A95BDF6" w:rsidR="00E20D7A" w:rsidRDefault="00E250BE" w:rsidP="00E20D7A">
      <w:r>
        <w:fldChar w:fldCharType="begin"/>
      </w:r>
      <w:r>
        <w:instrText xml:space="preserve"> REF _Ref70490609 \h </w:instrText>
      </w:r>
      <w:r>
        <w:fldChar w:fldCharType="separate"/>
      </w:r>
      <w:r w:rsidR="002A7A16">
        <w:t xml:space="preserve">Table </w:t>
      </w:r>
      <w:r w:rsidR="002A7A16">
        <w:rPr>
          <w:noProof/>
        </w:rPr>
        <w:t>46</w:t>
      </w:r>
      <w:r>
        <w:fldChar w:fldCharType="end"/>
      </w:r>
      <w:r w:rsidR="00371E78">
        <w:t xml:space="preserve"> </w:t>
      </w:r>
      <w:r w:rsidR="00E20D7A">
        <w:t>below assesses the effectiveness and efficiency of the proposed provisions in achieving the objectives.</w:t>
      </w:r>
    </w:p>
    <w:p w14:paraId="49765E0F" w14:textId="201C7F03" w:rsidR="00E20D7A" w:rsidRDefault="00E20D7A" w:rsidP="00E20D7A">
      <w:pPr>
        <w:pStyle w:val="Caption"/>
        <w:keepNext/>
      </w:pPr>
      <w:bookmarkStart w:id="112" w:name="_Ref70490609"/>
      <w:r>
        <w:t xml:space="preserve">Table </w:t>
      </w:r>
      <w:r>
        <w:fldChar w:fldCharType="begin"/>
      </w:r>
      <w:r>
        <w:instrText>SEQ Table \* ARABIC</w:instrText>
      </w:r>
      <w:r>
        <w:fldChar w:fldCharType="separate"/>
      </w:r>
      <w:r w:rsidR="002A7A16">
        <w:rPr>
          <w:noProof/>
        </w:rPr>
        <w:t>46</w:t>
      </w:r>
      <w:r>
        <w:fldChar w:fldCharType="end"/>
      </w:r>
      <w:bookmarkEnd w:id="112"/>
      <w:r>
        <w:t xml:space="preserve">: Efficiency and effectiveness evaluation for infrastructure </w:t>
      </w:r>
    </w:p>
    <w:tbl>
      <w:tblPr>
        <w:tblW w:w="0" w:type="auto"/>
        <w:tblLook w:val="04A0" w:firstRow="1" w:lastRow="0" w:firstColumn="1" w:lastColumn="0" w:noHBand="0" w:noVBand="1"/>
      </w:tblPr>
      <w:tblGrid>
        <w:gridCol w:w="1413"/>
        <w:gridCol w:w="7603"/>
      </w:tblGrid>
      <w:tr w:rsidR="00E20D7A" w14:paraId="2E445202"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5D0340A3" w14:textId="77777777" w:rsidR="00E20D7A" w:rsidRDefault="00E20D7A">
            <w:pPr>
              <w:rPr>
                <w:b/>
                <w:sz w:val="20"/>
              </w:rPr>
            </w:pPr>
            <w:r>
              <w:rPr>
                <w:b/>
                <w:sz w:val="20"/>
              </w:rPr>
              <w:t>Efficiency</w:t>
            </w:r>
          </w:p>
        </w:tc>
        <w:tc>
          <w:tcPr>
            <w:tcW w:w="7603" w:type="dxa"/>
            <w:tcBorders>
              <w:top w:val="single" w:sz="4" w:space="0" w:color="C9C9C9" w:themeColor="accent3" w:themeTint="99"/>
              <w:left w:val="nil"/>
              <w:bottom w:val="single" w:sz="4" w:space="0" w:color="C9C9C9" w:themeColor="accent3" w:themeTint="99"/>
              <w:right w:val="nil"/>
            </w:tcBorders>
            <w:hideMark/>
          </w:tcPr>
          <w:p w14:paraId="60D3893A" w14:textId="6AC1F036" w:rsidR="00E20D7A" w:rsidRDefault="00E20D7A">
            <w:pPr>
              <w:jc w:val="both"/>
              <w:rPr>
                <w:sz w:val="20"/>
              </w:rPr>
            </w:pPr>
            <w:r>
              <w:rPr>
                <w:sz w:val="20"/>
              </w:rPr>
              <w:t>Option 3 may result in some environmental, cultural</w:t>
            </w:r>
            <w:r w:rsidR="00751E39">
              <w:rPr>
                <w:sz w:val="20"/>
              </w:rPr>
              <w:t>,</w:t>
            </w:r>
            <w:r>
              <w:rPr>
                <w:sz w:val="20"/>
              </w:rPr>
              <w:t xml:space="preserve"> </w:t>
            </w:r>
            <w:proofErr w:type="gramStart"/>
            <w:r>
              <w:rPr>
                <w:sz w:val="20"/>
              </w:rPr>
              <w:t>social</w:t>
            </w:r>
            <w:proofErr w:type="gramEnd"/>
            <w:r>
              <w:rPr>
                <w:sz w:val="20"/>
              </w:rPr>
              <w:t xml:space="preserve"> </w:t>
            </w:r>
            <w:r w:rsidR="00751E39">
              <w:rPr>
                <w:sz w:val="20"/>
              </w:rPr>
              <w:t>and economic</w:t>
            </w:r>
            <w:r>
              <w:rPr>
                <w:sz w:val="20"/>
              </w:rPr>
              <w:t xml:space="preserve"> costs associated with the provision and operation of infrastructure; however, the benefits of this infrastructure will outweigh those costs as these assets are fundamental to the health and safety of communities and the regional economy. The policies require prioritising avoiding locating infrastructure in sensitive or highly valued areas and include specific direction on how to manage adverse effects through a combination of avoidance, remediation, </w:t>
            </w:r>
            <w:r>
              <w:rPr>
                <w:sz w:val="20"/>
              </w:rPr>
              <w:lastRenderedPageBreak/>
              <w:t xml:space="preserve">mitigation, </w:t>
            </w:r>
            <w:proofErr w:type="gramStart"/>
            <w:r>
              <w:rPr>
                <w:sz w:val="20"/>
              </w:rPr>
              <w:t>offsetting</w:t>
            </w:r>
            <w:proofErr w:type="gramEnd"/>
            <w:r>
              <w:rPr>
                <w:sz w:val="20"/>
              </w:rPr>
              <w:t xml:space="preserve"> and compensation. This approach recognises the importance of infrastructure to the social and economic wellbeing of communities while seeking to minimise or reduce adverse effects on the environment which is considered efficient. </w:t>
            </w:r>
          </w:p>
        </w:tc>
      </w:tr>
      <w:tr w:rsidR="00E20D7A" w14:paraId="415498D4"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0E0AEBB3" w14:textId="77777777" w:rsidR="00E20D7A" w:rsidRDefault="00E20D7A">
            <w:pPr>
              <w:jc w:val="both"/>
              <w:rPr>
                <w:b/>
                <w:sz w:val="20"/>
              </w:rPr>
            </w:pPr>
            <w:r>
              <w:rPr>
                <w:b/>
                <w:sz w:val="20"/>
              </w:rPr>
              <w:lastRenderedPageBreak/>
              <w:t>Effectiveness</w:t>
            </w:r>
          </w:p>
        </w:tc>
        <w:tc>
          <w:tcPr>
            <w:tcW w:w="7603" w:type="dxa"/>
            <w:tcBorders>
              <w:top w:val="single" w:sz="4" w:space="0" w:color="C9C9C9" w:themeColor="accent3" w:themeTint="99"/>
              <w:left w:val="nil"/>
              <w:bottom w:val="single" w:sz="4" w:space="0" w:color="C9C9C9" w:themeColor="accent3" w:themeTint="99"/>
              <w:right w:val="nil"/>
            </w:tcBorders>
            <w:hideMark/>
          </w:tcPr>
          <w:p w14:paraId="5400E4C1" w14:textId="56674D74" w:rsidR="00E20D7A" w:rsidRDefault="00E20D7A">
            <w:pPr>
              <w:jc w:val="both"/>
              <w:rPr>
                <w:sz w:val="20"/>
              </w:rPr>
            </w:pPr>
            <w:r>
              <w:rPr>
                <w:sz w:val="20"/>
              </w:rPr>
              <w:t xml:space="preserve">Option 3 is considered more effective than Option 1 (status quo) or Option 2 (operate, maintain, </w:t>
            </w:r>
            <w:proofErr w:type="gramStart"/>
            <w:r>
              <w:rPr>
                <w:sz w:val="20"/>
              </w:rPr>
              <w:t>upgrade</w:t>
            </w:r>
            <w:proofErr w:type="gramEnd"/>
            <w:r>
              <w:rPr>
                <w:sz w:val="20"/>
              </w:rPr>
              <w:t xml:space="preserve"> or develop infrastructure) at achieving the objectives as clearer policy direction is provided. The policies are enabling for continuing the operation</w:t>
            </w:r>
            <w:r w:rsidR="00A403D8">
              <w:rPr>
                <w:sz w:val="20"/>
              </w:rPr>
              <w:t>,</w:t>
            </w:r>
            <w:r>
              <w:rPr>
                <w:sz w:val="20"/>
              </w:rPr>
              <w:t xml:space="preserve"> </w:t>
            </w:r>
            <w:proofErr w:type="gramStart"/>
            <w:r>
              <w:rPr>
                <w:sz w:val="20"/>
              </w:rPr>
              <w:t>maintenance</w:t>
            </w:r>
            <w:proofErr w:type="gramEnd"/>
            <w:r>
              <w:rPr>
                <w:sz w:val="20"/>
              </w:rPr>
              <w:t xml:space="preserve"> </w:t>
            </w:r>
            <w:r w:rsidR="00A403D8">
              <w:rPr>
                <w:sz w:val="20"/>
              </w:rPr>
              <w:t xml:space="preserve">and development of </w:t>
            </w:r>
            <w:r>
              <w:rPr>
                <w:sz w:val="20"/>
              </w:rPr>
              <w:t>significant infrastructure, including decision-making on resource allocation, which will ensure social and economic wellbeing is provided for</w:t>
            </w:r>
            <w:r w:rsidR="00E558ED">
              <w:rPr>
                <w:sz w:val="20"/>
              </w:rPr>
              <w:t xml:space="preserve"> through provisions and methods seeking to achieve </w:t>
            </w:r>
            <w:r w:rsidR="00140B87">
              <w:rPr>
                <w:sz w:val="20"/>
              </w:rPr>
              <w:t>integrated multiple use outcomes</w:t>
            </w:r>
            <w:r>
              <w:rPr>
                <w:sz w:val="20"/>
              </w:rPr>
              <w:t xml:space="preserve">. </w:t>
            </w:r>
          </w:p>
        </w:tc>
      </w:tr>
    </w:tbl>
    <w:p w14:paraId="6577D940" w14:textId="77777777" w:rsidR="00E20D7A" w:rsidRDefault="00E20D7A" w:rsidP="00DE069C">
      <w:pPr>
        <w:pStyle w:val="Heading4"/>
      </w:pPr>
      <w:r>
        <w:t>Risk of acting or not acting</w:t>
      </w:r>
    </w:p>
    <w:p w14:paraId="41D65D18" w14:textId="3C092B37" w:rsidR="00E20D7A" w:rsidRDefault="00E20D7A"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 There is uncertainty about the current level of adverse effects on the environment from infrastructure, and about the types of infrastructure projects that may occur in the future. </w:t>
      </w:r>
      <w:r w:rsidR="00A00F70">
        <w:t xml:space="preserve">However, the risk of not acting could result in </w:t>
      </w:r>
      <w:r w:rsidR="008A1B56">
        <w:t xml:space="preserve">less effective </w:t>
      </w:r>
      <w:r w:rsidR="004E73F5">
        <w:t xml:space="preserve">infrastructure provision and </w:t>
      </w:r>
      <w:r w:rsidR="00152417">
        <w:t xml:space="preserve">risks </w:t>
      </w:r>
      <w:r w:rsidR="00701066">
        <w:t xml:space="preserve">impacts on areas of significance due to a lack of </w:t>
      </w:r>
      <w:r w:rsidR="009D27AA">
        <w:t xml:space="preserve">clear </w:t>
      </w:r>
      <w:r w:rsidR="00701066">
        <w:t xml:space="preserve">direction. </w:t>
      </w:r>
      <w:r w:rsidR="00A00F70">
        <w:t>As such, it is considered appropriate to implement the provisions notwithstanding this uncertainty.</w:t>
      </w:r>
    </w:p>
    <w:p w14:paraId="1254B2EE" w14:textId="77777777" w:rsidR="0027448D" w:rsidRDefault="0027448D" w:rsidP="00DE069C">
      <w:pPr>
        <w:pStyle w:val="Heading4"/>
      </w:pPr>
      <w:r>
        <w:t>Conclusion</w:t>
      </w:r>
    </w:p>
    <w:p w14:paraId="6E240F17" w14:textId="4687F880" w:rsidR="00251188" w:rsidRDefault="0027448D" w:rsidP="00A247C5">
      <w:pPr>
        <w:pStyle w:val="Normal2"/>
      </w:pPr>
      <w:r w:rsidRPr="00266B02">
        <w:t xml:space="preserve">The cost-benefit and effectiveness and efficiency assessments have shown that overall, PORPS 2021 </w:t>
      </w:r>
      <w:r>
        <w:t xml:space="preserve">proposed </w:t>
      </w:r>
      <w:r w:rsidRPr="00266B02">
        <w:t xml:space="preserve">provisions </w:t>
      </w:r>
      <w:r>
        <w:t xml:space="preserve">(Option 3) </w:t>
      </w:r>
      <w:r w:rsidRPr="00266B02">
        <w:t>are generally more efficient</w:t>
      </w:r>
      <w:r>
        <w:t xml:space="preserve"> </w:t>
      </w:r>
      <w:r w:rsidRPr="00266B02">
        <w:t xml:space="preserve">than </w:t>
      </w:r>
      <w:r>
        <w:t xml:space="preserve">Option’s 1 and 2 </w:t>
      </w:r>
      <w:r w:rsidRPr="00266B02">
        <w:t xml:space="preserve">and more effective </w:t>
      </w:r>
      <w:r>
        <w:t>in</w:t>
      </w:r>
      <w:r w:rsidRPr="00266B02">
        <w:t xml:space="preserve"> achieving the objectives of the PORPS 2021 than reasonable alternatives</w:t>
      </w:r>
      <w:r>
        <w:t xml:space="preserve">. </w:t>
      </w:r>
      <w:r w:rsidR="00251188">
        <w:t xml:space="preserve">While broadly the policy intent is not dissimilar to the PORPS 2019, the provisions are clearer, implement the National Planning Standards and give better effect to </w:t>
      </w:r>
      <w:r w:rsidR="00494BBF">
        <w:t xml:space="preserve">the requirements of higher order national statutory documents. </w:t>
      </w:r>
      <w:r w:rsidR="00015546">
        <w:t>Option 3</w:t>
      </w:r>
      <w:r>
        <w:t xml:space="preserve"> also strengthen</w:t>
      </w:r>
      <w:r w:rsidR="00015546">
        <w:t>s the</w:t>
      </w:r>
      <w:r>
        <w:t xml:space="preserve"> protection for some areas and improve</w:t>
      </w:r>
      <w:r w:rsidR="00336744">
        <w:t>s</w:t>
      </w:r>
      <w:r>
        <w:t xml:space="preserve"> management of others, particularly in relation to mana whenua values, coastal, water, ecosystems and indigenous biodiversity, climate change challenge</w:t>
      </w:r>
      <w:r w:rsidR="00336744">
        <w:t>s, while</w:t>
      </w:r>
      <w:r>
        <w:t xml:space="preserve"> at the same time addressing the requirements of the NPSREG. </w:t>
      </w:r>
    </w:p>
    <w:p w14:paraId="56610E01" w14:textId="41FBDEC2" w:rsidR="0027448D" w:rsidRDefault="0027448D" w:rsidP="00A247C5">
      <w:pPr>
        <w:pStyle w:val="Normal2"/>
      </w:pPr>
      <w:r>
        <w:t xml:space="preserve">It is expected there will be some economic costs noting </w:t>
      </w:r>
      <w:r w:rsidR="00D84DBA">
        <w:t xml:space="preserve">it </w:t>
      </w:r>
      <w:r>
        <w:t xml:space="preserve">is not practical to quantify them at </w:t>
      </w:r>
      <w:r w:rsidR="00CC0C81">
        <w:t xml:space="preserve">this </w:t>
      </w:r>
      <w:r>
        <w:t xml:space="preserve">time due to </w:t>
      </w:r>
      <w:r w:rsidR="00CC0C81">
        <w:t xml:space="preserve">the </w:t>
      </w:r>
      <w:r>
        <w:t xml:space="preserve">broad nature and level at which these policies will be implemented and the limitations on available data. However, some costs may be offset by increased employment in environment and cultural management sectors. The suite of policies proposed is considered to balance these factors as they will achieve the purpose of the Act. Overall, the PORPS 2021 provisions are generally more efficient and effective than the other options and more effective at achieving the objectives of the PORPS 2021.  </w:t>
      </w:r>
    </w:p>
    <w:p w14:paraId="57BE2A53" w14:textId="6DB4E220" w:rsidR="00E20D7A" w:rsidRDefault="00A97861" w:rsidP="0082271A">
      <w:pPr>
        <w:pStyle w:val="Heading3"/>
      </w:pPr>
      <w:r>
        <w:t xml:space="preserve">EIT–TRAN – </w:t>
      </w:r>
      <w:r w:rsidR="00E20D7A">
        <w:t>Transport</w:t>
      </w:r>
    </w:p>
    <w:p w14:paraId="356A8C5E" w14:textId="77777777" w:rsidR="00E20D7A" w:rsidRDefault="00E20D7A" w:rsidP="00DE069C">
      <w:pPr>
        <w:pStyle w:val="Heading4"/>
      </w:pPr>
      <w:r>
        <w:t>Introduction</w:t>
      </w:r>
    </w:p>
    <w:p w14:paraId="5397C04C" w14:textId="77777777" w:rsidR="00E20D7A" w:rsidRDefault="00E20D7A" w:rsidP="00A247C5">
      <w:pPr>
        <w:pStyle w:val="Normal2"/>
      </w:pPr>
      <w:r>
        <w:t xml:space="preserve">The purpose of this section of the PORPS 2021 is to recognise the significant resource management issues associated with the transport system. </w:t>
      </w:r>
    </w:p>
    <w:p w14:paraId="7FB90EC1" w14:textId="77777777" w:rsidR="00E20D7A" w:rsidRDefault="00E20D7A" w:rsidP="00A247C5">
      <w:pPr>
        <w:pStyle w:val="Normal2"/>
      </w:pPr>
      <w:r>
        <w:t>The relevant provisions for this section are:</w:t>
      </w:r>
    </w:p>
    <w:p w14:paraId="0A87FFFD" w14:textId="54032DB5" w:rsidR="00E20D7A" w:rsidRPr="00A00F70" w:rsidRDefault="00E20D7A" w:rsidP="00A247C5">
      <w:pPr>
        <w:pStyle w:val="Normal3"/>
      </w:pPr>
      <w:r>
        <w:t>EIT–TRAN–</w:t>
      </w:r>
      <w:r w:rsidR="00885E69">
        <w:t xml:space="preserve">O7 </w:t>
      </w:r>
      <w:r>
        <w:t>– Effective, efficient</w:t>
      </w:r>
      <w:r w:rsidR="00947017">
        <w:t>,</w:t>
      </w:r>
      <w:r>
        <w:t xml:space="preserve"> and safe transport</w:t>
      </w:r>
    </w:p>
    <w:p w14:paraId="1E7445A2" w14:textId="18FD499B" w:rsidR="00E20D7A" w:rsidRPr="00A00F70" w:rsidRDefault="00E20D7A" w:rsidP="00A247C5">
      <w:pPr>
        <w:pStyle w:val="Normal3"/>
      </w:pPr>
      <w:r>
        <w:lastRenderedPageBreak/>
        <w:t>EIT–TRAN–</w:t>
      </w:r>
      <w:r w:rsidR="00885E69">
        <w:t xml:space="preserve">O8 </w:t>
      </w:r>
      <w:r>
        <w:t>– Transport system</w:t>
      </w:r>
    </w:p>
    <w:p w14:paraId="6DA01E95" w14:textId="47FD7269" w:rsidR="00E20D7A" w:rsidRPr="00A00F70" w:rsidRDefault="00E20D7A" w:rsidP="00A247C5">
      <w:pPr>
        <w:pStyle w:val="Normal3"/>
      </w:pPr>
      <w:r>
        <w:t>EIT–TRAN–</w:t>
      </w:r>
      <w:r w:rsidR="00885E69">
        <w:t xml:space="preserve">O9 </w:t>
      </w:r>
      <w:r>
        <w:t>– Effects of the transport system</w:t>
      </w:r>
    </w:p>
    <w:p w14:paraId="32C225F4" w14:textId="36FAF083" w:rsidR="00E20D7A" w:rsidRPr="00A00F70" w:rsidRDefault="00E20D7A" w:rsidP="00A247C5">
      <w:pPr>
        <w:pStyle w:val="Normal3"/>
      </w:pPr>
      <w:r>
        <w:t>EIT–TRAN–</w:t>
      </w:r>
      <w:r w:rsidR="00885E69">
        <w:t xml:space="preserve">O10 </w:t>
      </w:r>
      <w:r>
        <w:t xml:space="preserve">– </w:t>
      </w:r>
      <w:r w:rsidR="00A97987">
        <w:t>Commercial port activities</w:t>
      </w:r>
    </w:p>
    <w:p w14:paraId="5D36C3CD" w14:textId="77777777" w:rsidR="00E20D7A" w:rsidRPr="00A00F70" w:rsidRDefault="00E20D7A" w:rsidP="00A247C5">
      <w:pPr>
        <w:pStyle w:val="Normal3"/>
      </w:pPr>
      <w:r>
        <w:t>EIT–TRAN–P18 – Integration of the transport system</w:t>
      </w:r>
    </w:p>
    <w:p w14:paraId="1902783A" w14:textId="77777777" w:rsidR="00E20D7A" w:rsidRPr="00A00F70" w:rsidRDefault="00E20D7A" w:rsidP="00A247C5">
      <w:pPr>
        <w:pStyle w:val="Normal3"/>
      </w:pPr>
      <w:r>
        <w:t>EIT–TRAN–P19 – Transport system design</w:t>
      </w:r>
    </w:p>
    <w:p w14:paraId="0ECAFA00" w14:textId="77777777" w:rsidR="00E20D7A" w:rsidRPr="00A00F70" w:rsidRDefault="00E20D7A" w:rsidP="00A247C5">
      <w:pPr>
        <w:pStyle w:val="Normal3"/>
      </w:pPr>
      <w:r>
        <w:t>EIT–TRAN–P20 – Public transport</w:t>
      </w:r>
    </w:p>
    <w:p w14:paraId="1BE59CEE" w14:textId="77777777" w:rsidR="00E20D7A" w:rsidRPr="00A00F70" w:rsidRDefault="00E20D7A" w:rsidP="00A247C5">
      <w:pPr>
        <w:pStyle w:val="Normal3"/>
      </w:pPr>
      <w:r>
        <w:t>EIT–TRAN–P21 – Operation of the transport system</w:t>
      </w:r>
    </w:p>
    <w:p w14:paraId="52C22283" w14:textId="77777777" w:rsidR="00E20D7A" w:rsidRPr="00A00F70" w:rsidRDefault="00E20D7A" w:rsidP="00A247C5">
      <w:pPr>
        <w:pStyle w:val="Normal3"/>
      </w:pPr>
      <w:r>
        <w:t>EIT–TRAN–P22 – Sustainable transportation</w:t>
      </w:r>
    </w:p>
    <w:p w14:paraId="7CB2E370" w14:textId="53E9AEF3" w:rsidR="00E20D7A" w:rsidRPr="00A00F70" w:rsidRDefault="00E20D7A" w:rsidP="00A247C5">
      <w:pPr>
        <w:pStyle w:val="Normal3"/>
      </w:pPr>
      <w:r>
        <w:t xml:space="preserve">EIT–TRAN–P23 – </w:t>
      </w:r>
      <w:r w:rsidR="007D696D">
        <w:t>Commercial port activities</w:t>
      </w:r>
    </w:p>
    <w:p w14:paraId="75CC3672" w14:textId="5DF57320" w:rsidR="00E20D7A" w:rsidRPr="00A00F70" w:rsidRDefault="00E20D7A" w:rsidP="00A247C5">
      <w:pPr>
        <w:pStyle w:val="Normal3"/>
      </w:pPr>
      <w:r>
        <w:t>EIT</w:t>
      </w:r>
      <w:r w:rsidR="00CC0C81">
        <w:t>–</w:t>
      </w:r>
      <w:r>
        <w:t>TRAN</w:t>
      </w:r>
      <w:r w:rsidR="00CC0C81">
        <w:t>–</w:t>
      </w:r>
      <w:r>
        <w:t>M7 – Regional plans</w:t>
      </w:r>
    </w:p>
    <w:p w14:paraId="3651AFDF" w14:textId="7A2C14BE" w:rsidR="00E20D7A" w:rsidRPr="00A00F70" w:rsidRDefault="00E20D7A" w:rsidP="00A247C5">
      <w:pPr>
        <w:pStyle w:val="Normal3"/>
      </w:pPr>
      <w:r>
        <w:t>EIT</w:t>
      </w:r>
      <w:r w:rsidR="00CC0C81">
        <w:t>–</w:t>
      </w:r>
      <w:r>
        <w:t>TRAN</w:t>
      </w:r>
      <w:r w:rsidR="00CC0C81">
        <w:t>–</w:t>
      </w:r>
      <w:r>
        <w:t>M8 – District plans</w:t>
      </w:r>
    </w:p>
    <w:p w14:paraId="76D4CC9C" w14:textId="3C8D53AB" w:rsidR="00E20D7A" w:rsidRDefault="00E20D7A" w:rsidP="00A247C5">
      <w:pPr>
        <w:pStyle w:val="Normal3"/>
      </w:pPr>
      <w:r>
        <w:t>EIT–TRAN–M9 – Regional land transport plan</w:t>
      </w:r>
    </w:p>
    <w:p w14:paraId="14CF9E31" w14:textId="42C394C8" w:rsidR="00504992" w:rsidRPr="00A00F70" w:rsidRDefault="00504992" w:rsidP="00A247C5">
      <w:pPr>
        <w:pStyle w:val="Normal3"/>
      </w:pPr>
      <w:r>
        <w:t>MAP2 – EIT–TRAN–M7 Port activities</w:t>
      </w:r>
    </w:p>
    <w:p w14:paraId="5CBA6B44" w14:textId="77777777" w:rsidR="00E20D7A" w:rsidRDefault="00E20D7A" w:rsidP="00DE069C">
      <w:pPr>
        <w:pStyle w:val="Heading4"/>
      </w:pPr>
      <w:r>
        <w:t>Current issues</w:t>
      </w:r>
    </w:p>
    <w:p w14:paraId="76B1ED6F" w14:textId="77777777" w:rsidR="00E20D7A" w:rsidRDefault="00E20D7A" w:rsidP="00A247C5">
      <w:pPr>
        <w:pStyle w:val="Normal2"/>
      </w:pPr>
      <w:r>
        <w:t>The transport system is critical to the effective functioning of Otago’s urban and rural environments, connecting people and communities and supporting economic wellbeing. The transport network can have adverse effects on the environment and impacts on community wellbeing. Where there is sufficient demand and the necessary infrastructure, modal choices can be provided and by giving preference to modes with lower environmental effects, the adverse impacts of the transport system can be reduced. However, due to the nature of the Otago region, reliance on private vehicles will remain the only practical transport option for many people. This should not exclude the potential for improvements in modal choice or accessibility, particularly as the country moves to a low carbon economy.</w:t>
      </w:r>
    </w:p>
    <w:p w14:paraId="22EEC472" w14:textId="77777777" w:rsidR="00E20D7A" w:rsidRDefault="00E20D7A" w:rsidP="00A247C5">
      <w:pPr>
        <w:pStyle w:val="Normal2"/>
      </w:pPr>
      <w:r>
        <w:t>The PORPS 2019 does not include a specific section on transport as transport infrastructure is captured by the infrastructure provisions. There is a single transport-specific provision in Chapter 4. Policy 4.4.6 seeks to enable energy-efficient and sustainable transport by encouraging well-integrated urban areas, ensuring good connectivity, and placing a high priority on walking, cycling and public transport. It also aims to enable development or upgrade of transport infrastructure that increases freight efficiency and fosters uptake of renewable or lower emission transport fuels and public transport. This policy clearly outlines the outcome sought as well as the courses of action to achieve it.</w:t>
      </w:r>
    </w:p>
    <w:p w14:paraId="3CF30C7A" w14:textId="2500710A" w:rsidR="00E20D7A" w:rsidRDefault="00E20D7A" w:rsidP="00A247C5">
      <w:pPr>
        <w:pStyle w:val="Normal2"/>
      </w:pPr>
      <w:r>
        <w:t>In relation to the methods in the PORPS 2019, the only specific methods are Method 6.3.1 which requires ORC to prepare a Regional Land Transport Plan to implement policies 4.4.6, 4.5.2, 4.3.1 and 4.3.2. This is a statutory requirement under the Land Transport Management Act 2003. Accordingly</w:t>
      </w:r>
      <w:r w:rsidR="00FC1002">
        <w:t>,</w:t>
      </w:r>
      <w:r>
        <w:t xml:space="preserve"> any reference to the</w:t>
      </w:r>
      <w:r w:rsidR="00FC1002">
        <w:t xml:space="preserve"> Regional Land Transport</w:t>
      </w:r>
      <w:r>
        <w:t xml:space="preserve"> Plan in the RPS will be subordinate to that legislation. Otherwise, there is general direction to use regional and district plans to implement the policies of the PORPS, but there is no further specificity or clarification about the roles and responsibilities of Otago’s local authorities. Overall, the PORPS 2019 provides limited strategic guidance on the transport system.</w:t>
      </w:r>
    </w:p>
    <w:p w14:paraId="53326D99" w14:textId="77777777" w:rsidR="00E20D7A" w:rsidRDefault="00E20D7A" w:rsidP="00A247C5">
      <w:pPr>
        <w:pStyle w:val="Normal2"/>
      </w:pPr>
      <w:r>
        <w:t>Community feedback from the public survey undertaken in February 2020 and the Reference Group (Energy, Infrastructure and Transport) indicates that:</w:t>
      </w:r>
    </w:p>
    <w:p w14:paraId="50A37926" w14:textId="60B7554F" w:rsidR="00E20D7A" w:rsidRPr="00A00F70" w:rsidRDefault="00E20D7A" w:rsidP="00A247C5">
      <w:pPr>
        <w:pStyle w:val="Normal3"/>
      </w:pPr>
      <w:r>
        <w:t>There are concerns regarding roading quality and resilience to natural hazard events</w:t>
      </w:r>
      <w:r w:rsidR="00C42B4A">
        <w:t>,</w:t>
      </w:r>
      <w:r>
        <w:t xml:space="preserve"> </w:t>
      </w:r>
    </w:p>
    <w:p w14:paraId="2A6B763B" w14:textId="52C0E33C" w:rsidR="00E20D7A" w:rsidRPr="00A00F70" w:rsidRDefault="00E20D7A" w:rsidP="00A247C5">
      <w:pPr>
        <w:pStyle w:val="Normal3"/>
      </w:pPr>
      <w:r>
        <w:t>Improved public transport is desired</w:t>
      </w:r>
      <w:r w:rsidR="00C42B4A">
        <w:t>,</w:t>
      </w:r>
      <w:r>
        <w:t xml:space="preserve"> and</w:t>
      </w:r>
    </w:p>
    <w:p w14:paraId="77A37D96" w14:textId="77777777" w:rsidR="00E20D7A" w:rsidRDefault="00E20D7A" w:rsidP="00A247C5">
      <w:pPr>
        <w:pStyle w:val="Normal3"/>
      </w:pPr>
      <w:r>
        <w:t xml:space="preserve">The community has a heavy reliance on private motor </w:t>
      </w:r>
      <w:proofErr w:type="gramStart"/>
      <w:r>
        <w:t>vehicles</w:t>
      </w:r>
      <w:proofErr w:type="gramEnd"/>
      <w:r>
        <w:t xml:space="preserve"> and it is difficult to adopt low or zero carbon transport alternatives without the necessary infrastructure. </w:t>
      </w:r>
    </w:p>
    <w:p w14:paraId="5615E09F" w14:textId="77777777" w:rsidR="00E20D7A" w:rsidRDefault="00E20D7A" w:rsidP="00A247C5">
      <w:pPr>
        <w:pStyle w:val="Normal2"/>
      </w:pPr>
      <w:r>
        <w:lastRenderedPageBreak/>
        <w:t>The PORPS 2021 seeks to give effect to the Planning Standards by incorporating a specific section on transportation and more clearly articulate policy direction on transport matters. The approach includes similar provisions to the current PORPS 2019 but with some additional guidance to address the planning and operation of the transport system.</w:t>
      </w:r>
    </w:p>
    <w:p w14:paraId="20571ACA" w14:textId="77777777" w:rsidR="00E20D7A" w:rsidRDefault="00E20D7A" w:rsidP="00DE069C">
      <w:pPr>
        <w:pStyle w:val="Heading4"/>
      </w:pPr>
      <w:r>
        <w:t>Objectives</w:t>
      </w:r>
    </w:p>
    <w:p w14:paraId="48AB87DB" w14:textId="1817E62B" w:rsidR="00E20D7A" w:rsidRDefault="00E20D7A" w:rsidP="00A247C5">
      <w:pPr>
        <w:pStyle w:val="Normal2"/>
      </w:pPr>
      <w:r>
        <w:t xml:space="preserve">Section 32(1)(b) requires examining whether the provisions in the proposal are the most appropriate way of achieving the objectives. The relevant objectives for this topic are included in </w:t>
      </w:r>
      <w:r>
        <w:fldChar w:fldCharType="begin"/>
      </w:r>
      <w:r>
        <w:instrText xml:space="preserve"> REF _Ref70490645 \h </w:instrText>
      </w:r>
      <w:r>
        <w:fldChar w:fldCharType="separate"/>
      </w:r>
      <w:r w:rsidR="002A7A16">
        <w:t xml:space="preserve">Table </w:t>
      </w:r>
      <w:r w:rsidR="002A7A16">
        <w:rPr>
          <w:noProof/>
        </w:rPr>
        <w:t>47</w:t>
      </w:r>
      <w:r>
        <w:fldChar w:fldCharType="end"/>
      </w:r>
      <w:r w:rsidR="00E250BE">
        <w:t xml:space="preserve"> </w:t>
      </w:r>
      <w:r>
        <w:t>below.</w:t>
      </w:r>
    </w:p>
    <w:p w14:paraId="7787B98B" w14:textId="3E5CD709" w:rsidR="00E20D7A" w:rsidRDefault="00E20D7A" w:rsidP="00E20D7A">
      <w:pPr>
        <w:pStyle w:val="Caption"/>
        <w:keepNext/>
        <w:ind w:left="709"/>
      </w:pPr>
      <w:bookmarkStart w:id="113" w:name="_Ref70490645"/>
      <w:r>
        <w:t xml:space="preserve">Table </w:t>
      </w:r>
      <w:r>
        <w:fldChar w:fldCharType="begin"/>
      </w:r>
      <w:r>
        <w:instrText>SEQ Table \* ARABIC</w:instrText>
      </w:r>
      <w:r>
        <w:fldChar w:fldCharType="separate"/>
      </w:r>
      <w:r w:rsidR="002A7A16">
        <w:rPr>
          <w:noProof/>
        </w:rPr>
        <w:t>47</w:t>
      </w:r>
      <w:r>
        <w:fldChar w:fldCharType="end"/>
      </w:r>
      <w:bookmarkEnd w:id="113"/>
      <w:r>
        <w:t>: Transport objectives</w:t>
      </w:r>
    </w:p>
    <w:tbl>
      <w:tblPr>
        <w:tblStyle w:val="TableGrid"/>
        <w:tblW w:w="0" w:type="auto"/>
        <w:tblInd w:w="720" w:type="dxa"/>
        <w:tblLook w:val="04A0" w:firstRow="1" w:lastRow="0" w:firstColumn="1" w:lastColumn="0" w:noHBand="0" w:noVBand="1"/>
      </w:tblPr>
      <w:tblGrid>
        <w:gridCol w:w="2677"/>
        <w:gridCol w:w="5619"/>
      </w:tblGrid>
      <w:tr w:rsidR="00E20D7A" w14:paraId="58AC3EB1"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76A69777" w14:textId="6CA37974" w:rsidR="00E20D7A" w:rsidRDefault="00E20D7A" w:rsidP="00A247C5">
            <w:pPr>
              <w:pStyle w:val="Table1"/>
            </w:pPr>
            <w:r>
              <w:t>EIT-TRAN-O8 – Effective, efficient</w:t>
            </w:r>
            <w:r w:rsidR="008E0604">
              <w:t>,</w:t>
            </w:r>
            <w:r>
              <w:t xml:space="preserve"> and safe transport</w:t>
            </w:r>
          </w:p>
        </w:tc>
        <w:tc>
          <w:tcPr>
            <w:tcW w:w="5619" w:type="dxa"/>
            <w:tcBorders>
              <w:top w:val="single" w:sz="4" w:space="0" w:color="auto"/>
              <w:left w:val="single" w:sz="4" w:space="0" w:color="auto"/>
              <w:bottom w:val="single" w:sz="4" w:space="0" w:color="auto"/>
              <w:right w:val="single" w:sz="4" w:space="0" w:color="auto"/>
            </w:tcBorders>
            <w:hideMark/>
          </w:tcPr>
          <w:p w14:paraId="700DB381" w14:textId="086E9896" w:rsidR="00E20D7A" w:rsidRDefault="004B0D77" w:rsidP="00A247C5">
            <w:pPr>
              <w:pStyle w:val="Table1"/>
            </w:pPr>
            <w:r w:rsidRPr="004B0D77">
              <w:t xml:space="preserve">Otago has an integrated air, land and sea transport network that is effective, </w:t>
            </w:r>
            <w:proofErr w:type="gramStart"/>
            <w:r w:rsidRPr="004B0D77">
              <w:t>efficient</w:t>
            </w:r>
            <w:proofErr w:type="gramEnd"/>
            <w:r w:rsidRPr="004B0D77">
              <w:t xml:space="preserve"> and safe and that connects communities and their activities within Otago, with other regions, and internationally and is resilient to natural hazards.</w:t>
            </w:r>
          </w:p>
        </w:tc>
      </w:tr>
      <w:tr w:rsidR="00E20D7A" w14:paraId="48E6EA57"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62EDFC9E" w14:textId="77777777" w:rsidR="00E20D7A" w:rsidRDefault="00E20D7A" w:rsidP="00A247C5">
            <w:pPr>
              <w:pStyle w:val="Table1"/>
            </w:pPr>
            <w:r>
              <w:t>EIT-TRAN-O9 – Transport system</w:t>
            </w:r>
          </w:p>
        </w:tc>
        <w:tc>
          <w:tcPr>
            <w:tcW w:w="5619" w:type="dxa"/>
            <w:tcBorders>
              <w:top w:val="single" w:sz="4" w:space="0" w:color="auto"/>
              <w:left w:val="single" w:sz="4" w:space="0" w:color="auto"/>
              <w:bottom w:val="single" w:sz="4" w:space="0" w:color="auto"/>
              <w:right w:val="single" w:sz="4" w:space="0" w:color="auto"/>
            </w:tcBorders>
            <w:hideMark/>
          </w:tcPr>
          <w:p w14:paraId="5F011DF3" w14:textId="32306C49" w:rsidR="00E20D7A" w:rsidRDefault="00E20D7A" w:rsidP="00A247C5">
            <w:pPr>
              <w:pStyle w:val="Table1"/>
            </w:pPr>
            <w:r>
              <w:t xml:space="preserve">The transport system within Otago supports the movement of people, </w:t>
            </w:r>
            <w:proofErr w:type="gramStart"/>
            <w:r>
              <w:t>goods</w:t>
            </w:r>
            <w:proofErr w:type="gramEnd"/>
            <w:r>
              <w:t xml:space="preserve"> and services, is integrated with land use, provides a choice of transport modes and is adaptable to changes in demand.</w:t>
            </w:r>
          </w:p>
        </w:tc>
      </w:tr>
      <w:tr w:rsidR="00E20D7A" w14:paraId="10EADC45" w14:textId="77777777" w:rsidTr="00E20D7A">
        <w:tc>
          <w:tcPr>
            <w:tcW w:w="2677" w:type="dxa"/>
            <w:tcBorders>
              <w:top w:val="single" w:sz="4" w:space="0" w:color="auto"/>
              <w:left w:val="single" w:sz="4" w:space="0" w:color="auto"/>
              <w:bottom w:val="single" w:sz="4" w:space="0" w:color="auto"/>
              <w:right w:val="single" w:sz="4" w:space="0" w:color="auto"/>
            </w:tcBorders>
            <w:hideMark/>
          </w:tcPr>
          <w:p w14:paraId="5DB8D722" w14:textId="77777777" w:rsidR="00E20D7A" w:rsidRDefault="00E20D7A" w:rsidP="00A247C5">
            <w:pPr>
              <w:pStyle w:val="Table1"/>
            </w:pPr>
            <w:r>
              <w:t>EIT-TRAN-O10 – Effects of the transport system</w:t>
            </w:r>
          </w:p>
        </w:tc>
        <w:tc>
          <w:tcPr>
            <w:tcW w:w="5619" w:type="dxa"/>
            <w:tcBorders>
              <w:top w:val="single" w:sz="4" w:space="0" w:color="auto"/>
              <w:left w:val="single" w:sz="4" w:space="0" w:color="auto"/>
              <w:bottom w:val="single" w:sz="4" w:space="0" w:color="auto"/>
              <w:right w:val="single" w:sz="4" w:space="0" w:color="auto"/>
            </w:tcBorders>
            <w:hideMark/>
          </w:tcPr>
          <w:p w14:paraId="172210CA" w14:textId="77777777" w:rsidR="00E20D7A" w:rsidRDefault="00E20D7A" w:rsidP="00A247C5">
            <w:pPr>
              <w:pStyle w:val="Table1"/>
            </w:pPr>
            <w:r>
              <w:t>The contribution of transport to Otago’s greenhouse gas emissions is reduced and communities are less reliant on fossil fuels for transportation.</w:t>
            </w:r>
          </w:p>
        </w:tc>
      </w:tr>
      <w:tr w:rsidR="008C3385" w14:paraId="4D7517F4" w14:textId="77777777" w:rsidTr="00E20D7A">
        <w:tc>
          <w:tcPr>
            <w:tcW w:w="2677" w:type="dxa"/>
            <w:tcBorders>
              <w:top w:val="single" w:sz="4" w:space="0" w:color="auto"/>
              <w:left w:val="single" w:sz="4" w:space="0" w:color="auto"/>
              <w:bottom w:val="single" w:sz="4" w:space="0" w:color="auto"/>
              <w:right w:val="single" w:sz="4" w:space="0" w:color="auto"/>
            </w:tcBorders>
          </w:tcPr>
          <w:p w14:paraId="2E2D2E5B" w14:textId="4C0F97BA" w:rsidR="008C3385" w:rsidRDefault="009C39A5" w:rsidP="00A247C5">
            <w:pPr>
              <w:pStyle w:val="Table1"/>
            </w:pPr>
            <w:r w:rsidRPr="009C39A5">
              <w:t>EIT–TRAN–O110 – Commercial port activities</w:t>
            </w:r>
          </w:p>
        </w:tc>
        <w:tc>
          <w:tcPr>
            <w:tcW w:w="5619" w:type="dxa"/>
            <w:tcBorders>
              <w:top w:val="single" w:sz="4" w:space="0" w:color="auto"/>
              <w:left w:val="single" w:sz="4" w:space="0" w:color="auto"/>
              <w:bottom w:val="single" w:sz="4" w:space="0" w:color="auto"/>
              <w:right w:val="single" w:sz="4" w:space="0" w:color="auto"/>
            </w:tcBorders>
          </w:tcPr>
          <w:p w14:paraId="16581D9F" w14:textId="1DDF90D6" w:rsidR="008C3385" w:rsidRDefault="00EC650F" w:rsidP="00A247C5">
            <w:pPr>
              <w:pStyle w:val="Table1"/>
            </w:pPr>
            <w:r w:rsidRPr="00787552">
              <w:rPr>
                <w:i/>
              </w:rPr>
              <w:t>Commercial port</w:t>
            </w:r>
            <w:r w:rsidRPr="003D1C57">
              <w:t xml:space="preserve"> </w:t>
            </w:r>
            <w:r>
              <w:t>activities</w:t>
            </w:r>
            <w:r w:rsidRPr="003D1C57">
              <w:t xml:space="preserve"> operate safely and efficiently</w:t>
            </w:r>
            <w:r>
              <w:t>, and within environmental limits</w:t>
            </w:r>
            <w:r w:rsidR="00C9204B">
              <w:t>.</w:t>
            </w:r>
          </w:p>
        </w:tc>
      </w:tr>
    </w:tbl>
    <w:p w14:paraId="1D10F01A" w14:textId="77777777" w:rsidR="00E20D7A" w:rsidRDefault="00E20D7A" w:rsidP="00DE069C">
      <w:pPr>
        <w:pStyle w:val="Heading4"/>
        <w:rPr>
          <w:sz w:val="24"/>
        </w:rPr>
      </w:pPr>
      <w:r>
        <w:t>Reasonably practicable options</w:t>
      </w:r>
    </w:p>
    <w:p w14:paraId="2DD7CF4B" w14:textId="77777777" w:rsidR="00E20D7A" w:rsidRDefault="00E20D7A" w:rsidP="00A247C5">
      <w:pPr>
        <w:pStyle w:val="Normal2"/>
      </w:pPr>
      <w:r>
        <w:t>Three reasonably practicable options were identified to achieve the objectives:</w:t>
      </w:r>
    </w:p>
    <w:p w14:paraId="4B382C6A" w14:textId="77777777" w:rsidR="00E20D7A" w:rsidRDefault="00E20D7A" w:rsidP="00A247C5">
      <w:pPr>
        <w:pStyle w:val="Normal3"/>
        <w:numPr>
          <w:ilvl w:val="1"/>
          <w:numId w:val="70"/>
        </w:numPr>
      </w:pPr>
      <w:r w:rsidRPr="00A247C5">
        <w:rPr>
          <w:b/>
          <w:bCs/>
        </w:rPr>
        <w:t>Option 1:</w:t>
      </w:r>
      <w:r>
        <w:t xml:space="preserve"> Status quo (PORPS 2019)</w:t>
      </w:r>
    </w:p>
    <w:p w14:paraId="450CB2E1" w14:textId="77777777" w:rsidR="00E20D7A" w:rsidRDefault="00E20D7A" w:rsidP="00A247C5">
      <w:pPr>
        <w:pStyle w:val="Normal3"/>
        <w:numPr>
          <w:ilvl w:val="1"/>
          <w:numId w:val="70"/>
        </w:numPr>
      </w:pPr>
      <w:r w:rsidRPr="00A247C5">
        <w:rPr>
          <w:b/>
        </w:rPr>
        <w:t>Option 2:</w:t>
      </w:r>
      <w:r>
        <w:t xml:space="preserve"> PORPS </w:t>
      </w:r>
      <w:r w:rsidRPr="00A00F70">
        <w:t>2019</w:t>
      </w:r>
      <w:r>
        <w:t xml:space="preserve"> approach with reference group options</w:t>
      </w:r>
    </w:p>
    <w:p w14:paraId="13372973" w14:textId="543BB3EE" w:rsidR="00E20D7A" w:rsidRDefault="00E20D7A" w:rsidP="00A247C5">
      <w:pPr>
        <w:pStyle w:val="Normal3"/>
        <w:numPr>
          <w:ilvl w:val="1"/>
          <w:numId w:val="70"/>
        </w:numPr>
      </w:pPr>
      <w:r w:rsidRPr="00A247C5">
        <w:rPr>
          <w:b/>
          <w:bCs/>
        </w:rPr>
        <w:t>Option 3:</w:t>
      </w:r>
      <w:r>
        <w:t xml:space="preserve"> PORPS 2021</w:t>
      </w:r>
      <w:r w:rsidR="00CC0C81">
        <w:t xml:space="preserve"> – </w:t>
      </w:r>
      <w:r w:rsidR="00CC0C81">
        <w:rPr>
          <w:i/>
          <w:iCs/>
        </w:rPr>
        <w:t xml:space="preserve">preferred </w:t>
      </w:r>
    </w:p>
    <w:p w14:paraId="463DCDBC" w14:textId="77777777" w:rsidR="00E20D7A" w:rsidRDefault="00E20D7A" w:rsidP="000B61EC">
      <w:pPr>
        <w:pStyle w:val="Heading5"/>
      </w:pPr>
      <w:r>
        <w:t>Option 1: Status quo</w:t>
      </w:r>
    </w:p>
    <w:p w14:paraId="4C0A7E89" w14:textId="23646197" w:rsidR="00E20D7A" w:rsidRDefault="00E20D7A" w:rsidP="00A247C5">
      <w:pPr>
        <w:pStyle w:val="Normal2"/>
      </w:pPr>
      <w:r>
        <w:t xml:space="preserve">The status quo and associated issues are outlined in section </w:t>
      </w:r>
      <w:r w:rsidR="00550036">
        <w:t>5.9.</w:t>
      </w:r>
      <w:r w:rsidR="002E527F">
        <w:t>3</w:t>
      </w:r>
      <w:r w:rsidR="00550036">
        <w:t>.2</w:t>
      </w:r>
      <w:r>
        <w:t>. As outlined in that section, the status quo is not considered to be effective or efficient.</w:t>
      </w:r>
    </w:p>
    <w:p w14:paraId="49A5346C" w14:textId="5CD29CD8" w:rsidR="00E20D7A" w:rsidRDefault="00E20D7A" w:rsidP="000B61EC">
      <w:pPr>
        <w:pStyle w:val="Heading5"/>
      </w:pPr>
      <w:r>
        <w:t>Option 2: PORPS 2019 approach with reference group options (</w:t>
      </w:r>
      <w:proofErr w:type="gramStart"/>
      <w:r>
        <w:t>refer also</w:t>
      </w:r>
      <w:proofErr w:type="gramEnd"/>
      <w:r>
        <w:t xml:space="preserve"> Appendix </w:t>
      </w:r>
      <w:r w:rsidR="00C9204B">
        <w:t>18</w:t>
      </w:r>
      <w:r>
        <w:t xml:space="preserve">, Part 3) </w:t>
      </w:r>
    </w:p>
    <w:p w14:paraId="61D8E73A" w14:textId="46627742" w:rsidR="00E20D7A" w:rsidRDefault="00E20D7A" w:rsidP="00A247C5">
      <w:pPr>
        <w:pStyle w:val="Normal2"/>
      </w:pPr>
      <w:r>
        <w:t xml:space="preserve">The provisions presented to the reference group for feedback primarily focussed on the </w:t>
      </w:r>
      <w:r w:rsidR="002E527F">
        <w:t>PO</w:t>
      </w:r>
      <w:r>
        <w:t>RPS providing direction on the role and design of the transport network (refer Appendix</w:t>
      </w:r>
      <w:r w:rsidR="002E527F">
        <w:t xml:space="preserve"> 18</w:t>
      </w:r>
      <w:r>
        <w:t>, Part 3).  EIT</w:t>
      </w:r>
      <w:r w:rsidR="001A70CA">
        <w:t>–</w:t>
      </w:r>
      <w:r>
        <w:t>TRAN</w:t>
      </w:r>
      <w:r w:rsidR="001A70CA">
        <w:t>–</w:t>
      </w:r>
      <w:r>
        <w:t>P1 aims to sets out a framework to address transport network design.  The provision provides direction at a high level by setting out locations which should be avoided when locating transport, and where that is not possible then stepping the</w:t>
      </w:r>
      <w:r w:rsidR="001A70CA">
        <w:t>m</w:t>
      </w:r>
      <w:r>
        <w:t xml:space="preserve"> through an effects management framework.  EIT</w:t>
      </w:r>
      <w:r w:rsidR="001A70CA">
        <w:t>–</w:t>
      </w:r>
      <w:r>
        <w:t>TRAN</w:t>
      </w:r>
      <w:r w:rsidR="001A70CA">
        <w:t>–</w:t>
      </w:r>
      <w:r>
        <w:t xml:space="preserve">P2, provides direction to manage the impacts of incompatible activities on the transport system.  </w:t>
      </w:r>
    </w:p>
    <w:p w14:paraId="592B8DA9" w14:textId="742150A0" w:rsidR="00E20D7A" w:rsidRDefault="00E20D7A" w:rsidP="00A247C5">
      <w:pPr>
        <w:pStyle w:val="Normal2"/>
      </w:pPr>
      <w:r>
        <w:t>Option 2 polic</w:t>
      </w:r>
      <w:r w:rsidR="00EF51AF">
        <w:t>y</w:t>
      </w:r>
      <w:r>
        <w:t xml:space="preserve"> EIT</w:t>
      </w:r>
      <w:r w:rsidR="001A70CA">
        <w:t>–</w:t>
      </w:r>
      <w:r>
        <w:t>TRAN</w:t>
      </w:r>
      <w:r w:rsidR="001A70CA">
        <w:t>–</w:t>
      </w:r>
      <w:r>
        <w:t xml:space="preserve">P3 provides direction on integrating land use and transport by </w:t>
      </w:r>
      <w:r w:rsidR="005D1FB3">
        <w:t>consolidating</w:t>
      </w:r>
      <w:r>
        <w:t xml:space="preserve"> urban form, mode sharing and </w:t>
      </w:r>
      <w:r w:rsidR="00194F34">
        <w:t xml:space="preserve">considering the </w:t>
      </w:r>
      <w:r>
        <w:t>accessibility needs of the community.  EIT</w:t>
      </w:r>
      <w:r w:rsidR="001A70CA">
        <w:t>–</w:t>
      </w:r>
      <w:r>
        <w:t>TRAN</w:t>
      </w:r>
      <w:r w:rsidR="001A70CA">
        <w:t>–</w:t>
      </w:r>
      <w:r>
        <w:t xml:space="preserve">P4 focusses on the effects of transportation, specifically energy use and emission levels and seeks to reduce the adverse effects.  </w:t>
      </w:r>
    </w:p>
    <w:p w14:paraId="76E67451" w14:textId="77777777" w:rsidR="00E20D7A" w:rsidRDefault="00E20D7A" w:rsidP="00A247C5">
      <w:pPr>
        <w:pStyle w:val="Normal2"/>
      </w:pPr>
      <w:r>
        <w:lastRenderedPageBreak/>
        <w:t>Option 2 is not considered to be efficient or effective for the following reasons:</w:t>
      </w:r>
    </w:p>
    <w:p w14:paraId="02094529" w14:textId="77777777" w:rsidR="00E20D7A" w:rsidRPr="00A00F70" w:rsidRDefault="00E20D7A" w:rsidP="00A247C5">
      <w:pPr>
        <w:pStyle w:val="Normal3"/>
      </w:pPr>
      <w:r>
        <w:t xml:space="preserve">Transport will likely be covered by the definitions within the infrastructure chapter, and therefore P1 is an unnecessary repetition.  </w:t>
      </w:r>
    </w:p>
    <w:p w14:paraId="38AEE194" w14:textId="77777777" w:rsidR="00E20D7A" w:rsidRDefault="00E20D7A" w:rsidP="00A247C5">
      <w:pPr>
        <w:pStyle w:val="Normal3"/>
      </w:pPr>
      <w:r>
        <w:t xml:space="preserve">Based on feedback from the reference group P4 should be expanded to provide further direction on improving demand for sustainable forms of transport.  </w:t>
      </w:r>
    </w:p>
    <w:p w14:paraId="2810C0A3" w14:textId="3E1C45FA" w:rsidR="00E20D7A" w:rsidRPr="0048395A" w:rsidRDefault="00E20D7A" w:rsidP="000B61EC">
      <w:pPr>
        <w:pStyle w:val="Heading5"/>
        <w:rPr>
          <w:i/>
          <w:iCs/>
        </w:rPr>
      </w:pPr>
      <w:r>
        <w:t>Option 3: PORPS 2021</w:t>
      </w:r>
      <w:r w:rsidR="0048395A">
        <w:t xml:space="preserve"> – </w:t>
      </w:r>
      <w:r w:rsidR="0048395A">
        <w:rPr>
          <w:i/>
          <w:iCs/>
        </w:rPr>
        <w:t xml:space="preserve">preferred </w:t>
      </w:r>
    </w:p>
    <w:p w14:paraId="25BAFDD7" w14:textId="521EE55B" w:rsidR="00E20D7A" w:rsidRDefault="00E20D7A" w:rsidP="00A247C5">
      <w:pPr>
        <w:pStyle w:val="Normal2"/>
      </w:pPr>
      <w:r>
        <w:t xml:space="preserve">To achieve the objectives, the policies seek to address integration, </w:t>
      </w:r>
      <w:proofErr w:type="gramStart"/>
      <w:r>
        <w:t>design</w:t>
      </w:r>
      <w:proofErr w:type="gramEnd"/>
      <w:r>
        <w:t xml:space="preserve"> and operation of the transport system, as well as public transport and wider sustainability. Policy EIT</w:t>
      </w:r>
      <w:r w:rsidR="0048395A">
        <w:t>–</w:t>
      </w:r>
      <w:r>
        <w:t>TRAN</w:t>
      </w:r>
      <w:r w:rsidR="0048395A">
        <w:t>–</w:t>
      </w:r>
      <w:r>
        <w:t>P18 seeks that the transport system is integrated with land use activities and that provision of infrastructure enables service delivery as demand requires. This will assist with making the transport system integrated with land uses and adaptable over time.</w:t>
      </w:r>
    </w:p>
    <w:p w14:paraId="11A8E5AB" w14:textId="08FBA2F5" w:rsidR="00E20D7A" w:rsidRDefault="00E20D7A" w:rsidP="00A247C5">
      <w:pPr>
        <w:pStyle w:val="Normal2"/>
      </w:pPr>
      <w:r>
        <w:t>Policy EIT</w:t>
      </w:r>
      <w:r w:rsidR="0048395A">
        <w:t>–</w:t>
      </w:r>
      <w:r>
        <w:t>TRAN</w:t>
      </w:r>
      <w:r w:rsidR="0048395A">
        <w:t>–</w:t>
      </w:r>
      <w:r>
        <w:t xml:space="preserve">P19 aims to sustain and improve the resilience and adaptability of the transport system through design by promoting a consolidated urban form, placing a high priority on </w:t>
      </w:r>
      <w:r w:rsidR="007F214F">
        <w:t>active transport</w:t>
      </w:r>
      <w:r>
        <w:t xml:space="preserve"> and public </w:t>
      </w:r>
      <w:proofErr w:type="gramStart"/>
      <w:r>
        <w:t>transport</w:t>
      </w:r>
      <w:proofErr w:type="gramEnd"/>
      <w:r>
        <w:t xml:space="preserve"> and integrating them into the design of transport networks</w:t>
      </w:r>
      <w:r w:rsidR="00477C17">
        <w:t xml:space="preserve">. It also </w:t>
      </w:r>
      <w:r>
        <w:t>encourag</w:t>
      </w:r>
      <w:r w:rsidR="00477C17">
        <w:t>es</w:t>
      </w:r>
      <w:r>
        <w:t xml:space="preserve"> improved access to public spaces. This is largely </w:t>
      </w:r>
      <w:proofErr w:type="gramStart"/>
      <w:r>
        <w:t>similar to</w:t>
      </w:r>
      <w:proofErr w:type="gramEnd"/>
      <w:r>
        <w:t xml:space="preserve"> the existing policy direction in the PORPS 2019.</w:t>
      </w:r>
    </w:p>
    <w:p w14:paraId="177F8C51" w14:textId="5387396E" w:rsidR="00E20D7A" w:rsidRDefault="00E20D7A" w:rsidP="00A247C5">
      <w:pPr>
        <w:pStyle w:val="Normal2"/>
      </w:pPr>
      <w:r>
        <w:t>Policy EIT</w:t>
      </w:r>
      <w:r w:rsidR="0048395A">
        <w:t>–</w:t>
      </w:r>
      <w:r>
        <w:t>TRAN</w:t>
      </w:r>
      <w:r w:rsidR="0048395A">
        <w:t>–</w:t>
      </w:r>
      <w:r>
        <w:t>P20 sets out how the maintenance and development of the transport system will encourage uptake of public transport. This includes actions such as providing alternatives to private vehicle transport, including measures to ensure pedestrian and cyclist safety, taking into consideration the accessibility needs of different sections of the community and encouraging a shift to renewable energy sources. Providing safe alternatives to private vehicles will help to reduce greenhouse gas emissions and assist communities to become less reliant on fossil fuels.</w:t>
      </w:r>
    </w:p>
    <w:p w14:paraId="1336C5F0" w14:textId="00DB6275" w:rsidR="00E20D7A" w:rsidRDefault="00E20D7A" w:rsidP="00A247C5">
      <w:pPr>
        <w:pStyle w:val="Normal2"/>
      </w:pPr>
      <w:r>
        <w:t>Policy EIT</w:t>
      </w:r>
      <w:r w:rsidR="0048395A">
        <w:t>–</w:t>
      </w:r>
      <w:r>
        <w:t>TRAN</w:t>
      </w:r>
      <w:r w:rsidR="0048395A">
        <w:t>–</w:t>
      </w:r>
      <w:r>
        <w:t>P21 sets out how the efficient and effective operation of the transport system is to be maintained</w:t>
      </w:r>
      <w:r w:rsidR="001E0FDF">
        <w:t>. This includes</w:t>
      </w:r>
      <w:r>
        <w:t xml:space="preserve"> by avoiding adverse effects of activities on the functioning of the system as well as impacts of incompatible activities, avoiding development that forecloses opportunities to upgrade or develop the network, promoting the use of freight hubs and methods that reduce reliance on private vehicles</w:t>
      </w:r>
      <w:r w:rsidR="00995357">
        <w:t xml:space="preserve"> and </w:t>
      </w:r>
      <w:r w:rsidR="00174757" w:rsidRPr="00BF0C9B">
        <w:t>encouraging a shift to using renewable energy sources</w:t>
      </w:r>
      <w:r>
        <w:t>. Collectively these actions work together to encourage a shift to a more sustainable transport network. This policy is supported by Policy EIT</w:t>
      </w:r>
      <w:r w:rsidR="0048395A">
        <w:t>–</w:t>
      </w:r>
      <w:r>
        <w:t>TRAN</w:t>
      </w:r>
      <w:r w:rsidR="0048395A">
        <w:t>–</w:t>
      </w:r>
      <w:r>
        <w:t>P22 which seeks that resource management decisions enhance the uptake of new technologies and reduce reliance on fossil fuels.</w:t>
      </w:r>
    </w:p>
    <w:p w14:paraId="375438BE" w14:textId="051D0EF3" w:rsidR="00E20D7A" w:rsidRDefault="00E20D7A" w:rsidP="00A247C5">
      <w:pPr>
        <w:pStyle w:val="Normal2"/>
      </w:pPr>
      <w:r>
        <w:t>Policy EIT</w:t>
      </w:r>
      <w:r w:rsidR="0048395A">
        <w:t>–</w:t>
      </w:r>
      <w:r>
        <w:t>TRAN</w:t>
      </w:r>
      <w:r w:rsidR="0048395A">
        <w:t>–</w:t>
      </w:r>
      <w:r>
        <w:t>P23 recognises the national and regional significance of the port activities at Port Chalmers and Dunedin</w:t>
      </w:r>
      <w:r w:rsidR="00126CFE">
        <w:t>.</w:t>
      </w:r>
      <w:r>
        <w:t xml:space="preserve"> The provisions provide for efficient and safe operation and connections with other transport modes within environmental limits </w:t>
      </w:r>
      <w:r w:rsidR="007407DD">
        <w:t>set out in CE</w:t>
      </w:r>
      <w:r w:rsidR="00AA5CF7">
        <w:t>–</w:t>
      </w:r>
      <w:r w:rsidR="007407DD">
        <w:t>P</w:t>
      </w:r>
      <w:r w:rsidR="00AA5CF7">
        <w:t>2</w:t>
      </w:r>
      <w:r w:rsidR="007407DD">
        <w:t xml:space="preserve"> and CE</w:t>
      </w:r>
      <w:r w:rsidR="00AA5CF7">
        <w:t>–</w:t>
      </w:r>
      <w:r w:rsidR="007407DD">
        <w:t>P</w:t>
      </w:r>
      <w:r w:rsidR="00AA5CF7">
        <w:t>3</w:t>
      </w:r>
      <w:r w:rsidR="007407DD">
        <w:t xml:space="preserve"> </w:t>
      </w:r>
      <w:r>
        <w:t>and ensur</w:t>
      </w:r>
      <w:r w:rsidR="00AA5CF7">
        <w:t>e</w:t>
      </w:r>
      <w:r>
        <w:t xml:space="preserve"> that development in the coastal environment does not compromise the efficiency and safety of port operations.  This </w:t>
      </w:r>
      <w:r w:rsidR="00AA5CF7">
        <w:t>provision is within</w:t>
      </w:r>
      <w:r w:rsidR="00B664BA">
        <w:t xml:space="preserve"> a context of</w:t>
      </w:r>
      <w:r>
        <w:t xml:space="preserve"> </w:t>
      </w:r>
      <w:r w:rsidR="00736B3D">
        <w:t>the</w:t>
      </w:r>
      <w:r>
        <w:t xml:space="preserve"> planning framework in the PORPS 2019 for Otago’s port and harbour </w:t>
      </w:r>
      <w:r w:rsidR="00653DD6">
        <w:t>being</w:t>
      </w:r>
      <w:r>
        <w:t xml:space="preserve"> still subject to appeals. Option 3 adopts a different approach to that taken in the PORPS 2019, based on ongoing discussions between ORC</w:t>
      </w:r>
      <w:r w:rsidR="00B664BA">
        <w:t xml:space="preserve"> and</w:t>
      </w:r>
      <w:r>
        <w:t xml:space="preserve"> Port Otago. </w:t>
      </w:r>
    </w:p>
    <w:p w14:paraId="35119F79" w14:textId="2FF97ED6" w:rsidR="00E20D7A" w:rsidRDefault="00E20D7A" w:rsidP="00A247C5">
      <w:pPr>
        <w:pStyle w:val="Normal2"/>
      </w:pPr>
      <w:r>
        <w:t>Method EIT</w:t>
      </w:r>
      <w:r w:rsidR="009C68AC">
        <w:t>–</w:t>
      </w:r>
      <w:r>
        <w:t>TRAN</w:t>
      </w:r>
      <w:r w:rsidR="009C68AC">
        <w:t>–</w:t>
      </w:r>
      <w:r>
        <w:t xml:space="preserve">M7 specifies provisions required in regional plans </w:t>
      </w:r>
      <w:proofErr w:type="gramStart"/>
      <w:r>
        <w:t>in order to</w:t>
      </w:r>
      <w:proofErr w:type="gramEnd"/>
      <w:r>
        <w:t xml:space="preserve"> implement the policies.  Method EIT</w:t>
      </w:r>
      <w:r w:rsidR="009C68AC">
        <w:t>–</w:t>
      </w:r>
      <w:r>
        <w:t>TRAN</w:t>
      </w:r>
      <w:r w:rsidR="009C68AC">
        <w:t>–</w:t>
      </w:r>
      <w:r>
        <w:t>M7 (</w:t>
      </w:r>
      <w:r w:rsidR="00FD46A4">
        <w:t>3</w:t>
      </w:r>
      <w:r>
        <w:t>)</w:t>
      </w:r>
      <w:r w:rsidR="000B780A">
        <w:t xml:space="preserve"> (b</w:t>
      </w:r>
      <w:r>
        <w:t xml:space="preserve">) provides for ORC to work collaboratively to include provisions in plans with jurisdiction over all or part of Port Chalmers and Otago Harbour that recognise and acknowledge the significance of these areas. Method EIT-TRAN-M7 (4) directs that ORC will amend its regional plan to support the safe and efficient operation of Port Otago </w:t>
      </w:r>
      <w:r>
        <w:lastRenderedPageBreak/>
        <w:t>and Otago Harbour by providing for a specified list of activities in the coastal development area mapped in MAP</w:t>
      </w:r>
      <w:r w:rsidR="00B664BA">
        <w:t>2</w:t>
      </w:r>
      <w:r>
        <w:t>.</w:t>
      </w:r>
    </w:p>
    <w:p w14:paraId="001FC59E" w14:textId="7D41C62B" w:rsidR="00E20D7A" w:rsidRDefault="00E20D7A" w:rsidP="00A247C5">
      <w:pPr>
        <w:pStyle w:val="Normal2"/>
      </w:pPr>
      <w:r>
        <w:t>Method EIT</w:t>
      </w:r>
      <w:r w:rsidR="00B664BA">
        <w:t>–</w:t>
      </w:r>
      <w:r>
        <w:t>INF</w:t>
      </w:r>
      <w:r w:rsidR="00B664BA">
        <w:t>–</w:t>
      </w:r>
      <w:r>
        <w:t>M8 speci</w:t>
      </w:r>
      <w:r w:rsidR="00B664BA">
        <w:t xml:space="preserve">fies </w:t>
      </w:r>
      <w:r>
        <w:t xml:space="preserve">the provisions required in regional and district plans </w:t>
      </w:r>
      <w:proofErr w:type="gramStart"/>
      <w:r>
        <w:t>in order to</w:t>
      </w:r>
      <w:proofErr w:type="gramEnd"/>
      <w:r>
        <w:t xml:space="preserve"> implement the policies. That method for districts plans sets out specific actions for territorial authorities to implement in their district plans, including taking a strategic approach to the integration of the transport system and enabling the establishment of infrastructure. Method EIT</w:t>
      </w:r>
      <w:r w:rsidR="00B664BA">
        <w:t>–</w:t>
      </w:r>
      <w:r>
        <w:t>TRAN</w:t>
      </w:r>
      <w:r w:rsidR="00B664BA">
        <w:t>–</w:t>
      </w:r>
      <w:r>
        <w:t>M8(6) provides for ORC to work collaboratively to include provisions in plans with jurisdiction over all or part of Port Chalmers and Otago Harbour that recognise and acknowledge the significance of these areas.</w:t>
      </w:r>
    </w:p>
    <w:p w14:paraId="5DECFE03" w14:textId="77777777" w:rsidR="00E20D7A" w:rsidRDefault="00E20D7A" w:rsidP="00DE069C">
      <w:pPr>
        <w:pStyle w:val="Heading4"/>
      </w:pPr>
      <w:r>
        <w:t>Consultation summary</w:t>
      </w:r>
    </w:p>
    <w:p w14:paraId="60FE0740" w14:textId="77777777" w:rsidR="00B43139" w:rsidRPr="004A650B" w:rsidRDefault="00B43139" w:rsidP="000B61EC">
      <w:pPr>
        <w:pStyle w:val="Heading5"/>
      </w:pPr>
      <w:r w:rsidRPr="000B21EB">
        <w:t>Clause 3 consultation</w:t>
      </w:r>
    </w:p>
    <w:p w14:paraId="0C690130" w14:textId="316BFBEC" w:rsidR="00B43139" w:rsidRPr="008C6AA6" w:rsidRDefault="00B43139"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 MERGEFORMAT </w:instrText>
      </w:r>
      <w:r>
        <w:fldChar w:fldCharType="separate"/>
      </w:r>
      <w:r w:rsidR="002A7A16">
        <w:t>2.5.1</w:t>
      </w:r>
      <w:r>
        <w:fldChar w:fldCharType="end"/>
      </w:r>
      <w:r>
        <w:t xml:space="preserve"> of this report. Ten parties in addition to the reference group provided feedback on the EIT-TRANS sub-chapter through clause 3 consultation. </w:t>
      </w:r>
    </w:p>
    <w:p w14:paraId="335F473C" w14:textId="77777777" w:rsidR="00B43139" w:rsidRPr="008C6AA6" w:rsidRDefault="00B43139" w:rsidP="00A247C5">
      <w:pPr>
        <w:pStyle w:val="Normal2"/>
      </w:pPr>
      <w:r>
        <w:t>The feedback included support for the general approach of the Chapter, together with comments that ranged from minor amendments to correct errors or improve clarity of provisions (which were largely accepted by ORC) to a modification of policy approach. This included amendments to improve alignment with superior provisions.</w:t>
      </w:r>
    </w:p>
    <w:p w14:paraId="693C967F" w14:textId="3FCB5627" w:rsidR="00B43139" w:rsidRPr="008C6AA6" w:rsidRDefault="00B43139" w:rsidP="00A247C5">
      <w:pPr>
        <w:pStyle w:val="Normal2"/>
      </w:pPr>
      <w:r>
        <w:t>Matters that materially changed the intended strength of provisions (</w:t>
      </w:r>
      <w:proofErr w:type="spellStart"/>
      <w:proofErr w:type="gramStart"/>
      <w:r>
        <w:t>eg</w:t>
      </w:r>
      <w:proofErr w:type="spellEnd"/>
      <w:proofErr w:type="gramEnd"/>
      <w:r>
        <w:t xml:space="preserve"> moderating the use of the word ‘avoid’ as used in EIT-TRANS-P20) were not amended unless there was a reason for amendment based on superior provisions.  Provision suggestions that did not contribute to clarity, were contrary to superior provisions (</w:t>
      </w:r>
      <w:proofErr w:type="spellStart"/>
      <w:proofErr w:type="gramStart"/>
      <w:r>
        <w:t>eg</w:t>
      </w:r>
      <w:proofErr w:type="spellEnd"/>
      <w:proofErr w:type="gramEnd"/>
      <w:r>
        <w:t xml:space="preserve"> National Policy Statements), or were redundant (</w:t>
      </w:r>
      <w:proofErr w:type="spellStart"/>
      <w:r>
        <w:t>eg</w:t>
      </w:r>
      <w:proofErr w:type="spellEnd"/>
      <w:r>
        <w:t xml:space="preserve"> suggested development of transport plans under the EIT-TRANS methods section which are developed under separate legislation </w:t>
      </w:r>
      <w:proofErr w:type="spellStart"/>
      <w:r>
        <w:t>ie</w:t>
      </w:r>
      <w:proofErr w:type="spellEnd"/>
      <w:r>
        <w:t xml:space="preserve"> Land Transport Management Act 2002) were not amended except for clarification purposes.  </w:t>
      </w:r>
    </w:p>
    <w:p w14:paraId="54666DD6" w14:textId="78909390" w:rsidR="00B43139" w:rsidRDefault="00B43139" w:rsidP="000B61EC">
      <w:pPr>
        <w:pStyle w:val="Heading5"/>
      </w:pPr>
      <w:r w:rsidRPr="00792701">
        <w:t>Clause 4A consultation</w:t>
      </w:r>
    </w:p>
    <w:p w14:paraId="5D79FFEF" w14:textId="416AB06A" w:rsidR="00B43139" w:rsidRPr="00D308AC" w:rsidRDefault="00C775E4" w:rsidP="00A247C5">
      <w:pPr>
        <w:pStyle w:val="Normal2"/>
      </w:pPr>
      <w:r w:rsidRPr="00C775E4">
        <w:t xml:space="preserve">Feedback via Clause 4A consultation was generally supportive of the objectives, </w:t>
      </w:r>
      <w:proofErr w:type="gramStart"/>
      <w:r w:rsidRPr="00C775E4">
        <w:t>policies</w:t>
      </w:r>
      <w:proofErr w:type="gramEnd"/>
      <w:r w:rsidRPr="00C775E4">
        <w:t xml:space="preserve"> and methods of the EIT chapter.  </w:t>
      </w:r>
    </w:p>
    <w:p w14:paraId="221FE66D" w14:textId="77777777" w:rsidR="00E20D7A" w:rsidRDefault="00E20D7A" w:rsidP="00D308AC">
      <w:pPr>
        <w:pStyle w:val="Heading4"/>
      </w:pPr>
      <w:r>
        <w:t>Efficiency and effectiveness evaluation</w:t>
      </w:r>
    </w:p>
    <w:p w14:paraId="3CD79CFE" w14:textId="7946BBA9" w:rsidR="00E20D7A" w:rsidRDefault="00E83E0B" w:rsidP="00A247C5">
      <w:pPr>
        <w:pStyle w:val="Normal2"/>
      </w:pPr>
      <w:r>
        <w:fldChar w:fldCharType="begin"/>
      </w:r>
      <w:r>
        <w:instrText xml:space="preserve"> REF _Ref70490697 \h </w:instrText>
      </w:r>
      <w:r>
        <w:fldChar w:fldCharType="separate"/>
      </w:r>
      <w:r w:rsidR="002A7A16">
        <w:t xml:space="preserve">Table </w:t>
      </w:r>
      <w:r w:rsidR="002A7A16">
        <w:rPr>
          <w:noProof/>
        </w:rPr>
        <w:t>48</w:t>
      </w:r>
      <w:r>
        <w:fldChar w:fldCharType="end"/>
      </w:r>
      <w:r w:rsidR="00E20D7A">
        <w:t xml:space="preserve"> below identifies and assesses the benefits and costs of the environmental, cultural, </w:t>
      </w:r>
      <w:proofErr w:type="gramStart"/>
      <w:r w:rsidR="00E20D7A">
        <w:t>social</w:t>
      </w:r>
      <w:proofErr w:type="gramEnd"/>
      <w:r w:rsidR="00E20D7A">
        <w:t xml:space="preserve"> and economic effects that are anticipated from the implementation of the provisions proposed under Option 3 above.</w:t>
      </w:r>
    </w:p>
    <w:p w14:paraId="36AE9B5C" w14:textId="3B56CA01" w:rsidR="00E20D7A" w:rsidRDefault="00E20D7A" w:rsidP="00E20D7A">
      <w:pPr>
        <w:pStyle w:val="Caption"/>
        <w:keepNext/>
      </w:pPr>
      <w:bookmarkStart w:id="114" w:name="_Ref70490697"/>
      <w:r>
        <w:t xml:space="preserve">Table </w:t>
      </w:r>
      <w:r>
        <w:fldChar w:fldCharType="begin"/>
      </w:r>
      <w:r>
        <w:instrText>SEQ Table \* ARABIC</w:instrText>
      </w:r>
      <w:r>
        <w:fldChar w:fldCharType="separate"/>
      </w:r>
      <w:r w:rsidR="002A7A16">
        <w:rPr>
          <w:noProof/>
        </w:rPr>
        <w:t>48</w:t>
      </w:r>
      <w:r>
        <w:fldChar w:fldCharType="end"/>
      </w:r>
      <w:bookmarkEnd w:id="114"/>
      <w:r>
        <w:t>: Benefits and costs for transport</w:t>
      </w:r>
    </w:p>
    <w:tbl>
      <w:tblPr>
        <w:tblStyle w:val="ListTable1Light-Accent1"/>
        <w:tblW w:w="0" w:type="auto"/>
        <w:tblLook w:val="04A0" w:firstRow="1" w:lastRow="0" w:firstColumn="1" w:lastColumn="0" w:noHBand="0" w:noVBand="1"/>
      </w:tblPr>
      <w:tblGrid>
        <w:gridCol w:w="4508"/>
        <w:gridCol w:w="4508"/>
      </w:tblGrid>
      <w:tr w:rsidR="00E20D7A" w14:paraId="49A1C05C" w14:textId="77777777" w:rsidTr="007B1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Borders>
              <w:top w:val="nil"/>
              <w:left w:val="nil"/>
              <w:right w:val="nil"/>
            </w:tcBorders>
            <w:hideMark/>
          </w:tcPr>
          <w:p w14:paraId="638ADF27" w14:textId="77777777" w:rsidR="00E20D7A" w:rsidRDefault="00E20D7A">
            <w:pPr>
              <w:jc w:val="center"/>
              <w:rPr>
                <w:sz w:val="20"/>
              </w:rPr>
            </w:pPr>
            <w:r>
              <w:rPr>
                <w:sz w:val="20"/>
              </w:rPr>
              <w:t>BENEFITS</w:t>
            </w:r>
          </w:p>
        </w:tc>
        <w:tc>
          <w:tcPr>
            <w:tcW w:w="4508" w:type="dxa"/>
            <w:tcBorders>
              <w:top w:val="nil"/>
              <w:left w:val="nil"/>
              <w:right w:val="nil"/>
            </w:tcBorders>
            <w:hideMark/>
          </w:tcPr>
          <w:p w14:paraId="619FC6FD" w14:textId="77777777" w:rsidR="00E20D7A" w:rsidRDefault="00E20D7A">
            <w:pPr>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COSTS</w:t>
            </w:r>
          </w:p>
        </w:tc>
      </w:tr>
      <w:tr w:rsidR="00E20D7A" w14:paraId="63E6854D" w14:textId="77777777" w:rsidTr="007B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5D5D6B34" w14:textId="77777777" w:rsidR="00E20D7A" w:rsidRDefault="00E20D7A">
            <w:pPr>
              <w:jc w:val="center"/>
              <w:rPr>
                <w:sz w:val="20"/>
              </w:rPr>
            </w:pPr>
            <w:r>
              <w:rPr>
                <w:sz w:val="20"/>
              </w:rPr>
              <w:t>Environmental</w:t>
            </w:r>
          </w:p>
        </w:tc>
      </w:tr>
      <w:tr w:rsidR="00E20D7A" w14:paraId="17019A1C" w14:textId="77777777" w:rsidTr="007B1EF3">
        <w:tc>
          <w:tcPr>
            <w:cnfStyle w:val="001000000000" w:firstRow="0" w:lastRow="0" w:firstColumn="1" w:lastColumn="0" w:oddVBand="0" w:evenVBand="0" w:oddHBand="0" w:evenHBand="0" w:firstRowFirstColumn="0" w:firstRowLastColumn="0" w:lastRowFirstColumn="0" w:lastRowLastColumn="0"/>
            <w:tcW w:w="4508" w:type="dxa"/>
            <w:hideMark/>
          </w:tcPr>
          <w:p w14:paraId="1D94CBE4" w14:textId="77777777" w:rsidR="00E20D7A" w:rsidRDefault="00E20D7A" w:rsidP="007B1EF3">
            <w:pPr>
              <w:pStyle w:val="ListParagraph"/>
              <w:numPr>
                <w:ilvl w:val="0"/>
                <w:numId w:val="36"/>
              </w:numPr>
              <w:spacing w:after="60"/>
              <w:ind w:left="357" w:hanging="357"/>
              <w:jc w:val="both"/>
              <w:rPr>
                <w:b w:val="0"/>
                <w:sz w:val="20"/>
              </w:rPr>
            </w:pPr>
            <w:r>
              <w:rPr>
                <w:b w:val="0"/>
                <w:sz w:val="20"/>
              </w:rPr>
              <w:t>Encouraging public transport use and walking and cycling and providing for development to adopt new lower emission technologies will reduce adverse effects of private motor vehicle use such as greenhouse gas emissions.</w:t>
            </w:r>
          </w:p>
          <w:p w14:paraId="705EB966" w14:textId="77777777" w:rsidR="00E20D7A" w:rsidRDefault="00E20D7A" w:rsidP="007B1EF3">
            <w:pPr>
              <w:pStyle w:val="ListParagraph"/>
              <w:numPr>
                <w:ilvl w:val="0"/>
                <w:numId w:val="36"/>
              </w:numPr>
              <w:spacing w:after="60"/>
              <w:ind w:left="357" w:hanging="357"/>
              <w:jc w:val="both"/>
              <w:rPr>
                <w:b w:val="0"/>
                <w:i/>
                <w:iCs/>
                <w:sz w:val="20"/>
              </w:rPr>
            </w:pPr>
            <w:r>
              <w:rPr>
                <w:b w:val="0"/>
                <w:sz w:val="20"/>
              </w:rPr>
              <w:lastRenderedPageBreak/>
              <w:t>Promoting consolidated urban form and integrated public transport</w:t>
            </w:r>
            <w:r>
              <w:rPr>
                <w:b w:val="0"/>
                <w:i/>
                <w:iCs/>
                <w:sz w:val="20"/>
              </w:rPr>
              <w:t xml:space="preserve"> </w:t>
            </w:r>
            <w:r>
              <w:rPr>
                <w:b w:val="0"/>
                <w:sz w:val="20"/>
              </w:rPr>
              <w:t>will reduce adverse effects associated with sprawl.</w:t>
            </w:r>
          </w:p>
          <w:p w14:paraId="7CFB7A82" w14:textId="77777777" w:rsidR="00E20D7A" w:rsidRDefault="00E20D7A" w:rsidP="007B1EF3">
            <w:pPr>
              <w:pStyle w:val="ListParagraph"/>
              <w:numPr>
                <w:ilvl w:val="0"/>
                <w:numId w:val="36"/>
              </w:numPr>
              <w:spacing w:after="60"/>
              <w:ind w:left="357" w:hanging="357"/>
              <w:jc w:val="both"/>
              <w:rPr>
                <w:b w:val="0"/>
                <w:sz w:val="20"/>
              </w:rPr>
            </w:pPr>
            <w:r>
              <w:rPr>
                <w:b w:val="0"/>
                <w:sz w:val="20"/>
              </w:rPr>
              <w:t xml:space="preserve">Requiring integration with land uses will assist with ensuring that transport infrastructure is in the most appropriate location, potentially reducing the likelihood of needing to redevelop or establish new infrastructure </w:t>
            </w:r>
            <w:proofErr w:type="gramStart"/>
            <w:r>
              <w:rPr>
                <w:b w:val="0"/>
                <w:sz w:val="20"/>
              </w:rPr>
              <w:t>at a later date</w:t>
            </w:r>
            <w:proofErr w:type="gramEnd"/>
            <w:r>
              <w:rPr>
                <w:b w:val="0"/>
                <w:sz w:val="20"/>
              </w:rPr>
              <w:t xml:space="preserve"> and the associated adverse effects on the environment.</w:t>
            </w:r>
          </w:p>
        </w:tc>
        <w:tc>
          <w:tcPr>
            <w:tcW w:w="4508" w:type="dxa"/>
            <w:hideMark/>
          </w:tcPr>
          <w:p w14:paraId="5697C230" w14:textId="3168E926" w:rsidR="00E20D7A" w:rsidRDefault="00E20D7A" w:rsidP="007B1EF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 xml:space="preserve">The operation, maintenance, upgrading and development of transport infrastructure will result in some adverse effects on the environment. </w:t>
            </w:r>
          </w:p>
        </w:tc>
      </w:tr>
      <w:tr w:rsidR="00E20D7A" w14:paraId="18DB9A3A" w14:textId="77777777" w:rsidTr="007B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3381E283" w14:textId="77777777" w:rsidR="00E20D7A" w:rsidRDefault="00E20D7A">
            <w:pPr>
              <w:jc w:val="center"/>
              <w:rPr>
                <w:sz w:val="20"/>
              </w:rPr>
            </w:pPr>
            <w:r>
              <w:rPr>
                <w:sz w:val="20"/>
              </w:rPr>
              <w:t>Cultural</w:t>
            </w:r>
          </w:p>
        </w:tc>
      </w:tr>
      <w:tr w:rsidR="00E20D7A" w14:paraId="03F323BB" w14:textId="77777777" w:rsidTr="007B1EF3">
        <w:tc>
          <w:tcPr>
            <w:cnfStyle w:val="001000000000" w:firstRow="0" w:lastRow="0" w:firstColumn="1" w:lastColumn="0" w:oddVBand="0" w:evenVBand="0" w:oddHBand="0" w:evenHBand="0" w:firstRowFirstColumn="0" w:firstRowLastColumn="0" w:lastRowFirstColumn="0" w:lastRowLastColumn="0"/>
            <w:tcW w:w="4508" w:type="dxa"/>
            <w:hideMark/>
          </w:tcPr>
          <w:p w14:paraId="3BB8665B" w14:textId="77777777" w:rsidR="00E20D7A" w:rsidRDefault="00E20D7A" w:rsidP="004806D3">
            <w:pPr>
              <w:pStyle w:val="ListParagraph"/>
              <w:numPr>
                <w:ilvl w:val="0"/>
                <w:numId w:val="36"/>
              </w:numPr>
              <w:jc w:val="both"/>
              <w:rPr>
                <w:b w:val="0"/>
                <w:sz w:val="20"/>
              </w:rPr>
            </w:pPr>
            <w:r>
              <w:rPr>
                <w:b w:val="0"/>
                <w:sz w:val="20"/>
              </w:rPr>
              <w:t xml:space="preserve"> No cultural benefits have been identified.</w:t>
            </w:r>
          </w:p>
        </w:tc>
        <w:tc>
          <w:tcPr>
            <w:tcW w:w="4508" w:type="dxa"/>
            <w:hideMark/>
          </w:tcPr>
          <w:p w14:paraId="2C3B8F3F" w14:textId="77777777" w:rsidR="00E20D7A" w:rsidRDefault="00E20D7A" w:rsidP="004806D3">
            <w:pPr>
              <w:pStyle w:val="ListParagraph"/>
              <w:numPr>
                <w:ilvl w:val="0"/>
                <w:numId w:val="36"/>
              </w:numPr>
              <w:spacing w:after="60"/>
              <w:ind w:left="357" w:hanging="357"/>
              <w:cnfStyle w:val="000000000000" w:firstRow="0" w:lastRow="0" w:firstColumn="0" w:lastColumn="0" w:oddVBand="0" w:evenVBand="0" w:oddHBand="0" w:evenHBand="0" w:firstRowFirstColumn="0" w:firstRowLastColumn="0" w:lastRowFirstColumn="0" w:lastRowLastColumn="0"/>
              <w:rPr>
                <w:sz w:val="20"/>
              </w:rPr>
            </w:pPr>
            <w:r>
              <w:rPr>
                <w:sz w:val="20"/>
              </w:rPr>
              <w:t xml:space="preserve">The provision of transport infrastructure may have adverse effects on Kāi </w:t>
            </w:r>
            <w:proofErr w:type="spellStart"/>
            <w:r>
              <w:rPr>
                <w:sz w:val="20"/>
              </w:rPr>
              <w:t>Tahu</w:t>
            </w:r>
            <w:proofErr w:type="spellEnd"/>
            <w:r>
              <w:rPr>
                <w:sz w:val="20"/>
              </w:rPr>
              <w:t xml:space="preserve"> values.</w:t>
            </w:r>
          </w:p>
        </w:tc>
      </w:tr>
      <w:tr w:rsidR="00E20D7A" w14:paraId="3AB6CDDA" w14:textId="77777777" w:rsidTr="007B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21AE671F" w14:textId="77777777" w:rsidR="00E20D7A" w:rsidRDefault="00E20D7A">
            <w:pPr>
              <w:jc w:val="center"/>
              <w:rPr>
                <w:sz w:val="20"/>
              </w:rPr>
            </w:pPr>
            <w:r>
              <w:rPr>
                <w:sz w:val="20"/>
              </w:rPr>
              <w:t>Social</w:t>
            </w:r>
          </w:p>
        </w:tc>
      </w:tr>
      <w:tr w:rsidR="00E20D7A" w14:paraId="1BD80A8F" w14:textId="77777777" w:rsidTr="007B1EF3">
        <w:tc>
          <w:tcPr>
            <w:cnfStyle w:val="001000000000" w:firstRow="0" w:lastRow="0" w:firstColumn="1" w:lastColumn="0" w:oddVBand="0" w:evenVBand="0" w:oddHBand="0" w:evenHBand="0" w:firstRowFirstColumn="0" w:firstRowLastColumn="0" w:lastRowFirstColumn="0" w:lastRowLastColumn="0"/>
            <w:tcW w:w="4508" w:type="dxa"/>
            <w:hideMark/>
          </w:tcPr>
          <w:p w14:paraId="120409E0" w14:textId="785DCF21" w:rsidR="00E20D7A" w:rsidRDefault="00E20D7A" w:rsidP="007B1EF3">
            <w:pPr>
              <w:pStyle w:val="ListParagraph"/>
              <w:numPr>
                <w:ilvl w:val="0"/>
                <w:numId w:val="36"/>
              </w:numPr>
              <w:spacing w:after="60"/>
              <w:ind w:left="357" w:hanging="357"/>
              <w:jc w:val="both"/>
              <w:rPr>
                <w:b w:val="0"/>
                <w:sz w:val="20"/>
              </w:rPr>
            </w:pPr>
            <w:r>
              <w:rPr>
                <w:b w:val="0"/>
                <w:bCs w:val="0"/>
                <w:sz w:val="20"/>
              </w:rPr>
              <w:t xml:space="preserve">Providing for an efficient transport system which includes modal choices will ensure accessibility to services such </w:t>
            </w:r>
            <w:r>
              <w:rPr>
                <w:b w:val="0"/>
                <w:sz w:val="20"/>
              </w:rPr>
              <w:t>as health care for all community members.</w:t>
            </w:r>
          </w:p>
          <w:p w14:paraId="3FFB9C82" w14:textId="77777777" w:rsidR="00E20D7A" w:rsidRDefault="00E20D7A" w:rsidP="007B1EF3">
            <w:pPr>
              <w:pStyle w:val="ListParagraph"/>
              <w:numPr>
                <w:ilvl w:val="0"/>
                <w:numId w:val="36"/>
              </w:numPr>
              <w:spacing w:after="60"/>
              <w:ind w:left="357" w:hanging="357"/>
              <w:jc w:val="both"/>
              <w:rPr>
                <w:b w:val="0"/>
                <w:bCs w:val="0"/>
                <w:sz w:val="20"/>
              </w:rPr>
            </w:pPr>
            <w:r>
              <w:rPr>
                <w:b w:val="0"/>
                <w:sz w:val="20"/>
              </w:rPr>
              <w:t>Co-ordinating the provision of transport infrastructure with land</w:t>
            </w:r>
            <w:r>
              <w:rPr>
                <w:b w:val="0"/>
                <w:bCs w:val="0"/>
                <w:sz w:val="20"/>
              </w:rPr>
              <w:t xml:space="preserve"> use activities, including urban growth can ensure that existing assets are not compromised.</w:t>
            </w:r>
          </w:p>
          <w:p w14:paraId="32B001AB" w14:textId="77777777" w:rsidR="00E20D7A" w:rsidRDefault="00E20D7A" w:rsidP="007B1EF3">
            <w:pPr>
              <w:pStyle w:val="ListParagraph"/>
              <w:numPr>
                <w:ilvl w:val="0"/>
                <w:numId w:val="36"/>
              </w:numPr>
              <w:spacing w:after="60"/>
              <w:ind w:left="357" w:hanging="357"/>
              <w:jc w:val="both"/>
              <w:rPr>
                <w:b w:val="0"/>
                <w:bCs w:val="0"/>
                <w:sz w:val="20"/>
              </w:rPr>
            </w:pPr>
            <w:r>
              <w:rPr>
                <w:b w:val="0"/>
                <w:bCs w:val="0"/>
                <w:sz w:val="20"/>
              </w:rPr>
              <w:t>Improved accessibility and modal choice may reduce congestion with private motor vehicle use.</w:t>
            </w:r>
          </w:p>
        </w:tc>
        <w:tc>
          <w:tcPr>
            <w:tcW w:w="4508" w:type="dxa"/>
            <w:hideMark/>
          </w:tcPr>
          <w:p w14:paraId="253CB9D1" w14:textId="41E02EA2" w:rsidR="00E20D7A" w:rsidRDefault="00E20D7A" w:rsidP="007B1EF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t xml:space="preserve">Requirements to co-ordinate land use activities with the provision of transport infrastructure may reduce development potential of some land. </w:t>
            </w:r>
          </w:p>
          <w:p w14:paraId="25B13F59" w14:textId="77777777" w:rsidR="00E20D7A" w:rsidRDefault="00E20D7A" w:rsidP="007B1EF3">
            <w:pPr>
              <w:pStyle w:val="ListParagraph"/>
              <w:numPr>
                <w:ilvl w:val="0"/>
                <w:numId w:val="36"/>
              </w:numPr>
              <w:spacing w:after="60"/>
              <w:ind w:left="357" w:hanging="357"/>
              <w:jc w:val="both"/>
              <w:cnfStyle w:val="000000000000" w:firstRow="0" w:lastRow="0" w:firstColumn="0" w:lastColumn="0" w:oddVBand="0" w:evenVBand="0" w:oddHBand="0" w:evenHBand="0" w:firstRowFirstColumn="0" w:firstRowLastColumn="0" w:lastRowFirstColumn="0" w:lastRowLastColumn="0"/>
              <w:rPr>
                <w:bCs/>
                <w:sz w:val="20"/>
              </w:rPr>
            </w:pPr>
            <w:r>
              <w:rPr>
                <w:bCs/>
                <w:sz w:val="20"/>
              </w:rPr>
              <w:t>There may be increased conflict between transport modes if there is an increase in non-private vehicle transport, for example increased numbers of cyclists or pedestrians.</w:t>
            </w:r>
          </w:p>
        </w:tc>
      </w:tr>
      <w:tr w:rsidR="00E20D7A" w14:paraId="58D584FE" w14:textId="77777777" w:rsidTr="007B1E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hideMark/>
          </w:tcPr>
          <w:p w14:paraId="4A19BF87" w14:textId="77777777" w:rsidR="00E20D7A" w:rsidRDefault="00E20D7A">
            <w:pPr>
              <w:jc w:val="center"/>
              <w:rPr>
                <w:sz w:val="20"/>
              </w:rPr>
            </w:pPr>
            <w:r>
              <w:rPr>
                <w:sz w:val="20"/>
              </w:rPr>
              <w:t>Economic</w:t>
            </w:r>
          </w:p>
        </w:tc>
      </w:tr>
      <w:tr w:rsidR="00E20D7A" w14:paraId="0071F681" w14:textId="77777777" w:rsidTr="007B1EF3">
        <w:tc>
          <w:tcPr>
            <w:cnfStyle w:val="001000000000" w:firstRow="0" w:lastRow="0" w:firstColumn="1" w:lastColumn="0" w:oddVBand="0" w:evenVBand="0" w:oddHBand="0" w:evenHBand="0" w:firstRowFirstColumn="0" w:firstRowLastColumn="0" w:lastRowFirstColumn="0" w:lastRowLastColumn="0"/>
            <w:tcW w:w="4508" w:type="dxa"/>
            <w:hideMark/>
          </w:tcPr>
          <w:p w14:paraId="276F327A" w14:textId="635C237C" w:rsidR="00E20D7A" w:rsidRPr="006175A2" w:rsidRDefault="00E20D7A" w:rsidP="007B1EF3">
            <w:pPr>
              <w:pStyle w:val="ListParagraph"/>
              <w:numPr>
                <w:ilvl w:val="0"/>
                <w:numId w:val="22"/>
              </w:numPr>
              <w:jc w:val="both"/>
              <w:rPr>
                <w:b w:val="0"/>
                <w:sz w:val="20"/>
              </w:rPr>
            </w:pPr>
            <w:r>
              <w:rPr>
                <w:b w:val="0"/>
                <w:sz w:val="20"/>
              </w:rPr>
              <w:t xml:space="preserve">Ensuring </w:t>
            </w:r>
            <w:r w:rsidR="006974A8">
              <w:rPr>
                <w:b w:val="0"/>
                <w:sz w:val="20"/>
              </w:rPr>
              <w:t>an</w:t>
            </w:r>
            <w:r>
              <w:rPr>
                <w:b w:val="0"/>
                <w:sz w:val="20"/>
              </w:rPr>
              <w:t xml:space="preserve"> efficient and effective transport system will support the regional economy by enabling the movement of goods and services.</w:t>
            </w:r>
            <w:r w:rsidR="009E0529">
              <w:rPr>
                <w:b w:val="0"/>
                <w:sz w:val="20"/>
              </w:rPr>
              <w:t xml:space="preserve"> As transport networks and linkages can affect </w:t>
            </w:r>
            <w:r w:rsidR="00954F1D">
              <w:rPr>
                <w:b w:val="0"/>
                <w:sz w:val="20"/>
              </w:rPr>
              <w:t>the costs of goods and services, a more</w:t>
            </w:r>
            <w:r w:rsidR="009E0529">
              <w:rPr>
                <w:b w:val="0"/>
                <w:sz w:val="20"/>
              </w:rPr>
              <w:t xml:space="preserve"> efficient </w:t>
            </w:r>
            <w:r w:rsidR="00954F1D">
              <w:rPr>
                <w:b w:val="0"/>
                <w:sz w:val="20"/>
              </w:rPr>
              <w:t xml:space="preserve">and effective system will </w:t>
            </w:r>
            <w:r w:rsidR="00EB11E0">
              <w:rPr>
                <w:b w:val="0"/>
                <w:sz w:val="20"/>
              </w:rPr>
              <w:t xml:space="preserve">avoid significant costs associated with freight. </w:t>
            </w:r>
            <w:r w:rsidR="008002D1">
              <w:rPr>
                <w:b w:val="0"/>
                <w:sz w:val="20"/>
              </w:rPr>
              <w:t xml:space="preserve"> </w:t>
            </w:r>
          </w:p>
          <w:p w14:paraId="5FC5DF41" w14:textId="7EF0544C" w:rsidR="00FE7D24" w:rsidRPr="008D325F" w:rsidRDefault="00FE7D24" w:rsidP="007B1EF3">
            <w:pPr>
              <w:pStyle w:val="ListParagraph"/>
              <w:numPr>
                <w:ilvl w:val="0"/>
                <w:numId w:val="22"/>
              </w:numPr>
              <w:spacing w:after="60"/>
              <w:jc w:val="both"/>
              <w:rPr>
                <w:b w:val="0"/>
                <w:sz w:val="20"/>
              </w:rPr>
            </w:pPr>
            <w:r>
              <w:rPr>
                <w:b w:val="0"/>
                <w:sz w:val="20"/>
              </w:rPr>
              <w:t>Employment associated with transport provisions sector is not expected to be materially impacted</w:t>
            </w:r>
            <w:r w:rsidR="007C0C34">
              <w:rPr>
                <w:b w:val="0"/>
                <w:sz w:val="20"/>
              </w:rPr>
              <w:t xml:space="preserve">. </w:t>
            </w:r>
          </w:p>
          <w:p w14:paraId="125BF425" w14:textId="699B19D9" w:rsidR="00E20D7A" w:rsidRPr="006175A2" w:rsidRDefault="00E20D7A" w:rsidP="007B1EF3">
            <w:pPr>
              <w:jc w:val="both"/>
              <w:rPr>
                <w:sz w:val="20"/>
              </w:rPr>
            </w:pPr>
          </w:p>
        </w:tc>
        <w:tc>
          <w:tcPr>
            <w:tcW w:w="4508" w:type="dxa"/>
            <w:hideMark/>
          </w:tcPr>
          <w:p w14:paraId="6CB1EA2F" w14:textId="77777777" w:rsidR="00E20D7A" w:rsidRDefault="00E20D7A" w:rsidP="007B1EF3">
            <w:pPr>
              <w:pStyle w:val="ListParagraph"/>
              <w:numPr>
                <w:ilvl w:val="0"/>
                <w:numId w:val="36"/>
              </w:numPr>
              <w:jc w:val="both"/>
              <w:cnfStyle w:val="000000000000" w:firstRow="0" w:lastRow="0" w:firstColumn="0" w:lastColumn="0" w:oddVBand="0" w:evenVBand="0" w:oddHBand="0" w:evenHBand="0" w:firstRowFirstColumn="0" w:firstRowLastColumn="0" w:lastRowFirstColumn="0" w:lastRowLastColumn="0"/>
              <w:rPr>
                <w:sz w:val="20"/>
              </w:rPr>
            </w:pPr>
            <w:r>
              <w:rPr>
                <w:sz w:val="20"/>
              </w:rPr>
              <w:t xml:space="preserve">Restricting activities on adjacent land to protect the transport system, including opportunities to upgrade this system, may constrain </w:t>
            </w:r>
            <w:proofErr w:type="gramStart"/>
            <w:r>
              <w:rPr>
                <w:sz w:val="20"/>
              </w:rPr>
              <w:t>particular land</w:t>
            </w:r>
            <w:proofErr w:type="gramEnd"/>
            <w:r>
              <w:rPr>
                <w:sz w:val="20"/>
              </w:rPr>
              <w:t xml:space="preserve"> use activities or development of land.</w:t>
            </w:r>
          </w:p>
        </w:tc>
      </w:tr>
    </w:tbl>
    <w:p w14:paraId="3A8C85BB" w14:textId="0A60ED10" w:rsidR="00E20D7A" w:rsidRDefault="00E83E0B" w:rsidP="00A247C5">
      <w:pPr>
        <w:pStyle w:val="Normal2"/>
      </w:pPr>
      <w:r>
        <w:fldChar w:fldCharType="begin"/>
      </w:r>
      <w:r>
        <w:instrText xml:space="preserve"> REF _Ref70490716 \h </w:instrText>
      </w:r>
      <w:r>
        <w:fldChar w:fldCharType="separate"/>
      </w:r>
      <w:r w:rsidR="002A7A16">
        <w:t xml:space="preserve">Table </w:t>
      </w:r>
      <w:r w:rsidR="002A7A16">
        <w:rPr>
          <w:noProof/>
        </w:rPr>
        <w:t>49</w:t>
      </w:r>
      <w:r>
        <w:fldChar w:fldCharType="end"/>
      </w:r>
      <w:r>
        <w:t xml:space="preserve"> </w:t>
      </w:r>
      <w:r w:rsidR="00E20D7A">
        <w:t>below assesses the effectiveness and efficiency of the proposed provisions in achieving the objectives.</w:t>
      </w:r>
    </w:p>
    <w:p w14:paraId="3BF32DBD" w14:textId="411DD16C" w:rsidR="00E20D7A" w:rsidRDefault="00E20D7A" w:rsidP="00E20D7A">
      <w:pPr>
        <w:pStyle w:val="Caption"/>
        <w:keepNext/>
      </w:pPr>
      <w:bookmarkStart w:id="115" w:name="_Ref70490716"/>
      <w:r>
        <w:t xml:space="preserve">Table </w:t>
      </w:r>
      <w:r>
        <w:fldChar w:fldCharType="begin"/>
      </w:r>
      <w:r>
        <w:instrText>SEQ Table \* ARABIC</w:instrText>
      </w:r>
      <w:r>
        <w:fldChar w:fldCharType="separate"/>
      </w:r>
      <w:r w:rsidR="002A7A16">
        <w:rPr>
          <w:noProof/>
        </w:rPr>
        <w:t>49</w:t>
      </w:r>
      <w:r>
        <w:fldChar w:fldCharType="end"/>
      </w:r>
      <w:bookmarkEnd w:id="115"/>
      <w:r>
        <w:t>: Efficiency and effectiveness evaluation for transport</w:t>
      </w:r>
    </w:p>
    <w:tbl>
      <w:tblPr>
        <w:tblW w:w="0" w:type="auto"/>
        <w:tblLook w:val="04A0" w:firstRow="1" w:lastRow="0" w:firstColumn="1" w:lastColumn="0" w:noHBand="0" w:noVBand="1"/>
      </w:tblPr>
      <w:tblGrid>
        <w:gridCol w:w="1413"/>
        <w:gridCol w:w="7603"/>
      </w:tblGrid>
      <w:tr w:rsidR="00E20D7A" w14:paraId="6CCA6446"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7B2E82E0" w14:textId="77777777" w:rsidR="00E20D7A" w:rsidRDefault="00E20D7A">
            <w:pPr>
              <w:rPr>
                <w:b/>
                <w:sz w:val="20"/>
              </w:rPr>
            </w:pPr>
            <w:r>
              <w:rPr>
                <w:b/>
                <w:sz w:val="20"/>
              </w:rPr>
              <w:t>Efficiency</w:t>
            </w:r>
          </w:p>
        </w:tc>
        <w:tc>
          <w:tcPr>
            <w:tcW w:w="7603" w:type="dxa"/>
            <w:tcBorders>
              <w:top w:val="single" w:sz="4" w:space="0" w:color="C9C9C9" w:themeColor="accent3" w:themeTint="99"/>
              <w:left w:val="nil"/>
              <w:bottom w:val="single" w:sz="4" w:space="0" w:color="C9C9C9" w:themeColor="accent3" w:themeTint="99"/>
              <w:right w:val="nil"/>
            </w:tcBorders>
            <w:hideMark/>
          </w:tcPr>
          <w:p w14:paraId="425FB5B3" w14:textId="77777777" w:rsidR="00E20D7A" w:rsidRDefault="00E20D7A">
            <w:pPr>
              <w:jc w:val="both"/>
              <w:rPr>
                <w:sz w:val="20"/>
              </w:rPr>
            </w:pPr>
            <w:r>
              <w:rPr>
                <w:sz w:val="20"/>
              </w:rPr>
              <w:t>While there are some costs associated with Option 3, these costs are sought to be minimised by the provisions and are outweighed by the benefits that providing for transport infrastructure will have for social and economic wellbeing.</w:t>
            </w:r>
          </w:p>
        </w:tc>
      </w:tr>
      <w:tr w:rsidR="00E20D7A" w14:paraId="6BCE76B9" w14:textId="77777777" w:rsidTr="00E20D7A">
        <w:tc>
          <w:tcPr>
            <w:tcW w:w="1413" w:type="dxa"/>
            <w:tcBorders>
              <w:top w:val="single" w:sz="4" w:space="0" w:color="C9C9C9" w:themeColor="accent3" w:themeTint="99"/>
              <w:left w:val="nil"/>
              <w:bottom w:val="single" w:sz="4" w:space="0" w:color="C9C9C9" w:themeColor="accent3" w:themeTint="99"/>
              <w:right w:val="nil"/>
            </w:tcBorders>
            <w:shd w:val="clear" w:color="auto" w:fill="EDEDED" w:themeFill="accent3" w:themeFillTint="33"/>
            <w:hideMark/>
          </w:tcPr>
          <w:p w14:paraId="2B75BFE0" w14:textId="77777777" w:rsidR="00E20D7A" w:rsidRDefault="00E20D7A">
            <w:pPr>
              <w:jc w:val="both"/>
              <w:rPr>
                <w:b/>
                <w:sz w:val="20"/>
              </w:rPr>
            </w:pPr>
            <w:r>
              <w:rPr>
                <w:b/>
                <w:sz w:val="20"/>
              </w:rPr>
              <w:t>Effectiveness</w:t>
            </w:r>
          </w:p>
        </w:tc>
        <w:tc>
          <w:tcPr>
            <w:tcW w:w="7603" w:type="dxa"/>
            <w:tcBorders>
              <w:top w:val="single" w:sz="4" w:space="0" w:color="C9C9C9" w:themeColor="accent3" w:themeTint="99"/>
              <w:left w:val="nil"/>
              <w:bottom w:val="single" w:sz="4" w:space="0" w:color="C9C9C9" w:themeColor="accent3" w:themeTint="99"/>
              <w:right w:val="nil"/>
            </w:tcBorders>
            <w:hideMark/>
          </w:tcPr>
          <w:p w14:paraId="5F4EC452" w14:textId="77777777" w:rsidR="00E20D7A" w:rsidRDefault="00E20D7A">
            <w:pPr>
              <w:jc w:val="both"/>
              <w:rPr>
                <w:sz w:val="20"/>
              </w:rPr>
            </w:pPr>
            <w:r>
              <w:rPr>
                <w:sz w:val="20"/>
              </w:rPr>
              <w:t xml:space="preserve">Option 3 is considered more effective than the status quo at achieving the objectives as clearer policy direction is provided. The policies include more directive guidance and a co-ordinated approach to the transport system compared to Option 1 and Option 2. This </w:t>
            </w:r>
            <w:proofErr w:type="gramStart"/>
            <w:r>
              <w:rPr>
                <w:sz w:val="20"/>
              </w:rPr>
              <w:t>is considered to be</w:t>
            </w:r>
            <w:proofErr w:type="gramEnd"/>
            <w:r>
              <w:rPr>
                <w:sz w:val="20"/>
              </w:rPr>
              <w:t xml:space="preserve"> much simpler to implement and will therefore be more effective. </w:t>
            </w:r>
          </w:p>
        </w:tc>
      </w:tr>
    </w:tbl>
    <w:p w14:paraId="6AAD777D" w14:textId="77777777" w:rsidR="00E20D7A" w:rsidRDefault="00E20D7A" w:rsidP="00DE069C">
      <w:pPr>
        <w:pStyle w:val="Heading4"/>
        <w:rPr>
          <w:sz w:val="24"/>
        </w:rPr>
      </w:pPr>
      <w:r>
        <w:t>Risk of acting or not acting</w:t>
      </w:r>
    </w:p>
    <w:p w14:paraId="1BCDDFFD" w14:textId="77777777" w:rsidR="00E20D7A" w:rsidRDefault="00E20D7A"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 In relation to transport, it is considered there </w:t>
      </w:r>
      <w:r>
        <w:lastRenderedPageBreak/>
        <w:t xml:space="preserve">is sufficient and certain information to be able to implement the provisions outlined in Option 3. </w:t>
      </w:r>
    </w:p>
    <w:p w14:paraId="44169DC3" w14:textId="77777777" w:rsidR="00E20D7A" w:rsidRDefault="00E20D7A" w:rsidP="00DE069C">
      <w:pPr>
        <w:pStyle w:val="Heading4"/>
      </w:pPr>
      <w:r>
        <w:t>Conclusion</w:t>
      </w:r>
    </w:p>
    <w:p w14:paraId="0906DB68" w14:textId="54AE5359" w:rsidR="006C1B13" w:rsidRDefault="006C1B13" w:rsidP="00B664BA">
      <w:pPr>
        <w:pStyle w:val="Normal2"/>
      </w:pPr>
      <w:r>
        <w:t>Overall, the proposed policy approach in the PORPS 2021 is not significantly different to that included in the PORPS 2019 (Option 1), or PORPS 2019 approach with reference group options (Option 2</w:t>
      </w:r>
      <w:r w:rsidR="00347F43">
        <w:t>),</w:t>
      </w:r>
      <w:r>
        <w:t xml:space="preserve"> however the provisions are clearer and implement the National Planning Standards and other higher order national documents. Some minor additions to the policy direction are included to ensure transport matters are comprehensively addressed </w:t>
      </w:r>
      <w:r w:rsidR="00347F43">
        <w:t>and there</w:t>
      </w:r>
      <w:r>
        <w:t xml:space="preserve"> is also a greater emphasis on supporting a reduction in emissions from Otago’s transport system and greater resilience to the effects of climate change.</w:t>
      </w:r>
    </w:p>
    <w:p w14:paraId="301F265A" w14:textId="44D4816A" w:rsidR="006C1B13" w:rsidRDefault="00347F43" w:rsidP="00B664BA">
      <w:pPr>
        <w:pStyle w:val="Normal2"/>
      </w:pPr>
      <w:r>
        <w:t>It is expected there will be some economic costs</w:t>
      </w:r>
      <w:r w:rsidR="00044E24">
        <w:t xml:space="preserve"> associated with Option 3, however these costs are outweighed by the benefits of providing clear direction regarding the maintenance and development of the transportation network</w:t>
      </w:r>
      <w:r w:rsidR="00C224EA">
        <w:t xml:space="preserve"> in a manner that </w:t>
      </w:r>
      <w:r w:rsidR="00A05F61">
        <w:t>reduces greenhouse gas emissions and improves accessibility for the Otago communities</w:t>
      </w:r>
      <w:r w:rsidR="00044E24">
        <w:t xml:space="preserve">. </w:t>
      </w:r>
      <w:r>
        <w:t xml:space="preserve"> </w:t>
      </w:r>
      <w:r w:rsidR="006C1B13">
        <w:t xml:space="preserve">Overall, the PORPS 2021 provisions are generally more efficient and effective than the other options and more effective at achieving the objectives of the PORPS 2021.  </w:t>
      </w:r>
    </w:p>
    <w:p w14:paraId="3A15BE70" w14:textId="77777777" w:rsidR="00E20D7A" w:rsidRDefault="00E20D7A" w:rsidP="00E20D7A"/>
    <w:p w14:paraId="6C9B4FC7" w14:textId="6C6CA22B" w:rsidR="00FB2F58" w:rsidRDefault="00FB2F58" w:rsidP="00A247C5">
      <w:pPr>
        <w:pStyle w:val="Normal2"/>
        <w:numPr>
          <w:ilvl w:val="0"/>
          <w:numId w:val="0"/>
        </w:numPr>
        <w:ind w:left="720"/>
      </w:pPr>
    </w:p>
    <w:p w14:paraId="1E963E57" w14:textId="04E246AF" w:rsidR="008271AE" w:rsidRDefault="008271AE" w:rsidP="00A247C5">
      <w:pPr>
        <w:pStyle w:val="Normal2"/>
        <w:numPr>
          <w:ilvl w:val="0"/>
          <w:numId w:val="0"/>
        </w:numPr>
        <w:ind w:left="720"/>
      </w:pPr>
    </w:p>
    <w:p w14:paraId="77BE4817" w14:textId="59E0941D" w:rsidR="008271AE" w:rsidRDefault="008271AE" w:rsidP="00A247C5">
      <w:pPr>
        <w:pStyle w:val="Normal2"/>
        <w:numPr>
          <w:ilvl w:val="0"/>
          <w:numId w:val="0"/>
        </w:numPr>
        <w:ind w:left="720"/>
      </w:pPr>
    </w:p>
    <w:p w14:paraId="179EFCD2" w14:textId="4955C76D" w:rsidR="008271AE" w:rsidRDefault="008271AE" w:rsidP="00A247C5">
      <w:pPr>
        <w:pStyle w:val="Normal2"/>
        <w:numPr>
          <w:ilvl w:val="0"/>
          <w:numId w:val="0"/>
        </w:numPr>
        <w:ind w:left="720"/>
      </w:pPr>
    </w:p>
    <w:p w14:paraId="7AD070D8" w14:textId="2985FCEA" w:rsidR="008271AE" w:rsidRDefault="008271AE" w:rsidP="00A247C5">
      <w:pPr>
        <w:pStyle w:val="Normal2"/>
        <w:numPr>
          <w:ilvl w:val="0"/>
          <w:numId w:val="0"/>
        </w:numPr>
        <w:ind w:left="720"/>
      </w:pPr>
    </w:p>
    <w:p w14:paraId="14446CF6" w14:textId="2014C594" w:rsidR="008271AE" w:rsidRDefault="008271AE" w:rsidP="00A247C5">
      <w:pPr>
        <w:pStyle w:val="Normal2"/>
        <w:numPr>
          <w:ilvl w:val="0"/>
          <w:numId w:val="0"/>
        </w:numPr>
        <w:ind w:left="720"/>
      </w:pPr>
    </w:p>
    <w:p w14:paraId="57EC78AF" w14:textId="25DEBB13" w:rsidR="008271AE" w:rsidRDefault="008271AE" w:rsidP="00A247C5">
      <w:pPr>
        <w:pStyle w:val="Normal2"/>
        <w:numPr>
          <w:ilvl w:val="0"/>
          <w:numId w:val="0"/>
        </w:numPr>
        <w:ind w:left="720"/>
      </w:pPr>
    </w:p>
    <w:p w14:paraId="6CBB9826" w14:textId="73C8D83F" w:rsidR="008271AE" w:rsidRDefault="008271AE" w:rsidP="00A247C5">
      <w:pPr>
        <w:pStyle w:val="Normal2"/>
        <w:numPr>
          <w:ilvl w:val="0"/>
          <w:numId w:val="0"/>
        </w:numPr>
        <w:ind w:left="720"/>
      </w:pPr>
    </w:p>
    <w:p w14:paraId="7B1CDF32" w14:textId="1DAB7A2D" w:rsidR="008271AE" w:rsidRDefault="008271AE" w:rsidP="00A247C5">
      <w:pPr>
        <w:pStyle w:val="Normal2"/>
        <w:numPr>
          <w:ilvl w:val="0"/>
          <w:numId w:val="0"/>
        </w:numPr>
        <w:ind w:left="720"/>
      </w:pPr>
    </w:p>
    <w:p w14:paraId="567AD14F" w14:textId="40BCB00C" w:rsidR="008271AE" w:rsidRDefault="008271AE" w:rsidP="00A247C5">
      <w:pPr>
        <w:pStyle w:val="Normal2"/>
        <w:numPr>
          <w:ilvl w:val="0"/>
          <w:numId w:val="0"/>
        </w:numPr>
        <w:ind w:left="720"/>
      </w:pPr>
    </w:p>
    <w:p w14:paraId="21BA88DD" w14:textId="0C214B39" w:rsidR="008271AE" w:rsidRDefault="008271AE" w:rsidP="00A247C5">
      <w:pPr>
        <w:pStyle w:val="Normal2"/>
        <w:numPr>
          <w:ilvl w:val="0"/>
          <w:numId w:val="0"/>
        </w:numPr>
        <w:ind w:left="720"/>
      </w:pPr>
    </w:p>
    <w:p w14:paraId="744F8160" w14:textId="77777777" w:rsidR="008271AE" w:rsidRPr="00E20D7A" w:rsidRDefault="008271AE" w:rsidP="00A247C5">
      <w:pPr>
        <w:pStyle w:val="Normal2"/>
        <w:numPr>
          <w:ilvl w:val="0"/>
          <w:numId w:val="0"/>
        </w:numPr>
        <w:ind w:left="720"/>
      </w:pPr>
    </w:p>
    <w:p w14:paraId="07DA5A5A" w14:textId="77777777" w:rsidR="00A00F70" w:rsidRDefault="00A00F70">
      <w:pPr>
        <w:rPr>
          <w:rFonts w:asciiTheme="majorHAnsi" w:eastAsiaTheme="majorEastAsia" w:hAnsiTheme="majorHAnsi" w:cstheme="majorBidi"/>
          <w:color w:val="2F5496" w:themeColor="accent1" w:themeShade="BF"/>
          <w:sz w:val="26"/>
          <w:szCs w:val="26"/>
        </w:rPr>
      </w:pPr>
      <w:r>
        <w:br w:type="page"/>
      </w:r>
    </w:p>
    <w:p w14:paraId="6D159AE7" w14:textId="73A89220" w:rsidR="00E9552F" w:rsidRDefault="00A97861" w:rsidP="00CB405E">
      <w:pPr>
        <w:pStyle w:val="Heading2"/>
      </w:pPr>
      <w:bookmarkStart w:id="116" w:name="_Toc72507643"/>
      <w:r>
        <w:lastRenderedPageBreak/>
        <w:t xml:space="preserve">HAZ – </w:t>
      </w:r>
      <w:r w:rsidR="00E9552F">
        <w:t>Hazards and risks</w:t>
      </w:r>
      <w:bookmarkEnd w:id="116"/>
    </w:p>
    <w:p w14:paraId="70E489C0" w14:textId="77777777" w:rsidR="00E9552F" w:rsidRDefault="00E9552F" w:rsidP="0082271A">
      <w:pPr>
        <w:pStyle w:val="Heading3"/>
      </w:pPr>
      <w:r>
        <w:t>Introduction</w:t>
      </w:r>
    </w:p>
    <w:p w14:paraId="29AC5802" w14:textId="112E9AF9" w:rsidR="006966D2" w:rsidRDefault="006966D2" w:rsidP="00A247C5">
      <w:pPr>
        <w:pStyle w:val="Normal2"/>
      </w:pPr>
      <w:r>
        <w:t xml:space="preserve">This section of the report assesses the provisions proposed in the PORPS 2021 related to hazards and risks. </w:t>
      </w:r>
      <w:r w:rsidR="00CB49AB">
        <w:t xml:space="preserve">In the PORPS 2021, the </w:t>
      </w:r>
      <w:r w:rsidR="007B2567">
        <w:t xml:space="preserve">HAZ – </w:t>
      </w:r>
      <w:r w:rsidR="00CB49AB" w:rsidRPr="29589E8D">
        <w:rPr>
          <w:i/>
          <w:iCs/>
        </w:rPr>
        <w:t>Hazards and risks</w:t>
      </w:r>
      <w:r w:rsidR="00CB49AB">
        <w:t xml:space="preserve"> chapter contains two sections: natural hazards and contaminated land. This evaluation </w:t>
      </w:r>
      <w:r w:rsidR="00E91D1E">
        <w:t>adopts that same approach.</w:t>
      </w:r>
    </w:p>
    <w:p w14:paraId="473827AA" w14:textId="7EF93B4D" w:rsidR="00A37222" w:rsidRDefault="00697DE1" w:rsidP="00A247C5">
      <w:pPr>
        <w:pStyle w:val="Normal2"/>
      </w:pPr>
      <w:r>
        <w:t xml:space="preserve">The PORPS 2019 contained objective and policy direction on the management for hazardous substances. However, the Resource Legislation Amendment Act 2017 (RLAA) removed the explicit function of regional and territorial authorities under section 30 and 31 to control the adverse effects of the storage, use, </w:t>
      </w:r>
      <w:proofErr w:type="gramStart"/>
      <w:r>
        <w:t>disposal</w:t>
      </w:r>
      <w:proofErr w:type="gramEnd"/>
      <w:r>
        <w:t xml:space="preserve"> and transportation of hazardous substances to ensure RMA controls d</w:t>
      </w:r>
      <w:r w:rsidR="00CD6189">
        <w:t>id not</w:t>
      </w:r>
      <w:r>
        <w:t xml:space="preserve"> duplicate controls in the Hazardous Substances and New Organisms Act 1996 (HSNO Act) and the Health and Safety at Work Act 2015 (HSW Act). </w:t>
      </w:r>
    </w:p>
    <w:p w14:paraId="7F1FA777" w14:textId="35AE6FDA" w:rsidR="00697DE1" w:rsidRDefault="00A37222" w:rsidP="00A247C5">
      <w:pPr>
        <w:pStyle w:val="Normal2"/>
      </w:pPr>
      <w:r>
        <w:t xml:space="preserve">The </w:t>
      </w:r>
      <w:r w:rsidR="00697DE1">
        <w:t>RLAA also introduced a procedural principle to ensure that council plans and policy statements include only matters relevant to the purpose of the RMA.</w:t>
      </w:r>
      <w:r>
        <w:rPr>
          <w:rStyle w:val="FootnoteReference"/>
        </w:rPr>
        <w:footnoteReference w:id="34"/>
      </w:r>
      <w:r w:rsidR="00697DE1">
        <w:t xml:space="preserve"> While councils do retain a broad power under the RMA to manage hazardous substances through their plans and policy statements to achieve the purpose of the RMA and to carry out the function of integrated management of natural and physical resources in their region/district, this should only be exercised where the potential environmental effects are not adequately addressed by other legislation.</w:t>
      </w:r>
    </w:p>
    <w:p w14:paraId="779A8CFC" w14:textId="58F6D311" w:rsidR="00697DE1" w:rsidRPr="00F428C2" w:rsidRDefault="00697DE1" w:rsidP="00A247C5">
      <w:pPr>
        <w:pStyle w:val="Normal2"/>
      </w:pPr>
      <w:r>
        <w:t>It is considered the controls within the HSNO Act and the HSW Act are adequate to avoid, remedy or mitigate adverse environmental effects of hazardous substances. As such, the PORPS 2021 does not include provisions managing hazardous substances.</w:t>
      </w:r>
    </w:p>
    <w:p w14:paraId="471DB848" w14:textId="40313D94" w:rsidR="006966D2" w:rsidRDefault="00A97861" w:rsidP="0082271A">
      <w:pPr>
        <w:pStyle w:val="Heading3"/>
      </w:pPr>
      <w:bookmarkStart w:id="117" w:name="_Ref72671383"/>
      <w:r>
        <w:t xml:space="preserve">HAZ–NH – </w:t>
      </w:r>
      <w:r w:rsidR="00E91D1E">
        <w:t>Natural hazards</w:t>
      </w:r>
      <w:bookmarkEnd w:id="117"/>
    </w:p>
    <w:p w14:paraId="4F547429" w14:textId="700FC5F8" w:rsidR="00E91D1E" w:rsidRPr="00E91D1E" w:rsidRDefault="00E91D1E" w:rsidP="00DE069C">
      <w:pPr>
        <w:pStyle w:val="Heading4"/>
      </w:pPr>
      <w:r>
        <w:t>Introduction</w:t>
      </w:r>
    </w:p>
    <w:p w14:paraId="5737AEC3" w14:textId="29DD5FEE" w:rsidR="00920BB6" w:rsidRDefault="003B6CF4" w:rsidP="00A247C5">
      <w:pPr>
        <w:pStyle w:val="Normal2"/>
      </w:pPr>
      <w:r>
        <w:t xml:space="preserve">This section of the report assesses the provisions proposed in the </w:t>
      </w:r>
      <w:r w:rsidR="00E81F7F">
        <w:t>PORPS 2021</w:t>
      </w:r>
      <w:r>
        <w:t xml:space="preserve"> </w:t>
      </w:r>
      <w:r w:rsidR="00C05253">
        <w:t>to manage</w:t>
      </w:r>
      <w:r>
        <w:t xml:space="preserve"> </w:t>
      </w:r>
      <w:r w:rsidR="00B35B66">
        <w:t>natural hazards</w:t>
      </w:r>
      <w:r w:rsidR="003B18AF">
        <w:t>.</w:t>
      </w:r>
      <w:r w:rsidR="00390A81">
        <w:t xml:space="preserve"> </w:t>
      </w:r>
      <w:r w:rsidR="0014067D">
        <w:t xml:space="preserve">Due to </w:t>
      </w:r>
      <w:r w:rsidR="00A376D2">
        <w:t xml:space="preserve">the variety of landscapes that make up the Otago region, the natural hazards threats </w:t>
      </w:r>
      <w:r w:rsidR="00CD6189">
        <w:t>range from</w:t>
      </w:r>
      <w:r w:rsidR="00A376D2">
        <w:t xml:space="preserve"> coastal erosion and flooding in the lowland coastal areas of the region to alluvial fan deposition, </w:t>
      </w:r>
      <w:r w:rsidR="00CE7662">
        <w:t xml:space="preserve">fires, </w:t>
      </w:r>
      <w:r w:rsidR="00A376D2">
        <w:t xml:space="preserve">landslip, rock fall, and river breaches in the alpine areas of the region. </w:t>
      </w:r>
      <w:r w:rsidR="00E61810">
        <w:t xml:space="preserve">The Otago region will also be subject to a </w:t>
      </w:r>
      <w:r w:rsidR="00BB2AA6">
        <w:t>changing</w:t>
      </w:r>
      <w:r w:rsidR="00E61810">
        <w:t xml:space="preserve"> environment through climate change. Likely outcomes may include rising sea levels</w:t>
      </w:r>
      <w:r w:rsidR="00CF2A78">
        <w:t xml:space="preserve"> (and groundwater),</w:t>
      </w:r>
      <w:r w:rsidR="00E61810">
        <w:t xml:space="preserve"> and an increased frequency of natural hazards, although there is significant uncertainty around the rate and scale of change. </w:t>
      </w:r>
    </w:p>
    <w:p w14:paraId="1366802E" w14:textId="77777777" w:rsidR="00B753FA" w:rsidRDefault="00FB04D0" w:rsidP="00A247C5">
      <w:pPr>
        <w:pStyle w:val="Normal2"/>
      </w:pPr>
      <w:r>
        <w:t>There are overlapping responsibilities between regional and district councils for managing activities as they relate to hazards and risks under the RMA. In addition, there is a suite of regulations under several other statutes which interface with RMA functions</w:t>
      </w:r>
      <w:r w:rsidR="00B753FA">
        <w:t>, these include:</w:t>
      </w:r>
    </w:p>
    <w:p w14:paraId="5D09DA12" w14:textId="4AD80402" w:rsidR="00EF41DC" w:rsidRDefault="008926A8" w:rsidP="00A247C5">
      <w:pPr>
        <w:pStyle w:val="Normal3"/>
      </w:pPr>
      <w:r>
        <w:t xml:space="preserve">Civil Defence Emergency Management Act </w:t>
      </w:r>
      <w:proofErr w:type="gramStart"/>
      <w:r>
        <w:t>2002</w:t>
      </w:r>
      <w:r w:rsidR="00ED4F71">
        <w:t>;</w:t>
      </w:r>
      <w:proofErr w:type="gramEnd"/>
    </w:p>
    <w:p w14:paraId="0252B3F0" w14:textId="5C6C9B08" w:rsidR="00E46BA8" w:rsidRDefault="00E46BA8" w:rsidP="00A247C5">
      <w:pPr>
        <w:pStyle w:val="Normal3"/>
      </w:pPr>
      <w:r>
        <w:t>Building Act</w:t>
      </w:r>
      <w:r w:rsidR="00ED4F71">
        <w:t xml:space="preserve"> 2004; and </w:t>
      </w:r>
    </w:p>
    <w:p w14:paraId="1699FFC7" w14:textId="4D845CF2" w:rsidR="003E77C4" w:rsidRDefault="00E46BA8" w:rsidP="00A247C5">
      <w:pPr>
        <w:pStyle w:val="Normal3"/>
      </w:pPr>
      <w:r>
        <w:t>Climate Change Response (Zero Carbon) Amendment Act 2019</w:t>
      </w:r>
      <w:r w:rsidR="00ED4F71">
        <w:t>.</w:t>
      </w:r>
    </w:p>
    <w:p w14:paraId="6FFF4550" w14:textId="7D643716" w:rsidR="00FB04D0" w:rsidRPr="00F428C2" w:rsidRDefault="00FB04D0" w:rsidP="00A247C5">
      <w:pPr>
        <w:pStyle w:val="Normal2"/>
        <w:numPr>
          <w:ilvl w:val="0"/>
          <w:numId w:val="0"/>
        </w:numPr>
        <w:ind w:left="720"/>
      </w:pPr>
      <w:r>
        <w:t xml:space="preserve">Many of the hazard and risk matters also traverse the coastal environment, both within the coastal marine area and adjacent to it.  This complexity means that it is important the region </w:t>
      </w:r>
      <w:r>
        <w:lastRenderedPageBreak/>
        <w:t>has a clearly articulated approach to managing these activities and their environmental effects.</w:t>
      </w:r>
    </w:p>
    <w:p w14:paraId="3B3E7CA4" w14:textId="37B811EE" w:rsidR="006F2BD7" w:rsidRDefault="006F2BD7" w:rsidP="00A247C5">
      <w:pPr>
        <w:pStyle w:val="Normal2"/>
      </w:pPr>
      <w:r>
        <w:t xml:space="preserve">The relevant provisions for this </w:t>
      </w:r>
      <w:r w:rsidR="00EB6A8D">
        <w:t>chapter</w:t>
      </w:r>
      <w:r>
        <w:t xml:space="preserve"> are:</w:t>
      </w:r>
    </w:p>
    <w:p w14:paraId="5912E340" w14:textId="288022C7" w:rsidR="00A376D2" w:rsidRPr="00BF2AE7" w:rsidRDefault="00A376D2" w:rsidP="00A247C5">
      <w:pPr>
        <w:pStyle w:val="Normal3"/>
      </w:pPr>
      <w:r w:rsidRPr="00BF2AE7">
        <w:t>HAZ</w:t>
      </w:r>
      <w:r w:rsidR="00CD6189">
        <w:t>–</w:t>
      </w:r>
      <w:r w:rsidR="008A0D79">
        <w:t>NH</w:t>
      </w:r>
      <w:r w:rsidR="00CD6189">
        <w:t>–</w:t>
      </w:r>
      <w:r w:rsidR="00B566B3" w:rsidRPr="00BF2AE7">
        <w:t>P1</w:t>
      </w:r>
      <w:r w:rsidR="00F47CDA" w:rsidRPr="00BF2AE7">
        <w:t xml:space="preserve"> </w:t>
      </w:r>
      <w:r w:rsidR="0035236F">
        <w:t xml:space="preserve">– </w:t>
      </w:r>
      <w:r w:rsidR="00F47CDA" w:rsidRPr="00BF2AE7">
        <w:t xml:space="preserve">Identifying </w:t>
      </w:r>
      <w:r w:rsidR="00471D01" w:rsidRPr="00BF2AE7">
        <w:t>areas subject to natural hazards</w:t>
      </w:r>
    </w:p>
    <w:p w14:paraId="4FC6E666" w14:textId="12D13327" w:rsidR="00B566B3" w:rsidRPr="00BF2AE7" w:rsidRDefault="00B566B3" w:rsidP="00A247C5">
      <w:pPr>
        <w:pStyle w:val="Normal3"/>
      </w:pPr>
      <w:r w:rsidRPr="00BF2AE7">
        <w:t>HAZ</w:t>
      </w:r>
      <w:r w:rsidR="00CD6189">
        <w:t>–</w:t>
      </w:r>
      <w:r w:rsidR="003234D7">
        <w:t>NH</w:t>
      </w:r>
      <w:r w:rsidR="00CD6189">
        <w:t>–</w:t>
      </w:r>
      <w:r w:rsidRPr="00BF2AE7">
        <w:t>P2</w:t>
      </w:r>
      <w:r w:rsidR="00F47CDA" w:rsidRPr="00BF2AE7">
        <w:t xml:space="preserve"> </w:t>
      </w:r>
      <w:r w:rsidR="0035236F">
        <w:t xml:space="preserve">– </w:t>
      </w:r>
      <w:r w:rsidR="00165875" w:rsidRPr="00BF2AE7">
        <w:t>Risk assessments</w:t>
      </w:r>
    </w:p>
    <w:p w14:paraId="7BA870E0" w14:textId="3CD92B09" w:rsidR="00B566B3" w:rsidRPr="00BF2AE7" w:rsidRDefault="00B566B3" w:rsidP="00A247C5">
      <w:pPr>
        <w:pStyle w:val="Normal3"/>
      </w:pPr>
      <w:r w:rsidRPr="00BF2AE7">
        <w:t>HAZ</w:t>
      </w:r>
      <w:r w:rsidR="00CD6189">
        <w:t>–</w:t>
      </w:r>
      <w:r w:rsidR="001362AF">
        <w:t>NH</w:t>
      </w:r>
      <w:r w:rsidR="00CD6189">
        <w:t>–</w:t>
      </w:r>
      <w:r w:rsidRPr="00BF2AE7">
        <w:t>P3</w:t>
      </w:r>
      <w:r w:rsidR="00F47CDA" w:rsidRPr="00BF2AE7">
        <w:t xml:space="preserve"> </w:t>
      </w:r>
      <w:r w:rsidR="0035236F">
        <w:t xml:space="preserve">– </w:t>
      </w:r>
      <w:r w:rsidR="003A04D3" w:rsidRPr="00BF2AE7">
        <w:t xml:space="preserve">New </w:t>
      </w:r>
      <w:r w:rsidR="001111FA">
        <w:t>activities</w:t>
      </w:r>
    </w:p>
    <w:p w14:paraId="57EF9508" w14:textId="4E5A1D56" w:rsidR="002101FC" w:rsidRDefault="002101FC" w:rsidP="00A247C5">
      <w:pPr>
        <w:pStyle w:val="Normal3"/>
      </w:pPr>
      <w:r w:rsidRPr="00BF2AE7">
        <w:t>HAZ</w:t>
      </w:r>
      <w:r w:rsidR="00CD6189">
        <w:t>–</w:t>
      </w:r>
      <w:r>
        <w:t>NH</w:t>
      </w:r>
      <w:r w:rsidR="00CD6189">
        <w:t>–</w:t>
      </w:r>
      <w:r w:rsidRPr="00BF2AE7">
        <w:t>P</w:t>
      </w:r>
      <w:r w:rsidR="00E34714">
        <w:t>4</w:t>
      </w:r>
      <w:r w:rsidRPr="00BF2AE7">
        <w:t xml:space="preserve"> </w:t>
      </w:r>
      <w:r w:rsidR="0035236F">
        <w:t>–</w:t>
      </w:r>
      <w:r w:rsidRPr="00BF2AE7">
        <w:t xml:space="preserve"> Existing </w:t>
      </w:r>
      <w:r w:rsidR="00E34714">
        <w:t>activities</w:t>
      </w:r>
    </w:p>
    <w:p w14:paraId="6AC4335F" w14:textId="7232BE94" w:rsidR="001F571E" w:rsidRDefault="001F571E" w:rsidP="00A247C5">
      <w:pPr>
        <w:pStyle w:val="Normal3"/>
      </w:pPr>
      <w:r w:rsidRPr="00BF2AE7">
        <w:t>HAZ</w:t>
      </w:r>
      <w:r w:rsidR="00CD6189">
        <w:t>–</w:t>
      </w:r>
      <w:r>
        <w:t>NH</w:t>
      </w:r>
      <w:r w:rsidR="00CD6189">
        <w:t>–</w:t>
      </w:r>
      <w:r w:rsidRPr="00BF2AE7">
        <w:t>P</w:t>
      </w:r>
      <w:r>
        <w:t>5</w:t>
      </w:r>
      <w:r w:rsidRPr="00BF2AE7">
        <w:t xml:space="preserve"> </w:t>
      </w:r>
      <w:r>
        <w:t>–</w:t>
      </w:r>
      <w:r w:rsidRPr="00BF2AE7">
        <w:t xml:space="preserve"> Precautionary approach to natural hazard risk</w:t>
      </w:r>
    </w:p>
    <w:p w14:paraId="4CEBFABE" w14:textId="71235879" w:rsidR="00B566B3" w:rsidRPr="00BF2AE7" w:rsidRDefault="00B566B3" w:rsidP="00A247C5">
      <w:pPr>
        <w:pStyle w:val="Normal3"/>
      </w:pPr>
      <w:r w:rsidRPr="00BF2AE7">
        <w:t>HAZ</w:t>
      </w:r>
      <w:r w:rsidR="00CD6189">
        <w:t>–</w:t>
      </w:r>
      <w:r w:rsidR="007A726A">
        <w:t>NH</w:t>
      </w:r>
      <w:r w:rsidR="00DB49BE">
        <w:t>–</w:t>
      </w:r>
      <w:r w:rsidRPr="00BF2AE7">
        <w:t>P6</w:t>
      </w:r>
      <w:r w:rsidR="00F47CDA" w:rsidRPr="00BF2AE7">
        <w:t xml:space="preserve"> </w:t>
      </w:r>
      <w:r w:rsidR="0035236F">
        <w:t xml:space="preserve">– </w:t>
      </w:r>
      <w:r w:rsidR="00BC34C8" w:rsidRPr="00BF2AE7">
        <w:t>Protecting features and systems that provide hazard mitigation</w:t>
      </w:r>
    </w:p>
    <w:p w14:paraId="586FC72E" w14:textId="3D35B07E" w:rsidR="00B566B3" w:rsidRPr="00BF2AE7" w:rsidRDefault="00B566B3" w:rsidP="00A247C5">
      <w:pPr>
        <w:pStyle w:val="Normal3"/>
      </w:pPr>
      <w:r w:rsidRPr="00BF2AE7">
        <w:t>HAZ</w:t>
      </w:r>
      <w:r w:rsidR="00DB49BE">
        <w:t>–</w:t>
      </w:r>
      <w:r w:rsidR="007A726A">
        <w:t>NH</w:t>
      </w:r>
      <w:r w:rsidR="00DB49BE">
        <w:t>–</w:t>
      </w:r>
      <w:r w:rsidRPr="00BF2AE7">
        <w:t>P7</w:t>
      </w:r>
      <w:r w:rsidR="00F47CDA" w:rsidRPr="00BF2AE7">
        <w:t xml:space="preserve"> </w:t>
      </w:r>
      <w:r w:rsidR="0035236F">
        <w:t xml:space="preserve">– </w:t>
      </w:r>
      <w:r w:rsidR="00BC34C8" w:rsidRPr="00BF2AE7">
        <w:t>Mitigating natural hazards</w:t>
      </w:r>
    </w:p>
    <w:p w14:paraId="75355AE9" w14:textId="1843E2FA" w:rsidR="00B566B3" w:rsidRPr="00BF2AE7" w:rsidRDefault="00B566B3" w:rsidP="00A247C5">
      <w:pPr>
        <w:pStyle w:val="Normal3"/>
      </w:pPr>
      <w:r w:rsidRPr="00BF2AE7">
        <w:t>HAZ</w:t>
      </w:r>
      <w:r w:rsidR="00DB49BE">
        <w:t>–</w:t>
      </w:r>
      <w:r w:rsidR="007A726A">
        <w:t>NH</w:t>
      </w:r>
      <w:r w:rsidR="00DB49BE">
        <w:t>–</w:t>
      </w:r>
      <w:r w:rsidR="004A093E" w:rsidRPr="00BF2AE7">
        <w:t>P</w:t>
      </w:r>
      <w:r w:rsidR="004A093E">
        <w:t>8</w:t>
      </w:r>
      <w:r w:rsidR="004A093E" w:rsidRPr="00BF2AE7">
        <w:t xml:space="preserve"> </w:t>
      </w:r>
      <w:r w:rsidR="0035236F">
        <w:t>–</w:t>
      </w:r>
      <w:r w:rsidR="00C64CEA" w:rsidRPr="00BF2AE7">
        <w:t xml:space="preserve"> Lifeline utilities and facilities for essential or emergency services</w:t>
      </w:r>
    </w:p>
    <w:p w14:paraId="57D8D9C1" w14:textId="407DBDE1" w:rsidR="00B566B3" w:rsidRPr="00BF2AE7" w:rsidRDefault="00B566B3" w:rsidP="00A247C5">
      <w:pPr>
        <w:pStyle w:val="Normal3"/>
      </w:pPr>
      <w:r w:rsidRPr="00BF2AE7">
        <w:t>HAZ</w:t>
      </w:r>
      <w:r w:rsidR="00DB49BE">
        <w:t>–</w:t>
      </w:r>
      <w:r w:rsidR="007A726A">
        <w:t>NH</w:t>
      </w:r>
      <w:r w:rsidR="00DB49BE">
        <w:t>–</w:t>
      </w:r>
      <w:r w:rsidR="00F64F22" w:rsidRPr="00BF2AE7">
        <w:t>P</w:t>
      </w:r>
      <w:r w:rsidR="00F64F22">
        <w:t>9</w:t>
      </w:r>
      <w:r w:rsidR="00F64F22" w:rsidRPr="00BF2AE7">
        <w:t xml:space="preserve"> </w:t>
      </w:r>
      <w:r w:rsidR="0035236F">
        <w:t>–</w:t>
      </w:r>
      <w:r w:rsidR="00302066" w:rsidRPr="00BF2AE7">
        <w:t xml:space="preserve"> </w:t>
      </w:r>
      <w:r w:rsidR="00DB2ED7">
        <w:t>Protection of hazard mitigation measures</w:t>
      </w:r>
    </w:p>
    <w:p w14:paraId="4EF8155B" w14:textId="798D703B" w:rsidR="0075373D" w:rsidRPr="00BF2AE7" w:rsidRDefault="0075373D" w:rsidP="00A247C5">
      <w:pPr>
        <w:pStyle w:val="Normal3"/>
      </w:pPr>
      <w:r w:rsidRPr="00BF2AE7">
        <w:t>HAZ</w:t>
      </w:r>
      <w:r w:rsidR="00DB49BE">
        <w:t>–</w:t>
      </w:r>
      <w:r w:rsidR="007A726A">
        <w:t>NH</w:t>
      </w:r>
      <w:r w:rsidR="00DB49BE">
        <w:t>–</w:t>
      </w:r>
      <w:r w:rsidR="00F64F22" w:rsidRPr="00BF2AE7">
        <w:t>P1</w:t>
      </w:r>
      <w:r w:rsidR="00F64F22">
        <w:t>0</w:t>
      </w:r>
      <w:r w:rsidR="00F64F22" w:rsidRPr="00BF2AE7">
        <w:t xml:space="preserve"> </w:t>
      </w:r>
      <w:r w:rsidR="0035236F">
        <w:t>–</w:t>
      </w:r>
      <w:r w:rsidR="00302066" w:rsidRPr="00BF2AE7">
        <w:t xml:space="preserve"> </w:t>
      </w:r>
      <w:r w:rsidR="004B74FD">
        <w:t>Coastal hazards</w:t>
      </w:r>
    </w:p>
    <w:p w14:paraId="6EF5A574" w14:textId="72EE4DBC" w:rsidR="00AC652E" w:rsidRPr="00BF2AE7" w:rsidRDefault="00096CAF" w:rsidP="00A247C5">
      <w:pPr>
        <w:pStyle w:val="Normal3"/>
      </w:pPr>
      <w:r w:rsidRPr="00BF2AE7">
        <w:t>H</w:t>
      </w:r>
      <w:r>
        <w:t>A</w:t>
      </w:r>
      <w:r w:rsidRPr="00BF2AE7">
        <w:t>Z</w:t>
      </w:r>
      <w:r w:rsidR="00DB49BE">
        <w:t>–</w:t>
      </w:r>
      <w:r>
        <w:t>NH</w:t>
      </w:r>
      <w:r w:rsidR="00DB49BE">
        <w:t>–</w:t>
      </w:r>
      <w:r w:rsidRPr="00BF2AE7">
        <w:t>P1</w:t>
      </w:r>
      <w:r w:rsidR="00F64F22">
        <w:t>1</w:t>
      </w:r>
      <w:r w:rsidR="007A729B">
        <w:t xml:space="preserve"> </w:t>
      </w:r>
      <w:r w:rsidR="00CB734B">
        <w:t>–</w:t>
      </w:r>
      <w:r w:rsidR="007A729B">
        <w:t xml:space="preserve"> </w:t>
      </w:r>
      <w:r w:rsidR="008C04AA" w:rsidRPr="008C04AA">
        <w:t xml:space="preserve">Kaitiaki decision making  </w:t>
      </w:r>
    </w:p>
    <w:p w14:paraId="27D26EF9" w14:textId="4E91812B" w:rsidR="0075373D" w:rsidRDefault="00BF2AE7" w:rsidP="00A247C5">
      <w:pPr>
        <w:pStyle w:val="Normal3"/>
      </w:pPr>
      <w:r w:rsidRPr="00BF2AE7">
        <w:t>HAZ</w:t>
      </w:r>
      <w:r w:rsidR="00DB49BE">
        <w:t>–</w:t>
      </w:r>
      <w:r w:rsidRPr="00BF2AE7">
        <w:t>NH</w:t>
      </w:r>
      <w:r w:rsidR="00DB49BE">
        <w:t>–</w:t>
      </w:r>
      <w:r w:rsidRPr="00BF2AE7">
        <w:t xml:space="preserve">M1 </w:t>
      </w:r>
      <w:r w:rsidR="0035236F">
        <w:t xml:space="preserve">– </w:t>
      </w:r>
      <w:r w:rsidRPr="00BF2AE7">
        <w:t>Statement of responsibilities</w:t>
      </w:r>
    </w:p>
    <w:p w14:paraId="537DE6C2" w14:textId="373E8209" w:rsidR="00C8425A" w:rsidRDefault="00C8425A" w:rsidP="00A247C5">
      <w:pPr>
        <w:pStyle w:val="Normal3"/>
      </w:pPr>
      <w:r w:rsidRPr="00C8425A">
        <w:t>HAZ</w:t>
      </w:r>
      <w:r w:rsidR="00DB49BE">
        <w:t>–</w:t>
      </w:r>
      <w:r w:rsidRPr="00C8425A">
        <w:t>NH</w:t>
      </w:r>
      <w:r w:rsidR="00DB49BE">
        <w:t>–</w:t>
      </w:r>
      <w:r w:rsidRPr="00C8425A">
        <w:t xml:space="preserve">M2 </w:t>
      </w:r>
      <w:r w:rsidR="0035236F">
        <w:t xml:space="preserve">– </w:t>
      </w:r>
      <w:r w:rsidRPr="00C8425A">
        <w:t>Local authorities</w:t>
      </w:r>
    </w:p>
    <w:p w14:paraId="75471FCA" w14:textId="7328B69E" w:rsidR="00C8425A" w:rsidRDefault="009619A5" w:rsidP="00A247C5">
      <w:pPr>
        <w:pStyle w:val="Normal3"/>
      </w:pPr>
      <w:r w:rsidRPr="009619A5">
        <w:t>HAZ</w:t>
      </w:r>
      <w:r w:rsidR="00DB49BE">
        <w:t>–</w:t>
      </w:r>
      <w:r w:rsidRPr="009619A5">
        <w:t>NH</w:t>
      </w:r>
      <w:r w:rsidR="00DB49BE">
        <w:t>–</w:t>
      </w:r>
      <w:r w:rsidRPr="009619A5">
        <w:t xml:space="preserve">M3 </w:t>
      </w:r>
      <w:r w:rsidR="0035236F">
        <w:t xml:space="preserve">– </w:t>
      </w:r>
      <w:r w:rsidRPr="009619A5">
        <w:t>Regional plans</w:t>
      </w:r>
    </w:p>
    <w:p w14:paraId="4D1C98CA" w14:textId="6B1F577A" w:rsidR="001A0E70" w:rsidRDefault="001A0E70" w:rsidP="00A247C5">
      <w:pPr>
        <w:pStyle w:val="Normal3"/>
      </w:pPr>
      <w:r w:rsidRPr="001A0E70">
        <w:t>HAZ</w:t>
      </w:r>
      <w:r w:rsidR="00DB49BE">
        <w:t>–</w:t>
      </w:r>
      <w:r w:rsidRPr="001A0E70">
        <w:t>NH</w:t>
      </w:r>
      <w:r w:rsidR="00DB49BE">
        <w:t>–</w:t>
      </w:r>
      <w:r w:rsidRPr="001A0E70">
        <w:t xml:space="preserve">M4 </w:t>
      </w:r>
      <w:r w:rsidR="0035236F">
        <w:t xml:space="preserve">– </w:t>
      </w:r>
      <w:r w:rsidRPr="001A0E70">
        <w:t>District plans</w:t>
      </w:r>
    </w:p>
    <w:p w14:paraId="05AFC96D" w14:textId="54E3D8EA" w:rsidR="008C78C2" w:rsidRDefault="0006631C" w:rsidP="00A247C5">
      <w:pPr>
        <w:pStyle w:val="Normal3"/>
      </w:pPr>
      <w:r w:rsidRPr="0006631C">
        <w:t>HAZ</w:t>
      </w:r>
      <w:r w:rsidR="00DB49BE">
        <w:t>–</w:t>
      </w:r>
      <w:r w:rsidRPr="0006631C">
        <w:t>NH</w:t>
      </w:r>
      <w:r w:rsidR="00DB49BE">
        <w:t>–</w:t>
      </w:r>
      <w:r w:rsidRPr="0006631C">
        <w:t>M</w:t>
      </w:r>
      <w:r w:rsidR="00771653">
        <w:t>5</w:t>
      </w:r>
      <w:r w:rsidRPr="0006631C">
        <w:t xml:space="preserve"> </w:t>
      </w:r>
      <w:r w:rsidR="0035236F">
        <w:t xml:space="preserve">– </w:t>
      </w:r>
      <w:r w:rsidRPr="0006631C">
        <w:t>Other incentives and mechanisms</w:t>
      </w:r>
    </w:p>
    <w:p w14:paraId="4999CF75" w14:textId="0FFCE56F" w:rsidR="00FF070D" w:rsidRDefault="008C04AA" w:rsidP="00A247C5">
      <w:pPr>
        <w:pStyle w:val="Normal3"/>
      </w:pPr>
      <w:r>
        <w:t xml:space="preserve">APP6 </w:t>
      </w:r>
      <w:r w:rsidR="003E55A5">
        <w:t>–</w:t>
      </w:r>
      <w:r w:rsidR="00FF070D" w:rsidRPr="00FF070D">
        <w:t xml:space="preserve"> Methodology</w:t>
      </w:r>
      <w:r w:rsidR="003E55A5">
        <w:t xml:space="preserve"> </w:t>
      </w:r>
      <w:r w:rsidR="00FF070D" w:rsidRPr="00FF070D">
        <w:t>for</w:t>
      </w:r>
      <w:r w:rsidR="003E55A5">
        <w:t xml:space="preserve"> natural hazard</w:t>
      </w:r>
      <w:r w:rsidR="00FF070D" w:rsidRPr="00FF070D">
        <w:t xml:space="preserve"> risk assessment</w:t>
      </w:r>
    </w:p>
    <w:p w14:paraId="3C762F53" w14:textId="2D6E07CF" w:rsidR="00E9552F" w:rsidRDefault="00E9552F" w:rsidP="00DE069C">
      <w:pPr>
        <w:pStyle w:val="Heading4"/>
      </w:pPr>
      <w:bookmarkStart w:id="118" w:name="_Ref53669056"/>
      <w:r>
        <w:t>Current issues</w:t>
      </w:r>
      <w:bookmarkEnd w:id="118"/>
    </w:p>
    <w:p w14:paraId="490EBD6F" w14:textId="021C943C" w:rsidR="00697DE1" w:rsidRPr="00697DE1" w:rsidRDefault="00697DE1" w:rsidP="000B61EC">
      <w:pPr>
        <w:pStyle w:val="Heading5"/>
      </w:pPr>
      <w:r>
        <w:t>Natural hazards</w:t>
      </w:r>
    </w:p>
    <w:p w14:paraId="7E396179" w14:textId="4C723759" w:rsidR="0084542C" w:rsidRDefault="0084542C" w:rsidP="00A247C5">
      <w:pPr>
        <w:pStyle w:val="Normal2"/>
      </w:pPr>
      <w:r>
        <w:t xml:space="preserve">The Otago region is exposed to a wide variety of natural hazards that impact on people, property, </w:t>
      </w:r>
      <w:proofErr w:type="gramStart"/>
      <w:r>
        <w:t>infrastructure</w:t>
      </w:r>
      <w:proofErr w:type="gramEnd"/>
      <w:r>
        <w:t xml:space="preserve"> and the wider environment. </w:t>
      </w:r>
      <w:r w:rsidR="002342EF">
        <w:t>The effects of natural hazards vary in terms of both their likelihood and consequence. Some natural hazards such as flooding may occur relatively frequently and may damage property, whereas natural hazards such as tsunami occur infrequently, but when they do occur, they pose serious risk to life.</w:t>
      </w:r>
    </w:p>
    <w:p w14:paraId="429D61AE" w14:textId="37571F82" w:rsidR="0084542C" w:rsidRPr="004F6BC2" w:rsidRDefault="00F76854" w:rsidP="00A247C5">
      <w:pPr>
        <w:pStyle w:val="Normal2"/>
      </w:pPr>
      <w:r>
        <w:t>It</w:t>
      </w:r>
      <w:r w:rsidR="0084542C">
        <w:t xml:space="preserve"> </w:t>
      </w:r>
      <w:r w:rsidR="00674547">
        <w:t xml:space="preserve">is </w:t>
      </w:r>
      <w:r w:rsidR="0084542C">
        <w:t xml:space="preserve">considered </w:t>
      </w:r>
      <w:r w:rsidR="00674547">
        <w:t>that</w:t>
      </w:r>
      <w:r w:rsidR="0084542C">
        <w:t xml:space="preserve"> </w:t>
      </w:r>
      <w:proofErr w:type="gramStart"/>
      <w:r w:rsidR="0084542C">
        <w:t>the majority of</w:t>
      </w:r>
      <w:proofErr w:type="gramEnd"/>
      <w:r w:rsidR="0084542C">
        <w:t xml:space="preserve"> the provisions within the PORPS 2019 </w:t>
      </w:r>
      <w:r w:rsidR="009D3BB5">
        <w:t xml:space="preserve">regarding </w:t>
      </w:r>
      <w:r w:rsidR="00AE7DC3">
        <w:t xml:space="preserve">natural </w:t>
      </w:r>
      <w:r w:rsidR="009D3BB5">
        <w:t xml:space="preserve">hazards </w:t>
      </w:r>
      <w:r w:rsidR="0084542C">
        <w:t xml:space="preserve">are </w:t>
      </w:r>
      <w:r w:rsidR="00437E79">
        <w:t xml:space="preserve">generally </w:t>
      </w:r>
      <w:r w:rsidR="0084542C">
        <w:t>relevant and appropriate</w:t>
      </w:r>
      <w:r w:rsidR="007A328F">
        <w:t>, being Objective 4.1 and Policies 4.1.1 to 4.1.13</w:t>
      </w:r>
      <w:r w:rsidR="0084542C">
        <w:t xml:space="preserve">. However, the provisions that seek to take a risk-based approach to managing new and existing development could provide a clearer framework as to </w:t>
      </w:r>
      <w:r w:rsidR="0032080F">
        <w:t xml:space="preserve">how the level of risk </w:t>
      </w:r>
      <w:r w:rsidR="00D02CB3">
        <w:t>is determined</w:t>
      </w:r>
      <w:r w:rsidR="00564BCE">
        <w:t>, and</w:t>
      </w:r>
      <w:r w:rsidR="009A688D">
        <w:t xml:space="preserve"> </w:t>
      </w:r>
      <w:r w:rsidR="00D02CB3">
        <w:t xml:space="preserve">clear thresholds as </w:t>
      </w:r>
      <w:r w:rsidR="009A688D">
        <w:t xml:space="preserve">to </w:t>
      </w:r>
      <w:r w:rsidR="00790FD6">
        <w:t xml:space="preserve">when an activity is considered a significant, tolerable, or </w:t>
      </w:r>
      <w:r w:rsidR="005D7046">
        <w:t>acceptable</w:t>
      </w:r>
      <w:r w:rsidR="00790FD6">
        <w:t xml:space="preserve"> risk. </w:t>
      </w:r>
      <w:r w:rsidR="0084542C">
        <w:t xml:space="preserve"> </w:t>
      </w:r>
      <w:r w:rsidR="00766E68">
        <w:t>There is a risk with these provisions that there are inconsistent approaches taken around the region to assessing risk.</w:t>
      </w:r>
    </w:p>
    <w:p w14:paraId="2AB930DF" w14:textId="26865D5C" w:rsidR="00F2361B" w:rsidRPr="00F2361B" w:rsidRDefault="0084542C" w:rsidP="00A247C5">
      <w:pPr>
        <w:pStyle w:val="Normal2"/>
      </w:pPr>
      <w:bookmarkStart w:id="119" w:name="_Hlk41911265"/>
      <w:r>
        <w:t xml:space="preserve">The key issue within </w:t>
      </w:r>
      <w:r w:rsidR="00B61FC2">
        <w:t>the PORPS 2019</w:t>
      </w:r>
      <w:r>
        <w:t xml:space="preserve"> policies is that they introduced concepts such as ‘significant</w:t>
      </w:r>
      <w:r w:rsidR="006F09A5">
        <w:t xml:space="preserve">, tolerable </w:t>
      </w:r>
      <w:r>
        <w:t xml:space="preserve">and </w:t>
      </w:r>
      <w:r w:rsidR="009B1CA5">
        <w:t>low</w:t>
      </w:r>
      <w:r>
        <w:t xml:space="preserve"> risk’, without providing guidance as to how these concepts are to be defined or interpreted. </w:t>
      </w:r>
      <w:r w:rsidR="00041430">
        <w:t xml:space="preserve">It this therefore left to the </w:t>
      </w:r>
      <w:r w:rsidR="00A10E83">
        <w:t>territorial authorities to interpret the direction provi</w:t>
      </w:r>
      <w:r w:rsidR="00C21CD8">
        <w:t xml:space="preserve">ded within the PORPS 2019 </w:t>
      </w:r>
      <w:r w:rsidR="00101A1E">
        <w:t xml:space="preserve">and determine </w:t>
      </w:r>
      <w:r w:rsidR="00C1784B">
        <w:t xml:space="preserve">whether an activity </w:t>
      </w:r>
      <w:r w:rsidR="00504931">
        <w:t xml:space="preserve">would present a </w:t>
      </w:r>
      <w:r w:rsidR="00C1784B">
        <w:t>‘significant ‘tolerable</w:t>
      </w:r>
      <w:r w:rsidR="009D0B77">
        <w:t>’</w:t>
      </w:r>
      <w:r w:rsidR="00C1784B">
        <w:t xml:space="preserve"> or ‘</w:t>
      </w:r>
      <w:r w:rsidR="009D0B77">
        <w:t>low’ risk</w:t>
      </w:r>
      <w:r w:rsidR="00C1784B">
        <w:t xml:space="preserve">. </w:t>
      </w:r>
      <w:r w:rsidR="00101A1E">
        <w:t xml:space="preserve"> </w:t>
      </w:r>
    </w:p>
    <w:p w14:paraId="6CDBB800" w14:textId="52C2E793" w:rsidR="00B3603E" w:rsidRPr="00B3603E" w:rsidRDefault="00616EC4" w:rsidP="000B61EC">
      <w:pPr>
        <w:pStyle w:val="Heading5"/>
      </w:pPr>
      <w:r>
        <w:t xml:space="preserve">Coastal </w:t>
      </w:r>
      <w:r w:rsidR="00A97861">
        <w:t>h</w:t>
      </w:r>
      <w:r>
        <w:t>azards</w:t>
      </w:r>
    </w:p>
    <w:p w14:paraId="7EDE5190" w14:textId="7968F9C5" w:rsidR="00E35FC5" w:rsidRPr="00E35FC5" w:rsidRDefault="00E35FC5" w:rsidP="00A247C5">
      <w:pPr>
        <w:pStyle w:val="Normal2"/>
      </w:pPr>
      <w:r>
        <w:t xml:space="preserve">The </w:t>
      </w:r>
      <w:r w:rsidR="00EE075E">
        <w:t xml:space="preserve">provisions </w:t>
      </w:r>
      <w:r w:rsidR="00DB49BE">
        <w:t>in</w:t>
      </w:r>
      <w:r w:rsidR="00EE075E">
        <w:t xml:space="preserve"> the </w:t>
      </w:r>
      <w:r w:rsidR="00861755">
        <w:t xml:space="preserve">PORPS 2019 do not contain specific direction on the management of coastal hazards. </w:t>
      </w:r>
      <w:r w:rsidR="00AD2D5A">
        <w:t xml:space="preserve">Policy 24 of the NZCPS provide </w:t>
      </w:r>
      <w:r w:rsidR="006C66BB">
        <w:t xml:space="preserve">directive guidance on the identification of coastal hazards, </w:t>
      </w:r>
      <w:r w:rsidR="00A62DD6">
        <w:t xml:space="preserve">and Policy 25 of the NZCPS provides </w:t>
      </w:r>
      <w:r w:rsidR="00576B93">
        <w:t>direction</w:t>
      </w:r>
      <w:r w:rsidR="00A62DD6">
        <w:t xml:space="preserve"> on </w:t>
      </w:r>
      <w:r w:rsidR="00054C03">
        <w:t>managing s</w:t>
      </w:r>
      <w:r w:rsidR="00A62DD6">
        <w:t xml:space="preserve">ubdivision, use, </w:t>
      </w:r>
      <w:r w:rsidR="00A62DD6">
        <w:lastRenderedPageBreak/>
        <w:t>and development in areas of coastal hazard risk</w:t>
      </w:r>
      <w:r w:rsidR="00054C03">
        <w:t xml:space="preserve">. This policy direction is not </w:t>
      </w:r>
      <w:r w:rsidR="00576B93">
        <w:t>reflected in the PORPS 2019</w:t>
      </w:r>
      <w:r w:rsidR="00476D9D">
        <w:t>.</w:t>
      </w:r>
    </w:p>
    <w:p w14:paraId="11ADD05B" w14:textId="77777777" w:rsidR="003F3F60" w:rsidRPr="003F3F60" w:rsidRDefault="00304A80" w:rsidP="000B61EC">
      <w:pPr>
        <w:pStyle w:val="Heading5"/>
      </w:pPr>
      <w:r>
        <w:t xml:space="preserve">Precautionary approach </w:t>
      </w:r>
    </w:p>
    <w:p w14:paraId="023D4CFD" w14:textId="008087CE" w:rsidR="00416240" w:rsidRPr="00416240" w:rsidRDefault="004E7F2E" w:rsidP="00A247C5">
      <w:pPr>
        <w:pStyle w:val="Normal2"/>
      </w:pPr>
      <w:r>
        <w:t xml:space="preserve">Policy 4.1.8 </w:t>
      </w:r>
      <w:r w:rsidR="00F60FBA">
        <w:t>of the PORPS</w:t>
      </w:r>
      <w:r w:rsidR="00720DDE">
        <w:t xml:space="preserve"> </w:t>
      </w:r>
      <w:r w:rsidR="00F60FBA">
        <w:t xml:space="preserve">2019 </w:t>
      </w:r>
      <w:r w:rsidR="00720DDE">
        <w:t>provide</w:t>
      </w:r>
      <w:r w:rsidR="00DB49BE">
        <w:t>s</w:t>
      </w:r>
      <w:r w:rsidR="00720DDE">
        <w:t xml:space="preserve"> direction </w:t>
      </w:r>
      <w:r w:rsidR="00DB49BE">
        <w:t>to</w:t>
      </w:r>
      <w:r w:rsidR="00720DDE">
        <w:t xml:space="preserve"> adopt a p</w:t>
      </w:r>
      <w:r>
        <w:t>recautionary approach to natural hazard risk</w:t>
      </w:r>
      <w:r w:rsidR="00720DDE">
        <w:t xml:space="preserve">. It </w:t>
      </w:r>
      <w:r w:rsidR="009337B3">
        <w:t>requires</w:t>
      </w:r>
      <w:r w:rsidR="00720DDE">
        <w:t xml:space="preserve"> </w:t>
      </w:r>
      <w:r w:rsidR="009337B3">
        <w:t xml:space="preserve">a precautionary approach to identifying, </w:t>
      </w:r>
      <w:proofErr w:type="gramStart"/>
      <w:r w:rsidR="009337B3">
        <w:t>assessing</w:t>
      </w:r>
      <w:proofErr w:type="gramEnd"/>
      <w:r w:rsidR="009337B3">
        <w:t xml:space="preserve"> and managing</w:t>
      </w:r>
      <w:r w:rsidR="00720DDE">
        <w:t xml:space="preserve"> that </w:t>
      </w:r>
      <w:r w:rsidR="009337B3">
        <w:t>risk w</w:t>
      </w:r>
      <w:r>
        <w:t>here natural hazard risk to people and communities is uncertain or unknown, but potentially</w:t>
      </w:r>
      <w:r w:rsidR="009337B3">
        <w:t xml:space="preserve"> </w:t>
      </w:r>
      <w:r>
        <w:t>significant or irreversible</w:t>
      </w:r>
      <w:r w:rsidR="00634D5E">
        <w:t>.</w:t>
      </w:r>
      <w:r>
        <w:t xml:space="preserve"> </w:t>
      </w:r>
      <w:r w:rsidR="00D85F3F">
        <w:t xml:space="preserve">This policy direction replicates the </w:t>
      </w:r>
      <w:r w:rsidR="00A655EF">
        <w:t>requirement within Policy 3 of the NZCPS</w:t>
      </w:r>
      <w:r w:rsidR="002907AE">
        <w:t xml:space="preserve">. </w:t>
      </w:r>
      <w:r w:rsidR="00827822">
        <w:t xml:space="preserve">While it </w:t>
      </w:r>
      <w:r w:rsidR="00476D9D">
        <w:t>provides</w:t>
      </w:r>
      <w:r w:rsidR="00827822">
        <w:t xml:space="preserve"> </w:t>
      </w:r>
      <w:r w:rsidR="003A07EE">
        <w:t xml:space="preserve">some guidance on when to adopt a precautionary approach, it does not </w:t>
      </w:r>
      <w:r w:rsidR="00D151E9">
        <w:t xml:space="preserve">prescribe actions to be taken to </w:t>
      </w:r>
      <w:r w:rsidR="00616EC4">
        <w:t xml:space="preserve">implement the precautionary approach. </w:t>
      </w:r>
    </w:p>
    <w:p w14:paraId="7EBB01F0" w14:textId="77777777" w:rsidR="00FF0BBA" w:rsidRPr="00FD484C" w:rsidRDefault="00207D46" w:rsidP="000B61EC">
      <w:pPr>
        <w:pStyle w:val="Heading5"/>
      </w:pPr>
      <w:r w:rsidRPr="00FD484C">
        <w:t>Existing use rights</w:t>
      </w:r>
    </w:p>
    <w:p w14:paraId="19C3290E" w14:textId="60D9C075" w:rsidR="00207D46" w:rsidRPr="004F6BC2" w:rsidRDefault="00207D46" w:rsidP="00A247C5">
      <w:pPr>
        <w:pStyle w:val="Normal2"/>
      </w:pPr>
      <w:r>
        <w:t>Section 10(1) of the RMA addresses existing use rights for land use. Under this section, land may be used in a manner that contravenes a rule in a district plan or proposed district plan if both:</w:t>
      </w:r>
    </w:p>
    <w:p w14:paraId="6F0ABD06" w14:textId="77777777" w:rsidR="00207D46" w:rsidRPr="004F6BC2" w:rsidRDefault="00207D46" w:rsidP="004806D3">
      <w:pPr>
        <w:pStyle w:val="ListParagraph"/>
        <w:numPr>
          <w:ilvl w:val="0"/>
          <w:numId w:val="29"/>
        </w:numPr>
        <w:ind w:left="1276" w:hanging="567"/>
      </w:pPr>
      <w:r w:rsidRPr="004F6BC2">
        <w:t>the use was lawfully established before the rule became operative or the proposed plan was notified</w:t>
      </w:r>
    </w:p>
    <w:p w14:paraId="0A027F33" w14:textId="77777777" w:rsidR="00207D46" w:rsidRPr="004F6BC2" w:rsidRDefault="00207D46" w:rsidP="004806D3">
      <w:pPr>
        <w:pStyle w:val="ListParagraph"/>
        <w:numPr>
          <w:ilvl w:val="0"/>
          <w:numId w:val="29"/>
        </w:numPr>
        <w:ind w:left="1276" w:hanging="567"/>
      </w:pPr>
      <w:r w:rsidRPr="004F6BC2">
        <w:t xml:space="preserve">the effects of the use are the same or similar in character, </w:t>
      </w:r>
      <w:proofErr w:type="gramStart"/>
      <w:r w:rsidRPr="004F6BC2">
        <w:t>intensity</w:t>
      </w:r>
      <w:proofErr w:type="gramEnd"/>
      <w:r w:rsidRPr="004F6BC2">
        <w:t xml:space="preserve"> and scale.</w:t>
      </w:r>
    </w:p>
    <w:p w14:paraId="1CD69049" w14:textId="2F1F24EC" w:rsidR="00207D46" w:rsidRPr="004F6BC2" w:rsidRDefault="00207D46" w:rsidP="00A247C5">
      <w:pPr>
        <w:pStyle w:val="Normal2"/>
      </w:pPr>
      <w:r>
        <w:t xml:space="preserve">However, section 10(4) of the RMA specifies that these </w:t>
      </w:r>
      <w:r w:rsidR="00E322FE">
        <w:t>‘</w:t>
      </w:r>
      <w:r>
        <w:t>existing use rights</w:t>
      </w:r>
      <w:r w:rsidR="00E322FE">
        <w:t>’</w:t>
      </w:r>
      <w:r>
        <w:t xml:space="preserve"> do not apply to any use of land that is </w:t>
      </w:r>
      <w:r w:rsidR="00B45EF9">
        <w:t>controlled under</w:t>
      </w:r>
      <w:r>
        <w:t xml:space="preserve"> section 30(1)(c). This section empowers regional councils to control the use of land for, among other things, the avoidance or mitigation of natural hazards. Regional councils are therefore able to take steps to avoid the effect of natural hazards</w:t>
      </w:r>
      <w:r w:rsidR="00471A8E">
        <w:t xml:space="preserve"> </w:t>
      </w:r>
      <w:r w:rsidR="009819D3">
        <w:t>by managing existing u</w:t>
      </w:r>
      <w:r>
        <w:t>s</w:t>
      </w:r>
      <w:r w:rsidR="009819D3">
        <w:t>e rights</w:t>
      </w:r>
      <w:r>
        <w:t xml:space="preserve">. </w:t>
      </w:r>
    </w:p>
    <w:p w14:paraId="6E6A024E" w14:textId="2DCEAB92" w:rsidR="00207D46" w:rsidRPr="004F6BC2" w:rsidRDefault="00207D46" w:rsidP="00A247C5">
      <w:pPr>
        <w:pStyle w:val="Normal2"/>
      </w:pPr>
      <w:r>
        <w:t>Section 20</w:t>
      </w:r>
      <w:proofErr w:type="gramStart"/>
      <w:r>
        <w:t>A(</w:t>
      </w:r>
      <w:proofErr w:type="gramEnd"/>
      <w:r>
        <w:t xml:space="preserve">2) </w:t>
      </w:r>
      <w:r w:rsidR="00216AE3">
        <w:t>of the RMA</w:t>
      </w:r>
      <w:r>
        <w:t xml:space="preserve"> requires that if a rule comes into force under an operative regional plan requiring an activity to have resource consent, the person carrying out the activity must apply for a resource consent within six months of the date the rule becomes. The effect of this section is that all existing uses, which may now require a resource consent by virtue of a new regional plan, should be put before the regional council by way of an application for resource consent. In this manner, the regional council can manage any adverse effect of the activity and either allow it to continue by way of a resource consent (possibly subject to conditions) or decline the application.</w:t>
      </w:r>
    </w:p>
    <w:p w14:paraId="73E7569B" w14:textId="3D8C45C8" w:rsidR="00207D46" w:rsidRPr="004F6BC2" w:rsidRDefault="00207D46" w:rsidP="00A247C5">
      <w:pPr>
        <w:pStyle w:val="Normal2"/>
      </w:pPr>
      <w:r>
        <w:t>The concept of extinguishing existing use rights is embedded within the PORPS 2019. Method 2.3 states that the regional council may, at the request of city or district councils:</w:t>
      </w:r>
    </w:p>
    <w:p w14:paraId="0CF26449" w14:textId="77777777" w:rsidR="00207D46" w:rsidRPr="004F6BC2" w:rsidRDefault="00207D46" w:rsidP="004806D3">
      <w:pPr>
        <w:pStyle w:val="ListParagraph"/>
        <w:numPr>
          <w:ilvl w:val="0"/>
          <w:numId w:val="29"/>
        </w:numPr>
        <w:ind w:left="1276" w:hanging="567"/>
      </w:pPr>
      <w:r w:rsidRPr="004F6BC2">
        <w:t xml:space="preserve">Make a regional rule for the purpose of extinguishing existing use rights under Section 10 of the RMA to address natural hazard </w:t>
      </w:r>
      <w:proofErr w:type="gramStart"/>
      <w:r w:rsidRPr="004F6BC2">
        <w:t>risk;</w:t>
      </w:r>
      <w:proofErr w:type="gramEnd"/>
    </w:p>
    <w:p w14:paraId="49FDEE41" w14:textId="77777777" w:rsidR="00207D46" w:rsidRPr="004F6BC2" w:rsidRDefault="00207D46" w:rsidP="004806D3">
      <w:pPr>
        <w:pStyle w:val="ListParagraph"/>
        <w:numPr>
          <w:ilvl w:val="0"/>
          <w:numId w:val="29"/>
        </w:numPr>
        <w:ind w:left="1276" w:hanging="567"/>
      </w:pPr>
      <w:r w:rsidRPr="004F6BC2">
        <w:t>Delegate the administration of that regional rule to the city or district council.</w:t>
      </w:r>
    </w:p>
    <w:p w14:paraId="70D2C14D" w14:textId="0114840D" w:rsidR="00207D46" w:rsidRPr="004F6BC2" w:rsidRDefault="00207D46" w:rsidP="00A247C5">
      <w:pPr>
        <w:pStyle w:val="Normal2"/>
      </w:pPr>
      <w:r>
        <w:t>Further, Method 4.2.8 associated with the management of natural hazard risk states that City and District Councils may request that the regional council develop a regional rule for the purpose of extinguishing existing use rights under Section 10 of the RMA to address specific natural hazard risk.</w:t>
      </w:r>
      <w:r w:rsidR="000E3A3D">
        <w:t xml:space="preserve"> </w:t>
      </w:r>
      <w:r>
        <w:t xml:space="preserve">However, no further guidance is provided as to when a specific natural hazard risk would be considered significant enough to warrant </w:t>
      </w:r>
      <w:r w:rsidR="0011237C">
        <w:t>a</w:t>
      </w:r>
      <w:r>
        <w:t xml:space="preserve"> </w:t>
      </w:r>
      <w:r w:rsidR="0011237C">
        <w:t>d</w:t>
      </w:r>
      <w:r>
        <w:t xml:space="preserve">istrict </w:t>
      </w:r>
      <w:r w:rsidR="0011237C">
        <w:t>c</w:t>
      </w:r>
      <w:r>
        <w:t xml:space="preserve">ouncil requesting that the regional council develop a rule </w:t>
      </w:r>
      <w:bookmarkStart w:id="120" w:name="_Hlk41578738"/>
      <w:r>
        <w:t>that extinguishes existing use rights</w:t>
      </w:r>
      <w:bookmarkEnd w:id="120"/>
      <w:r>
        <w:t>.</w:t>
      </w:r>
    </w:p>
    <w:p w14:paraId="18E525ED" w14:textId="27E257F7" w:rsidR="00FF0BBA" w:rsidRPr="00FD484C" w:rsidRDefault="00FC6C46" w:rsidP="000B61EC">
      <w:pPr>
        <w:pStyle w:val="Heading5"/>
      </w:pPr>
      <w:r w:rsidRPr="00FD484C">
        <w:lastRenderedPageBreak/>
        <w:t xml:space="preserve">Climate </w:t>
      </w:r>
      <w:r w:rsidR="00697DE1">
        <w:t>c</w:t>
      </w:r>
      <w:r w:rsidRPr="00FD484C">
        <w:t>hange</w:t>
      </w:r>
    </w:p>
    <w:p w14:paraId="7602EE12" w14:textId="0C801369" w:rsidR="009529AA" w:rsidRPr="004F6BC2" w:rsidRDefault="00186C39" w:rsidP="00A247C5">
      <w:pPr>
        <w:pStyle w:val="Normal2"/>
      </w:pPr>
      <w:r>
        <w:t>The</w:t>
      </w:r>
      <w:r w:rsidR="009529AA">
        <w:t xml:space="preserve"> provisions within the PORPS 2019 regarding climate change </w:t>
      </w:r>
      <w:proofErr w:type="gramStart"/>
      <w:r w:rsidR="009529AA">
        <w:t>are</w:t>
      </w:r>
      <w:r>
        <w:t xml:space="preserve"> considered to be</w:t>
      </w:r>
      <w:proofErr w:type="gramEnd"/>
      <w:r w:rsidR="009529AA">
        <w:t xml:space="preserve"> </w:t>
      </w:r>
      <w:r w:rsidR="00773327">
        <w:t>largely</w:t>
      </w:r>
      <w:r w:rsidR="009529AA">
        <w:t xml:space="preserve"> appropriate</w:t>
      </w:r>
      <w:r w:rsidR="00891C02">
        <w:t xml:space="preserve"> as they relate to </w:t>
      </w:r>
      <w:r w:rsidR="00773327">
        <w:t>the management of natural hazard</w:t>
      </w:r>
      <w:r w:rsidR="00FB3FF3">
        <w:t>s</w:t>
      </w:r>
      <w:r w:rsidR="009529AA">
        <w:t>, being Objective 4.2 and Policies 4.2.1 to 4.2.2.</w:t>
      </w:r>
      <w:r w:rsidR="00C43683">
        <w:t xml:space="preserve"> </w:t>
      </w:r>
      <w:r w:rsidR="005D2894">
        <w:t xml:space="preserve">As such, </w:t>
      </w:r>
      <w:r w:rsidR="00CC4705">
        <w:t xml:space="preserve">the content of the climate change provisions have been retained within the </w:t>
      </w:r>
      <w:r w:rsidR="00E81F7F">
        <w:t>PORPS 2021</w:t>
      </w:r>
      <w:r w:rsidR="006A0200">
        <w:t xml:space="preserve">, </w:t>
      </w:r>
      <w:r w:rsidR="005D2FE7">
        <w:t xml:space="preserve">albeit that </w:t>
      </w:r>
      <w:r w:rsidR="00E61810">
        <w:t xml:space="preserve">the location of the provisions </w:t>
      </w:r>
      <w:proofErr w:type="gramStart"/>
      <w:r w:rsidR="00114706">
        <w:t>have</w:t>
      </w:r>
      <w:proofErr w:type="gramEnd"/>
      <w:r w:rsidR="00E61810">
        <w:t xml:space="preserve"> been modified to fit the </w:t>
      </w:r>
      <w:r w:rsidR="00114706">
        <w:t>revised RPS structure</w:t>
      </w:r>
      <w:r w:rsidR="00E740EA">
        <w:t xml:space="preserve">, and some of the </w:t>
      </w:r>
      <w:r w:rsidR="00E531CB">
        <w:t xml:space="preserve">directive </w:t>
      </w:r>
      <w:r w:rsidR="00E740EA">
        <w:t xml:space="preserve">content within the polices has been </w:t>
      </w:r>
      <w:r w:rsidR="00E531CB">
        <w:t>moved to the methods</w:t>
      </w:r>
      <w:r w:rsidR="00114706">
        <w:t>.</w:t>
      </w:r>
      <w:r w:rsidR="00773327">
        <w:t xml:space="preserve"> </w:t>
      </w:r>
      <w:r w:rsidR="00773356">
        <w:t xml:space="preserve">It is noted that </w:t>
      </w:r>
      <w:r w:rsidR="007F1AB9">
        <w:t xml:space="preserve">the </w:t>
      </w:r>
      <w:r>
        <w:rPr>
          <w:i/>
          <w:iCs/>
        </w:rPr>
        <w:t xml:space="preserve">IM – Integrated management </w:t>
      </w:r>
      <w:r w:rsidR="007F1AB9">
        <w:t>chapter of the PO</w:t>
      </w:r>
      <w:r w:rsidR="00C45828">
        <w:t>RPS</w:t>
      </w:r>
      <w:r w:rsidR="009959FE">
        <w:t xml:space="preserve"> </w:t>
      </w:r>
      <w:r w:rsidR="00C45828">
        <w:t xml:space="preserve">2021 </w:t>
      </w:r>
      <w:r w:rsidR="009105E4">
        <w:t xml:space="preserve">provides additional guidance on </w:t>
      </w:r>
      <w:r w:rsidR="00C202F0">
        <w:t>the broader effects of</w:t>
      </w:r>
      <w:r w:rsidR="009105E4">
        <w:t xml:space="preserve"> </w:t>
      </w:r>
      <w:r w:rsidR="00CF1A53">
        <w:t xml:space="preserve">climate </w:t>
      </w:r>
      <w:r w:rsidR="005B080F">
        <w:t>change</w:t>
      </w:r>
      <w:r w:rsidR="002D50D5">
        <w:t>.</w:t>
      </w:r>
      <w:r w:rsidR="005B080F">
        <w:t xml:space="preserve"> </w:t>
      </w:r>
    </w:p>
    <w:bookmarkEnd w:id="119"/>
    <w:p w14:paraId="7DC1F8EF" w14:textId="1ACC9D69" w:rsidR="00E9552F" w:rsidRDefault="00E9552F" w:rsidP="00DE069C">
      <w:pPr>
        <w:pStyle w:val="Heading4"/>
      </w:pPr>
      <w:r>
        <w:t>Objectives</w:t>
      </w:r>
    </w:p>
    <w:p w14:paraId="31201618" w14:textId="56B44866" w:rsidR="00AF3C16" w:rsidRDefault="00AF3C16" w:rsidP="00A247C5">
      <w:pPr>
        <w:pStyle w:val="Normal2"/>
      </w:pPr>
      <w:r>
        <w:t>Section 32(1)(b) requires examining whether the provisions in the proposal are the most appropriate way of achieving the objectives. The relevant objectives for this topic are</w:t>
      </w:r>
      <w:r w:rsidR="003C5947">
        <w:t xml:space="preserve"> included in </w:t>
      </w:r>
      <w:r>
        <w:fldChar w:fldCharType="begin"/>
      </w:r>
      <w:r>
        <w:instrText xml:space="preserve"> REF _Ref54002816 \h </w:instrText>
      </w:r>
      <w:r>
        <w:fldChar w:fldCharType="separate"/>
      </w:r>
      <w:r w:rsidR="002A7A16">
        <w:t xml:space="preserve">Table </w:t>
      </w:r>
      <w:r w:rsidR="002A7A16">
        <w:rPr>
          <w:noProof/>
        </w:rPr>
        <w:t>50</w:t>
      </w:r>
      <w:r>
        <w:fldChar w:fldCharType="end"/>
      </w:r>
      <w:r w:rsidR="003C5947">
        <w:t xml:space="preserve"> below.</w:t>
      </w:r>
    </w:p>
    <w:p w14:paraId="057D8926" w14:textId="41E276B7" w:rsidR="00697DE1" w:rsidRDefault="00697DE1" w:rsidP="007B1F8E">
      <w:pPr>
        <w:pStyle w:val="Caption"/>
        <w:keepNext/>
        <w:ind w:left="709"/>
      </w:pPr>
      <w:bookmarkStart w:id="121" w:name="_Ref54002816"/>
      <w:r>
        <w:t xml:space="preserve">Table </w:t>
      </w:r>
      <w:r>
        <w:fldChar w:fldCharType="begin"/>
      </w:r>
      <w:r>
        <w:instrText>SEQ Table \* ARABIC</w:instrText>
      </w:r>
      <w:r>
        <w:fldChar w:fldCharType="separate"/>
      </w:r>
      <w:r w:rsidR="002A7A16">
        <w:rPr>
          <w:noProof/>
        </w:rPr>
        <w:t>50</w:t>
      </w:r>
      <w:r>
        <w:fldChar w:fldCharType="end"/>
      </w:r>
      <w:bookmarkEnd w:id="121"/>
      <w:r w:rsidR="007B1F8E">
        <w:t>: Natural hazards objective</w:t>
      </w:r>
    </w:p>
    <w:tbl>
      <w:tblPr>
        <w:tblStyle w:val="TableGrid"/>
        <w:tblW w:w="0" w:type="auto"/>
        <w:tblInd w:w="720" w:type="dxa"/>
        <w:tblLook w:val="04A0" w:firstRow="1" w:lastRow="0" w:firstColumn="1" w:lastColumn="0" w:noHBand="0" w:noVBand="1"/>
      </w:tblPr>
      <w:tblGrid>
        <w:gridCol w:w="2677"/>
        <w:gridCol w:w="5619"/>
      </w:tblGrid>
      <w:tr w:rsidR="00697DE1" w14:paraId="5C066422" w14:textId="77777777" w:rsidTr="00E77177">
        <w:tc>
          <w:tcPr>
            <w:tcW w:w="2677" w:type="dxa"/>
          </w:tcPr>
          <w:p w14:paraId="5E1596BF" w14:textId="1DB2E7DD" w:rsidR="00697DE1" w:rsidRPr="00512FDE" w:rsidRDefault="007B1F8E" w:rsidP="00A247C5">
            <w:pPr>
              <w:pStyle w:val="Table1"/>
            </w:pPr>
            <w:r w:rsidRPr="00512FDE">
              <w:t>HAZ</w:t>
            </w:r>
            <w:r w:rsidR="00186C39" w:rsidRPr="00512FDE">
              <w:t>–</w:t>
            </w:r>
            <w:r w:rsidRPr="00512FDE">
              <w:t>NH</w:t>
            </w:r>
            <w:r w:rsidR="00186C39" w:rsidRPr="00512FDE">
              <w:t>–</w:t>
            </w:r>
            <w:r w:rsidRPr="00512FDE">
              <w:t xml:space="preserve">O1 </w:t>
            </w:r>
            <w:r w:rsidR="00512FDE" w:rsidRPr="00512FDE">
              <w:t xml:space="preserve">– </w:t>
            </w:r>
            <w:r w:rsidRPr="00512FDE">
              <w:t>Natural hazards</w:t>
            </w:r>
          </w:p>
        </w:tc>
        <w:tc>
          <w:tcPr>
            <w:tcW w:w="5619" w:type="dxa"/>
          </w:tcPr>
          <w:p w14:paraId="7D45060F" w14:textId="575F7AA5" w:rsidR="00697DE1" w:rsidRPr="00186C39" w:rsidRDefault="001B69D9" w:rsidP="00186C39">
            <w:pPr>
              <w:spacing w:line="256" w:lineRule="auto"/>
              <w:jc w:val="both"/>
              <w:rPr>
                <w:rFonts w:ascii="Calibri" w:eastAsia="Calibri" w:hAnsi="Calibri" w:cs="Times New Roman"/>
                <w:sz w:val="20"/>
                <w:szCs w:val="20"/>
              </w:rPr>
            </w:pPr>
            <w:bookmarkStart w:id="122" w:name="_Hlk66882087"/>
            <w:r w:rsidRPr="00186C39">
              <w:rPr>
                <w:rFonts w:ascii="Calibri" w:eastAsia="Calibri" w:hAnsi="Calibri" w:cs="Times New Roman"/>
                <w:sz w:val="20"/>
                <w:szCs w:val="20"/>
              </w:rPr>
              <w:t xml:space="preserve">Levels of </w:t>
            </w:r>
            <w:r w:rsidRPr="00186C39">
              <w:rPr>
                <w:rFonts w:ascii="Calibri" w:eastAsia="Calibri" w:hAnsi="Calibri" w:cs="Times New Roman"/>
                <w:i/>
                <w:iCs/>
                <w:sz w:val="20"/>
                <w:szCs w:val="20"/>
              </w:rPr>
              <w:t>risk</w:t>
            </w:r>
            <w:r w:rsidRPr="00186C39">
              <w:rPr>
                <w:rFonts w:ascii="Calibri" w:eastAsia="Calibri" w:hAnsi="Calibri" w:cs="Times New Roman"/>
                <w:sz w:val="20"/>
                <w:szCs w:val="20"/>
              </w:rPr>
              <w:t xml:space="preserve"> from </w:t>
            </w:r>
            <w:r w:rsidRPr="00186C39">
              <w:rPr>
                <w:rFonts w:ascii="Calibri" w:eastAsia="Calibri" w:hAnsi="Calibri" w:cs="Times New Roman"/>
                <w:i/>
                <w:iCs/>
                <w:sz w:val="20"/>
                <w:szCs w:val="20"/>
              </w:rPr>
              <w:t>natural hazards</w:t>
            </w:r>
            <w:r w:rsidRPr="00186C39">
              <w:rPr>
                <w:rFonts w:ascii="Calibri" w:eastAsia="Calibri" w:hAnsi="Calibri" w:cs="Times New Roman"/>
                <w:sz w:val="20"/>
                <w:szCs w:val="20"/>
              </w:rPr>
              <w:t xml:space="preserve"> </w:t>
            </w:r>
            <w:bookmarkEnd w:id="122"/>
            <w:r w:rsidRPr="00186C39">
              <w:rPr>
                <w:rFonts w:ascii="Calibri" w:eastAsia="Calibri" w:hAnsi="Calibri" w:cs="Times New Roman"/>
                <w:sz w:val="20"/>
                <w:szCs w:val="20"/>
              </w:rPr>
              <w:t xml:space="preserve">risks to </w:t>
            </w:r>
            <w:bookmarkStart w:id="123" w:name="_Hlk71550747"/>
            <w:r w:rsidRPr="00186C39">
              <w:rPr>
                <w:rFonts w:ascii="Calibri" w:eastAsia="Calibri" w:hAnsi="Calibri" w:cs="Times New Roman"/>
                <w:sz w:val="20"/>
                <w:szCs w:val="20"/>
              </w:rPr>
              <w:t xml:space="preserve">people, property and </w:t>
            </w:r>
            <w:bookmarkEnd w:id="123"/>
            <w:r w:rsidRPr="00186C39">
              <w:rPr>
                <w:rFonts w:ascii="Calibri" w:eastAsia="Calibri" w:hAnsi="Calibri" w:cs="Times New Roman"/>
                <w:sz w:val="20"/>
                <w:szCs w:val="20"/>
              </w:rPr>
              <w:t>communities within Otago do not exceed a tolerable level.</w:t>
            </w:r>
          </w:p>
        </w:tc>
      </w:tr>
      <w:tr w:rsidR="00B45EF9" w14:paraId="1F3CF91B" w14:textId="77777777" w:rsidTr="00E77177">
        <w:tc>
          <w:tcPr>
            <w:tcW w:w="2677" w:type="dxa"/>
          </w:tcPr>
          <w:p w14:paraId="29A0A476" w14:textId="7559AC6F" w:rsidR="00B45EF9" w:rsidRPr="00512FDE" w:rsidRDefault="00B45EF9" w:rsidP="00A247C5">
            <w:pPr>
              <w:pStyle w:val="Table1"/>
            </w:pPr>
            <w:r w:rsidRPr="00512FDE">
              <w:t>HAZ</w:t>
            </w:r>
            <w:r w:rsidR="00186C39" w:rsidRPr="00512FDE">
              <w:t>–</w:t>
            </w:r>
            <w:r w:rsidRPr="00512FDE">
              <w:t>NH</w:t>
            </w:r>
            <w:r w:rsidR="00186C39" w:rsidRPr="00512FDE">
              <w:t>–</w:t>
            </w:r>
            <w:r w:rsidRPr="00512FDE">
              <w:t xml:space="preserve">O2 </w:t>
            </w:r>
            <w:r w:rsidR="00512FDE" w:rsidRPr="00512FDE">
              <w:t xml:space="preserve">– </w:t>
            </w:r>
            <w:r w:rsidRPr="00512FDE">
              <w:t>Adaption</w:t>
            </w:r>
          </w:p>
        </w:tc>
        <w:tc>
          <w:tcPr>
            <w:tcW w:w="5619" w:type="dxa"/>
          </w:tcPr>
          <w:p w14:paraId="12D20CAD" w14:textId="641F1BA7" w:rsidR="00B45EF9" w:rsidRPr="00AB0890" w:rsidRDefault="001F395D" w:rsidP="00A247C5">
            <w:pPr>
              <w:pStyle w:val="Table1"/>
            </w:pPr>
            <w:r w:rsidRPr="003D1C57">
              <w:t xml:space="preserve">Otago’s </w:t>
            </w:r>
            <w:r w:rsidRPr="002B031F">
              <w:t xml:space="preserve">people, property and </w:t>
            </w:r>
            <w:r w:rsidRPr="003D1C57">
              <w:t xml:space="preserve">communities are prepared for and able to adapt to the </w:t>
            </w:r>
            <w:r w:rsidRPr="006C1F01">
              <w:rPr>
                <w:i/>
                <w:iCs/>
              </w:rPr>
              <w:t>effects</w:t>
            </w:r>
            <w:r w:rsidRPr="003D1C57">
              <w:t xml:space="preserve"> of </w:t>
            </w:r>
            <w:r>
              <w:t xml:space="preserve">natural hazards, including </w:t>
            </w:r>
            <w:r w:rsidRPr="003D1C57">
              <w:rPr>
                <w:i/>
                <w:iCs/>
              </w:rPr>
              <w:t>climate change</w:t>
            </w:r>
            <w:r w:rsidRPr="003D1C57">
              <w:t>.</w:t>
            </w:r>
          </w:p>
        </w:tc>
      </w:tr>
    </w:tbl>
    <w:p w14:paraId="34E2DB54" w14:textId="75CFBA10" w:rsidR="00E9552F" w:rsidRDefault="00E9552F" w:rsidP="00DE069C">
      <w:pPr>
        <w:pStyle w:val="Heading4"/>
      </w:pPr>
      <w:r>
        <w:t>Reasonably practicable options</w:t>
      </w:r>
    </w:p>
    <w:p w14:paraId="68BF5F3A" w14:textId="0C1C0055" w:rsidR="00AF3C16" w:rsidRDefault="004D6615" w:rsidP="00A247C5">
      <w:pPr>
        <w:pStyle w:val="Normal2"/>
      </w:pPr>
      <w:r>
        <w:t>Three</w:t>
      </w:r>
      <w:r w:rsidR="00AF3C16">
        <w:t xml:space="preserve"> reasonably practicable options were identified to achieve the objectives:</w:t>
      </w:r>
    </w:p>
    <w:p w14:paraId="10B51003" w14:textId="745E8F7A" w:rsidR="00AF3C16" w:rsidRPr="007B1F8E" w:rsidRDefault="00AF3C16" w:rsidP="00A247C5">
      <w:pPr>
        <w:pStyle w:val="Normal3"/>
      </w:pPr>
      <w:r w:rsidRPr="00145A5C">
        <w:rPr>
          <w:b/>
          <w:bCs/>
        </w:rPr>
        <w:t>Option 1:</w:t>
      </w:r>
      <w:r>
        <w:t xml:space="preserve"> </w:t>
      </w:r>
      <w:r w:rsidRPr="007B1F8E">
        <w:t>Status quo (PORPS 2019)</w:t>
      </w:r>
    </w:p>
    <w:p w14:paraId="7E04E9B2" w14:textId="581252E2" w:rsidR="00E9552F" w:rsidRDefault="00AF3C16" w:rsidP="00A247C5">
      <w:pPr>
        <w:pStyle w:val="Normal3"/>
      </w:pPr>
      <w:r w:rsidRPr="29589E8D">
        <w:rPr>
          <w:b/>
          <w:bCs/>
        </w:rPr>
        <w:t>Option 2:</w:t>
      </w:r>
      <w:r>
        <w:t xml:space="preserve"> </w:t>
      </w:r>
      <w:r w:rsidR="00E81F7F">
        <w:t>PORPS 2021</w:t>
      </w:r>
      <w:r w:rsidR="00FB3FF3">
        <w:t xml:space="preserve"> – </w:t>
      </w:r>
      <w:r w:rsidR="00FB3FF3">
        <w:rPr>
          <w:i/>
          <w:iCs/>
        </w:rPr>
        <w:t xml:space="preserve">preferred </w:t>
      </w:r>
    </w:p>
    <w:p w14:paraId="6666B3E1" w14:textId="3D09E7F6" w:rsidR="001F3E19" w:rsidRDefault="001F3E19" w:rsidP="00A247C5">
      <w:pPr>
        <w:pStyle w:val="Normal3"/>
      </w:pPr>
      <w:r w:rsidRPr="29589E8D">
        <w:rPr>
          <w:b/>
          <w:bCs/>
        </w:rPr>
        <w:t xml:space="preserve">Option </w:t>
      </w:r>
      <w:r w:rsidR="00460DD3" w:rsidRPr="29589E8D">
        <w:rPr>
          <w:b/>
          <w:bCs/>
        </w:rPr>
        <w:t>3</w:t>
      </w:r>
      <w:r w:rsidRPr="29589E8D">
        <w:rPr>
          <w:b/>
          <w:bCs/>
        </w:rPr>
        <w:t>:</w:t>
      </w:r>
      <w:r>
        <w:t xml:space="preserve"> PORPS 2021 </w:t>
      </w:r>
      <w:r w:rsidR="00460DD3">
        <w:t>with generic risk table</w:t>
      </w:r>
    </w:p>
    <w:p w14:paraId="1D865D1C" w14:textId="77777777" w:rsidR="00E9552F" w:rsidRDefault="00E9552F" w:rsidP="000B61EC">
      <w:pPr>
        <w:pStyle w:val="Heading5"/>
      </w:pPr>
      <w:r>
        <w:t>Option 1: Status quo</w:t>
      </w:r>
    </w:p>
    <w:p w14:paraId="7269165D" w14:textId="6ADCEC7B" w:rsidR="00E802D2" w:rsidRPr="00E802D2" w:rsidRDefault="002E4310" w:rsidP="00A247C5">
      <w:pPr>
        <w:pStyle w:val="Normal2"/>
      </w:pPr>
      <w:r>
        <w:t xml:space="preserve">The status quo and associated issues are outlined in section </w:t>
      </w:r>
      <w:r>
        <w:fldChar w:fldCharType="begin"/>
      </w:r>
      <w:r>
        <w:instrText xml:space="preserve"> REF _Ref53669056 \r \h </w:instrText>
      </w:r>
      <w:r>
        <w:fldChar w:fldCharType="separate"/>
      </w:r>
      <w:r w:rsidR="002A7A16">
        <w:t>5.10.2.2</w:t>
      </w:r>
      <w:r>
        <w:fldChar w:fldCharType="end"/>
      </w:r>
      <w:r>
        <w:t xml:space="preserve">. As outlined in that section, the status quo is </w:t>
      </w:r>
      <w:r w:rsidR="00B15BC3">
        <w:t xml:space="preserve">generally appropriate, but lacking detail </w:t>
      </w:r>
      <w:r w:rsidR="00451382">
        <w:t>o</w:t>
      </w:r>
      <w:r w:rsidR="00606408">
        <w:t>n</w:t>
      </w:r>
      <w:r w:rsidR="00FA0922">
        <w:t>:</w:t>
      </w:r>
      <w:r w:rsidR="00606408">
        <w:t xml:space="preserve"> </w:t>
      </w:r>
    </w:p>
    <w:p w14:paraId="2F8C6020" w14:textId="77777777" w:rsidR="00F65565" w:rsidRPr="00F65565" w:rsidRDefault="00452CC3" w:rsidP="00A247C5">
      <w:pPr>
        <w:pStyle w:val="Normal3"/>
      </w:pPr>
      <w:r w:rsidRPr="007B1F8E">
        <w:t>h</w:t>
      </w:r>
      <w:r w:rsidR="00F41FA5" w:rsidRPr="007B1F8E">
        <w:t xml:space="preserve">ow </w:t>
      </w:r>
      <w:r w:rsidRPr="007B1F8E">
        <w:t xml:space="preserve">to </w:t>
      </w:r>
      <w:r w:rsidR="00212587" w:rsidRPr="007B1F8E">
        <w:t xml:space="preserve">determine </w:t>
      </w:r>
      <w:r w:rsidR="00B121CE" w:rsidRPr="007B1F8E">
        <w:t xml:space="preserve">the </w:t>
      </w:r>
      <w:r w:rsidR="00316E85" w:rsidRPr="007B1F8E">
        <w:t xml:space="preserve">natural </w:t>
      </w:r>
      <w:r w:rsidR="008A7F7B" w:rsidRPr="007B1F8E">
        <w:t>hazard risk associated with an activity</w:t>
      </w:r>
      <w:r w:rsidR="003A2B60" w:rsidRPr="007B1F8E">
        <w:t>, including</w:t>
      </w:r>
      <w:r w:rsidR="008A7F7B" w:rsidRPr="007B1F8E">
        <w:t xml:space="preserve"> </w:t>
      </w:r>
      <w:r w:rsidR="00726BC8" w:rsidRPr="007B1F8E">
        <w:t xml:space="preserve">thresholds for determining </w:t>
      </w:r>
      <w:r w:rsidR="00475A91" w:rsidRPr="007B1F8E">
        <w:t>what would be considered a</w:t>
      </w:r>
      <w:r w:rsidR="00606408" w:rsidRPr="007B1F8E">
        <w:t xml:space="preserve"> </w:t>
      </w:r>
      <w:r w:rsidR="00EB6158" w:rsidRPr="007B1F8E">
        <w:t>significant</w:t>
      </w:r>
      <w:r w:rsidR="00723072" w:rsidRPr="007B1F8E">
        <w:t>,</w:t>
      </w:r>
      <w:r w:rsidR="00475A91" w:rsidRPr="007B1F8E">
        <w:t xml:space="preserve"> tolerable</w:t>
      </w:r>
      <w:r w:rsidR="00723072" w:rsidRPr="007B1F8E">
        <w:t xml:space="preserve">, or </w:t>
      </w:r>
      <w:r w:rsidR="00DE5990">
        <w:t>acceptable</w:t>
      </w:r>
      <w:r w:rsidR="00475A91" w:rsidRPr="007B1F8E">
        <w:t xml:space="preserve"> </w:t>
      </w:r>
      <w:proofErr w:type="gramStart"/>
      <w:r w:rsidR="00EB6158" w:rsidRPr="007B1F8E">
        <w:t>risk</w:t>
      </w:r>
      <w:r w:rsidR="00FA0922" w:rsidRPr="007B1F8E">
        <w:t>;</w:t>
      </w:r>
      <w:proofErr w:type="gramEnd"/>
    </w:p>
    <w:p w14:paraId="1CA9A512" w14:textId="0F114ACB" w:rsidR="001F3302" w:rsidRDefault="00F81995" w:rsidP="00A247C5">
      <w:pPr>
        <w:pStyle w:val="Normal3"/>
      </w:pPr>
      <w:r>
        <w:t>assessing and managing coastal hazards:</w:t>
      </w:r>
    </w:p>
    <w:p w14:paraId="47BCEEA7" w14:textId="0E7E6737" w:rsidR="00451382" w:rsidRPr="007B1F8E" w:rsidRDefault="005714DE" w:rsidP="00A247C5">
      <w:pPr>
        <w:pStyle w:val="Normal3"/>
      </w:pPr>
      <w:r w:rsidRPr="005714DE">
        <w:t>actions to be taken to implement the precautionary approach</w:t>
      </w:r>
      <w:r w:rsidR="001F3302">
        <w:t>;</w:t>
      </w:r>
      <w:r w:rsidR="00FA0922" w:rsidRPr="007B1F8E">
        <w:t xml:space="preserve"> </w:t>
      </w:r>
      <w:r w:rsidR="002A019C" w:rsidRPr="007B1F8E">
        <w:t>and</w:t>
      </w:r>
    </w:p>
    <w:p w14:paraId="0DFD2573" w14:textId="4AC19F5F" w:rsidR="002E4310" w:rsidRPr="007B1F8E" w:rsidRDefault="003E06FE" w:rsidP="00A247C5">
      <w:pPr>
        <w:pStyle w:val="Normal3"/>
      </w:pPr>
      <w:r>
        <w:t xml:space="preserve">when a specific natural hazard risk would be considered significant enough to warrant </w:t>
      </w:r>
      <w:r w:rsidR="00CE725A">
        <w:t>a</w:t>
      </w:r>
      <w:r>
        <w:t xml:space="preserve"> </w:t>
      </w:r>
      <w:r w:rsidR="00CE725A">
        <w:t>d</w:t>
      </w:r>
      <w:r>
        <w:t xml:space="preserve">istrict </w:t>
      </w:r>
      <w:r w:rsidR="00CE725A">
        <w:t>c</w:t>
      </w:r>
      <w:r>
        <w:t>ouncil requesting that the regional council develop a rule that extinguishes existing use rights</w:t>
      </w:r>
      <w:r w:rsidR="002E4310">
        <w:t>.</w:t>
      </w:r>
      <w:r w:rsidR="00CE725A">
        <w:t xml:space="preserve"> </w:t>
      </w:r>
    </w:p>
    <w:p w14:paraId="36A2A5A6" w14:textId="25FECEC0" w:rsidR="00E9552F" w:rsidRPr="00FB3FF3" w:rsidRDefault="00E9552F" w:rsidP="000B61EC">
      <w:pPr>
        <w:pStyle w:val="Heading5"/>
        <w:rPr>
          <w:i/>
          <w:iCs/>
        </w:rPr>
      </w:pPr>
      <w:r>
        <w:t xml:space="preserve">Option 2: </w:t>
      </w:r>
      <w:r w:rsidR="00E81F7F">
        <w:t>PORPS 2021</w:t>
      </w:r>
      <w:r w:rsidR="00FB3FF3">
        <w:t xml:space="preserve"> – </w:t>
      </w:r>
      <w:r w:rsidR="00FB3FF3">
        <w:rPr>
          <w:i/>
          <w:iCs/>
        </w:rPr>
        <w:t xml:space="preserve">preferred </w:t>
      </w:r>
    </w:p>
    <w:p w14:paraId="52E437D2" w14:textId="141F2F60" w:rsidR="007F5D41" w:rsidRPr="00826ABA" w:rsidRDefault="00451382" w:rsidP="00A247C5">
      <w:pPr>
        <w:pStyle w:val="Normal2"/>
        <w:rPr>
          <w:color w:val="4472C4" w:themeColor="accent1"/>
        </w:rPr>
      </w:pPr>
      <w:r>
        <w:t xml:space="preserve">The </w:t>
      </w:r>
      <w:r w:rsidR="00E81F7F">
        <w:t>PORPS 2021</w:t>
      </w:r>
      <w:r>
        <w:t xml:space="preserve"> proposes </w:t>
      </w:r>
      <w:r w:rsidR="00DF604E">
        <w:t>specific policy direct</w:t>
      </w:r>
      <w:r w:rsidR="00191848">
        <w:t>ion</w:t>
      </w:r>
      <w:r>
        <w:t xml:space="preserve"> to</w:t>
      </w:r>
      <w:r w:rsidR="00922B5E">
        <w:t xml:space="preserve"> address the current gaps in the PORPS 201</w:t>
      </w:r>
      <w:r w:rsidR="00BF3B93">
        <w:t>9</w:t>
      </w:r>
      <w:r w:rsidR="00BF70DB">
        <w:t>, while retaining the</w:t>
      </w:r>
      <w:r w:rsidR="00BF3B93">
        <w:t xml:space="preserve"> </w:t>
      </w:r>
      <w:r w:rsidR="002E02A8">
        <w:t>overarching</w:t>
      </w:r>
      <w:r w:rsidR="004F2023">
        <w:t xml:space="preserve"> </w:t>
      </w:r>
      <w:r w:rsidR="002E02A8">
        <w:t>direction</w:t>
      </w:r>
      <w:r w:rsidR="004F2023">
        <w:t xml:space="preserve"> included within the </w:t>
      </w:r>
      <w:r w:rsidR="006E5F24">
        <w:t>PORPS 2019</w:t>
      </w:r>
      <w:r w:rsidR="002E02A8">
        <w:t xml:space="preserve">. </w:t>
      </w:r>
    </w:p>
    <w:p w14:paraId="7CAFD993" w14:textId="50471489" w:rsidR="009253F6" w:rsidRPr="009253F6" w:rsidRDefault="009253F6" w:rsidP="00971401">
      <w:pPr>
        <w:pStyle w:val="Heading6"/>
      </w:pPr>
      <w:r w:rsidRPr="009253F6">
        <w:t>Natural hazard risk assessment</w:t>
      </w:r>
    </w:p>
    <w:p w14:paraId="6D864DA1" w14:textId="375D7A91" w:rsidR="00584910" w:rsidRDefault="00584910" w:rsidP="00A247C5">
      <w:pPr>
        <w:pStyle w:val="Normal2"/>
      </w:pPr>
      <w:r w:rsidRPr="29589E8D">
        <w:rPr>
          <w:rFonts w:eastAsia="Calibri"/>
        </w:rPr>
        <w:t>HAZ</w:t>
      </w:r>
      <w:r w:rsidR="003E1023">
        <w:t>–</w:t>
      </w:r>
      <w:r w:rsidRPr="29589E8D">
        <w:rPr>
          <w:rFonts w:eastAsia="Calibri"/>
        </w:rPr>
        <w:t>NH</w:t>
      </w:r>
      <w:r w:rsidR="003E1023">
        <w:t>–</w:t>
      </w:r>
      <w:r w:rsidRPr="29589E8D">
        <w:rPr>
          <w:rFonts w:eastAsia="Calibri"/>
        </w:rPr>
        <w:t xml:space="preserve">P1 requires that </w:t>
      </w:r>
      <w:r w:rsidRPr="29589E8D">
        <w:rPr>
          <w:lang w:eastAsia="en-NZ"/>
        </w:rPr>
        <w:t xml:space="preserve">areas where natural hazards may adversely affect Otago’s communities are identified. This direction is the same as that within Policy </w:t>
      </w:r>
      <w:r>
        <w:t>4.1.1 of the PORPS</w:t>
      </w:r>
      <w:r w:rsidR="00E93A58">
        <w:t xml:space="preserve"> </w:t>
      </w:r>
      <w:r>
        <w:lastRenderedPageBreak/>
        <w:t xml:space="preserve">2019. </w:t>
      </w:r>
      <w:r w:rsidR="006B7AC7">
        <w:t xml:space="preserve">This direction is supported by </w:t>
      </w:r>
      <w:r w:rsidR="004273FE">
        <w:t>HAZ</w:t>
      </w:r>
      <w:r w:rsidR="00E15927">
        <w:t>–</w:t>
      </w:r>
      <w:r w:rsidR="004273FE">
        <w:t>NH</w:t>
      </w:r>
      <w:r w:rsidR="00E15927">
        <w:t>–</w:t>
      </w:r>
      <w:r w:rsidR="004273FE">
        <w:t xml:space="preserve">M1 </w:t>
      </w:r>
      <w:r w:rsidR="00E87F80">
        <w:t xml:space="preserve">which </w:t>
      </w:r>
      <w:r w:rsidR="004273FE">
        <w:t>set</w:t>
      </w:r>
      <w:r w:rsidR="00E93A58">
        <w:t>s</w:t>
      </w:r>
      <w:r w:rsidR="004273FE">
        <w:t xml:space="preserve"> out </w:t>
      </w:r>
      <w:r w:rsidR="00781CB4">
        <w:t xml:space="preserve">who is </w:t>
      </w:r>
      <w:r w:rsidR="006D4316">
        <w:t xml:space="preserve">responsible for </w:t>
      </w:r>
      <w:r w:rsidR="003C4101">
        <w:t>the control of land use to avoid or mitigate natural hazard</w:t>
      </w:r>
      <w:r w:rsidR="00B500C0">
        <w:t xml:space="preserve">s. </w:t>
      </w:r>
      <w:r w:rsidR="003C4101">
        <w:t xml:space="preserve"> </w:t>
      </w:r>
      <w:r w:rsidR="000A67AF">
        <w:t>In addition,</w:t>
      </w:r>
      <w:r w:rsidR="00B500C0">
        <w:t xml:space="preserve"> HAZ</w:t>
      </w:r>
      <w:r w:rsidR="00E15927">
        <w:t>–</w:t>
      </w:r>
      <w:r w:rsidR="00B500C0">
        <w:t>NH</w:t>
      </w:r>
      <w:r w:rsidR="00E15927">
        <w:t>–</w:t>
      </w:r>
      <w:r w:rsidR="00B500C0">
        <w:t>M2</w:t>
      </w:r>
      <w:r w:rsidR="004E778E">
        <w:t>(4)</w:t>
      </w:r>
      <w:r w:rsidR="00B500C0">
        <w:t xml:space="preserve"> </w:t>
      </w:r>
      <w:r w:rsidR="00E87F80">
        <w:t xml:space="preserve">provides </w:t>
      </w:r>
      <w:r w:rsidR="00B3231A">
        <w:t xml:space="preserve">detail as to </w:t>
      </w:r>
      <w:r w:rsidR="00787AAC">
        <w:t xml:space="preserve">how </w:t>
      </w:r>
      <w:r w:rsidR="003B05E9">
        <w:t>climate change and sea</w:t>
      </w:r>
      <w:r w:rsidR="00187B71">
        <w:t xml:space="preserve"> level rise predictions </w:t>
      </w:r>
      <w:r w:rsidR="007C58B6">
        <w:t xml:space="preserve">are to be incorporated into the identification process. </w:t>
      </w:r>
    </w:p>
    <w:p w14:paraId="555CC928" w14:textId="65576AB4" w:rsidR="00626EA1" w:rsidRPr="00626EA1" w:rsidRDefault="001C709E" w:rsidP="00A247C5">
      <w:pPr>
        <w:pStyle w:val="Normal2"/>
      </w:pPr>
      <w:proofErr w:type="gramStart"/>
      <w:r>
        <w:t>In order to</w:t>
      </w:r>
      <w:proofErr w:type="gramEnd"/>
      <w:r>
        <w:t xml:space="preserve"> provide </w:t>
      </w:r>
      <w:r w:rsidR="00196AC2">
        <w:t xml:space="preserve">more </w:t>
      </w:r>
      <w:r w:rsidR="002A7891">
        <w:t xml:space="preserve">direction </w:t>
      </w:r>
      <w:r w:rsidR="00BF06E7">
        <w:t xml:space="preserve">as to how the natural hazard risk associated with an activity </w:t>
      </w:r>
      <w:r w:rsidR="00AE63F3">
        <w:t>should be determined</w:t>
      </w:r>
      <w:r w:rsidR="00084829">
        <w:t xml:space="preserve"> and </w:t>
      </w:r>
      <w:r w:rsidR="00823BAB">
        <w:t>what</w:t>
      </w:r>
      <w:r w:rsidR="00626EA1">
        <w:t xml:space="preserve"> thresholds </w:t>
      </w:r>
      <w:r w:rsidR="00E946F1">
        <w:t xml:space="preserve">should be used to </w:t>
      </w:r>
      <w:r w:rsidR="00626EA1">
        <w:t>determ</w:t>
      </w:r>
      <w:r w:rsidR="00E946F1">
        <w:t>ine</w:t>
      </w:r>
      <w:r w:rsidR="00626EA1">
        <w:t xml:space="preserve"> a significant</w:t>
      </w:r>
      <w:r w:rsidR="009510D9">
        <w:t>,</w:t>
      </w:r>
      <w:r w:rsidR="00626EA1">
        <w:t xml:space="preserve"> tolerable</w:t>
      </w:r>
      <w:r w:rsidR="00370037">
        <w:t>,</w:t>
      </w:r>
      <w:r w:rsidR="00626EA1">
        <w:t xml:space="preserve"> </w:t>
      </w:r>
      <w:r w:rsidR="009510D9">
        <w:t xml:space="preserve">or </w:t>
      </w:r>
      <w:r w:rsidR="00E6756E">
        <w:t>acceptable</w:t>
      </w:r>
      <w:r w:rsidR="009510D9">
        <w:t xml:space="preserve"> </w:t>
      </w:r>
      <w:r w:rsidR="00626EA1">
        <w:t>risk</w:t>
      </w:r>
      <w:r w:rsidR="006E5F24">
        <w:t xml:space="preserve">, </w:t>
      </w:r>
      <w:r w:rsidR="00B9108B">
        <w:t>HAZ</w:t>
      </w:r>
      <w:r w:rsidR="00E15927">
        <w:t>–</w:t>
      </w:r>
      <w:r w:rsidR="00B9108B">
        <w:t>NH</w:t>
      </w:r>
      <w:r w:rsidR="00E15927">
        <w:t>–</w:t>
      </w:r>
      <w:r w:rsidR="00B9108B">
        <w:t xml:space="preserve">P2 </w:t>
      </w:r>
      <w:r w:rsidR="00FB35E5">
        <w:t xml:space="preserve">requires </w:t>
      </w:r>
      <w:r w:rsidR="003E72D8">
        <w:t xml:space="preserve">that the level of natural hazard risk is determined by assessing the likelihood of a natural hazard event occurring and its potential consequences in accordance with the criteria set out within APP5. </w:t>
      </w:r>
      <w:r w:rsidR="00EC7492">
        <w:t>A</w:t>
      </w:r>
      <w:r w:rsidR="006E5F24">
        <w:t xml:space="preserve"> new </w:t>
      </w:r>
      <w:r w:rsidR="004031BB">
        <w:t xml:space="preserve">appendix </w:t>
      </w:r>
      <w:r w:rsidR="00AF309D">
        <w:t xml:space="preserve">APP5 </w:t>
      </w:r>
      <w:r w:rsidR="00887600">
        <w:t>–</w:t>
      </w:r>
      <w:r w:rsidR="00AF309D">
        <w:t xml:space="preserve"> </w:t>
      </w:r>
      <w:r w:rsidR="002844CA">
        <w:t>Methodology</w:t>
      </w:r>
      <w:r w:rsidR="00887600">
        <w:t xml:space="preserve"> for natural hazard risk assessment </w:t>
      </w:r>
      <w:r w:rsidR="006E5F24">
        <w:t xml:space="preserve">has been included within the </w:t>
      </w:r>
      <w:r w:rsidR="00E81F7F">
        <w:t>PORPS 2021</w:t>
      </w:r>
      <w:r w:rsidR="000F73B1">
        <w:t>.</w:t>
      </w:r>
    </w:p>
    <w:p w14:paraId="310277BD" w14:textId="01524546" w:rsidR="00EF3D98" w:rsidRPr="00EF3D98" w:rsidRDefault="00F63F96" w:rsidP="00A247C5">
      <w:pPr>
        <w:pStyle w:val="Normal2"/>
      </w:pPr>
      <w:r>
        <w:t>APP6</w:t>
      </w:r>
      <w:r w:rsidR="007D771A">
        <w:t xml:space="preserve"> is derived from Policies </w:t>
      </w:r>
      <w:r w:rsidR="00310D3E">
        <w:t xml:space="preserve">4.1.2, 4.1.3, </w:t>
      </w:r>
      <w:r w:rsidR="005328CD">
        <w:t>and 4.1.4</w:t>
      </w:r>
      <w:r w:rsidR="007D771A">
        <w:t xml:space="preserve"> </w:t>
      </w:r>
      <w:r w:rsidR="005328CD">
        <w:t xml:space="preserve">of </w:t>
      </w:r>
      <w:r w:rsidR="007D4228">
        <w:t>the</w:t>
      </w:r>
      <w:r w:rsidR="005328CD">
        <w:t xml:space="preserve"> </w:t>
      </w:r>
      <w:r w:rsidR="005328CD" w:rsidRPr="00A823D1">
        <w:t>PORPS 2019</w:t>
      </w:r>
      <w:r w:rsidR="00D477E2">
        <w:t xml:space="preserve"> </w:t>
      </w:r>
      <w:proofErr w:type="gramStart"/>
      <w:r w:rsidR="00D477E2">
        <w:t>and also</w:t>
      </w:r>
      <w:proofErr w:type="gramEnd"/>
      <w:r w:rsidR="00D477E2">
        <w:t xml:space="preserve"> </w:t>
      </w:r>
      <w:r w:rsidR="002D7AB4">
        <w:t xml:space="preserve">broadly </w:t>
      </w:r>
      <w:r w:rsidR="00D477E2">
        <w:t xml:space="preserve">follows the </w:t>
      </w:r>
      <w:r w:rsidR="000A246F">
        <w:t xml:space="preserve">risk-based </w:t>
      </w:r>
      <w:r w:rsidR="00875E6B">
        <w:t xml:space="preserve">approach </w:t>
      </w:r>
      <w:r w:rsidR="002F0F2D">
        <w:t>set out</w:t>
      </w:r>
      <w:r w:rsidR="00E03838">
        <w:t xml:space="preserve"> by</w:t>
      </w:r>
      <w:r w:rsidR="008079B4">
        <w:t xml:space="preserve"> G</w:t>
      </w:r>
      <w:r w:rsidR="00B47DAE">
        <w:t xml:space="preserve">NS Science </w:t>
      </w:r>
      <w:sdt>
        <w:sdtPr>
          <w:id w:val="1591654523"/>
          <w:citation/>
        </w:sdtPr>
        <w:sdtContent>
          <w:r w:rsidR="00E03838">
            <w:fldChar w:fldCharType="begin"/>
          </w:r>
          <w:r w:rsidR="00E03838">
            <w:instrText xml:space="preserve">CITATION WSA13 \l 5129 </w:instrText>
          </w:r>
          <w:r w:rsidR="00E03838">
            <w:fldChar w:fldCharType="separate"/>
          </w:r>
          <w:r w:rsidR="00E03838">
            <w:rPr>
              <w:noProof/>
            </w:rPr>
            <w:t>(Saunders, Beban, &amp; Kilvington, 2013)</w:t>
          </w:r>
          <w:r w:rsidR="00E03838">
            <w:fldChar w:fldCharType="end"/>
          </w:r>
        </w:sdtContent>
      </w:sdt>
      <w:r w:rsidR="005328CD">
        <w:t>.</w:t>
      </w:r>
      <w:r w:rsidR="007D771A">
        <w:t xml:space="preserve"> </w:t>
      </w:r>
      <w:r w:rsidR="007F7BE5">
        <w:t xml:space="preserve">The </w:t>
      </w:r>
      <w:r w:rsidR="00CD34D3">
        <w:t>schedule</w:t>
      </w:r>
      <w:r w:rsidR="007F7BE5">
        <w:t xml:space="preserve"> </w:t>
      </w:r>
      <w:r w:rsidR="000572D1">
        <w:t>sets out</w:t>
      </w:r>
      <w:r w:rsidR="00EF3D98">
        <w:t xml:space="preserve"> a </w:t>
      </w:r>
      <w:r w:rsidR="00834A41">
        <w:t>four</w:t>
      </w:r>
      <w:r w:rsidR="003A0396" w:rsidRPr="00EF3D98">
        <w:t>-</w:t>
      </w:r>
      <w:r w:rsidR="00EF3D98" w:rsidRPr="00EF3D98">
        <w:t>step process to determine the natural hazard risk associated with an activity</w:t>
      </w:r>
      <w:r w:rsidR="00091720">
        <w:t xml:space="preserve">. </w:t>
      </w:r>
      <w:r w:rsidR="009106CE">
        <w:t xml:space="preserve">The </w:t>
      </w:r>
      <w:r w:rsidR="00834A41">
        <w:t xml:space="preserve">four </w:t>
      </w:r>
      <w:r w:rsidR="00FE1968">
        <w:t xml:space="preserve">step-identification process </w:t>
      </w:r>
      <w:r w:rsidR="008F6D6A">
        <w:t xml:space="preserve">is </w:t>
      </w:r>
      <w:r w:rsidR="00FE1968">
        <w:t>as follows</w:t>
      </w:r>
      <w:r w:rsidR="000A2B40" w:rsidRPr="00AA06AB">
        <w:t>:</w:t>
      </w:r>
      <w:r w:rsidR="00EF3D98" w:rsidRPr="00AA06AB">
        <w:t xml:space="preserve"> </w:t>
      </w:r>
    </w:p>
    <w:p w14:paraId="3328EDAF" w14:textId="2F2DDB81" w:rsidR="00060629" w:rsidRDefault="00CB2C37" w:rsidP="00A247C5">
      <w:pPr>
        <w:pStyle w:val="Normal3"/>
      </w:pPr>
      <w:r>
        <w:t xml:space="preserve">The first step </w:t>
      </w:r>
      <w:r w:rsidR="00F41FA8">
        <w:t>involves</w:t>
      </w:r>
      <w:r w:rsidR="00435598">
        <w:t xml:space="preserve"> </w:t>
      </w:r>
      <w:r w:rsidR="00060629">
        <w:t xml:space="preserve">evaluating the likelihood of </w:t>
      </w:r>
      <w:r w:rsidR="00506DB5" w:rsidRPr="00506DB5">
        <w:t>three natural hazard scenarios occurring, representing a high likelihood, median likelihood, and the maximum credible event, using the best available information</w:t>
      </w:r>
      <w:r w:rsidR="00630445">
        <w:t>.</w:t>
      </w:r>
      <w:r w:rsidR="00060629">
        <w:t xml:space="preserve"> </w:t>
      </w:r>
      <w:r w:rsidR="00630445">
        <w:t>T</w:t>
      </w:r>
      <w:r w:rsidR="00060629">
        <w:t>he likelihood of an event occurring is assessed using a table that lists a range of likelihood from ‘Almost certain’ to ‘Rare’.</w:t>
      </w:r>
      <w:r w:rsidR="003A7623" w:rsidRPr="003A7623">
        <w:t xml:space="preserve"> </w:t>
      </w:r>
      <w:r w:rsidR="003A7623">
        <w:t xml:space="preserve">The </w:t>
      </w:r>
      <w:r w:rsidR="00A44923">
        <w:t>likelihood</w:t>
      </w:r>
      <w:r w:rsidR="003A7623">
        <w:t xml:space="preserve"> thresholds set out within the table have adopted the thresholds set out </w:t>
      </w:r>
      <w:r w:rsidR="00E03838">
        <w:t xml:space="preserve">by GNS Science </w:t>
      </w:r>
      <w:sdt>
        <w:sdtPr>
          <w:id w:val="-1939442199"/>
          <w:citation/>
        </w:sdtPr>
        <w:sdtContent>
          <w:r w:rsidR="00E03838">
            <w:fldChar w:fldCharType="begin"/>
          </w:r>
          <w:r w:rsidR="00E03838">
            <w:instrText xml:space="preserve"> CITATION WSA13 \l 5129 </w:instrText>
          </w:r>
          <w:r w:rsidR="00E03838">
            <w:fldChar w:fldCharType="separate"/>
          </w:r>
          <w:r w:rsidR="00E03838">
            <w:rPr>
              <w:noProof/>
            </w:rPr>
            <w:t>(Saunders, Beban, &amp; Kilvington, 2013)</w:t>
          </w:r>
          <w:r w:rsidR="00E03838">
            <w:fldChar w:fldCharType="end"/>
          </w:r>
        </w:sdtContent>
      </w:sdt>
      <w:r w:rsidR="003A7623">
        <w:t xml:space="preserve"> </w:t>
      </w:r>
      <w:r w:rsidR="00E03838">
        <w:t xml:space="preserve">and are </w:t>
      </w:r>
      <w:r w:rsidR="003A7623">
        <w:t>based on</w:t>
      </w:r>
      <w:r w:rsidR="00E03838">
        <w:t xml:space="preserve"> additional</w:t>
      </w:r>
      <w:r w:rsidR="003A7623">
        <w:t xml:space="preserve"> technical advice provided by GNS science</w:t>
      </w:r>
      <w:r w:rsidR="001572B9">
        <w:t xml:space="preserve"> </w:t>
      </w:r>
      <w:r w:rsidR="00DF6F2A">
        <w:t>attached as A</w:t>
      </w:r>
      <w:r w:rsidR="00354456">
        <w:t>ppendix</w:t>
      </w:r>
      <w:r w:rsidR="00764287">
        <w:t xml:space="preserve"> </w:t>
      </w:r>
      <w:r w:rsidR="00472857">
        <w:t>19</w:t>
      </w:r>
      <w:r w:rsidR="003A7623">
        <w:t xml:space="preserve">.  </w:t>
      </w:r>
    </w:p>
    <w:p w14:paraId="53F6DD3A" w14:textId="62E0F711" w:rsidR="00053734" w:rsidRPr="004903E7" w:rsidRDefault="0042485A" w:rsidP="00A247C5">
      <w:pPr>
        <w:pStyle w:val="Normal3"/>
      </w:pPr>
      <w:r>
        <w:t xml:space="preserve">The </w:t>
      </w:r>
      <w:r w:rsidR="00A90086">
        <w:t xml:space="preserve">second step involves </w:t>
      </w:r>
      <w:r w:rsidR="00F41FA8">
        <w:t xml:space="preserve">determining </w:t>
      </w:r>
      <w:r w:rsidR="00FB3FF3">
        <w:t xml:space="preserve">the </w:t>
      </w:r>
      <w:r w:rsidR="00FB2624" w:rsidRPr="002F57F4">
        <w:rPr>
          <w:rFonts w:ascii="Calibri" w:eastAsia="Times New Roman" w:hAnsi="Calibri" w:cs="Times New Roman"/>
          <w:lang w:eastAsia="en-NZ"/>
        </w:rPr>
        <w:t xml:space="preserve">consequence of </w:t>
      </w:r>
      <w:r w:rsidR="00531EC6">
        <w:rPr>
          <w:rFonts w:ascii="Calibri" w:eastAsia="Times New Roman" w:hAnsi="Calibri" w:cs="Times New Roman"/>
          <w:lang w:eastAsia="en-NZ"/>
        </w:rPr>
        <w:t>the</w:t>
      </w:r>
      <w:r w:rsidR="00531EC6" w:rsidRPr="002F57F4">
        <w:rPr>
          <w:rFonts w:ascii="Calibri" w:eastAsia="Times New Roman" w:hAnsi="Calibri" w:cs="Times New Roman"/>
          <w:lang w:eastAsia="en-NZ"/>
        </w:rPr>
        <w:t xml:space="preserve"> </w:t>
      </w:r>
      <w:r w:rsidR="00FB2624" w:rsidRPr="29589E8D">
        <w:rPr>
          <w:rFonts w:ascii="Calibri" w:eastAsia="Times New Roman" w:hAnsi="Calibri" w:cs="Times New Roman"/>
          <w:i/>
          <w:iCs/>
          <w:lang w:eastAsia="en-NZ"/>
        </w:rPr>
        <w:t>natural hazard</w:t>
      </w:r>
      <w:r w:rsidR="00FB2624" w:rsidRPr="002F57F4">
        <w:rPr>
          <w:rFonts w:ascii="Calibri" w:eastAsia="Times New Roman" w:hAnsi="Calibri" w:cs="Times New Roman"/>
          <w:lang w:eastAsia="en-NZ"/>
        </w:rPr>
        <w:t xml:space="preserve"> </w:t>
      </w:r>
      <w:r w:rsidR="00685EAF" w:rsidRPr="00506DB5">
        <w:t>scenarios</w:t>
      </w:r>
      <w:r w:rsidR="007601C2">
        <w:rPr>
          <w:rFonts w:ascii="Calibri" w:eastAsia="Times New Roman" w:hAnsi="Calibri" w:cs="Times New Roman"/>
          <w:lang w:eastAsia="en-NZ"/>
        </w:rPr>
        <w:t xml:space="preserve"> occurring</w:t>
      </w:r>
      <w:r w:rsidR="00ED425E">
        <w:t xml:space="preserve">. </w:t>
      </w:r>
      <w:r w:rsidR="009401A9">
        <w:t xml:space="preserve">The </w:t>
      </w:r>
      <w:r w:rsidR="009401A9" w:rsidRPr="002F57F4">
        <w:rPr>
          <w:rFonts w:ascii="Calibri" w:eastAsia="Times New Roman" w:hAnsi="Calibri" w:cs="Times New Roman"/>
          <w:lang w:eastAsia="en-NZ"/>
        </w:rPr>
        <w:t xml:space="preserve">consequence </w:t>
      </w:r>
      <w:r w:rsidR="009401A9">
        <w:t xml:space="preserve">of an event occurring is assessed using a table that lists a range of </w:t>
      </w:r>
      <w:r w:rsidR="00002B19" w:rsidRPr="002F57F4">
        <w:rPr>
          <w:rFonts w:ascii="Calibri" w:eastAsia="Times New Roman" w:hAnsi="Calibri" w:cs="Times New Roman"/>
          <w:lang w:eastAsia="en-NZ"/>
        </w:rPr>
        <w:t>consequence</w:t>
      </w:r>
      <w:r w:rsidR="009401A9" w:rsidRPr="002F57F4">
        <w:rPr>
          <w:rFonts w:ascii="Calibri" w:eastAsia="Times New Roman" w:hAnsi="Calibri" w:cs="Times New Roman"/>
          <w:lang w:eastAsia="en-NZ"/>
        </w:rPr>
        <w:t xml:space="preserve"> </w:t>
      </w:r>
      <w:r w:rsidR="00BF4322" w:rsidRPr="00BF4322">
        <w:rPr>
          <w:rFonts w:ascii="Calibri" w:eastAsia="Times New Roman" w:hAnsi="Calibri" w:cs="Times New Roman"/>
          <w:lang w:eastAsia="en-NZ"/>
        </w:rPr>
        <w:t xml:space="preserve">ranging from </w:t>
      </w:r>
      <w:r w:rsidR="009401A9">
        <w:t>‘</w:t>
      </w:r>
      <w:r w:rsidR="00CC724D" w:rsidRPr="00CC724D">
        <w:t>catastrophic</w:t>
      </w:r>
      <w:r w:rsidR="00BF4322">
        <w:t>’</w:t>
      </w:r>
      <w:r w:rsidR="009401A9">
        <w:t xml:space="preserve"> to ‘</w:t>
      </w:r>
      <w:r w:rsidR="00CC724D" w:rsidRPr="00CC724D">
        <w:t>insignificant</w:t>
      </w:r>
      <w:r w:rsidR="00BF4322">
        <w:t>’.</w:t>
      </w:r>
      <w:r w:rsidR="00053734">
        <w:t xml:space="preserve"> </w:t>
      </w:r>
      <w:r w:rsidR="004C787A">
        <w:t>Th</w:t>
      </w:r>
      <w:r w:rsidR="008C764D">
        <w:t>e</w:t>
      </w:r>
      <w:r w:rsidR="004C787A">
        <w:t xml:space="preserve"> </w:t>
      </w:r>
      <w:r w:rsidR="008C764D">
        <w:t xml:space="preserve">consequence </w:t>
      </w:r>
      <w:r w:rsidR="00F33744">
        <w:t xml:space="preserve">thresholds set out within the </w:t>
      </w:r>
      <w:r w:rsidR="00532FB7">
        <w:t xml:space="preserve">table have </w:t>
      </w:r>
      <w:r w:rsidR="003A7623">
        <w:t xml:space="preserve">also </w:t>
      </w:r>
      <w:r w:rsidR="00C60167">
        <w:t xml:space="preserve">adopted the thresholds set out </w:t>
      </w:r>
      <w:r w:rsidR="00E03838">
        <w:t>by</w:t>
      </w:r>
      <w:r w:rsidR="00C60167">
        <w:t xml:space="preserve"> GNS Science</w:t>
      </w:r>
      <w:r w:rsidR="00E03838">
        <w:t xml:space="preserve"> </w:t>
      </w:r>
      <w:sdt>
        <w:sdtPr>
          <w:id w:val="1717085638"/>
          <w:citation/>
        </w:sdtPr>
        <w:sdtContent>
          <w:r w:rsidR="00E03838">
            <w:fldChar w:fldCharType="begin"/>
          </w:r>
          <w:r w:rsidR="00E03838">
            <w:instrText xml:space="preserve"> CITATION WSA13 \l 5129 </w:instrText>
          </w:r>
          <w:r w:rsidR="00E03838">
            <w:fldChar w:fldCharType="separate"/>
          </w:r>
          <w:r w:rsidR="00E03838">
            <w:rPr>
              <w:noProof/>
            </w:rPr>
            <w:t>(Saunders, Beban, &amp; Kilvington, 2013)</w:t>
          </w:r>
          <w:r w:rsidR="00E03838">
            <w:fldChar w:fldCharType="end"/>
          </w:r>
        </w:sdtContent>
      </w:sdt>
      <w:r w:rsidR="00C60167">
        <w:t xml:space="preserve"> </w:t>
      </w:r>
      <w:r w:rsidR="00E03838">
        <w:t xml:space="preserve">and are </w:t>
      </w:r>
      <w:r w:rsidR="00C60167">
        <w:t xml:space="preserve">based on </w:t>
      </w:r>
      <w:r w:rsidR="00E03838">
        <w:t xml:space="preserve">additional </w:t>
      </w:r>
      <w:r w:rsidR="00C60167">
        <w:t>technical advice provided by GNS science</w:t>
      </w:r>
      <w:r w:rsidR="00DD7873">
        <w:t xml:space="preserve"> </w:t>
      </w:r>
      <w:r w:rsidR="00DF6F2A">
        <w:t>attached as Appendix 19.</w:t>
      </w:r>
      <w:r w:rsidR="00C60167">
        <w:t xml:space="preserve"> </w:t>
      </w:r>
      <w:r w:rsidR="008C764D">
        <w:t xml:space="preserve"> </w:t>
      </w:r>
    </w:p>
    <w:p w14:paraId="1CCFBE15" w14:textId="6EF2DB66" w:rsidR="00A9764E" w:rsidRDefault="008521F9" w:rsidP="00A247C5">
      <w:pPr>
        <w:pStyle w:val="Normal3"/>
      </w:pPr>
      <w:r>
        <w:t xml:space="preserve">The </w:t>
      </w:r>
      <w:r w:rsidR="00834A41">
        <w:t>third</w:t>
      </w:r>
      <w:r>
        <w:t xml:space="preserve"> step </w:t>
      </w:r>
      <w:r w:rsidR="00EB45BB">
        <w:t xml:space="preserve">involves </w:t>
      </w:r>
      <w:r w:rsidR="00EF3887">
        <w:t xml:space="preserve">taking a </w:t>
      </w:r>
      <w:r w:rsidR="00AF606F">
        <w:t>risk-based</w:t>
      </w:r>
      <w:r w:rsidR="00EF3887">
        <w:t xml:space="preserve"> approach </w:t>
      </w:r>
      <w:r w:rsidR="005B33D3">
        <w:t xml:space="preserve">to decision making where </w:t>
      </w:r>
      <w:r w:rsidR="00E96A79">
        <w:t xml:space="preserve">the </w:t>
      </w:r>
      <w:r w:rsidR="00807FF8">
        <w:t xml:space="preserve">likelihood and </w:t>
      </w:r>
      <w:r w:rsidR="00FE43AC">
        <w:t>consequence</w:t>
      </w:r>
      <w:r w:rsidR="00615C5A">
        <w:t xml:space="preserve"> of an activity are </w:t>
      </w:r>
      <w:r w:rsidR="00E75224">
        <w:t xml:space="preserve">considered </w:t>
      </w:r>
      <w:r w:rsidR="00FE43AC">
        <w:t>to dete</w:t>
      </w:r>
      <w:r w:rsidR="00107795">
        <w:t>rmine</w:t>
      </w:r>
      <w:r w:rsidR="005B33D3">
        <w:t xml:space="preserve"> whether </w:t>
      </w:r>
      <w:r w:rsidR="00FE43AC">
        <w:t xml:space="preserve">the </w:t>
      </w:r>
      <w:r w:rsidR="005B33D3">
        <w:t xml:space="preserve">activity will have </w:t>
      </w:r>
      <w:r w:rsidR="001510BC">
        <w:t>an</w:t>
      </w:r>
      <w:r w:rsidR="005B33D3">
        <w:t xml:space="preserve"> </w:t>
      </w:r>
      <w:r w:rsidR="00EE0749">
        <w:t>acceptable</w:t>
      </w:r>
      <w:r w:rsidR="005B33D3">
        <w:t xml:space="preserve">, tolerable, or significant risk to people, </w:t>
      </w:r>
      <w:proofErr w:type="gramStart"/>
      <w:r w:rsidR="005B33D3">
        <w:t>property</w:t>
      </w:r>
      <w:proofErr w:type="gramEnd"/>
      <w:r w:rsidR="005B33D3">
        <w:t xml:space="preserve"> and communities</w:t>
      </w:r>
      <w:r w:rsidR="00FE43AC">
        <w:t xml:space="preserve">. </w:t>
      </w:r>
    </w:p>
    <w:p w14:paraId="1C24D556" w14:textId="3C27F838" w:rsidR="00834A41" w:rsidRDefault="00834A41" w:rsidP="00A247C5">
      <w:pPr>
        <w:pStyle w:val="Normal3"/>
      </w:pPr>
      <w:r>
        <w:t>The fourth step</w:t>
      </w:r>
      <w:r w:rsidR="00E26FA7">
        <w:t xml:space="preserve"> is only required </w:t>
      </w:r>
      <w:r w:rsidR="003536D0">
        <w:t>if</w:t>
      </w:r>
      <w:r w:rsidR="00E26FA7">
        <w:t xml:space="preserve"> </w:t>
      </w:r>
      <w:r w:rsidR="00031335">
        <w:t>the risk</w:t>
      </w:r>
      <w:r w:rsidR="009C1E72" w:rsidRPr="009C1E72">
        <w:t xml:space="preserve"> assessment undertaken in Steps 1-3 determines that one of the three natural hazard scenarios generate risk that is significant</w:t>
      </w:r>
      <w:r w:rsidR="004A01B5">
        <w:t xml:space="preserve">. </w:t>
      </w:r>
      <w:r w:rsidR="00A33C9B">
        <w:t xml:space="preserve">Step </w:t>
      </w:r>
      <w:r w:rsidR="00A40B6C">
        <w:t>four requires</w:t>
      </w:r>
      <w:r w:rsidR="00C21631" w:rsidRPr="009C1E72">
        <w:t xml:space="preserve"> </w:t>
      </w:r>
      <w:r w:rsidR="007601C2">
        <w:t>a</w:t>
      </w:r>
      <w:r w:rsidR="00C21631" w:rsidRPr="009C1E72">
        <w:t xml:space="preserve"> </w:t>
      </w:r>
      <w:r w:rsidR="009A4978" w:rsidRPr="009A4978">
        <w:t>quantitative risk assessment</w:t>
      </w:r>
      <w:r w:rsidR="00A40B6C">
        <w:t>, which includes m</w:t>
      </w:r>
      <w:r w:rsidR="002E2B5C" w:rsidRPr="002E2B5C">
        <w:t>odel</w:t>
      </w:r>
      <w:r w:rsidR="00A40B6C">
        <w:t>ling</w:t>
      </w:r>
      <w:r w:rsidR="002E2B5C" w:rsidRPr="002E2B5C">
        <w:t xml:space="preserve"> the Annual Individual Fatality Risk (AIFR) and Annual Property Risk (APR) for the range of hazard scenarios</w:t>
      </w:r>
      <w:r w:rsidR="004248CC">
        <w:t xml:space="preserve">. </w:t>
      </w:r>
      <w:r w:rsidR="00491C32">
        <w:t>Th</w:t>
      </w:r>
      <w:r w:rsidR="00184632">
        <w:t>e</w:t>
      </w:r>
      <w:r w:rsidR="00491C32">
        <w:t xml:space="preserve"> </w:t>
      </w:r>
      <w:r w:rsidR="00184632" w:rsidRPr="00184632">
        <w:t>AIFR or APR</w:t>
      </w:r>
      <w:r w:rsidR="00184632">
        <w:t xml:space="preserve"> </w:t>
      </w:r>
      <w:r w:rsidR="00EC7A9F">
        <w:t xml:space="preserve">is then </w:t>
      </w:r>
      <w:r w:rsidR="00273FF2">
        <w:t xml:space="preserve">used to </w:t>
      </w:r>
      <w:r w:rsidR="003B4289" w:rsidRPr="00416F49">
        <w:rPr>
          <w:rFonts w:eastAsia="Calibri Light" w:cs="Yu Gothic Light"/>
        </w:rPr>
        <w:t>re-categorise</w:t>
      </w:r>
      <w:r w:rsidR="003B4289">
        <w:rPr>
          <w:rFonts w:eastAsia="Calibri Light" w:cs="Yu Gothic Light"/>
        </w:rPr>
        <w:t xml:space="preserve"> </w:t>
      </w:r>
      <w:r w:rsidR="00FC1CFC">
        <w:t>the risk</w:t>
      </w:r>
      <w:r w:rsidR="003B4289">
        <w:t xml:space="preserve"> as being </w:t>
      </w:r>
      <w:r w:rsidR="00FC1CFC">
        <w:t xml:space="preserve">acceptable, </w:t>
      </w:r>
      <w:proofErr w:type="gramStart"/>
      <w:r w:rsidR="00FC1CFC">
        <w:t>tolerable</w:t>
      </w:r>
      <w:proofErr w:type="gramEnd"/>
      <w:r w:rsidR="00FC1CFC">
        <w:t xml:space="preserve"> or significant. </w:t>
      </w:r>
      <w:r w:rsidR="003B4289">
        <w:t>The</w:t>
      </w:r>
      <w:r w:rsidR="008D7C37">
        <w:t xml:space="preserve">re are different risk thresholds for </w:t>
      </w:r>
      <w:r w:rsidR="002A5968">
        <w:t xml:space="preserve">areas of </w:t>
      </w:r>
      <w:r w:rsidR="00522CD0">
        <w:t xml:space="preserve">new development </w:t>
      </w:r>
      <w:r w:rsidR="008A7F23">
        <w:t xml:space="preserve">and areas of existing development. </w:t>
      </w:r>
      <w:r w:rsidR="008D7C37">
        <w:t xml:space="preserve"> </w:t>
      </w:r>
    </w:p>
    <w:p w14:paraId="583A27C8" w14:textId="4C199E6A" w:rsidR="008521F9" w:rsidRPr="004903E7" w:rsidRDefault="00AF53F7" w:rsidP="00A247C5">
      <w:pPr>
        <w:pStyle w:val="Normal2"/>
      </w:pPr>
      <w:r>
        <w:t>A</w:t>
      </w:r>
      <w:r w:rsidR="0053142D">
        <w:t xml:space="preserve"> </w:t>
      </w:r>
      <w:r w:rsidR="00EB4052">
        <w:t>consultation process with communities, stakeholders and partners regarding risk levels thresholds</w:t>
      </w:r>
      <w:r w:rsidR="00940C59">
        <w:t xml:space="preserve"> is required </w:t>
      </w:r>
      <w:proofErr w:type="gramStart"/>
      <w:r w:rsidR="001C75FD">
        <w:t>in order to</w:t>
      </w:r>
      <w:proofErr w:type="gramEnd"/>
      <w:r w:rsidR="001C75FD">
        <w:t xml:space="preserve"> </w:t>
      </w:r>
      <w:r w:rsidR="00B24DED">
        <w:t xml:space="preserve">understand what the </w:t>
      </w:r>
      <w:r w:rsidR="00274B19">
        <w:t>community’s</w:t>
      </w:r>
      <w:r w:rsidR="00B24DED">
        <w:t xml:space="preserve"> </w:t>
      </w:r>
      <w:r w:rsidR="00BD63A7">
        <w:t xml:space="preserve">tolerance to risk </w:t>
      </w:r>
      <w:r w:rsidR="00274B19">
        <w:t xml:space="preserve">is. </w:t>
      </w:r>
      <w:r w:rsidR="00C51956">
        <w:t xml:space="preserve">As such, </w:t>
      </w:r>
      <w:r w:rsidR="00C772E7">
        <w:t>Method HAZ</w:t>
      </w:r>
      <w:r>
        <w:t>–</w:t>
      </w:r>
      <w:r w:rsidR="00C772E7">
        <w:t>HN</w:t>
      </w:r>
      <w:r>
        <w:t>–</w:t>
      </w:r>
      <w:r w:rsidR="00C772E7">
        <w:t>M2</w:t>
      </w:r>
      <w:r w:rsidR="004C0D4D">
        <w:t>(1)</w:t>
      </w:r>
      <w:r w:rsidR="00C772E7">
        <w:t xml:space="preserve"> </w:t>
      </w:r>
      <w:r w:rsidR="00EB268A">
        <w:t xml:space="preserve">states that </w:t>
      </w:r>
      <w:r w:rsidR="00FF719C">
        <w:t xml:space="preserve">when preparing or amending a regional and/or district plans, </w:t>
      </w:r>
      <w:r>
        <w:t>l</w:t>
      </w:r>
      <w:r w:rsidR="00EB268A">
        <w:t xml:space="preserve">ocal </w:t>
      </w:r>
      <w:r>
        <w:t>a</w:t>
      </w:r>
      <w:r w:rsidR="00EB268A">
        <w:t xml:space="preserve">uthorities must </w:t>
      </w:r>
      <w:r w:rsidR="0040306B">
        <w:t xml:space="preserve">undertake a </w:t>
      </w:r>
      <w:r w:rsidR="000F6FCB">
        <w:t xml:space="preserve">consultation process with communities, </w:t>
      </w:r>
      <w:proofErr w:type="gramStart"/>
      <w:r w:rsidR="000F6FCB">
        <w:t>stakeholders</w:t>
      </w:r>
      <w:proofErr w:type="gramEnd"/>
      <w:r w:rsidR="000F6FCB">
        <w:t xml:space="preserve"> and partners regarding risk levels thresholds</w:t>
      </w:r>
      <w:r w:rsidR="00816024">
        <w:t>. U</w:t>
      </w:r>
      <w:r w:rsidR="00960297">
        <w:t>sing th</w:t>
      </w:r>
      <w:r w:rsidR="00816024">
        <w:t>e</w:t>
      </w:r>
      <w:r w:rsidR="00960297">
        <w:t xml:space="preserve"> information gather</w:t>
      </w:r>
      <w:r w:rsidR="007601C2">
        <w:t>ed</w:t>
      </w:r>
      <w:r w:rsidR="00960297">
        <w:t xml:space="preserve"> </w:t>
      </w:r>
      <w:r w:rsidR="007601C2">
        <w:t>through</w:t>
      </w:r>
      <w:r w:rsidR="00460BF8">
        <w:t xml:space="preserve"> the </w:t>
      </w:r>
      <w:r w:rsidR="00047BFC">
        <w:t xml:space="preserve">consultation process, </w:t>
      </w:r>
      <w:r>
        <w:t>l</w:t>
      </w:r>
      <w:r w:rsidR="00816024">
        <w:t xml:space="preserve">ocal </w:t>
      </w:r>
      <w:r>
        <w:t>a</w:t>
      </w:r>
      <w:r w:rsidR="00816024">
        <w:t xml:space="preserve">uthorities must </w:t>
      </w:r>
      <w:r w:rsidR="00960297">
        <w:t>develop</w:t>
      </w:r>
      <w:r w:rsidR="00C00E03">
        <w:t xml:space="preserve"> a risk t</w:t>
      </w:r>
      <w:r w:rsidR="00047BFC">
        <w:t xml:space="preserve">able </w:t>
      </w:r>
      <w:r w:rsidR="0064291C">
        <w:t xml:space="preserve">in </w:t>
      </w:r>
      <w:r w:rsidR="0064291C" w:rsidRPr="29589E8D">
        <w:rPr>
          <w:rFonts w:eastAsia="Calibri" w:cs="Times New Roman"/>
        </w:rPr>
        <w:t xml:space="preserve">accordance with Step 3 of </w:t>
      </w:r>
      <w:r w:rsidR="0026722D" w:rsidRPr="7DE66FE7">
        <w:rPr>
          <w:rFonts w:eastAsia="Calibri" w:cs="Times New Roman"/>
        </w:rPr>
        <w:t>APP</w:t>
      </w:r>
      <w:r w:rsidR="0026722D">
        <w:rPr>
          <w:rFonts w:eastAsia="Calibri" w:cs="Times New Roman"/>
        </w:rPr>
        <w:t>6</w:t>
      </w:r>
      <w:r w:rsidR="0026722D" w:rsidRPr="7DE66FE7">
        <w:rPr>
          <w:rFonts w:eastAsia="Calibri" w:cs="Times New Roman"/>
        </w:rPr>
        <w:t xml:space="preserve"> </w:t>
      </w:r>
      <w:r w:rsidR="0064291C" w:rsidRPr="29589E8D">
        <w:rPr>
          <w:rFonts w:eastAsia="Calibri" w:cs="Times New Roman"/>
        </w:rPr>
        <w:t xml:space="preserve">at a district or community scale. </w:t>
      </w:r>
      <w:r w:rsidR="00EB268A">
        <w:t xml:space="preserve"> </w:t>
      </w:r>
    </w:p>
    <w:p w14:paraId="7F266345" w14:textId="488FADB6" w:rsidR="00F75F1B" w:rsidRPr="004903E7" w:rsidRDefault="00C51956" w:rsidP="00A247C5">
      <w:pPr>
        <w:pStyle w:val="Normal2"/>
      </w:pPr>
      <w:r>
        <w:lastRenderedPageBreak/>
        <w:t xml:space="preserve">Prior to this </w:t>
      </w:r>
      <w:r w:rsidRPr="00C51956">
        <w:t>consultation process</w:t>
      </w:r>
      <w:r>
        <w:t xml:space="preserve"> being undertaken, a generic risk table has been included within APP6 </w:t>
      </w:r>
      <w:r w:rsidR="002418BA">
        <w:t xml:space="preserve">as an </w:t>
      </w:r>
      <w:r w:rsidR="00CC5330" w:rsidRPr="00133CE5">
        <w:t xml:space="preserve">interim </w:t>
      </w:r>
      <w:r w:rsidR="00AF53F7">
        <w:t>measure</w:t>
      </w:r>
      <w:r w:rsidR="00CC5330" w:rsidRPr="00133CE5">
        <w:t xml:space="preserve"> until each district determines what significant, </w:t>
      </w:r>
      <w:proofErr w:type="gramStart"/>
      <w:r w:rsidR="00CC5330" w:rsidRPr="00133CE5">
        <w:t>tolerable</w:t>
      </w:r>
      <w:proofErr w:type="gramEnd"/>
      <w:r w:rsidR="00CC5330" w:rsidRPr="00133CE5">
        <w:t xml:space="preserve"> and acceptable risk is</w:t>
      </w:r>
      <w:r w:rsidR="00CC5330">
        <w:t xml:space="preserve"> to</w:t>
      </w:r>
      <w:r w:rsidR="00CC5330" w:rsidRPr="00133CE5">
        <w:t xml:space="preserve"> them</w:t>
      </w:r>
      <w:r w:rsidR="00CC5330">
        <w:t xml:space="preserve">. </w:t>
      </w:r>
      <w:r w:rsidR="00A63D90">
        <w:t xml:space="preserve">Including a populated risk table is supported by </w:t>
      </w:r>
      <w:r w:rsidR="00A63D90" w:rsidRPr="00A63D90">
        <w:t>technical advice provided by GNS science</w:t>
      </w:r>
      <w:r w:rsidR="00A63D90">
        <w:t xml:space="preserve"> </w:t>
      </w:r>
      <w:r w:rsidR="006151EC">
        <w:t>who consider tha</w:t>
      </w:r>
      <w:r w:rsidR="003D5E44">
        <w:t>t</w:t>
      </w:r>
      <w:r w:rsidR="006151EC">
        <w:t xml:space="preserve"> including a populated risk table provides </w:t>
      </w:r>
      <w:r w:rsidR="003D5E44">
        <w:t>councils</w:t>
      </w:r>
      <w:r w:rsidR="006151EC">
        <w:t xml:space="preserve"> a reference point for risk assessments prior to developing district specific risk tables in consultation with their communities. </w:t>
      </w:r>
    </w:p>
    <w:p w14:paraId="67505129" w14:textId="0C50FBE5" w:rsidR="00452DB3" w:rsidRDefault="00770F98" w:rsidP="00A247C5">
      <w:pPr>
        <w:pStyle w:val="Normal2"/>
      </w:pPr>
      <w:r>
        <w:t xml:space="preserve">Method </w:t>
      </w:r>
      <w:r w:rsidR="000A4236">
        <w:t>HAZ</w:t>
      </w:r>
      <w:r w:rsidR="00562879">
        <w:t>–</w:t>
      </w:r>
      <w:r w:rsidR="00C77BAB">
        <w:t>NH</w:t>
      </w:r>
      <w:r w:rsidR="00562879">
        <w:t>–</w:t>
      </w:r>
      <w:r w:rsidR="00C77BAB">
        <w:t>M3(</w:t>
      </w:r>
      <w:r w:rsidR="001722DD">
        <w:t>7</w:t>
      </w:r>
      <w:r w:rsidR="00C77BAB">
        <w:t xml:space="preserve">) </w:t>
      </w:r>
      <w:r w:rsidR="00D82444">
        <w:t xml:space="preserve">and </w:t>
      </w:r>
      <w:r w:rsidR="00C406B1">
        <w:t>HAZ</w:t>
      </w:r>
      <w:r w:rsidR="00562879">
        <w:t>–</w:t>
      </w:r>
      <w:r w:rsidR="00C406B1">
        <w:t>NH</w:t>
      </w:r>
      <w:r w:rsidR="00562879">
        <w:t>–</w:t>
      </w:r>
      <w:r w:rsidR="00C406B1">
        <w:t>M4</w:t>
      </w:r>
      <w:r w:rsidR="00E36AF1">
        <w:t>(7)</w:t>
      </w:r>
      <w:r w:rsidR="00BD0570">
        <w:t xml:space="preserve"> provide direction on </w:t>
      </w:r>
      <w:r w:rsidR="00E83C72">
        <w:t xml:space="preserve">how to assess </w:t>
      </w:r>
      <w:r w:rsidR="00751A69">
        <w:t>resource consent applications</w:t>
      </w:r>
      <w:r w:rsidR="006B0BD9">
        <w:t xml:space="preserve"> </w:t>
      </w:r>
      <w:r w:rsidR="00751A69">
        <w:t xml:space="preserve">for activities that will </w:t>
      </w:r>
      <w:r w:rsidR="00367822" w:rsidRPr="00367822">
        <w:t>change the use of land which will increase the risk from natural hazards</w:t>
      </w:r>
      <w:r w:rsidR="00367822">
        <w:t>,</w:t>
      </w:r>
      <w:r w:rsidR="00367822" w:rsidRPr="00367822">
        <w:t xml:space="preserve"> within areas subject to natural hazards</w:t>
      </w:r>
      <w:r w:rsidR="00751A69">
        <w:t>, that are lodged prior to the natural hazard risk assessment required by HAZ-NH-M4(1) being completed</w:t>
      </w:r>
      <w:r w:rsidR="00C15355">
        <w:t xml:space="preserve">. </w:t>
      </w:r>
      <w:r w:rsidR="00A256A1">
        <w:t xml:space="preserve">They require </w:t>
      </w:r>
      <w:r w:rsidR="00751A69">
        <w:t xml:space="preserve">an assessment of the level of natural hazard risk associated with the proposal in accordance with </w:t>
      </w:r>
      <w:r w:rsidR="00D9312D">
        <w:t>APP6</w:t>
      </w:r>
      <w:r w:rsidR="007677BD">
        <w:t xml:space="preserve">. </w:t>
      </w:r>
      <w:r w:rsidR="00B21717">
        <w:t xml:space="preserve">These methods are </w:t>
      </w:r>
      <w:r w:rsidR="00452DB3">
        <w:t>supported</w:t>
      </w:r>
      <w:r w:rsidR="00B21717">
        <w:t xml:space="preserve"> by a note within </w:t>
      </w:r>
      <w:r w:rsidR="00D9312D">
        <w:t xml:space="preserve">APP6 </w:t>
      </w:r>
      <w:r w:rsidR="00B21717">
        <w:t>which states</w:t>
      </w:r>
      <w:r w:rsidR="00452DB3">
        <w:t>:</w:t>
      </w:r>
    </w:p>
    <w:p w14:paraId="674EF50D" w14:textId="10DF075D" w:rsidR="00452DB3" w:rsidRPr="00562879" w:rsidRDefault="00D17545" w:rsidP="00A247C5">
      <w:pPr>
        <w:pStyle w:val="Normal2"/>
        <w:numPr>
          <w:ilvl w:val="0"/>
          <w:numId w:val="0"/>
        </w:numPr>
        <w:ind w:left="720"/>
      </w:pPr>
      <w:r w:rsidRPr="00562879">
        <w:t>When this assessment is being undertaken in accordance with HAZ</w:t>
      </w:r>
      <w:r w:rsidR="00562879">
        <w:t>–</w:t>
      </w:r>
      <w:r w:rsidRPr="00562879">
        <w:t>NH</w:t>
      </w:r>
      <w:r w:rsidR="00562879">
        <w:t>–</w:t>
      </w:r>
      <w:r w:rsidRPr="00562879">
        <w:t>M3(</w:t>
      </w:r>
      <w:r w:rsidR="00057C91" w:rsidRPr="00562879">
        <w:t>7</w:t>
      </w:r>
      <w:r w:rsidRPr="00562879">
        <w:t>)(a) or HAZ</w:t>
      </w:r>
      <w:r w:rsidR="00562879">
        <w:t>–</w:t>
      </w:r>
      <w:r w:rsidRPr="00562879">
        <w:t>NH</w:t>
      </w:r>
      <w:r w:rsidR="00562879">
        <w:t>–</w:t>
      </w:r>
      <w:r w:rsidRPr="00562879">
        <w:t xml:space="preserve">M4(7)(a) the assessment does not need to populate </w:t>
      </w:r>
      <w:r w:rsidR="0099371D">
        <w:t xml:space="preserve">the </w:t>
      </w:r>
      <w:r w:rsidRPr="00562879">
        <w:t xml:space="preserve">Table 6 Risk Table. </w:t>
      </w:r>
      <w:r w:rsidR="00BF4EFB" w:rsidRPr="00562879">
        <w:t xml:space="preserve">The </w:t>
      </w:r>
      <w:r w:rsidR="00452DB3" w:rsidRPr="00562879">
        <w:t xml:space="preserve">text within Steps 1, 2, and 3, shall guide the assessment of natural hazard risk.  </w:t>
      </w:r>
    </w:p>
    <w:p w14:paraId="027F9985" w14:textId="2D5358D6" w:rsidR="00350A60" w:rsidRDefault="000F64B1" w:rsidP="00A247C5">
      <w:pPr>
        <w:pStyle w:val="Normal2"/>
      </w:pPr>
      <w:r>
        <w:t>T</w:t>
      </w:r>
      <w:r w:rsidR="00D661E5">
        <w:t xml:space="preserve">he methods and </w:t>
      </w:r>
      <w:r w:rsidR="00751A69">
        <w:t xml:space="preserve">assessment </w:t>
      </w:r>
      <w:r w:rsidR="00B678BB">
        <w:t xml:space="preserve">set clear expectations as to the assessment that is required </w:t>
      </w:r>
      <w:proofErr w:type="gramStart"/>
      <w:r w:rsidR="00B678BB">
        <w:t>in order to</w:t>
      </w:r>
      <w:proofErr w:type="gramEnd"/>
      <w:r w:rsidR="00B678BB">
        <w:t xml:space="preserve"> </w:t>
      </w:r>
      <w:r w:rsidR="00A66210">
        <w:t>achieve</w:t>
      </w:r>
      <w:r w:rsidR="00BC0BB5">
        <w:t xml:space="preserve"> the</w:t>
      </w:r>
      <w:r w:rsidR="00A66210">
        <w:t xml:space="preserve"> direction within the PORPS 2021. </w:t>
      </w:r>
      <w:r w:rsidR="00BC0BB5">
        <w:t xml:space="preserve"> </w:t>
      </w:r>
      <w:r w:rsidR="009A6441">
        <w:t xml:space="preserve"> </w:t>
      </w:r>
    </w:p>
    <w:p w14:paraId="4C287138" w14:textId="22D499B5" w:rsidR="00B345DA" w:rsidRPr="00B345DA" w:rsidRDefault="00B42EEE" w:rsidP="00A247C5">
      <w:pPr>
        <w:pStyle w:val="Normal2"/>
        <w:rPr>
          <w:rFonts w:eastAsia="Calibri"/>
        </w:rPr>
      </w:pPr>
      <w:r>
        <w:t xml:space="preserve">Once the level of natural hazard risk associated with an activity has been determined </w:t>
      </w:r>
      <w:r w:rsidR="00447FA1">
        <w:t>HAZ</w:t>
      </w:r>
      <w:r w:rsidR="008F0B99">
        <w:t>–</w:t>
      </w:r>
      <w:r w:rsidR="00447FA1">
        <w:t>NH</w:t>
      </w:r>
      <w:r w:rsidR="008F0B99">
        <w:t>–</w:t>
      </w:r>
      <w:r w:rsidR="00447FA1">
        <w:t xml:space="preserve">P3 </w:t>
      </w:r>
      <w:r w:rsidR="00F65267">
        <w:t xml:space="preserve">provides direction on how the level of risk is to </w:t>
      </w:r>
      <w:r w:rsidR="000D4783">
        <w:t xml:space="preserve">be </w:t>
      </w:r>
      <w:r w:rsidR="00E95502">
        <w:t>managed</w:t>
      </w:r>
      <w:r w:rsidR="00B345DA">
        <w:t xml:space="preserve"> as follows:</w:t>
      </w:r>
      <w:r w:rsidR="00E95502">
        <w:t xml:space="preserve"> </w:t>
      </w:r>
    </w:p>
    <w:p w14:paraId="188C5068" w14:textId="088AE4E1" w:rsidR="000A1C37" w:rsidRDefault="00B345DA" w:rsidP="00A247C5">
      <w:pPr>
        <w:pStyle w:val="Normal3"/>
      </w:pPr>
      <w:r>
        <w:t xml:space="preserve">where the natural hazard risk is significant, the </w:t>
      </w:r>
      <w:r w:rsidR="00BC3E35">
        <w:t>activity is avoided</w:t>
      </w:r>
      <w:r>
        <w:t>,</w:t>
      </w:r>
      <w:r w:rsidR="000A1C37">
        <w:t xml:space="preserve"> </w:t>
      </w:r>
    </w:p>
    <w:p w14:paraId="2EB7CCA8" w14:textId="0DDCA6DA" w:rsidR="000A1C37" w:rsidRDefault="000A1C37" w:rsidP="00A247C5">
      <w:pPr>
        <w:pStyle w:val="Normal3"/>
      </w:pPr>
      <w:r>
        <w:t>where the natural hazard risk is tolerable, manage the level of risk so that it does not become significant, and</w:t>
      </w:r>
    </w:p>
    <w:p w14:paraId="16C474FD" w14:textId="537B38C5" w:rsidR="000A1C37" w:rsidRDefault="0029703B" w:rsidP="00A247C5">
      <w:pPr>
        <w:pStyle w:val="Normal3"/>
      </w:pPr>
      <w:r>
        <w:t>where</w:t>
      </w:r>
      <w:r w:rsidR="000A1C37">
        <w:t xml:space="preserve"> the natural hazard risk is acceptable, maintain the level of risk.</w:t>
      </w:r>
    </w:p>
    <w:p w14:paraId="2B9038BA" w14:textId="0C841E39" w:rsidR="0075160D" w:rsidRPr="0075160D" w:rsidRDefault="0095252F" w:rsidP="00A247C5">
      <w:pPr>
        <w:pStyle w:val="Normal2"/>
      </w:pPr>
      <w:r>
        <w:t>Th</w:t>
      </w:r>
      <w:r w:rsidR="004A216E">
        <w:t>is</w:t>
      </w:r>
      <w:r w:rsidR="001D3560">
        <w:t xml:space="preserve"> </w:t>
      </w:r>
      <w:r w:rsidR="00883ABA">
        <w:t xml:space="preserve">is supported by </w:t>
      </w:r>
      <w:r w:rsidR="005D5227">
        <w:t>Methods</w:t>
      </w:r>
      <w:r w:rsidR="005D5227" w:rsidRPr="29589E8D">
        <w:rPr>
          <w:color w:val="4471C4"/>
        </w:rPr>
        <w:t xml:space="preserve"> </w:t>
      </w:r>
      <w:r w:rsidR="00EE7B78">
        <w:t>HAZ</w:t>
      </w:r>
      <w:r w:rsidR="008F0B99">
        <w:t>–</w:t>
      </w:r>
      <w:r w:rsidR="00EE7B78">
        <w:t>NH</w:t>
      </w:r>
      <w:r w:rsidR="008F0B99">
        <w:t>–</w:t>
      </w:r>
      <w:r w:rsidR="00EE7B78">
        <w:t>M3</w:t>
      </w:r>
      <w:r w:rsidR="00C00040">
        <w:t>(1)</w:t>
      </w:r>
      <w:r w:rsidR="00EE7B78">
        <w:t xml:space="preserve"> and </w:t>
      </w:r>
      <w:r w:rsidR="005D5227">
        <w:t>HAZ</w:t>
      </w:r>
      <w:r w:rsidR="008F0B99">
        <w:t>–</w:t>
      </w:r>
      <w:r w:rsidR="005D5227">
        <w:t>NH</w:t>
      </w:r>
      <w:r w:rsidR="008F0B99">
        <w:t>–</w:t>
      </w:r>
      <w:r w:rsidR="005D5227">
        <w:t>M</w:t>
      </w:r>
      <w:r w:rsidR="00EE7B78">
        <w:t>4</w:t>
      </w:r>
      <w:r w:rsidR="00A35232">
        <w:t>(1)</w:t>
      </w:r>
      <w:r w:rsidR="005D5227">
        <w:t xml:space="preserve"> </w:t>
      </w:r>
      <w:r w:rsidR="00EE7B78">
        <w:t xml:space="preserve">which </w:t>
      </w:r>
      <w:r w:rsidR="00951C6B">
        <w:t>direct</w:t>
      </w:r>
      <w:r w:rsidR="00EE7B78">
        <w:t xml:space="preserve"> that </w:t>
      </w:r>
      <w:r w:rsidR="008120F6">
        <w:t xml:space="preserve">the </w:t>
      </w:r>
      <w:r w:rsidR="00951C6B">
        <w:t>r</w:t>
      </w:r>
      <w:r w:rsidR="008120F6">
        <w:t xml:space="preserve">egional </w:t>
      </w:r>
      <w:r w:rsidR="00EE4081">
        <w:t xml:space="preserve">or </w:t>
      </w:r>
      <w:r w:rsidR="00951C6B">
        <w:t>d</w:t>
      </w:r>
      <w:r w:rsidR="00B50512">
        <w:t>istrict</w:t>
      </w:r>
      <w:r w:rsidR="00EE4081">
        <w:t xml:space="preserve"> </w:t>
      </w:r>
      <w:r w:rsidR="00951C6B">
        <w:t>c</w:t>
      </w:r>
      <w:r w:rsidR="00B50512">
        <w:t>ouncil</w:t>
      </w:r>
      <w:r w:rsidR="0072685F">
        <w:t>s</w:t>
      </w:r>
      <w:r w:rsidR="00EE4081">
        <w:t xml:space="preserve"> </w:t>
      </w:r>
      <w:r w:rsidR="00951C6B">
        <w:t xml:space="preserve">will </w:t>
      </w:r>
      <w:r w:rsidR="004562B7" w:rsidRPr="29589E8D">
        <w:rPr>
          <w:rFonts w:ascii="Calibri" w:eastAsia="Calibri" w:hAnsi="Calibri" w:cs="Times New Roman"/>
        </w:rPr>
        <w:t xml:space="preserve">amend their regional or </w:t>
      </w:r>
      <w:r w:rsidR="0068175B" w:rsidRPr="29589E8D">
        <w:rPr>
          <w:rFonts w:ascii="Calibri" w:eastAsia="Calibri" w:hAnsi="Calibri" w:cs="Times New Roman"/>
        </w:rPr>
        <w:t>district</w:t>
      </w:r>
      <w:r w:rsidR="004562B7" w:rsidRPr="29589E8D">
        <w:rPr>
          <w:rFonts w:ascii="Calibri" w:eastAsia="Calibri" w:hAnsi="Calibri" w:cs="Times New Roman"/>
        </w:rPr>
        <w:t xml:space="preserve"> plans to </w:t>
      </w:r>
      <w:r w:rsidR="009F1396">
        <w:t>manage the location, scale and density of activities</w:t>
      </w:r>
      <w:r w:rsidR="00957A66">
        <w:t xml:space="preserve"> that </w:t>
      </w:r>
      <w:r w:rsidR="009F1396">
        <w:t>may be</w:t>
      </w:r>
      <w:r w:rsidR="00937176">
        <w:t xml:space="preserve"> subject to natural </w:t>
      </w:r>
      <w:r w:rsidR="009F1396">
        <w:t xml:space="preserve">hazard </w:t>
      </w:r>
      <w:r w:rsidR="00D11DAE">
        <w:t>risk</w:t>
      </w:r>
      <w:r w:rsidR="00825551">
        <w:t xml:space="preserve">. </w:t>
      </w:r>
    </w:p>
    <w:p w14:paraId="00BE1E44" w14:textId="313DC32F" w:rsidR="00825551" w:rsidRPr="00294FAD" w:rsidRDefault="00825551" w:rsidP="00A247C5">
      <w:pPr>
        <w:pStyle w:val="Normal2"/>
        <w:rPr>
          <w:color w:val="4472C4" w:themeColor="accent1"/>
        </w:rPr>
      </w:pPr>
      <w:r>
        <w:t>For completeness, the</w:t>
      </w:r>
      <w:r w:rsidR="004D5932">
        <w:t xml:space="preserve"> policy</w:t>
      </w:r>
      <w:r>
        <w:t xml:space="preserve"> </w:t>
      </w:r>
      <w:r w:rsidR="00E53240">
        <w:t>direction</w:t>
      </w:r>
      <w:r w:rsidR="004D5932">
        <w:t xml:space="preserve"> in the PORPS 2019 is largely retained</w:t>
      </w:r>
      <w:r w:rsidR="00CD2196">
        <w:t xml:space="preserve"> by</w:t>
      </w:r>
      <w:r w:rsidR="00E53240">
        <w:t xml:space="preserve"> </w:t>
      </w:r>
      <w:r w:rsidR="00CD2196">
        <w:t xml:space="preserve">Policies </w:t>
      </w:r>
      <w:r w:rsidR="002F7253" w:rsidRPr="29589E8D">
        <w:rPr>
          <w:rFonts w:eastAsia="Times New Roman"/>
          <w:lang w:eastAsia="en-NZ"/>
        </w:rPr>
        <w:t>HAZ</w:t>
      </w:r>
      <w:r w:rsidR="008F0B99">
        <w:t>–</w:t>
      </w:r>
      <w:r w:rsidR="002F7253" w:rsidRPr="29589E8D">
        <w:rPr>
          <w:rFonts w:eastAsia="Times New Roman"/>
          <w:lang w:eastAsia="en-NZ"/>
        </w:rPr>
        <w:t>NH</w:t>
      </w:r>
      <w:r w:rsidR="008F0B99">
        <w:t>–</w:t>
      </w:r>
      <w:r w:rsidR="006124EB" w:rsidRPr="29589E8D">
        <w:rPr>
          <w:rFonts w:eastAsia="Times New Roman"/>
          <w:lang w:eastAsia="en-NZ"/>
        </w:rPr>
        <w:t>P5</w:t>
      </w:r>
      <w:r w:rsidR="002F7253" w:rsidRPr="29589E8D">
        <w:rPr>
          <w:rFonts w:eastAsia="Times New Roman"/>
          <w:lang w:eastAsia="en-NZ"/>
        </w:rPr>
        <w:t xml:space="preserve"> to HAZ</w:t>
      </w:r>
      <w:r w:rsidR="008F0B99">
        <w:t>–</w:t>
      </w:r>
      <w:r w:rsidR="002F7253" w:rsidRPr="29589E8D">
        <w:rPr>
          <w:rFonts w:eastAsia="Times New Roman"/>
          <w:lang w:eastAsia="en-NZ"/>
        </w:rPr>
        <w:t>NH</w:t>
      </w:r>
      <w:r w:rsidR="008F0B99">
        <w:t>–</w:t>
      </w:r>
      <w:r w:rsidR="006124EB" w:rsidRPr="29589E8D">
        <w:rPr>
          <w:rFonts w:eastAsia="Times New Roman"/>
          <w:lang w:eastAsia="en-NZ"/>
        </w:rPr>
        <w:t>P</w:t>
      </w:r>
      <w:r w:rsidR="00B46059" w:rsidRPr="29589E8D">
        <w:rPr>
          <w:rFonts w:eastAsia="Times New Roman"/>
          <w:lang w:eastAsia="en-NZ"/>
        </w:rPr>
        <w:t>10</w:t>
      </w:r>
      <w:r w:rsidR="002F7253" w:rsidRPr="29589E8D">
        <w:rPr>
          <w:rFonts w:eastAsia="Times New Roman"/>
          <w:lang w:eastAsia="en-NZ"/>
        </w:rPr>
        <w:t xml:space="preserve"> </w:t>
      </w:r>
      <w:r>
        <w:t>related to</w:t>
      </w:r>
      <w:r w:rsidR="00294FAD">
        <w:t>:</w:t>
      </w:r>
    </w:p>
    <w:p w14:paraId="56350EED" w14:textId="340BB16D" w:rsidR="00294FAD" w:rsidRPr="00A17031" w:rsidRDefault="00977C2D" w:rsidP="00A247C5">
      <w:pPr>
        <w:pStyle w:val="Normal3"/>
      </w:pPr>
      <w:r w:rsidRPr="29589E8D">
        <w:rPr>
          <w:lang w:eastAsia="en-NZ"/>
        </w:rPr>
        <w:t xml:space="preserve">Existing development </w:t>
      </w:r>
    </w:p>
    <w:p w14:paraId="5631A719" w14:textId="6E9F6AA3" w:rsidR="00294FAD" w:rsidRDefault="003E2EC6" w:rsidP="00A247C5">
      <w:pPr>
        <w:pStyle w:val="Normal3"/>
      </w:pPr>
      <w:r>
        <w:t>Protecting features and systems that provide hazard mitigation</w:t>
      </w:r>
    </w:p>
    <w:p w14:paraId="127646EB" w14:textId="5E8B5DF1" w:rsidR="00466E20" w:rsidRPr="00A17031" w:rsidRDefault="00466E20" w:rsidP="00A247C5">
      <w:pPr>
        <w:pStyle w:val="Normal3"/>
      </w:pPr>
      <w:r w:rsidRPr="29589E8D">
        <w:rPr>
          <w:lang w:eastAsia="en-NZ"/>
        </w:rPr>
        <w:t>Mitigating natural hazards</w:t>
      </w:r>
    </w:p>
    <w:p w14:paraId="21618FF2" w14:textId="1A2B7BB7" w:rsidR="00B30FAE" w:rsidRPr="00A17031" w:rsidRDefault="00B30FAE" w:rsidP="00A247C5">
      <w:pPr>
        <w:pStyle w:val="Normal3"/>
      </w:pPr>
      <w:r w:rsidRPr="29589E8D">
        <w:rPr>
          <w:lang w:eastAsia="en-NZ"/>
        </w:rPr>
        <w:t>Hard protection structures</w:t>
      </w:r>
    </w:p>
    <w:p w14:paraId="31CBE9B1" w14:textId="76D0F3AE" w:rsidR="0055775F" w:rsidRPr="00A17031" w:rsidRDefault="0055775F" w:rsidP="00A247C5">
      <w:pPr>
        <w:pStyle w:val="Normal3"/>
      </w:pPr>
      <w:r>
        <w:t>Lifeline utilities and facilities for essential or emergency services</w:t>
      </w:r>
    </w:p>
    <w:p w14:paraId="73F80174" w14:textId="179F8B12" w:rsidR="00E53240" w:rsidRPr="00A17031" w:rsidRDefault="007744B5" w:rsidP="00A247C5">
      <w:pPr>
        <w:pStyle w:val="Normal3"/>
      </w:pPr>
      <w:r>
        <w:t>Protection of hazard mitigation measures.</w:t>
      </w:r>
    </w:p>
    <w:p w14:paraId="57100743" w14:textId="3FD8675C" w:rsidR="00982D31" w:rsidRPr="00982D31" w:rsidRDefault="00144A81" w:rsidP="00982D31">
      <w:pPr>
        <w:pStyle w:val="Heading6"/>
      </w:pPr>
      <w:r w:rsidRPr="00144A81">
        <w:t>Precautionary approach to natural hazard risk</w:t>
      </w:r>
    </w:p>
    <w:p w14:paraId="60D3C329" w14:textId="572A2DE3" w:rsidR="00E71664" w:rsidRDefault="00605687" w:rsidP="00A247C5">
      <w:pPr>
        <w:pStyle w:val="Normal2"/>
      </w:pPr>
      <w:r>
        <w:t>HAZ</w:t>
      </w:r>
      <w:r w:rsidR="008F0B99">
        <w:t>–</w:t>
      </w:r>
      <w:r>
        <w:t>NH</w:t>
      </w:r>
      <w:r w:rsidR="008F0B99">
        <w:t>–</w:t>
      </w:r>
      <w:r>
        <w:t>P</w:t>
      </w:r>
      <w:r w:rsidR="00B30FAE">
        <w:t>4</w:t>
      </w:r>
      <w:r>
        <w:t xml:space="preserve"> expands on the precautionary approach to natural hazard risk that is set out within Policy 4.1.8 of the PORPS 2019. Rather than replicating the direction within Policy 3 of the NZCPS, HAZ</w:t>
      </w:r>
      <w:r w:rsidR="008F0B99">
        <w:t>–</w:t>
      </w:r>
      <w:r>
        <w:t>NH</w:t>
      </w:r>
      <w:r w:rsidR="008F0B99">
        <w:t>–</w:t>
      </w:r>
      <w:r>
        <w:t>P</w:t>
      </w:r>
      <w:r w:rsidR="00B30FAE">
        <w:t>4</w:t>
      </w:r>
      <w:r>
        <w:t xml:space="preserve"> provides policy direction on assessing </w:t>
      </w:r>
      <w:r w:rsidRPr="29589E8D">
        <w:rPr>
          <w:lang w:eastAsia="en-NZ"/>
        </w:rPr>
        <w:t>multiple or cascading hazards when the degree of risk is uncertain or unknown, but potentially significant or irreversible. In these circumstances, HAZ</w:t>
      </w:r>
      <w:r w:rsidR="008F0B99">
        <w:t>–</w:t>
      </w:r>
      <w:r w:rsidRPr="29589E8D">
        <w:rPr>
          <w:lang w:eastAsia="en-NZ"/>
        </w:rPr>
        <w:t>NH</w:t>
      </w:r>
      <w:r w:rsidR="008F0B99">
        <w:t>–</w:t>
      </w:r>
      <w:r w:rsidR="00175113" w:rsidRPr="7DE66FE7">
        <w:rPr>
          <w:lang w:eastAsia="en-NZ"/>
        </w:rPr>
        <w:t>P</w:t>
      </w:r>
      <w:r w:rsidR="00175113">
        <w:rPr>
          <w:lang w:eastAsia="en-NZ"/>
        </w:rPr>
        <w:t>5</w:t>
      </w:r>
      <w:r w:rsidRPr="29589E8D">
        <w:rPr>
          <w:lang w:eastAsia="en-NZ"/>
        </w:rPr>
        <w:t xml:space="preserve"> acknowledges that </w:t>
      </w:r>
      <w:r w:rsidR="00D51A51">
        <w:rPr>
          <w:lang w:eastAsia="en-NZ"/>
        </w:rPr>
        <w:t>when considering activities</w:t>
      </w:r>
      <w:r w:rsidRPr="7DE66FE7">
        <w:rPr>
          <w:lang w:eastAsia="en-NZ"/>
        </w:rPr>
        <w:t xml:space="preserve"> </w:t>
      </w:r>
      <w:r w:rsidR="00FF55C3">
        <w:t>i</w:t>
      </w:r>
      <w:r>
        <w:t xml:space="preserve">n a complex risk environment where </w:t>
      </w:r>
      <w:r w:rsidR="0023072A">
        <w:t xml:space="preserve">the natural hazard risk, either individually or </w:t>
      </w:r>
      <w:r w:rsidR="0086437B">
        <w:t>cumulatively</w:t>
      </w:r>
      <w:r w:rsidR="0023072A">
        <w:t xml:space="preserve">, is </w:t>
      </w:r>
      <w:r w:rsidR="0086437B">
        <w:t>uncertain</w:t>
      </w:r>
      <w:r w:rsidR="0023072A">
        <w:t xml:space="preserve"> or unknown, but </w:t>
      </w:r>
      <w:r w:rsidR="0086437B">
        <w:t>potentially</w:t>
      </w:r>
      <w:r w:rsidR="0023072A">
        <w:t xml:space="preserve"> significant or irreversible,</w:t>
      </w:r>
      <w:r>
        <w:t xml:space="preserve"> it is very difficult to quantify the likelihood, consequence and risk given there are likely to be </w:t>
      </w:r>
      <w:proofErr w:type="gramStart"/>
      <w:r>
        <w:t>a number of</w:t>
      </w:r>
      <w:proofErr w:type="gramEnd"/>
      <w:r>
        <w:t xml:space="preserve"> unknown variables. In these situations, HAZ</w:t>
      </w:r>
      <w:r w:rsidR="008F0B99">
        <w:t>–</w:t>
      </w:r>
      <w:r>
        <w:t>NH</w:t>
      </w:r>
      <w:r w:rsidR="008F0B99">
        <w:t>–</w:t>
      </w:r>
      <w:r>
        <w:t>P</w:t>
      </w:r>
      <w:r w:rsidR="00386B67">
        <w:t>4</w:t>
      </w:r>
      <w:r>
        <w:t xml:space="preserve"> requires that </w:t>
      </w:r>
      <w:r w:rsidRPr="29589E8D">
        <w:rPr>
          <w:lang w:eastAsia="en-NZ"/>
        </w:rPr>
        <w:t xml:space="preserve">a precautionary approach is taken to </w:t>
      </w:r>
      <w:r w:rsidRPr="29589E8D">
        <w:rPr>
          <w:lang w:eastAsia="en-NZ"/>
        </w:rPr>
        <w:lastRenderedPageBreak/>
        <w:t xml:space="preserve">identifying, </w:t>
      </w:r>
      <w:proofErr w:type="gramStart"/>
      <w:r w:rsidRPr="29589E8D">
        <w:rPr>
          <w:lang w:eastAsia="en-NZ"/>
        </w:rPr>
        <w:t>assessing</w:t>
      </w:r>
      <w:proofErr w:type="gramEnd"/>
      <w:r w:rsidRPr="29589E8D">
        <w:rPr>
          <w:lang w:eastAsia="en-NZ"/>
        </w:rPr>
        <w:t xml:space="preserve"> and managing risk </w:t>
      </w:r>
      <w:r w:rsidR="008233C5">
        <w:rPr>
          <w:lang w:eastAsia="en-NZ"/>
        </w:rPr>
        <w:t xml:space="preserve">adopting an </w:t>
      </w:r>
      <w:r w:rsidR="00075FB5">
        <w:rPr>
          <w:lang w:eastAsia="en-NZ"/>
        </w:rPr>
        <w:t>avoidance</w:t>
      </w:r>
      <w:r w:rsidR="008233C5">
        <w:rPr>
          <w:lang w:eastAsia="en-NZ"/>
        </w:rPr>
        <w:t xml:space="preserve"> or adaptive management response to diminish </w:t>
      </w:r>
      <w:r w:rsidR="00593BE3">
        <w:rPr>
          <w:lang w:eastAsia="en-NZ"/>
        </w:rPr>
        <w:t xml:space="preserve">the </w:t>
      </w:r>
      <w:r w:rsidR="00075FB5">
        <w:rPr>
          <w:lang w:eastAsia="en-NZ"/>
        </w:rPr>
        <w:t>risk and uncertainty</w:t>
      </w:r>
      <w:r w:rsidR="00FA25D1" w:rsidRPr="29589E8D">
        <w:rPr>
          <w:lang w:eastAsia="en-NZ"/>
        </w:rPr>
        <w:t xml:space="preserve">. </w:t>
      </w:r>
    </w:p>
    <w:p w14:paraId="64040B2F" w14:textId="5A9BCF12" w:rsidR="00A83220" w:rsidRDefault="00A83220" w:rsidP="00CD2196">
      <w:pPr>
        <w:pStyle w:val="Heading6"/>
      </w:pPr>
      <w:r>
        <w:t xml:space="preserve">Coastal </w:t>
      </w:r>
      <w:r w:rsidR="008F0B99">
        <w:t>h</w:t>
      </w:r>
      <w:r>
        <w:t>azards</w:t>
      </w:r>
    </w:p>
    <w:p w14:paraId="220E05D2" w14:textId="62352B85" w:rsidR="00E66C87" w:rsidRPr="00E66C87" w:rsidRDefault="00A45A39" w:rsidP="00A247C5">
      <w:pPr>
        <w:pStyle w:val="Normal2"/>
      </w:pPr>
      <w:r>
        <w:t xml:space="preserve">Policy 24 of the NZCPS provide directive guidance on the identification of coastal hazards, and Policy 25 of the NZCPS provides direction on managing subdivision, use, and development in areas of coastal hazard risk. </w:t>
      </w:r>
      <w:r w:rsidR="00BC2274">
        <w:t xml:space="preserve">Policy 26 of the NZCPS </w:t>
      </w:r>
      <w:r w:rsidR="00BC1705">
        <w:t>provides for</w:t>
      </w:r>
      <w:r w:rsidR="00250D33">
        <w:t xml:space="preserve"> the protection, </w:t>
      </w:r>
      <w:proofErr w:type="gramStart"/>
      <w:r w:rsidR="00250D33">
        <w:t>enhancement</w:t>
      </w:r>
      <w:proofErr w:type="gramEnd"/>
      <w:r w:rsidR="00250D33">
        <w:t xml:space="preserve"> or maintenance of</w:t>
      </w:r>
      <w:r w:rsidR="00BC1705">
        <w:t xml:space="preserve"> natural defences against coastal hazards</w:t>
      </w:r>
      <w:r w:rsidR="00BD69CB">
        <w:t>.</w:t>
      </w:r>
      <w:r>
        <w:t xml:space="preserve"> To give effect to th</w:t>
      </w:r>
      <w:r w:rsidR="003A7AF2">
        <w:t xml:space="preserve">ese polices, </w:t>
      </w:r>
      <w:r w:rsidR="001A2B53">
        <w:t>HAZ</w:t>
      </w:r>
      <w:r w:rsidR="008F0B99">
        <w:t>–</w:t>
      </w:r>
      <w:r w:rsidR="001A2B53">
        <w:t>NH</w:t>
      </w:r>
      <w:r w:rsidR="008F0B99">
        <w:t>–</w:t>
      </w:r>
      <w:r w:rsidR="001A2B53">
        <w:t>P1</w:t>
      </w:r>
      <w:r w:rsidR="00644BCC">
        <w:t>1</w:t>
      </w:r>
      <w:r w:rsidR="001A2B53">
        <w:t xml:space="preserve"> </w:t>
      </w:r>
      <w:r w:rsidR="00B559BD">
        <w:t xml:space="preserve">requires that </w:t>
      </w:r>
      <w:r w:rsidR="00FF1ED6">
        <w:t xml:space="preserve">where </w:t>
      </w:r>
      <w:r w:rsidR="00B559BD">
        <w:t xml:space="preserve">land </w:t>
      </w:r>
      <w:r w:rsidR="00D53679">
        <w:t>is</w:t>
      </w:r>
      <w:r w:rsidR="00B559BD">
        <w:t xml:space="preserve"> potentially affected by coastal erosion or coastal inundation no land use change or redevelopment occurs that would increase the risk to people and communities, from that coastal hazard</w:t>
      </w:r>
      <w:r w:rsidR="002B5D23">
        <w:t xml:space="preserve">. It also requires that </w:t>
      </w:r>
      <w:r w:rsidR="00B559BD">
        <w:t>land use change or redevelopment that reduces the risk from that coastal hazard is encouraged</w:t>
      </w:r>
      <w:r w:rsidR="007E28AD">
        <w:t xml:space="preserve">. Finally, it requires that any </w:t>
      </w:r>
      <w:r w:rsidR="00B559BD">
        <w:t xml:space="preserve">decision-making about the nature, scale and location of activities </w:t>
      </w:r>
      <w:r w:rsidR="007E28AD">
        <w:t xml:space="preserve">must </w:t>
      </w:r>
      <w:proofErr w:type="gramStart"/>
      <w:r w:rsidR="00B559BD">
        <w:t>take into account</w:t>
      </w:r>
      <w:proofErr w:type="gramEnd"/>
      <w:r w:rsidR="00B559BD">
        <w:t xml:space="preserve"> the ability of Otago’s people and communities to adapt to or mitigate the effects of sea level rise and climate change</w:t>
      </w:r>
      <w:r w:rsidR="007E28AD">
        <w:t xml:space="preserve">. </w:t>
      </w:r>
    </w:p>
    <w:p w14:paraId="69EC056E" w14:textId="16E45CCC" w:rsidR="007E28AD" w:rsidRPr="00144A81" w:rsidRDefault="007E28AD" w:rsidP="00A247C5">
      <w:pPr>
        <w:pStyle w:val="Normal2"/>
      </w:pPr>
      <w:r>
        <w:t>This policy is supported by Method HAZ</w:t>
      </w:r>
      <w:r w:rsidR="008F0B99">
        <w:t>–NH–</w:t>
      </w:r>
      <w:r>
        <w:t>M1</w:t>
      </w:r>
      <w:r w:rsidR="00203E3D">
        <w:t>(</w:t>
      </w:r>
      <w:r w:rsidR="00333A9B">
        <w:t>2)</w:t>
      </w:r>
      <w:r w:rsidR="00203E3D">
        <w:t xml:space="preserve">(c) that </w:t>
      </w:r>
      <w:r w:rsidR="008F0B99">
        <w:t>states</w:t>
      </w:r>
      <w:r w:rsidR="00203E3D">
        <w:t xml:space="preserve"> that</w:t>
      </w:r>
      <w:r>
        <w:t xml:space="preserve"> </w:t>
      </w:r>
      <w:r w:rsidR="004E3A3A">
        <w:t xml:space="preserve">the regional council is responsible for </w:t>
      </w:r>
      <w:r w:rsidR="00B37487">
        <w:t xml:space="preserve">identifying the coastal hazards in accordance with Policy 24 of the NZCPS. </w:t>
      </w:r>
      <w:r>
        <w:t xml:space="preserve"> </w:t>
      </w:r>
    </w:p>
    <w:p w14:paraId="56FD7E99" w14:textId="4FFDA99E" w:rsidR="001C340D" w:rsidRPr="00C54FC5" w:rsidRDefault="001C340D" w:rsidP="00CD2196">
      <w:pPr>
        <w:pStyle w:val="Heading6"/>
        <w:rPr>
          <w:color w:val="4472C4" w:themeColor="accent1"/>
        </w:rPr>
      </w:pPr>
      <w:r w:rsidRPr="00C54FC5">
        <w:t>E</w:t>
      </w:r>
      <w:r w:rsidR="00093AFA" w:rsidRPr="00C54FC5">
        <w:t xml:space="preserve">xisting use rights </w:t>
      </w:r>
    </w:p>
    <w:p w14:paraId="6C64E151" w14:textId="2FD799D9" w:rsidR="00451382" w:rsidRPr="006A240E" w:rsidRDefault="00BE3DBE" w:rsidP="00A247C5">
      <w:pPr>
        <w:pStyle w:val="Normal2"/>
        <w:rPr>
          <w:color w:val="4472C4" w:themeColor="accent1"/>
        </w:rPr>
      </w:pPr>
      <w:r>
        <w:t xml:space="preserve">Policy </w:t>
      </w:r>
      <w:r w:rsidR="00987838">
        <w:t>HAZ</w:t>
      </w:r>
      <w:r w:rsidR="008F0B99">
        <w:t>–</w:t>
      </w:r>
      <w:r w:rsidR="00987838">
        <w:t>NH</w:t>
      </w:r>
      <w:r w:rsidR="008F0B99">
        <w:t>–</w:t>
      </w:r>
      <w:r w:rsidR="00987838">
        <w:t>P</w:t>
      </w:r>
      <w:r w:rsidR="00333A9B">
        <w:t>5</w:t>
      </w:r>
      <w:r w:rsidR="00987838">
        <w:t xml:space="preserve"> builds on the </w:t>
      </w:r>
      <w:r w:rsidR="00107B20">
        <w:t xml:space="preserve">risk </w:t>
      </w:r>
      <w:r w:rsidR="00987838">
        <w:t>assessment required by</w:t>
      </w:r>
      <w:r w:rsidR="00107B20">
        <w:t xml:space="preserve"> HAZ</w:t>
      </w:r>
      <w:r w:rsidR="008F0B99">
        <w:t>–</w:t>
      </w:r>
      <w:r w:rsidR="00107B20">
        <w:t>NH</w:t>
      </w:r>
      <w:r w:rsidR="008F0B99">
        <w:t>–</w:t>
      </w:r>
      <w:r w:rsidR="00107B20">
        <w:t>P</w:t>
      </w:r>
      <w:r w:rsidR="006C7040">
        <w:t>2</w:t>
      </w:r>
      <w:r w:rsidR="00362C9E">
        <w:t xml:space="preserve"> by providing </w:t>
      </w:r>
      <w:r w:rsidR="006C4EBC">
        <w:t xml:space="preserve">direction as to </w:t>
      </w:r>
      <w:r w:rsidR="00783A45">
        <w:t xml:space="preserve">how existing </w:t>
      </w:r>
      <w:r w:rsidR="004F7E6B">
        <w:t>nat</w:t>
      </w:r>
      <w:r w:rsidR="00BA4582">
        <w:t>ur</w:t>
      </w:r>
      <w:r w:rsidR="004F7E6B">
        <w:t xml:space="preserve">al hazard risk </w:t>
      </w:r>
      <w:r w:rsidR="00643107">
        <w:t xml:space="preserve">can be reduced. </w:t>
      </w:r>
      <w:r w:rsidR="00735C19">
        <w:t xml:space="preserve">This largely replicates </w:t>
      </w:r>
      <w:r w:rsidR="00C45027">
        <w:t>Policy 4.1.7 of the PORPS 2019. However,</w:t>
      </w:r>
      <w:r w:rsidR="002D70C3">
        <w:t xml:space="preserve"> </w:t>
      </w:r>
      <w:r w:rsidR="00211C28">
        <w:t>HAZ</w:t>
      </w:r>
      <w:r w:rsidR="008F0B99">
        <w:t>–</w:t>
      </w:r>
      <w:r w:rsidR="00211C28">
        <w:t>NH</w:t>
      </w:r>
      <w:r w:rsidR="008F0B99">
        <w:t>–</w:t>
      </w:r>
      <w:r w:rsidR="00211C28">
        <w:t>P</w:t>
      </w:r>
      <w:r w:rsidR="004128CA">
        <w:t>5</w:t>
      </w:r>
      <w:r w:rsidR="001E3E83">
        <w:t xml:space="preserve"> includes </w:t>
      </w:r>
      <w:r w:rsidR="003A164C">
        <w:t xml:space="preserve">policy guidance on </w:t>
      </w:r>
      <w:r w:rsidR="00160D84">
        <w:t>managing existing use rights within areas of significant</w:t>
      </w:r>
      <w:r w:rsidR="009D4CD2">
        <w:t xml:space="preserve"> risk </w:t>
      </w:r>
      <w:r w:rsidR="00160D84">
        <w:t>to people and communities.</w:t>
      </w:r>
      <w:r w:rsidR="009D4CD2">
        <w:t xml:space="preserve"> </w:t>
      </w:r>
      <w:r w:rsidR="00716EFA">
        <w:t>This is supported by</w:t>
      </w:r>
      <w:r w:rsidR="004432FD" w:rsidRPr="29589E8D">
        <w:rPr>
          <w:rFonts w:eastAsia="Calibri"/>
        </w:rPr>
        <w:t xml:space="preserve"> HAZ</w:t>
      </w:r>
      <w:r w:rsidR="008F0B99">
        <w:t>–</w:t>
      </w:r>
      <w:r w:rsidR="004432FD" w:rsidRPr="29589E8D">
        <w:rPr>
          <w:rFonts w:eastAsia="Calibri"/>
        </w:rPr>
        <w:t>NH</w:t>
      </w:r>
      <w:r w:rsidR="008F0B99">
        <w:t>–</w:t>
      </w:r>
      <w:r w:rsidR="004432FD" w:rsidRPr="29589E8D">
        <w:rPr>
          <w:rFonts w:eastAsia="Calibri"/>
        </w:rPr>
        <w:t>M2</w:t>
      </w:r>
      <w:r w:rsidR="00C83D71" w:rsidRPr="29589E8D">
        <w:rPr>
          <w:rFonts w:eastAsia="Calibri"/>
        </w:rPr>
        <w:t>(</w:t>
      </w:r>
      <w:r w:rsidR="00160D84" w:rsidRPr="29589E8D">
        <w:rPr>
          <w:rFonts w:eastAsia="Calibri"/>
        </w:rPr>
        <w:t>3</w:t>
      </w:r>
      <w:r w:rsidR="00C83D71" w:rsidRPr="29589E8D">
        <w:rPr>
          <w:rFonts w:eastAsia="Calibri"/>
        </w:rPr>
        <w:t xml:space="preserve">) which </w:t>
      </w:r>
      <w:r w:rsidR="00777403" w:rsidRPr="29589E8D">
        <w:rPr>
          <w:rFonts w:eastAsia="Calibri"/>
        </w:rPr>
        <w:t>directs</w:t>
      </w:r>
      <w:r w:rsidR="00C83D71" w:rsidRPr="29589E8D">
        <w:rPr>
          <w:rFonts w:eastAsia="Calibri"/>
        </w:rPr>
        <w:t xml:space="preserve"> that</w:t>
      </w:r>
      <w:r w:rsidR="003A3148" w:rsidRPr="29589E8D">
        <w:rPr>
          <w:rFonts w:eastAsia="Calibri"/>
        </w:rPr>
        <w:t xml:space="preserve"> local auth</w:t>
      </w:r>
      <w:r w:rsidR="00227025" w:rsidRPr="29589E8D">
        <w:rPr>
          <w:rFonts w:eastAsia="Calibri"/>
        </w:rPr>
        <w:t xml:space="preserve">orities </w:t>
      </w:r>
      <w:r w:rsidR="00DA3A97" w:rsidRPr="29589E8D">
        <w:rPr>
          <w:rFonts w:eastAsia="Calibri"/>
        </w:rPr>
        <w:t xml:space="preserve">will investigate options for reducing the level of natural hazard risk within areas of existing development to a tolerable or lower level, including by managing existing use rights under Section </w:t>
      </w:r>
      <w:r w:rsidR="000A1480" w:rsidRPr="29589E8D">
        <w:rPr>
          <w:rFonts w:eastAsia="Calibri"/>
        </w:rPr>
        <w:t>20A</w:t>
      </w:r>
      <w:r w:rsidR="00DA3A97" w:rsidRPr="29589E8D">
        <w:rPr>
          <w:rFonts w:eastAsia="Calibri"/>
        </w:rPr>
        <w:t xml:space="preserve"> of the RMA</w:t>
      </w:r>
      <w:r w:rsidR="00C54FC5" w:rsidRPr="29589E8D">
        <w:rPr>
          <w:rFonts w:eastAsia="Calibri"/>
        </w:rPr>
        <w:t xml:space="preserve">. </w:t>
      </w:r>
      <w:r w:rsidR="003A3148" w:rsidRPr="29589E8D">
        <w:rPr>
          <w:rFonts w:eastAsia="Calibri"/>
        </w:rPr>
        <w:t xml:space="preserve"> </w:t>
      </w:r>
      <w:r w:rsidR="00C83D71" w:rsidRPr="29589E8D">
        <w:rPr>
          <w:rFonts w:eastAsia="Calibri"/>
        </w:rPr>
        <w:t xml:space="preserve"> </w:t>
      </w:r>
    </w:p>
    <w:p w14:paraId="4AA53EA0" w14:textId="7D35E62E" w:rsidR="00D73AC1" w:rsidRPr="00C577FC" w:rsidRDefault="00D73AC1" w:rsidP="00D73AC1">
      <w:pPr>
        <w:pStyle w:val="Heading6"/>
        <w:rPr>
          <w:color w:val="4472C4" w:themeColor="accent1"/>
        </w:rPr>
      </w:pPr>
      <w:r>
        <w:t xml:space="preserve">Option 3: PORPS 2021 with </w:t>
      </w:r>
      <w:r w:rsidR="00263566">
        <w:t xml:space="preserve">amendments to APP6 </w:t>
      </w:r>
    </w:p>
    <w:p w14:paraId="52A09749" w14:textId="47CABEEB" w:rsidR="00243699" w:rsidRPr="008F0B99" w:rsidRDefault="00D73AC1" w:rsidP="00A247C5">
      <w:pPr>
        <w:pStyle w:val="Normal2"/>
        <w:rPr>
          <w:color w:val="4472C4" w:themeColor="accent1"/>
        </w:rPr>
      </w:pPr>
      <w:r>
        <w:t xml:space="preserve">This option is an extension of Option 2 (PORPS 2021), </w:t>
      </w:r>
      <w:r w:rsidR="00031FC0">
        <w:t xml:space="preserve">in that the objectives policies and methods remain </w:t>
      </w:r>
      <w:r w:rsidR="0016680C">
        <w:t>unchanged</w:t>
      </w:r>
      <w:r w:rsidR="00031FC0">
        <w:t xml:space="preserve"> b</w:t>
      </w:r>
      <w:r w:rsidR="0016680C">
        <w:t>ut the m</w:t>
      </w:r>
      <w:r w:rsidR="0016680C" w:rsidRPr="0016680C">
        <w:t>ethodology for natural hazard risk assessment</w:t>
      </w:r>
      <w:r w:rsidR="00031FC0">
        <w:t xml:space="preserve"> </w:t>
      </w:r>
      <w:r w:rsidR="0016680C">
        <w:t>set out in APP6</w:t>
      </w:r>
      <w:r w:rsidR="008F0B99">
        <w:t xml:space="preserve"> is altered</w:t>
      </w:r>
      <w:r w:rsidR="001F40D0">
        <w:t xml:space="preserve">. The key difference between Option </w:t>
      </w:r>
      <w:r w:rsidR="003A1633">
        <w:t>2 (PORPS 2021) and option 3 are</w:t>
      </w:r>
      <w:r w:rsidR="0016680C">
        <w:t xml:space="preserve"> </w:t>
      </w:r>
      <w:r w:rsidR="00031FC0">
        <w:t>t</w:t>
      </w:r>
      <w:r w:rsidR="008F0B99">
        <w:t>hat</w:t>
      </w:r>
      <w:r w:rsidR="00243699">
        <w:t xml:space="preserve">: </w:t>
      </w:r>
    </w:p>
    <w:p w14:paraId="5107E10A" w14:textId="656B1470" w:rsidR="00DC77E7" w:rsidRDefault="008F0B99" w:rsidP="00A247C5">
      <w:pPr>
        <w:pStyle w:val="Normal3"/>
      </w:pPr>
      <w:r>
        <w:t>an u</w:t>
      </w:r>
      <w:r w:rsidR="00D570E4" w:rsidRPr="00D570E4">
        <w:t>npopulated consequence table</w:t>
      </w:r>
      <w:r w:rsidR="00DC77E7">
        <w:t xml:space="preserve"> is included </w:t>
      </w:r>
      <w:r w:rsidR="00DC77E7" w:rsidRPr="00DC77E7">
        <w:t>rather than the generic risk table provided in Option 2</w:t>
      </w:r>
      <w:r>
        <w:t>,</w:t>
      </w:r>
    </w:p>
    <w:p w14:paraId="5F0D62F3" w14:textId="75E7394A" w:rsidR="00243699" w:rsidRDefault="008F0B99" w:rsidP="00A247C5">
      <w:pPr>
        <w:pStyle w:val="Normal3"/>
      </w:pPr>
      <w:r>
        <w:t>an</w:t>
      </w:r>
      <w:r w:rsidR="00D73AC1">
        <w:t xml:space="preserve"> </w:t>
      </w:r>
      <w:r w:rsidR="00DC77E7">
        <w:t>unpopulated</w:t>
      </w:r>
      <w:r w:rsidR="00D73AC1">
        <w:t xml:space="preserve"> risk table is included, rather than the </w:t>
      </w:r>
      <w:r w:rsidR="00883A6C">
        <w:t xml:space="preserve">generic risk </w:t>
      </w:r>
      <w:r w:rsidR="00D73AC1">
        <w:t>table provided in Option 2</w:t>
      </w:r>
      <w:r>
        <w:t>, and</w:t>
      </w:r>
    </w:p>
    <w:p w14:paraId="2BEBC3DD" w14:textId="53BEA677" w:rsidR="0078046A" w:rsidRPr="0078046A" w:rsidRDefault="008F0B99" w:rsidP="00A247C5">
      <w:pPr>
        <w:pStyle w:val="Normal3"/>
      </w:pPr>
      <w:r>
        <w:t>a</w:t>
      </w:r>
      <w:r w:rsidR="00DC77E7">
        <w:t xml:space="preserve"> </w:t>
      </w:r>
      <w:r w:rsidR="0078046A">
        <w:t>q</w:t>
      </w:r>
      <w:r w:rsidR="0078046A" w:rsidRPr="0078046A">
        <w:t xml:space="preserve">uantitative </w:t>
      </w:r>
      <w:r w:rsidR="0078046A">
        <w:t>r</w:t>
      </w:r>
      <w:r w:rsidR="0078046A" w:rsidRPr="0078046A">
        <w:t xml:space="preserve">isk </w:t>
      </w:r>
      <w:r w:rsidR="0078046A">
        <w:t>a</w:t>
      </w:r>
      <w:r w:rsidR="0078046A" w:rsidRPr="0078046A">
        <w:t>ssessment</w:t>
      </w:r>
      <w:r w:rsidR="0078046A">
        <w:t xml:space="preserve"> was not required. </w:t>
      </w:r>
    </w:p>
    <w:p w14:paraId="4D597407" w14:textId="77777777" w:rsidR="00D73AC1" w:rsidRDefault="00D73AC1" w:rsidP="00A247C5">
      <w:pPr>
        <w:pStyle w:val="Normal2"/>
      </w:pPr>
      <w:r>
        <w:t xml:space="preserve">This option would provide certainty of knowing which likelihood and consequence combinations have what level of risk. However, the identification of risk categories would be generic, and not based on region-wide consultation, including any variations in risk tolerability at a district level. </w:t>
      </w:r>
    </w:p>
    <w:p w14:paraId="74D5B90E" w14:textId="0B5A3DEA" w:rsidR="005359BD" w:rsidRDefault="00874924" w:rsidP="00A247C5">
      <w:pPr>
        <w:pStyle w:val="Normal2"/>
      </w:pPr>
      <w:r>
        <w:t xml:space="preserve">However, based on technical advice from GNS Science, given a region-wide consultation has not been undertaken, it was recommended that the PORPS 2021 direct that community consultation </w:t>
      </w:r>
      <w:r w:rsidR="00FB6DA4">
        <w:t>(</w:t>
      </w:r>
      <w:proofErr w:type="gramStart"/>
      <w:r w:rsidR="00FB6DA4">
        <w:t>a the</w:t>
      </w:r>
      <w:proofErr w:type="gramEnd"/>
      <w:r w:rsidR="00FB6DA4">
        <w:t xml:space="preserve"> district level) </w:t>
      </w:r>
      <w:r>
        <w:t>is undertaken with regard to the levels of risk adopted with the assessment at a territorial authority level, and the risk table be left blank to avoid bias</w:t>
      </w:r>
      <w:r w:rsidR="009A052A">
        <w:t xml:space="preserve">. </w:t>
      </w:r>
    </w:p>
    <w:p w14:paraId="1E8E6CB3" w14:textId="587753C6" w:rsidR="006A240E" w:rsidRDefault="006A240E" w:rsidP="00DE069C">
      <w:pPr>
        <w:pStyle w:val="Heading4"/>
      </w:pPr>
      <w:r>
        <w:lastRenderedPageBreak/>
        <w:t>Consultation summary</w:t>
      </w:r>
    </w:p>
    <w:p w14:paraId="58ECDAB4" w14:textId="3552E79A" w:rsidR="006A240E" w:rsidRPr="005359BD" w:rsidRDefault="006A240E" w:rsidP="000B61EC">
      <w:pPr>
        <w:pStyle w:val="Heading5"/>
      </w:pPr>
      <w:r w:rsidRPr="005359BD">
        <w:t>Clause 3</w:t>
      </w:r>
      <w:r w:rsidR="005359BD">
        <w:t xml:space="preserve"> consultation</w:t>
      </w:r>
    </w:p>
    <w:p w14:paraId="37872A0C" w14:textId="3606938F" w:rsidR="00FF0697" w:rsidRDefault="00FF0697"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w:instrText>
      </w:r>
      <w:r>
        <w:fldChar w:fldCharType="separate"/>
      </w:r>
      <w:r w:rsidR="002A7A16">
        <w:t>2.5.1</w:t>
      </w:r>
      <w:r>
        <w:fldChar w:fldCharType="end"/>
      </w:r>
      <w:r>
        <w:t xml:space="preserve"> of this report. </w:t>
      </w:r>
      <w:r w:rsidR="004F550F">
        <w:t>Ten</w:t>
      </w:r>
      <w:r>
        <w:t xml:space="preserve"> parties provided feedback on the </w:t>
      </w:r>
      <w:r w:rsidR="00FE65F1">
        <w:t xml:space="preserve">natural hazard section of the </w:t>
      </w:r>
      <w:r w:rsidR="004F550F" w:rsidRPr="00585AE7">
        <w:rPr>
          <w:i/>
          <w:iCs/>
        </w:rPr>
        <w:t>HAZ</w:t>
      </w:r>
      <w:r w:rsidR="00585AE7" w:rsidRPr="00585AE7">
        <w:rPr>
          <w:i/>
          <w:iCs/>
        </w:rPr>
        <w:t>–NH – Natural hazards</w:t>
      </w:r>
      <w:r w:rsidR="00585AE7">
        <w:t xml:space="preserve"> section</w:t>
      </w:r>
      <w:r>
        <w:t xml:space="preserve"> through clause 3 consultation. The feedback ranged from minor amendments to correct errors or improve clarity of provisions (which were largely accepted by ORC) </w:t>
      </w:r>
      <w:r w:rsidR="00A24031">
        <w:t xml:space="preserve">through to considerable issues with the policy approach adopted. </w:t>
      </w:r>
      <w:r w:rsidR="003A3E5E">
        <w:t xml:space="preserve">These minor changes related to </w:t>
      </w:r>
      <w:r w:rsidR="005D0499">
        <w:t xml:space="preserve">correcting policy references, </w:t>
      </w:r>
      <w:r w:rsidR="006C6CF0">
        <w:t xml:space="preserve">updating </w:t>
      </w:r>
      <w:r w:rsidR="00DF185A">
        <w:t xml:space="preserve">policy explanations, </w:t>
      </w:r>
      <w:r w:rsidR="00170EFB">
        <w:t xml:space="preserve">and updating datum references. </w:t>
      </w:r>
    </w:p>
    <w:p w14:paraId="5764D398" w14:textId="75E86C15" w:rsidR="00FF0697" w:rsidRDefault="00FF0697" w:rsidP="00A247C5">
      <w:pPr>
        <w:pStyle w:val="Normal2"/>
      </w:pPr>
      <w:r>
        <w:t xml:space="preserve">The </w:t>
      </w:r>
      <w:r w:rsidR="00DE4EA5">
        <w:t xml:space="preserve">Queenstown Lakes District </w:t>
      </w:r>
      <w:r w:rsidR="00045807">
        <w:t>Council</w:t>
      </w:r>
      <w:r w:rsidR="00DE4EA5">
        <w:t xml:space="preserve"> provided </w:t>
      </w:r>
      <w:r w:rsidR="00045807">
        <w:t xml:space="preserve">considerable feedback on the chapter. This </w:t>
      </w:r>
      <w:r w:rsidR="00540265">
        <w:t>feedback</w:t>
      </w:r>
      <w:r w:rsidR="003160E9">
        <w:t xml:space="preserve"> was largely technical in nature and sought amendments to </w:t>
      </w:r>
      <w:r w:rsidR="00540265">
        <w:t>APP</w:t>
      </w:r>
      <w:r w:rsidR="00585AE7">
        <w:t>6</w:t>
      </w:r>
      <w:r w:rsidR="00540265">
        <w:t xml:space="preserve"> </w:t>
      </w:r>
      <w:r w:rsidR="00EF44B9">
        <w:t>(</w:t>
      </w:r>
      <w:r w:rsidR="00540265">
        <w:t>the m</w:t>
      </w:r>
      <w:r w:rsidR="006B169D">
        <w:t xml:space="preserve">ethodology </w:t>
      </w:r>
      <w:r w:rsidR="007F0DB4">
        <w:t>and ta</w:t>
      </w:r>
      <w:r w:rsidR="00D44B64">
        <w:t xml:space="preserve">bles </w:t>
      </w:r>
      <w:r w:rsidR="006B169D">
        <w:t>that direct the assessment of natural hazard risk</w:t>
      </w:r>
      <w:r w:rsidR="00EF44B9">
        <w:t>)</w:t>
      </w:r>
      <w:r w:rsidR="004B1068">
        <w:t>. They also sought amendments to the</w:t>
      </w:r>
      <w:r w:rsidR="003160E9">
        <w:t xml:space="preserve"> </w:t>
      </w:r>
      <w:r w:rsidR="00D44B64">
        <w:t xml:space="preserve">policies and methods that are associated with this assessment methodology. </w:t>
      </w:r>
      <w:r w:rsidR="00AA4C12">
        <w:t xml:space="preserve">The changes suggested </w:t>
      </w:r>
      <w:r w:rsidR="00094E50">
        <w:t xml:space="preserve">sought that greater clarity be provided </w:t>
      </w:r>
      <w:r w:rsidR="00385474">
        <w:t xml:space="preserve">with the Plan as to how this assessment was to be undertaken. This feedback led to </w:t>
      </w:r>
      <w:proofErr w:type="gramStart"/>
      <w:r w:rsidR="00385474">
        <w:t>a number of</w:t>
      </w:r>
      <w:proofErr w:type="gramEnd"/>
      <w:r w:rsidR="00385474">
        <w:t xml:space="preserve"> changes to the </w:t>
      </w:r>
      <w:r w:rsidR="00EF44B9" w:rsidRPr="00585AE7">
        <w:rPr>
          <w:i/>
          <w:iCs/>
        </w:rPr>
        <w:t>HAZ–NH – Natural hazards</w:t>
      </w:r>
      <w:r w:rsidR="00EF44B9">
        <w:t xml:space="preserve"> section</w:t>
      </w:r>
      <w:r w:rsidR="00AA6BE5">
        <w:t xml:space="preserve">, including </w:t>
      </w:r>
      <w:r w:rsidR="00566F3D">
        <w:t xml:space="preserve">re-drafting a number of policies and adding </w:t>
      </w:r>
      <w:r w:rsidR="005846A2">
        <w:t xml:space="preserve">more detail into </w:t>
      </w:r>
      <w:r w:rsidR="009274E9">
        <w:t xml:space="preserve">the </w:t>
      </w:r>
      <w:r w:rsidR="005846A2">
        <w:t>assessment required within APP</w:t>
      </w:r>
      <w:r w:rsidR="00EF44B9">
        <w:t>6</w:t>
      </w:r>
      <w:r w:rsidR="005846A2">
        <w:t xml:space="preserve">. </w:t>
      </w:r>
    </w:p>
    <w:p w14:paraId="3FED74AC" w14:textId="78D52DCB" w:rsidR="005359BD" w:rsidRDefault="005359BD" w:rsidP="000B61EC">
      <w:pPr>
        <w:pStyle w:val="Heading5"/>
      </w:pPr>
      <w:r>
        <w:t>Clause 4A consultation</w:t>
      </w:r>
    </w:p>
    <w:p w14:paraId="60B3E420" w14:textId="305AE08B" w:rsidR="00614766" w:rsidRPr="00EF44B9" w:rsidRDefault="009D27B8" w:rsidP="00A247C5">
      <w:pPr>
        <w:pStyle w:val="Normal2"/>
      </w:pPr>
      <w:r>
        <w:t xml:space="preserve">The feedback provided by Iwi on the </w:t>
      </w:r>
      <w:r w:rsidR="005279AD">
        <w:t>HAZ</w:t>
      </w:r>
      <w:r>
        <w:t xml:space="preserve"> chapter was concerned with providing greater recognition </w:t>
      </w:r>
      <w:r w:rsidR="00FE1A54">
        <w:t xml:space="preserve">that </w:t>
      </w:r>
      <w:r w:rsidR="00E7289B">
        <w:t>m</w:t>
      </w:r>
      <w:r w:rsidR="00E7289B" w:rsidRPr="00E7289B">
        <w:t xml:space="preserve">ana whenua </w:t>
      </w:r>
      <w:proofErr w:type="gramStart"/>
      <w:r w:rsidR="00E7289B" w:rsidRPr="00E7289B">
        <w:t>are</w:t>
      </w:r>
      <w:proofErr w:type="gramEnd"/>
      <w:r w:rsidR="00E7289B" w:rsidRPr="00E7289B">
        <w:t xml:space="preserve"> able to exercise their kaitiaki duty over </w:t>
      </w:r>
      <w:proofErr w:type="spellStart"/>
      <w:r w:rsidR="00E7289B" w:rsidRPr="00E7289B">
        <w:t>wāhi</w:t>
      </w:r>
      <w:proofErr w:type="spellEnd"/>
      <w:r w:rsidR="00E7289B" w:rsidRPr="00E7289B">
        <w:t xml:space="preserve"> tūpuna, Māori reserves and freehold land that are susceptible to natural hazards. </w:t>
      </w:r>
      <w:r w:rsidR="00177361">
        <w:t xml:space="preserve">As such, </w:t>
      </w:r>
      <w:r w:rsidR="000452C9" w:rsidRPr="000452C9">
        <w:t xml:space="preserve">HAZ–NH–P12 – Kaitiaki decision making </w:t>
      </w:r>
      <w:r w:rsidR="000452C9">
        <w:t xml:space="preserve">was added to the chapter to </w:t>
      </w:r>
      <w:r w:rsidR="00543B77">
        <w:t>r</w:t>
      </w:r>
      <w:r w:rsidR="00543B77" w:rsidRPr="00543B77">
        <w:t xml:space="preserve">ecognise and provide for the role of Kāi </w:t>
      </w:r>
      <w:proofErr w:type="spellStart"/>
      <w:r w:rsidR="00543B77" w:rsidRPr="00543B77">
        <w:t>Tahu</w:t>
      </w:r>
      <w:proofErr w:type="spellEnd"/>
      <w:r w:rsidR="00543B77" w:rsidRPr="00543B77">
        <w:t xml:space="preserve"> as kaitiaki</w:t>
      </w:r>
      <w:r w:rsidR="00543B77">
        <w:t xml:space="preserve">. </w:t>
      </w:r>
    </w:p>
    <w:p w14:paraId="2637F87E" w14:textId="3C170E93" w:rsidR="00E9552F" w:rsidRDefault="00E9552F" w:rsidP="00DE069C">
      <w:pPr>
        <w:pStyle w:val="Heading4"/>
      </w:pPr>
      <w:r>
        <w:t>Efficiency and effectiveness evaluation</w:t>
      </w:r>
    </w:p>
    <w:p w14:paraId="4C44D2DD" w14:textId="3657ABA4" w:rsidR="00E9552F" w:rsidRDefault="00D91FE4" w:rsidP="00A247C5">
      <w:pPr>
        <w:pStyle w:val="Normal2"/>
      </w:pPr>
      <w:r>
        <w:rPr>
          <w:highlight w:val="yellow"/>
        </w:rPr>
        <w:fldChar w:fldCharType="begin"/>
      </w:r>
      <w:r>
        <w:instrText xml:space="preserve"> REF _Ref53669220 \h </w:instrText>
      </w:r>
      <w:r>
        <w:rPr>
          <w:highlight w:val="yellow"/>
        </w:rPr>
      </w:r>
      <w:r>
        <w:rPr>
          <w:highlight w:val="yellow"/>
        </w:rPr>
        <w:fldChar w:fldCharType="separate"/>
      </w:r>
      <w:r w:rsidR="002A7A16">
        <w:t xml:space="preserve">Table </w:t>
      </w:r>
      <w:r w:rsidR="002A7A16">
        <w:rPr>
          <w:noProof/>
        </w:rPr>
        <w:t>51</w:t>
      </w:r>
      <w:r>
        <w:fldChar w:fldCharType="end"/>
      </w:r>
      <w:r>
        <w:t xml:space="preserve"> </w:t>
      </w:r>
      <w:r w:rsidR="00E9552F">
        <w:t xml:space="preserve">below identifies and assesses the benefits and costs of the environmental, cultural, </w:t>
      </w:r>
      <w:proofErr w:type="gramStart"/>
      <w:r w:rsidR="00E9552F">
        <w:t>social</w:t>
      </w:r>
      <w:proofErr w:type="gramEnd"/>
      <w:r w:rsidR="00E9552F">
        <w:t xml:space="preserve"> and economic effects that are anticipated from the implementation of the provisions proposed under Option 2 above.</w:t>
      </w:r>
    </w:p>
    <w:p w14:paraId="075A4101" w14:textId="50839D28" w:rsidR="00E9552F" w:rsidRDefault="00E9552F" w:rsidP="00E9552F">
      <w:pPr>
        <w:pStyle w:val="Caption"/>
        <w:keepNext/>
      </w:pPr>
      <w:bookmarkStart w:id="124" w:name="_Ref53669220"/>
      <w:r>
        <w:t xml:space="preserve">Table </w:t>
      </w:r>
      <w:r>
        <w:fldChar w:fldCharType="begin"/>
      </w:r>
      <w:r>
        <w:instrText>SEQ Table \* ARABIC</w:instrText>
      </w:r>
      <w:r>
        <w:fldChar w:fldCharType="separate"/>
      </w:r>
      <w:r w:rsidR="002A7A16">
        <w:rPr>
          <w:noProof/>
        </w:rPr>
        <w:t>51</w:t>
      </w:r>
      <w:r>
        <w:fldChar w:fldCharType="end"/>
      </w:r>
      <w:bookmarkEnd w:id="124"/>
      <w:r>
        <w:t>:</w:t>
      </w:r>
      <w:r w:rsidRPr="00005F72">
        <w:t xml:space="preserve"> </w:t>
      </w:r>
      <w:r>
        <w:t xml:space="preserve">Benefits and costs for </w:t>
      </w:r>
      <w:r w:rsidR="00D91FE4">
        <w:t>natural hazards</w:t>
      </w:r>
    </w:p>
    <w:tbl>
      <w:tblPr>
        <w:tblStyle w:val="ListTable1Light-Accent1"/>
        <w:tblW w:w="0" w:type="auto"/>
        <w:tblLook w:val="04A0" w:firstRow="1" w:lastRow="0" w:firstColumn="1" w:lastColumn="0" w:noHBand="0" w:noVBand="1"/>
      </w:tblPr>
      <w:tblGrid>
        <w:gridCol w:w="4508"/>
        <w:gridCol w:w="4508"/>
      </w:tblGrid>
      <w:tr w:rsidR="00E9552F" w:rsidRPr="00AE42AF" w14:paraId="4D80D32F" w14:textId="77777777" w:rsidTr="00424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C7C793D" w14:textId="77777777" w:rsidR="00E9552F" w:rsidRPr="00AE42AF" w:rsidRDefault="00E9552F" w:rsidP="00424DBB">
            <w:pPr>
              <w:jc w:val="center"/>
              <w:rPr>
                <w:sz w:val="20"/>
              </w:rPr>
            </w:pPr>
            <w:r w:rsidRPr="00AE42AF">
              <w:rPr>
                <w:sz w:val="20"/>
              </w:rPr>
              <w:t>BENEFITS</w:t>
            </w:r>
          </w:p>
        </w:tc>
        <w:tc>
          <w:tcPr>
            <w:tcW w:w="4508" w:type="dxa"/>
          </w:tcPr>
          <w:p w14:paraId="3E43E3A4" w14:textId="77777777" w:rsidR="00E9552F" w:rsidRPr="00AE42AF" w:rsidRDefault="00E9552F" w:rsidP="00424DBB">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9552F" w:rsidRPr="00AE42AF" w14:paraId="483CC108"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2328C49" w14:textId="77777777" w:rsidR="00E9552F" w:rsidRPr="00AE42AF" w:rsidRDefault="00E9552F" w:rsidP="00424DBB">
            <w:pPr>
              <w:jc w:val="center"/>
              <w:rPr>
                <w:sz w:val="20"/>
              </w:rPr>
            </w:pPr>
            <w:r w:rsidRPr="00AE42AF">
              <w:rPr>
                <w:sz w:val="20"/>
              </w:rPr>
              <w:t>Environmental</w:t>
            </w:r>
          </w:p>
        </w:tc>
      </w:tr>
      <w:tr w:rsidR="00E9552F" w:rsidRPr="00EF44B9" w14:paraId="2547E395"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2DBF1FEC" w14:textId="3B5AC797" w:rsidR="00F07289" w:rsidRPr="00EF44B9" w:rsidRDefault="00F07289" w:rsidP="00BE3A7E">
            <w:pPr>
              <w:pStyle w:val="ListParagraph"/>
              <w:numPr>
                <w:ilvl w:val="0"/>
                <w:numId w:val="22"/>
              </w:numPr>
              <w:rPr>
                <w:b w:val="0"/>
                <w:bCs w:val="0"/>
                <w:sz w:val="20"/>
                <w:szCs w:val="20"/>
              </w:rPr>
            </w:pPr>
            <w:r w:rsidRPr="00EF44B9">
              <w:rPr>
                <w:b w:val="0"/>
                <w:bCs w:val="0"/>
                <w:sz w:val="20"/>
                <w:szCs w:val="20"/>
              </w:rPr>
              <w:t xml:space="preserve">Identification of areas </w:t>
            </w:r>
            <w:r w:rsidR="009778F9" w:rsidRPr="00EF44B9">
              <w:rPr>
                <w:b w:val="0"/>
                <w:bCs w:val="0"/>
                <w:sz w:val="20"/>
                <w:szCs w:val="20"/>
              </w:rPr>
              <w:t xml:space="preserve">subject to natural hazard risk </w:t>
            </w:r>
            <w:r w:rsidRPr="00EF44B9">
              <w:rPr>
                <w:b w:val="0"/>
                <w:bCs w:val="0"/>
                <w:sz w:val="20"/>
                <w:szCs w:val="20"/>
              </w:rPr>
              <w:t xml:space="preserve">(by way of mapping) in regional and district plans </w:t>
            </w:r>
            <w:r w:rsidR="008B7313" w:rsidRPr="00EF44B9">
              <w:rPr>
                <w:b w:val="0"/>
                <w:bCs w:val="0"/>
                <w:sz w:val="20"/>
                <w:szCs w:val="20"/>
              </w:rPr>
              <w:t xml:space="preserve">or within a database </w:t>
            </w:r>
            <w:r w:rsidRPr="00EF44B9">
              <w:rPr>
                <w:b w:val="0"/>
                <w:bCs w:val="0"/>
                <w:sz w:val="20"/>
                <w:szCs w:val="20"/>
              </w:rPr>
              <w:t>will support more effective management of these areas</w:t>
            </w:r>
            <w:r w:rsidR="00946F1C" w:rsidRPr="00EF44B9">
              <w:rPr>
                <w:b w:val="0"/>
                <w:bCs w:val="0"/>
                <w:sz w:val="20"/>
                <w:szCs w:val="20"/>
              </w:rPr>
              <w:t>.</w:t>
            </w:r>
          </w:p>
          <w:p w14:paraId="09D0119A" w14:textId="788365D3" w:rsidR="00932B12" w:rsidRPr="00EF44B9" w:rsidRDefault="00A836BB" w:rsidP="00932B12">
            <w:pPr>
              <w:pStyle w:val="ListParagraph"/>
              <w:numPr>
                <w:ilvl w:val="0"/>
                <w:numId w:val="22"/>
              </w:numPr>
              <w:rPr>
                <w:b w:val="0"/>
                <w:bCs w:val="0"/>
                <w:sz w:val="20"/>
                <w:szCs w:val="20"/>
              </w:rPr>
            </w:pPr>
            <w:r w:rsidRPr="00EF44B9">
              <w:rPr>
                <w:b w:val="0"/>
                <w:bCs w:val="0"/>
                <w:sz w:val="20"/>
                <w:szCs w:val="20"/>
              </w:rPr>
              <w:t xml:space="preserve">Local authorities will have improved clarity over the actions they are required to take </w:t>
            </w:r>
            <w:proofErr w:type="gramStart"/>
            <w:r w:rsidRPr="00EF44B9">
              <w:rPr>
                <w:b w:val="0"/>
                <w:bCs w:val="0"/>
                <w:sz w:val="20"/>
                <w:szCs w:val="20"/>
              </w:rPr>
              <w:t>in order to</w:t>
            </w:r>
            <w:proofErr w:type="gramEnd"/>
            <w:r w:rsidRPr="00EF44B9">
              <w:rPr>
                <w:b w:val="0"/>
                <w:bCs w:val="0"/>
                <w:sz w:val="20"/>
                <w:szCs w:val="20"/>
              </w:rPr>
              <w:t xml:space="preserve"> manage natural hazard risk.</w:t>
            </w:r>
          </w:p>
          <w:p w14:paraId="653FEB91" w14:textId="42385878" w:rsidR="00EB33D8" w:rsidRPr="00EF44B9" w:rsidRDefault="00EB33D8" w:rsidP="00A836BB">
            <w:pPr>
              <w:pStyle w:val="ListParagraph"/>
              <w:numPr>
                <w:ilvl w:val="0"/>
                <w:numId w:val="22"/>
              </w:numPr>
              <w:rPr>
                <w:b w:val="0"/>
                <w:bCs w:val="0"/>
                <w:sz w:val="20"/>
                <w:szCs w:val="20"/>
              </w:rPr>
            </w:pPr>
            <w:r w:rsidRPr="00EF44B9">
              <w:rPr>
                <w:b w:val="0"/>
                <w:bCs w:val="0"/>
                <w:sz w:val="20"/>
                <w:szCs w:val="20"/>
              </w:rPr>
              <w:t xml:space="preserve">The additional guidance </w:t>
            </w:r>
            <w:r w:rsidR="002D3F39" w:rsidRPr="00EF44B9">
              <w:rPr>
                <w:b w:val="0"/>
                <w:bCs w:val="0"/>
                <w:sz w:val="20"/>
                <w:szCs w:val="20"/>
              </w:rPr>
              <w:t>on</w:t>
            </w:r>
            <w:r w:rsidR="00D87C57" w:rsidRPr="00EF44B9">
              <w:rPr>
                <w:b w:val="0"/>
                <w:bCs w:val="0"/>
                <w:sz w:val="20"/>
                <w:szCs w:val="20"/>
              </w:rPr>
              <w:t xml:space="preserve"> how the </w:t>
            </w:r>
            <w:r w:rsidR="009B3636" w:rsidRPr="00EF44B9">
              <w:rPr>
                <w:b w:val="0"/>
                <w:bCs w:val="0"/>
                <w:sz w:val="20"/>
                <w:szCs w:val="20"/>
              </w:rPr>
              <w:t>precautionary approach to natural hazard risk</w:t>
            </w:r>
            <w:r w:rsidR="002D3F39" w:rsidRPr="00EF44B9">
              <w:rPr>
                <w:b w:val="0"/>
                <w:bCs w:val="0"/>
                <w:sz w:val="20"/>
                <w:szCs w:val="20"/>
              </w:rPr>
              <w:t xml:space="preserve"> </w:t>
            </w:r>
            <w:r w:rsidR="002A3D6D" w:rsidRPr="00EF44B9">
              <w:rPr>
                <w:b w:val="0"/>
                <w:bCs w:val="0"/>
                <w:sz w:val="20"/>
                <w:szCs w:val="20"/>
              </w:rPr>
              <w:t xml:space="preserve">is to be applied will </w:t>
            </w:r>
            <w:r w:rsidR="007554FD" w:rsidRPr="00EF44B9">
              <w:rPr>
                <w:b w:val="0"/>
                <w:bCs w:val="0"/>
                <w:sz w:val="20"/>
                <w:szCs w:val="20"/>
              </w:rPr>
              <w:t xml:space="preserve">ensure that </w:t>
            </w:r>
            <w:r w:rsidR="008901FA" w:rsidRPr="00EF44B9">
              <w:rPr>
                <w:b w:val="0"/>
                <w:bCs w:val="0"/>
                <w:sz w:val="20"/>
                <w:szCs w:val="20"/>
              </w:rPr>
              <w:t xml:space="preserve">the risk associated with </w:t>
            </w:r>
            <w:r w:rsidR="000C4BAC" w:rsidRPr="00EF44B9">
              <w:rPr>
                <w:b w:val="0"/>
                <w:bCs w:val="0"/>
                <w:sz w:val="20"/>
                <w:szCs w:val="20"/>
              </w:rPr>
              <w:t xml:space="preserve">complex risk environments are </w:t>
            </w:r>
            <w:r w:rsidR="00AE56BC" w:rsidRPr="00EF44B9">
              <w:rPr>
                <w:b w:val="0"/>
                <w:bCs w:val="0"/>
                <w:sz w:val="20"/>
                <w:szCs w:val="20"/>
              </w:rPr>
              <w:t>adequately</w:t>
            </w:r>
            <w:r w:rsidR="00905EEF" w:rsidRPr="00EF44B9">
              <w:rPr>
                <w:b w:val="0"/>
                <w:bCs w:val="0"/>
                <w:sz w:val="20"/>
                <w:szCs w:val="20"/>
              </w:rPr>
              <w:t xml:space="preserve"> assessed</w:t>
            </w:r>
            <w:r w:rsidR="0086694B" w:rsidRPr="00EF44B9">
              <w:rPr>
                <w:b w:val="0"/>
                <w:bCs w:val="0"/>
                <w:sz w:val="20"/>
                <w:szCs w:val="20"/>
              </w:rPr>
              <w:t xml:space="preserve"> and </w:t>
            </w:r>
            <w:r w:rsidR="00CD1DD7" w:rsidRPr="00EF44B9">
              <w:rPr>
                <w:b w:val="0"/>
                <w:bCs w:val="0"/>
                <w:sz w:val="20"/>
                <w:szCs w:val="20"/>
              </w:rPr>
              <w:t>managed</w:t>
            </w:r>
            <w:r w:rsidR="00905EEF" w:rsidRPr="00EF44B9">
              <w:rPr>
                <w:b w:val="0"/>
                <w:bCs w:val="0"/>
                <w:sz w:val="20"/>
                <w:szCs w:val="20"/>
              </w:rPr>
              <w:t xml:space="preserve">. </w:t>
            </w:r>
            <w:r w:rsidR="00AE56BC" w:rsidRPr="00EF44B9">
              <w:rPr>
                <w:b w:val="0"/>
                <w:bCs w:val="0"/>
                <w:sz w:val="20"/>
                <w:szCs w:val="20"/>
              </w:rPr>
              <w:t xml:space="preserve"> </w:t>
            </w:r>
          </w:p>
          <w:p w14:paraId="5DC63B0D" w14:textId="4AE9F6E2" w:rsidR="00E9552F" w:rsidRPr="00EF44B9" w:rsidRDefault="004313CB" w:rsidP="00BE3A7E">
            <w:pPr>
              <w:pStyle w:val="ListParagraph"/>
              <w:numPr>
                <w:ilvl w:val="0"/>
                <w:numId w:val="22"/>
              </w:numPr>
              <w:rPr>
                <w:b w:val="0"/>
                <w:bCs w:val="0"/>
                <w:sz w:val="20"/>
                <w:szCs w:val="20"/>
              </w:rPr>
            </w:pPr>
            <w:r w:rsidRPr="00EF44B9">
              <w:rPr>
                <w:b w:val="0"/>
                <w:bCs w:val="0"/>
                <w:sz w:val="20"/>
                <w:szCs w:val="20"/>
              </w:rPr>
              <w:t>Protection of those natural features and systems that provide hazard mitigation</w:t>
            </w:r>
            <w:r w:rsidR="00192AC9" w:rsidRPr="00EF44B9">
              <w:rPr>
                <w:b w:val="0"/>
                <w:bCs w:val="0"/>
                <w:sz w:val="20"/>
                <w:szCs w:val="20"/>
              </w:rPr>
              <w:t>.</w:t>
            </w:r>
          </w:p>
        </w:tc>
        <w:tc>
          <w:tcPr>
            <w:tcW w:w="4508" w:type="dxa"/>
          </w:tcPr>
          <w:p w14:paraId="6572458A" w14:textId="77777777" w:rsidR="00E9552F" w:rsidRPr="00EF44B9" w:rsidRDefault="00AC58DF" w:rsidP="00BE3A7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00EF44B9">
              <w:rPr>
                <w:sz w:val="20"/>
                <w:szCs w:val="20"/>
              </w:rPr>
              <w:t>A</w:t>
            </w:r>
            <w:r w:rsidR="004C7294" w:rsidRPr="00EF44B9">
              <w:rPr>
                <w:sz w:val="20"/>
                <w:szCs w:val="20"/>
              </w:rPr>
              <w:t xml:space="preserve">dverse environmental effects </w:t>
            </w:r>
            <w:r w:rsidR="00F61BCF" w:rsidRPr="00EF44B9">
              <w:rPr>
                <w:sz w:val="20"/>
                <w:szCs w:val="20"/>
              </w:rPr>
              <w:t>from</w:t>
            </w:r>
            <w:r w:rsidR="004907F0" w:rsidRPr="00EF44B9">
              <w:rPr>
                <w:sz w:val="20"/>
                <w:szCs w:val="20"/>
              </w:rPr>
              <w:t xml:space="preserve"> some</w:t>
            </w:r>
            <w:r w:rsidR="00F61BCF" w:rsidRPr="00EF44B9">
              <w:rPr>
                <w:sz w:val="20"/>
                <w:szCs w:val="20"/>
              </w:rPr>
              <w:t xml:space="preserve"> natural hazard mitigation works, </w:t>
            </w:r>
            <w:r w:rsidR="00F1590A" w:rsidRPr="00EF44B9">
              <w:rPr>
                <w:sz w:val="20"/>
                <w:szCs w:val="20"/>
              </w:rPr>
              <w:t>particularly when there is no reasonable alter</w:t>
            </w:r>
            <w:r w:rsidR="00043C80" w:rsidRPr="00EF44B9">
              <w:rPr>
                <w:sz w:val="20"/>
                <w:szCs w:val="20"/>
              </w:rPr>
              <w:t>n</w:t>
            </w:r>
            <w:r w:rsidR="001216B6" w:rsidRPr="00EF44B9">
              <w:rPr>
                <w:sz w:val="20"/>
                <w:szCs w:val="20"/>
              </w:rPr>
              <w:t>a</w:t>
            </w:r>
            <w:r w:rsidR="00F1590A" w:rsidRPr="00EF44B9">
              <w:rPr>
                <w:sz w:val="20"/>
                <w:szCs w:val="20"/>
              </w:rPr>
              <w:t>tive.</w:t>
            </w:r>
          </w:p>
          <w:p w14:paraId="18D45830" w14:textId="757655B7" w:rsidR="00E9552F" w:rsidRPr="00EF44B9" w:rsidRDefault="00E9552F" w:rsidP="002D2F82">
            <w:pPr>
              <w:pStyle w:val="ListParagraph"/>
              <w:ind w:left="360"/>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646A92DE"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1F2A32B" w14:textId="77777777" w:rsidR="00E9552F" w:rsidRPr="00AE42AF" w:rsidRDefault="00E9552F" w:rsidP="00424DBB">
            <w:pPr>
              <w:jc w:val="center"/>
              <w:rPr>
                <w:sz w:val="20"/>
              </w:rPr>
            </w:pPr>
            <w:r>
              <w:rPr>
                <w:sz w:val="20"/>
              </w:rPr>
              <w:t>Cultural</w:t>
            </w:r>
          </w:p>
        </w:tc>
      </w:tr>
      <w:tr w:rsidR="00E9552F" w:rsidRPr="000E2E23" w14:paraId="63B8944F"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67913E37" w14:textId="645CE58C" w:rsidR="00E9552F" w:rsidRPr="002D131D" w:rsidRDefault="005F317A" w:rsidP="00BE3A7E">
            <w:pPr>
              <w:pStyle w:val="ListParagraph"/>
              <w:numPr>
                <w:ilvl w:val="0"/>
                <w:numId w:val="22"/>
              </w:numPr>
              <w:jc w:val="both"/>
              <w:rPr>
                <w:b w:val="0"/>
                <w:bCs w:val="0"/>
                <w:sz w:val="20"/>
                <w:szCs w:val="20"/>
              </w:rPr>
            </w:pPr>
            <w:r w:rsidRPr="002D131D">
              <w:rPr>
                <w:b w:val="0"/>
                <w:bCs w:val="0"/>
                <w:sz w:val="20"/>
                <w:szCs w:val="20"/>
              </w:rPr>
              <w:lastRenderedPageBreak/>
              <w:t>Better natural hazard information and consistency in approach may assist in making decisions on resources / taonga that could be affected by natural hazards</w:t>
            </w:r>
          </w:p>
        </w:tc>
        <w:tc>
          <w:tcPr>
            <w:tcW w:w="4508" w:type="dxa"/>
          </w:tcPr>
          <w:p w14:paraId="4A0CAF94" w14:textId="4FFFDE80" w:rsidR="00E9552F" w:rsidRPr="002D131D" w:rsidRDefault="00BD7CC4" w:rsidP="00BE3A7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2D131D">
              <w:rPr>
                <w:sz w:val="20"/>
                <w:szCs w:val="20"/>
              </w:rPr>
              <w:t>Due to the potential locations of natural hazard mitigation structures, there may be adverse effects on places or area</w:t>
            </w:r>
            <w:r w:rsidR="000A1E4D" w:rsidRPr="002D131D">
              <w:rPr>
                <w:sz w:val="20"/>
                <w:szCs w:val="20"/>
              </w:rPr>
              <w:t>s</w:t>
            </w:r>
            <w:r w:rsidRPr="002D131D">
              <w:rPr>
                <w:sz w:val="20"/>
                <w:szCs w:val="20"/>
              </w:rPr>
              <w:t xml:space="preserve"> of significance to K</w:t>
            </w:r>
            <w:r w:rsidR="00D746D7" w:rsidRPr="002D131D">
              <w:rPr>
                <w:sz w:val="20"/>
                <w:szCs w:val="20"/>
              </w:rPr>
              <w:t>ā</w:t>
            </w:r>
            <w:r w:rsidRPr="002D131D">
              <w:rPr>
                <w:sz w:val="20"/>
                <w:szCs w:val="20"/>
              </w:rPr>
              <w:t xml:space="preserve">i </w:t>
            </w:r>
            <w:proofErr w:type="spellStart"/>
            <w:r w:rsidRPr="002D131D">
              <w:rPr>
                <w:sz w:val="20"/>
                <w:szCs w:val="20"/>
              </w:rPr>
              <w:t>Tahu</w:t>
            </w:r>
            <w:proofErr w:type="spellEnd"/>
            <w:r w:rsidRPr="002D131D">
              <w:rPr>
                <w:sz w:val="20"/>
                <w:szCs w:val="20"/>
              </w:rPr>
              <w:t>.</w:t>
            </w:r>
          </w:p>
        </w:tc>
      </w:tr>
      <w:tr w:rsidR="00E9552F" w:rsidRPr="00AE42AF" w14:paraId="1D74A0C3"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B1E88D8" w14:textId="77777777" w:rsidR="00E9552F" w:rsidRPr="00AE42AF" w:rsidRDefault="00E9552F" w:rsidP="00424DBB">
            <w:pPr>
              <w:jc w:val="center"/>
              <w:rPr>
                <w:sz w:val="20"/>
              </w:rPr>
            </w:pPr>
            <w:r w:rsidRPr="00AE42AF">
              <w:rPr>
                <w:sz w:val="20"/>
              </w:rPr>
              <w:t>Social</w:t>
            </w:r>
          </w:p>
        </w:tc>
      </w:tr>
      <w:tr w:rsidR="00E9552F" w:rsidRPr="002D131D" w14:paraId="6F98F65B"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7117FA23" w14:textId="0FEDEE3E" w:rsidR="000D6D2F" w:rsidRPr="002D131D" w:rsidRDefault="00A02C86" w:rsidP="006C5AF3">
            <w:pPr>
              <w:pStyle w:val="ListParagraph"/>
              <w:numPr>
                <w:ilvl w:val="0"/>
                <w:numId w:val="22"/>
              </w:numPr>
              <w:jc w:val="both"/>
              <w:rPr>
                <w:b w:val="0"/>
                <w:bCs w:val="0"/>
                <w:sz w:val="20"/>
                <w:szCs w:val="20"/>
              </w:rPr>
            </w:pPr>
            <w:r w:rsidRPr="002D131D">
              <w:rPr>
                <w:b w:val="0"/>
                <w:bCs w:val="0"/>
                <w:sz w:val="20"/>
                <w:szCs w:val="20"/>
              </w:rPr>
              <w:t>Method HAZ</w:t>
            </w:r>
            <w:r w:rsidR="00390EB8" w:rsidRPr="00390EB8">
              <w:rPr>
                <w:b w:val="0"/>
                <w:bCs w:val="0"/>
                <w:sz w:val="20"/>
                <w:szCs w:val="20"/>
              </w:rPr>
              <w:t>–</w:t>
            </w:r>
            <w:r w:rsidRPr="002D131D">
              <w:rPr>
                <w:b w:val="0"/>
                <w:bCs w:val="0"/>
                <w:sz w:val="20"/>
                <w:szCs w:val="20"/>
              </w:rPr>
              <w:t>HN</w:t>
            </w:r>
            <w:r w:rsidR="00172290" w:rsidRPr="00390EB8">
              <w:rPr>
                <w:b w:val="0"/>
                <w:bCs w:val="0"/>
                <w:sz w:val="20"/>
                <w:szCs w:val="20"/>
              </w:rPr>
              <w:t>–</w:t>
            </w:r>
            <w:r w:rsidRPr="002D131D">
              <w:rPr>
                <w:b w:val="0"/>
                <w:bCs w:val="0"/>
                <w:sz w:val="20"/>
                <w:szCs w:val="20"/>
              </w:rPr>
              <w:t xml:space="preserve">M2 requires that </w:t>
            </w:r>
            <w:r w:rsidR="00172290">
              <w:rPr>
                <w:b w:val="0"/>
                <w:bCs w:val="0"/>
                <w:sz w:val="20"/>
                <w:szCs w:val="20"/>
              </w:rPr>
              <w:t>l</w:t>
            </w:r>
            <w:r w:rsidRPr="002D131D">
              <w:rPr>
                <w:b w:val="0"/>
                <w:bCs w:val="0"/>
                <w:sz w:val="20"/>
                <w:szCs w:val="20"/>
              </w:rPr>
              <w:t xml:space="preserve">ocal </w:t>
            </w:r>
            <w:r w:rsidR="00172290">
              <w:rPr>
                <w:b w:val="0"/>
                <w:bCs w:val="0"/>
                <w:sz w:val="20"/>
                <w:szCs w:val="20"/>
              </w:rPr>
              <w:t>a</w:t>
            </w:r>
            <w:r w:rsidRPr="002D131D">
              <w:rPr>
                <w:b w:val="0"/>
                <w:bCs w:val="0"/>
                <w:sz w:val="20"/>
                <w:szCs w:val="20"/>
              </w:rPr>
              <w:t xml:space="preserve">uthorities must undertake a consultation process with communities, </w:t>
            </w:r>
            <w:proofErr w:type="gramStart"/>
            <w:r w:rsidRPr="002D131D">
              <w:rPr>
                <w:b w:val="0"/>
                <w:bCs w:val="0"/>
                <w:sz w:val="20"/>
                <w:szCs w:val="20"/>
              </w:rPr>
              <w:t>stakeholders</w:t>
            </w:r>
            <w:proofErr w:type="gramEnd"/>
            <w:r w:rsidRPr="002D131D">
              <w:rPr>
                <w:b w:val="0"/>
                <w:bCs w:val="0"/>
                <w:sz w:val="20"/>
                <w:szCs w:val="20"/>
              </w:rPr>
              <w:t xml:space="preserve"> and partners regarding risk levels thresholds</w:t>
            </w:r>
            <w:r w:rsidR="006A5992" w:rsidRPr="002D131D">
              <w:rPr>
                <w:b w:val="0"/>
                <w:bCs w:val="0"/>
                <w:sz w:val="20"/>
                <w:szCs w:val="20"/>
              </w:rPr>
              <w:t>, providing opportunities for community engagement and education</w:t>
            </w:r>
            <w:r w:rsidR="00B84D30" w:rsidRPr="002D131D">
              <w:rPr>
                <w:b w:val="0"/>
                <w:bCs w:val="0"/>
                <w:sz w:val="20"/>
                <w:szCs w:val="20"/>
              </w:rPr>
              <w:t>.</w:t>
            </w:r>
          </w:p>
          <w:p w14:paraId="0E47183C" w14:textId="0370DC13" w:rsidR="006C5AF3" w:rsidRPr="002D131D" w:rsidRDefault="004B20FA" w:rsidP="006C5AF3">
            <w:pPr>
              <w:pStyle w:val="ListParagraph"/>
              <w:numPr>
                <w:ilvl w:val="0"/>
                <w:numId w:val="22"/>
              </w:numPr>
              <w:jc w:val="both"/>
              <w:rPr>
                <w:b w:val="0"/>
                <w:bCs w:val="0"/>
                <w:sz w:val="20"/>
                <w:szCs w:val="20"/>
              </w:rPr>
            </w:pPr>
            <w:r w:rsidRPr="002D131D">
              <w:rPr>
                <w:b w:val="0"/>
                <w:bCs w:val="0"/>
                <w:sz w:val="20"/>
                <w:szCs w:val="20"/>
              </w:rPr>
              <w:t xml:space="preserve">Avoidance of activities that may have a significant </w:t>
            </w:r>
            <w:r w:rsidR="00241E9F" w:rsidRPr="002D131D">
              <w:rPr>
                <w:b w:val="0"/>
                <w:bCs w:val="0"/>
                <w:sz w:val="20"/>
                <w:szCs w:val="20"/>
              </w:rPr>
              <w:t xml:space="preserve">natural hazard risk will ensure safer </w:t>
            </w:r>
            <w:r w:rsidR="006F607F" w:rsidRPr="002D131D">
              <w:rPr>
                <w:b w:val="0"/>
                <w:bCs w:val="0"/>
                <w:sz w:val="20"/>
                <w:szCs w:val="20"/>
              </w:rPr>
              <w:t xml:space="preserve">development and </w:t>
            </w:r>
            <w:r w:rsidR="00241E9F" w:rsidRPr="002D131D">
              <w:rPr>
                <w:b w:val="0"/>
                <w:bCs w:val="0"/>
                <w:sz w:val="20"/>
                <w:szCs w:val="20"/>
              </w:rPr>
              <w:t>communities</w:t>
            </w:r>
            <w:r w:rsidR="006F607F" w:rsidRPr="002D131D">
              <w:rPr>
                <w:b w:val="0"/>
                <w:bCs w:val="0"/>
                <w:sz w:val="20"/>
                <w:szCs w:val="20"/>
              </w:rPr>
              <w:t>.</w:t>
            </w:r>
          </w:p>
          <w:p w14:paraId="2EBE33D4" w14:textId="351BBB81" w:rsidR="0010694A" w:rsidRPr="002D131D" w:rsidRDefault="00AD65AA" w:rsidP="00E33822">
            <w:pPr>
              <w:pStyle w:val="ListParagraph"/>
              <w:numPr>
                <w:ilvl w:val="0"/>
                <w:numId w:val="22"/>
              </w:numPr>
              <w:jc w:val="both"/>
              <w:rPr>
                <w:b w:val="0"/>
                <w:bCs w:val="0"/>
                <w:sz w:val="20"/>
                <w:szCs w:val="20"/>
              </w:rPr>
            </w:pPr>
            <w:r w:rsidRPr="002D131D">
              <w:rPr>
                <w:b w:val="0"/>
                <w:bCs w:val="0"/>
                <w:sz w:val="20"/>
                <w:szCs w:val="20"/>
              </w:rPr>
              <w:t xml:space="preserve">Increased awareness of natural hazards </w:t>
            </w:r>
            <w:r w:rsidR="007D789E" w:rsidRPr="002D131D">
              <w:rPr>
                <w:b w:val="0"/>
                <w:bCs w:val="0"/>
                <w:sz w:val="20"/>
                <w:szCs w:val="20"/>
              </w:rPr>
              <w:t>will create</w:t>
            </w:r>
            <w:r w:rsidRPr="002D131D">
              <w:rPr>
                <w:b w:val="0"/>
                <w:bCs w:val="0"/>
                <w:sz w:val="20"/>
                <w:szCs w:val="20"/>
              </w:rPr>
              <w:t xml:space="preserve"> more informed choices</w:t>
            </w:r>
            <w:r w:rsidR="003B5795" w:rsidRPr="002D131D">
              <w:rPr>
                <w:b w:val="0"/>
                <w:bCs w:val="0"/>
                <w:sz w:val="20"/>
                <w:szCs w:val="20"/>
              </w:rPr>
              <w:t xml:space="preserve"> </w:t>
            </w:r>
            <w:r w:rsidR="00A74D9A">
              <w:rPr>
                <w:b w:val="0"/>
                <w:bCs w:val="0"/>
                <w:sz w:val="20"/>
                <w:szCs w:val="20"/>
              </w:rPr>
              <w:t>for people.</w:t>
            </w:r>
          </w:p>
          <w:p w14:paraId="72181D08" w14:textId="77777777" w:rsidR="00E9552F" w:rsidRPr="002D131D" w:rsidRDefault="00B911B5" w:rsidP="00BE3A7E">
            <w:pPr>
              <w:pStyle w:val="ListParagraph"/>
              <w:numPr>
                <w:ilvl w:val="0"/>
                <w:numId w:val="22"/>
              </w:numPr>
              <w:jc w:val="both"/>
              <w:rPr>
                <w:b w:val="0"/>
                <w:bCs w:val="0"/>
                <w:sz w:val="20"/>
                <w:szCs w:val="20"/>
              </w:rPr>
            </w:pPr>
            <w:r w:rsidRPr="002D131D">
              <w:rPr>
                <w:b w:val="0"/>
                <w:bCs w:val="0"/>
                <w:sz w:val="20"/>
                <w:szCs w:val="20"/>
              </w:rPr>
              <w:t>Adopting a precaut</w:t>
            </w:r>
            <w:r w:rsidR="00012703" w:rsidRPr="002D131D">
              <w:rPr>
                <w:b w:val="0"/>
                <w:bCs w:val="0"/>
                <w:sz w:val="20"/>
                <w:szCs w:val="20"/>
              </w:rPr>
              <w:t xml:space="preserve">ionary approach to </w:t>
            </w:r>
            <w:r w:rsidR="00C04F2C" w:rsidRPr="002D131D">
              <w:rPr>
                <w:b w:val="0"/>
                <w:bCs w:val="0"/>
                <w:sz w:val="20"/>
                <w:szCs w:val="20"/>
              </w:rPr>
              <w:t xml:space="preserve">managing </w:t>
            </w:r>
            <w:r w:rsidR="00012703" w:rsidRPr="002D131D">
              <w:rPr>
                <w:b w:val="0"/>
                <w:bCs w:val="0"/>
                <w:sz w:val="20"/>
                <w:szCs w:val="20"/>
              </w:rPr>
              <w:t>natural hazard ris</w:t>
            </w:r>
            <w:r w:rsidR="00A11CF3" w:rsidRPr="002D131D">
              <w:rPr>
                <w:b w:val="0"/>
                <w:bCs w:val="0"/>
                <w:sz w:val="20"/>
                <w:szCs w:val="20"/>
              </w:rPr>
              <w:t xml:space="preserve">ks will ensure </w:t>
            </w:r>
            <w:r w:rsidR="00C04F2C" w:rsidRPr="002D131D">
              <w:rPr>
                <w:b w:val="0"/>
                <w:bCs w:val="0"/>
                <w:sz w:val="20"/>
                <w:szCs w:val="20"/>
              </w:rPr>
              <w:t>people</w:t>
            </w:r>
            <w:r w:rsidR="00FD1096" w:rsidRPr="002D131D">
              <w:rPr>
                <w:b w:val="0"/>
                <w:bCs w:val="0"/>
                <w:sz w:val="20"/>
                <w:szCs w:val="20"/>
              </w:rPr>
              <w:t xml:space="preserve"> and communities </w:t>
            </w:r>
            <w:r w:rsidR="004D5584" w:rsidRPr="002D131D">
              <w:rPr>
                <w:b w:val="0"/>
                <w:bCs w:val="0"/>
                <w:sz w:val="20"/>
                <w:szCs w:val="20"/>
              </w:rPr>
              <w:t>are protected as best possible.</w:t>
            </w:r>
          </w:p>
          <w:p w14:paraId="6BC117D1" w14:textId="77777777" w:rsidR="00070E7C" w:rsidRPr="002D131D" w:rsidRDefault="00070E7C" w:rsidP="00BE3A7E">
            <w:pPr>
              <w:pStyle w:val="ListParagraph"/>
              <w:numPr>
                <w:ilvl w:val="0"/>
                <w:numId w:val="22"/>
              </w:numPr>
              <w:jc w:val="both"/>
              <w:rPr>
                <w:b w:val="0"/>
                <w:bCs w:val="0"/>
                <w:sz w:val="20"/>
                <w:szCs w:val="20"/>
              </w:rPr>
            </w:pPr>
            <w:r w:rsidRPr="002D131D">
              <w:rPr>
                <w:b w:val="0"/>
                <w:bCs w:val="0"/>
                <w:sz w:val="20"/>
                <w:szCs w:val="20"/>
              </w:rPr>
              <w:t>Enables appropriate responses for existing settlements that are exposed to known hazards</w:t>
            </w:r>
          </w:p>
          <w:p w14:paraId="0F2CF8B9" w14:textId="77777777" w:rsidR="00070E7C" w:rsidRPr="002D131D" w:rsidRDefault="00070E7C" w:rsidP="00BE3A7E">
            <w:pPr>
              <w:pStyle w:val="ListParagraph"/>
              <w:numPr>
                <w:ilvl w:val="0"/>
                <w:numId w:val="22"/>
              </w:numPr>
              <w:jc w:val="both"/>
              <w:rPr>
                <w:b w:val="0"/>
                <w:bCs w:val="0"/>
                <w:sz w:val="20"/>
                <w:szCs w:val="20"/>
              </w:rPr>
            </w:pPr>
            <w:r w:rsidRPr="002D131D">
              <w:rPr>
                <w:b w:val="0"/>
                <w:bCs w:val="0"/>
                <w:sz w:val="20"/>
                <w:szCs w:val="20"/>
              </w:rPr>
              <w:t>Allows existing settlements</w:t>
            </w:r>
            <w:r w:rsidR="00795D00" w:rsidRPr="002D131D">
              <w:rPr>
                <w:b w:val="0"/>
                <w:bCs w:val="0"/>
                <w:sz w:val="20"/>
                <w:szCs w:val="20"/>
              </w:rPr>
              <w:t xml:space="preserve"> to</w:t>
            </w:r>
            <w:r w:rsidRPr="002D131D">
              <w:rPr>
                <w:b w:val="0"/>
                <w:bCs w:val="0"/>
                <w:sz w:val="20"/>
                <w:szCs w:val="20"/>
              </w:rPr>
              <w:t xml:space="preserve"> continue to be developed and/or redeveloped </w:t>
            </w:r>
            <w:r w:rsidR="0035648E" w:rsidRPr="002D131D">
              <w:rPr>
                <w:b w:val="0"/>
                <w:bCs w:val="0"/>
                <w:sz w:val="20"/>
                <w:szCs w:val="20"/>
              </w:rPr>
              <w:t xml:space="preserve">where </w:t>
            </w:r>
            <w:r w:rsidR="00C16119" w:rsidRPr="002D131D">
              <w:rPr>
                <w:b w:val="0"/>
                <w:bCs w:val="0"/>
                <w:sz w:val="20"/>
                <w:szCs w:val="20"/>
              </w:rPr>
              <w:t>the natural hazard risk is tolerable or lower</w:t>
            </w:r>
            <w:r w:rsidRPr="002D131D">
              <w:rPr>
                <w:b w:val="0"/>
                <w:bCs w:val="0"/>
                <w:sz w:val="20"/>
                <w:szCs w:val="20"/>
              </w:rPr>
              <w:t>.</w:t>
            </w:r>
          </w:p>
          <w:p w14:paraId="1E480799" w14:textId="09836F74" w:rsidR="00E9552F" w:rsidRPr="002D131D" w:rsidRDefault="00661FF8" w:rsidP="00B52626">
            <w:pPr>
              <w:pStyle w:val="ListParagraph"/>
              <w:numPr>
                <w:ilvl w:val="0"/>
                <w:numId w:val="22"/>
              </w:numPr>
              <w:rPr>
                <w:b w:val="0"/>
                <w:bCs w:val="0"/>
                <w:sz w:val="20"/>
                <w:szCs w:val="20"/>
              </w:rPr>
            </w:pPr>
            <w:r w:rsidRPr="002D131D">
              <w:rPr>
                <w:b w:val="0"/>
                <w:bCs w:val="0"/>
                <w:sz w:val="20"/>
                <w:szCs w:val="20"/>
              </w:rPr>
              <w:t xml:space="preserve">Lower </w:t>
            </w:r>
            <w:r w:rsidR="00E658F7" w:rsidRPr="002D131D">
              <w:rPr>
                <w:b w:val="0"/>
                <w:bCs w:val="0"/>
                <w:sz w:val="20"/>
                <w:szCs w:val="20"/>
              </w:rPr>
              <w:t xml:space="preserve">loss of life </w:t>
            </w:r>
            <w:r w:rsidR="00F91A33" w:rsidRPr="002D131D">
              <w:rPr>
                <w:b w:val="0"/>
                <w:bCs w:val="0"/>
                <w:sz w:val="20"/>
                <w:szCs w:val="20"/>
              </w:rPr>
              <w:t xml:space="preserve">and injury </w:t>
            </w:r>
            <w:r w:rsidRPr="002D131D">
              <w:rPr>
                <w:b w:val="0"/>
                <w:bCs w:val="0"/>
                <w:sz w:val="20"/>
                <w:szCs w:val="20"/>
              </w:rPr>
              <w:t xml:space="preserve">following natural hazard event </w:t>
            </w:r>
            <w:proofErr w:type="gramStart"/>
            <w:r w:rsidRPr="002D131D">
              <w:rPr>
                <w:b w:val="0"/>
                <w:bCs w:val="0"/>
                <w:sz w:val="20"/>
                <w:szCs w:val="20"/>
              </w:rPr>
              <w:t>as a result of</w:t>
            </w:r>
            <w:proofErr w:type="gramEnd"/>
            <w:r w:rsidRPr="002D131D">
              <w:rPr>
                <w:b w:val="0"/>
                <w:bCs w:val="0"/>
                <w:sz w:val="20"/>
                <w:szCs w:val="20"/>
              </w:rPr>
              <w:t xml:space="preserve"> activities not locating in areas where risk from natural hazards would be significant. </w:t>
            </w:r>
          </w:p>
        </w:tc>
        <w:tc>
          <w:tcPr>
            <w:tcW w:w="4508" w:type="dxa"/>
          </w:tcPr>
          <w:p w14:paraId="757BB4C3" w14:textId="22D9B10E" w:rsidR="002847C4" w:rsidRPr="002D131D" w:rsidRDefault="002847C4" w:rsidP="00E3382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2D131D">
              <w:rPr>
                <w:sz w:val="20"/>
                <w:szCs w:val="20"/>
              </w:rPr>
              <w:t>Some existing communities may not be able to expand and there may be a</w:t>
            </w:r>
            <w:r w:rsidR="001C11D1" w:rsidRPr="002D131D">
              <w:rPr>
                <w:sz w:val="20"/>
                <w:szCs w:val="20"/>
              </w:rPr>
              <w:t xml:space="preserve"> </w:t>
            </w:r>
            <w:r w:rsidRPr="002D131D">
              <w:rPr>
                <w:sz w:val="20"/>
                <w:szCs w:val="20"/>
              </w:rPr>
              <w:t>loss of other development opportunities</w:t>
            </w:r>
            <w:r w:rsidR="001C11D1" w:rsidRPr="002D131D">
              <w:rPr>
                <w:sz w:val="20"/>
                <w:szCs w:val="20"/>
              </w:rPr>
              <w:t xml:space="preserve"> </w:t>
            </w:r>
            <w:r w:rsidRPr="002D131D">
              <w:rPr>
                <w:sz w:val="20"/>
                <w:szCs w:val="20"/>
              </w:rPr>
              <w:t>which leads to a loss of expectations</w:t>
            </w:r>
          </w:p>
          <w:p w14:paraId="20F88D89" w14:textId="113C9AF0" w:rsidR="00E126D2" w:rsidRPr="002D131D" w:rsidRDefault="00E126D2" w:rsidP="00E126D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2D131D">
              <w:rPr>
                <w:sz w:val="20"/>
                <w:szCs w:val="20"/>
              </w:rPr>
              <w:t xml:space="preserve">New natural hazard information may create concern over people’s perceived safety </w:t>
            </w:r>
            <w:r w:rsidR="00A74D9A">
              <w:rPr>
                <w:sz w:val="20"/>
                <w:szCs w:val="20"/>
              </w:rPr>
              <w:t>in some areas.</w:t>
            </w:r>
          </w:p>
          <w:p w14:paraId="4C58393F" w14:textId="3A5EC239" w:rsidR="00E9552F" w:rsidRPr="002D131D" w:rsidRDefault="0008571F" w:rsidP="00BE3A7E">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2D131D">
              <w:rPr>
                <w:sz w:val="20"/>
                <w:szCs w:val="20"/>
              </w:rPr>
              <w:t xml:space="preserve">The greater emphasis on managing existing land uses may </w:t>
            </w:r>
            <w:r w:rsidR="00C946EA" w:rsidRPr="002D131D">
              <w:rPr>
                <w:sz w:val="20"/>
                <w:szCs w:val="20"/>
              </w:rPr>
              <w:t xml:space="preserve">result in reduced development rights or </w:t>
            </w:r>
            <w:r w:rsidR="004C7E3C" w:rsidRPr="002D131D">
              <w:rPr>
                <w:sz w:val="20"/>
                <w:szCs w:val="20"/>
              </w:rPr>
              <w:t>the managed</w:t>
            </w:r>
            <w:r w:rsidR="00504876" w:rsidRPr="002D131D">
              <w:rPr>
                <w:sz w:val="20"/>
                <w:szCs w:val="20"/>
              </w:rPr>
              <w:t xml:space="preserve"> retreat</w:t>
            </w:r>
            <w:r w:rsidR="00C946EA" w:rsidRPr="002D131D">
              <w:rPr>
                <w:sz w:val="20"/>
                <w:szCs w:val="20"/>
              </w:rPr>
              <w:t xml:space="preserve"> of</w:t>
            </w:r>
            <w:r w:rsidR="00504876" w:rsidRPr="002D131D">
              <w:rPr>
                <w:sz w:val="20"/>
                <w:szCs w:val="20"/>
              </w:rPr>
              <w:t xml:space="preserve"> </w:t>
            </w:r>
            <w:r w:rsidRPr="002D131D">
              <w:rPr>
                <w:sz w:val="20"/>
                <w:szCs w:val="20"/>
              </w:rPr>
              <w:t>communities subject to significant hazards risk</w:t>
            </w:r>
            <w:r w:rsidR="00C946EA" w:rsidRPr="002D131D">
              <w:rPr>
                <w:sz w:val="20"/>
                <w:szCs w:val="20"/>
              </w:rPr>
              <w:t>.</w:t>
            </w:r>
          </w:p>
        </w:tc>
      </w:tr>
      <w:tr w:rsidR="00E9552F" w:rsidRPr="00AE42AF" w14:paraId="7F25F3A7"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A300468" w14:textId="77777777" w:rsidR="00E9552F" w:rsidRPr="00AE42AF" w:rsidRDefault="00E9552F" w:rsidP="00424DBB">
            <w:pPr>
              <w:jc w:val="center"/>
              <w:rPr>
                <w:sz w:val="20"/>
              </w:rPr>
            </w:pPr>
            <w:r>
              <w:rPr>
                <w:sz w:val="20"/>
              </w:rPr>
              <w:t>Economic</w:t>
            </w:r>
          </w:p>
        </w:tc>
      </w:tr>
      <w:tr w:rsidR="00E9552F" w:rsidRPr="00A74D9A" w14:paraId="3D96F12C" w14:textId="77777777" w:rsidTr="0073461A">
        <w:trPr>
          <w:trHeight w:val="3180"/>
        </w:trPr>
        <w:tc>
          <w:tcPr>
            <w:cnfStyle w:val="001000000000" w:firstRow="0" w:lastRow="0" w:firstColumn="1" w:lastColumn="0" w:oddVBand="0" w:evenVBand="0" w:oddHBand="0" w:evenHBand="0" w:firstRowFirstColumn="0" w:firstRowLastColumn="0" w:lastRowFirstColumn="0" w:lastRowLastColumn="0"/>
            <w:tcW w:w="4508" w:type="dxa"/>
          </w:tcPr>
          <w:p w14:paraId="519A8CE0" w14:textId="7E7EEA77" w:rsidR="006C5AF3" w:rsidRPr="00A74D9A" w:rsidRDefault="002C1651" w:rsidP="00A74D9A">
            <w:pPr>
              <w:pStyle w:val="ListParagraph"/>
              <w:numPr>
                <w:ilvl w:val="0"/>
                <w:numId w:val="22"/>
              </w:numPr>
              <w:jc w:val="both"/>
              <w:rPr>
                <w:b w:val="0"/>
                <w:bCs w:val="0"/>
                <w:sz w:val="20"/>
                <w:szCs w:val="20"/>
              </w:rPr>
            </w:pPr>
            <w:r w:rsidRPr="00A74D9A">
              <w:rPr>
                <w:b w:val="0"/>
                <w:bCs w:val="0"/>
                <w:sz w:val="20"/>
                <w:szCs w:val="20"/>
              </w:rPr>
              <w:t xml:space="preserve">Greater certainty around the </w:t>
            </w:r>
            <w:r w:rsidR="0029553A" w:rsidRPr="00A74D9A">
              <w:rPr>
                <w:b w:val="0"/>
                <w:bCs w:val="0"/>
                <w:sz w:val="20"/>
                <w:szCs w:val="20"/>
              </w:rPr>
              <w:t xml:space="preserve">process for </w:t>
            </w:r>
            <w:r w:rsidRPr="00A74D9A">
              <w:rPr>
                <w:b w:val="0"/>
                <w:bCs w:val="0"/>
                <w:sz w:val="20"/>
                <w:szCs w:val="20"/>
              </w:rPr>
              <w:t xml:space="preserve">classification of risk, and therefore </w:t>
            </w:r>
            <w:r w:rsidR="00FF2372" w:rsidRPr="00A74D9A">
              <w:rPr>
                <w:b w:val="0"/>
                <w:bCs w:val="0"/>
                <w:sz w:val="20"/>
                <w:szCs w:val="20"/>
              </w:rPr>
              <w:t>greater</w:t>
            </w:r>
            <w:r w:rsidR="0065635A" w:rsidRPr="00A74D9A">
              <w:rPr>
                <w:b w:val="0"/>
                <w:bCs w:val="0"/>
                <w:sz w:val="20"/>
                <w:szCs w:val="20"/>
              </w:rPr>
              <w:t xml:space="preserve"> </w:t>
            </w:r>
            <w:r w:rsidR="00FF2372" w:rsidRPr="00A74D9A">
              <w:rPr>
                <w:b w:val="0"/>
                <w:bCs w:val="0"/>
                <w:sz w:val="20"/>
                <w:szCs w:val="20"/>
              </w:rPr>
              <w:t>certainty</w:t>
            </w:r>
            <w:r w:rsidR="00C675C1" w:rsidRPr="00A74D9A">
              <w:rPr>
                <w:b w:val="0"/>
                <w:bCs w:val="0"/>
                <w:sz w:val="20"/>
                <w:szCs w:val="20"/>
              </w:rPr>
              <w:t xml:space="preserve"> of </w:t>
            </w:r>
            <w:r w:rsidR="0065635A" w:rsidRPr="00A74D9A">
              <w:rPr>
                <w:b w:val="0"/>
                <w:bCs w:val="0"/>
                <w:sz w:val="20"/>
                <w:szCs w:val="20"/>
              </w:rPr>
              <w:t>development right</w:t>
            </w:r>
            <w:r w:rsidR="00FF2372" w:rsidRPr="00A74D9A">
              <w:rPr>
                <w:b w:val="0"/>
                <w:bCs w:val="0"/>
                <w:sz w:val="20"/>
                <w:szCs w:val="20"/>
              </w:rPr>
              <w:t xml:space="preserve">s. </w:t>
            </w:r>
            <w:r w:rsidR="00C675C1" w:rsidRPr="00A74D9A">
              <w:rPr>
                <w:b w:val="0"/>
                <w:bCs w:val="0"/>
                <w:sz w:val="20"/>
                <w:szCs w:val="20"/>
              </w:rPr>
              <w:t xml:space="preserve"> </w:t>
            </w:r>
          </w:p>
          <w:p w14:paraId="1962B389" w14:textId="4EAF3E1B" w:rsidR="000730D4" w:rsidRPr="00A74D9A" w:rsidRDefault="000730D4" w:rsidP="00A74D9A">
            <w:pPr>
              <w:pStyle w:val="ListParagraph"/>
              <w:numPr>
                <w:ilvl w:val="0"/>
                <w:numId w:val="22"/>
              </w:numPr>
              <w:jc w:val="both"/>
              <w:rPr>
                <w:b w:val="0"/>
                <w:bCs w:val="0"/>
                <w:sz w:val="20"/>
                <w:szCs w:val="20"/>
              </w:rPr>
            </w:pPr>
            <w:r w:rsidRPr="00A74D9A">
              <w:rPr>
                <w:b w:val="0"/>
                <w:bCs w:val="0"/>
                <w:sz w:val="20"/>
                <w:szCs w:val="20"/>
              </w:rPr>
              <w:t xml:space="preserve">The adoption of a </w:t>
            </w:r>
            <w:r w:rsidR="00F8636B" w:rsidRPr="00A74D9A">
              <w:rPr>
                <w:b w:val="0"/>
                <w:bCs w:val="0"/>
                <w:sz w:val="20"/>
                <w:szCs w:val="20"/>
              </w:rPr>
              <w:t xml:space="preserve">directive and </w:t>
            </w:r>
            <w:r w:rsidRPr="00A74D9A">
              <w:rPr>
                <w:b w:val="0"/>
                <w:bCs w:val="0"/>
                <w:sz w:val="20"/>
                <w:szCs w:val="20"/>
              </w:rPr>
              <w:t xml:space="preserve">consistent management framework across the region reduces administrative </w:t>
            </w:r>
            <w:r w:rsidR="00D217BC" w:rsidRPr="00A74D9A">
              <w:rPr>
                <w:b w:val="0"/>
                <w:bCs w:val="0"/>
                <w:sz w:val="20"/>
                <w:szCs w:val="20"/>
              </w:rPr>
              <w:t>and litigation</w:t>
            </w:r>
            <w:r w:rsidR="008F524E" w:rsidRPr="00A74D9A">
              <w:rPr>
                <w:b w:val="0"/>
                <w:bCs w:val="0"/>
                <w:sz w:val="20"/>
                <w:szCs w:val="20"/>
              </w:rPr>
              <w:t xml:space="preserve"> costs.</w:t>
            </w:r>
          </w:p>
          <w:p w14:paraId="13E999FF" w14:textId="316A2D30" w:rsidR="00E9552F" w:rsidRPr="00A74D9A" w:rsidRDefault="006C5AF3" w:rsidP="00A74D9A">
            <w:pPr>
              <w:pStyle w:val="ListParagraph"/>
              <w:numPr>
                <w:ilvl w:val="0"/>
                <w:numId w:val="22"/>
              </w:numPr>
              <w:jc w:val="both"/>
              <w:rPr>
                <w:b w:val="0"/>
                <w:bCs w:val="0"/>
                <w:sz w:val="20"/>
                <w:szCs w:val="20"/>
              </w:rPr>
            </w:pPr>
            <w:r w:rsidRPr="00A74D9A">
              <w:rPr>
                <w:b w:val="0"/>
                <w:bCs w:val="0"/>
                <w:sz w:val="20"/>
                <w:szCs w:val="20"/>
              </w:rPr>
              <w:t>Lower</w:t>
            </w:r>
            <w:r w:rsidR="007C5A92" w:rsidRPr="00A74D9A">
              <w:rPr>
                <w:b w:val="0"/>
                <w:bCs w:val="0"/>
                <w:sz w:val="20"/>
                <w:szCs w:val="20"/>
              </w:rPr>
              <w:t xml:space="preserve"> </w:t>
            </w:r>
            <w:r w:rsidR="00661FF8" w:rsidRPr="00A74D9A">
              <w:rPr>
                <w:b w:val="0"/>
                <w:bCs w:val="0"/>
                <w:sz w:val="20"/>
                <w:szCs w:val="20"/>
              </w:rPr>
              <w:t xml:space="preserve">rebuild </w:t>
            </w:r>
            <w:r w:rsidRPr="00A74D9A">
              <w:rPr>
                <w:b w:val="0"/>
                <w:bCs w:val="0"/>
                <w:sz w:val="20"/>
                <w:szCs w:val="20"/>
              </w:rPr>
              <w:t>costs</w:t>
            </w:r>
            <w:r w:rsidR="00402CE2" w:rsidRPr="00A74D9A">
              <w:rPr>
                <w:b w:val="0"/>
                <w:bCs w:val="0"/>
                <w:sz w:val="20"/>
                <w:szCs w:val="20"/>
              </w:rPr>
              <w:t xml:space="preserve"> following natural hazard event</w:t>
            </w:r>
            <w:r w:rsidRPr="00A74D9A">
              <w:rPr>
                <w:b w:val="0"/>
                <w:bCs w:val="0"/>
                <w:sz w:val="20"/>
                <w:szCs w:val="20"/>
              </w:rPr>
              <w:t xml:space="preserve"> </w:t>
            </w:r>
            <w:proofErr w:type="gramStart"/>
            <w:r w:rsidRPr="00A74D9A">
              <w:rPr>
                <w:b w:val="0"/>
                <w:bCs w:val="0"/>
                <w:sz w:val="20"/>
                <w:szCs w:val="20"/>
              </w:rPr>
              <w:t>as a result of</w:t>
            </w:r>
            <w:proofErr w:type="gramEnd"/>
            <w:r w:rsidRPr="00A74D9A">
              <w:rPr>
                <w:b w:val="0"/>
                <w:bCs w:val="0"/>
                <w:sz w:val="20"/>
                <w:szCs w:val="20"/>
              </w:rPr>
              <w:t xml:space="preserve"> a</w:t>
            </w:r>
            <w:r w:rsidR="000A5B3D" w:rsidRPr="00A74D9A">
              <w:rPr>
                <w:b w:val="0"/>
                <w:bCs w:val="0"/>
                <w:sz w:val="20"/>
                <w:szCs w:val="20"/>
              </w:rPr>
              <w:t>ctivities not locating in areas where risk from natural hazards would be significant</w:t>
            </w:r>
            <w:r w:rsidR="007C5A92" w:rsidRPr="00A74D9A">
              <w:rPr>
                <w:b w:val="0"/>
                <w:bCs w:val="0"/>
                <w:sz w:val="20"/>
                <w:szCs w:val="20"/>
              </w:rPr>
              <w:t xml:space="preserve">. </w:t>
            </w:r>
            <w:r w:rsidR="00741F8D" w:rsidRPr="00A74D9A">
              <w:rPr>
                <w:b w:val="0"/>
                <w:bCs w:val="0"/>
                <w:sz w:val="20"/>
                <w:szCs w:val="20"/>
              </w:rPr>
              <w:t xml:space="preserve">There would also be reduced risk of, and </w:t>
            </w:r>
            <w:r w:rsidR="00060C98" w:rsidRPr="00A74D9A">
              <w:rPr>
                <w:b w:val="0"/>
                <w:bCs w:val="0"/>
                <w:sz w:val="20"/>
                <w:szCs w:val="20"/>
              </w:rPr>
              <w:t>actual property and business interruption/loss due to impacts from natural hazards.</w:t>
            </w:r>
          </w:p>
          <w:p w14:paraId="6E0140C1" w14:textId="7B2CB09B" w:rsidR="00E9552F" w:rsidRPr="00A74D9A" w:rsidRDefault="00E9552F" w:rsidP="00A74D9A">
            <w:pPr>
              <w:pStyle w:val="ListParagraph"/>
              <w:ind w:left="360"/>
              <w:jc w:val="both"/>
              <w:rPr>
                <w:b w:val="0"/>
                <w:bCs w:val="0"/>
                <w:sz w:val="20"/>
              </w:rPr>
            </w:pPr>
          </w:p>
        </w:tc>
        <w:tc>
          <w:tcPr>
            <w:tcW w:w="4508" w:type="dxa"/>
          </w:tcPr>
          <w:p w14:paraId="0800167D" w14:textId="303B0C5B" w:rsidR="00451CD9" w:rsidRPr="00A74D9A" w:rsidRDefault="0015306B" w:rsidP="00A74D9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There will be r</w:t>
            </w:r>
            <w:r w:rsidR="00FF2670" w:rsidRPr="00A74D9A">
              <w:rPr>
                <w:sz w:val="20"/>
                <w:szCs w:val="20"/>
              </w:rPr>
              <w:t xml:space="preserve">educed </w:t>
            </w:r>
            <w:r>
              <w:rPr>
                <w:sz w:val="20"/>
                <w:szCs w:val="20"/>
              </w:rPr>
              <w:t xml:space="preserve">ability for </w:t>
            </w:r>
            <w:r w:rsidR="00FF2670" w:rsidRPr="00A74D9A">
              <w:rPr>
                <w:sz w:val="20"/>
                <w:szCs w:val="20"/>
              </w:rPr>
              <w:t xml:space="preserve">development or redevelopment in </w:t>
            </w:r>
            <w:r w:rsidR="00451CD9" w:rsidRPr="00A74D9A">
              <w:rPr>
                <w:sz w:val="20"/>
                <w:szCs w:val="20"/>
              </w:rPr>
              <w:t xml:space="preserve">certain areas or with certain types of activities, based on the risk classification. </w:t>
            </w:r>
          </w:p>
          <w:p w14:paraId="720F4477" w14:textId="28DF4D32" w:rsidR="00451FFD" w:rsidRPr="00A74D9A" w:rsidRDefault="0015306B" w:rsidP="00A74D9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There will be in</w:t>
            </w:r>
            <w:r w:rsidR="002A1677" w:rsidRPr="00A74D9A">
              <w:rPr>
                <w:sz w:val="20"/>
                <w:szCs w:val="20"/>
              </w:rPr>
              <w:t>creased</w:t>
            </w:r>
            <w:r w:rsidR="00451FFD" w:rsidRPr="00A74D9A">
              <w:rPr>
                <w:sz w:val="20"/>
                <w:szCs w:val="20"/>
              </w:rPr>
              <w:t xml:space="preserve"> </w:t>
            </w:r>
            <w:r w:rsidR="002A1677" w:rsidRPr="00A74D9A">
              <w:rPr>
                <w:sz w:val="20"/>
                <w:szCs w:val="20"/>
              </w:rPr>
              <w:t xml:space="preserve">cost to </w:t>
            </w:r>
            <w:r>
              <w:rPr>
                <w:sz w:val="20"/>
                <w:szCs w:val="20"/>
              </w:rPr>
              <w:t>t</w:t>
            </w:r>
            <w:r w:rsidR="002A1677" w:rsidRPr="00A74D9A">
              <w:rPr>
                <w:sz w:val="20"/>
                <w:szCs w:val="20"/>
              </w:rPr>
              <w:t xml:space="preserve">erritorial </w:t>
            </w:r>
            <w:r>
              <w:rPr>
                <w:sz w:val="20"/>
                <w:szCs w:val="20"/>
              </w:rPr>
              <w:t>a</w:t>
            </w:r>
            <w:r w:rsidR="002A1677" w:rsidRPr="00A74D9A">
              <w:rPr>
                <w:sz w:val="20"/>
                <w:szCs w:val="20"/>
              </w:rPr>
              <w:t>uthorities that require amendment</w:t>
            </w:r>
            <w:r w:rsidR="00264A10" w:rsidRPr="00A74D9A">
              <w:rPr>
                <w:sz w:val="20"/>
                <w:szCs w:val="20"/>
              </w:rPr>
              <w:t>s</w:t>
            </w:r>
            <w:r w:rsidR="002A1677" w:rsidRPr="00A74D9A">
              <w:rPr>
                <w:sz w:val="20"/>
                <w:szCs w:val="20"/>
              </w:rPr>
              <w:t xml:space="preserve"> to </w:t>
            </w:r>
            <w:r w:rsidR="00C97EEA" w:rsidRPr="00A74D9A">
              <w:rPr>
                <w:sz w:val="20"/>
                <w:szCs w:val="20"/>
              </w:rPr>
              <w:t xml:space="preserve">their </w:t>
            </w:r>
            <w:r>
              <w:rPr>
                <w:sz w:val="20"/>
                <w:szCs w:val="20"/>
              </w:rPr>
              <w:t>d</w:t>
            </w:r>
            <w:r w:rsidR="00A63FED" w:rsidRPr="00A74D9A">
              <w:rPr>
                <w:sz w:val="20"/>
                <w:szCs w:val="20"/>
              </w:rPr>
              <w:t xml:space="preserve">istrict </w:t>
            </w:r>
            <w:r>
              <w:rPr>
                <w:sz w:val="20"/>
                <w:szCs w:val="20"/>
              </w:rPr>
              <w:t>p</w:t>
            </w:r>
            <w:r w:rsidR="00A63FED" w:rsidRPr="00A74D9A">
              <w:rPr>
                <w:sz w:val="20"/>
                <w:szCs w:val="20"/>
              </w:rPr>
              <w:t>lan</w:t>
            </w:r>
            <w:r w:rsidR="00976A64" w:rsidRPr="00A74D9A">
              <w:rPr>
                <w:sz w:val="20"/>
                <w:szCs w:val="20"/>
              </w:rPr>
              <w:t>s</w:t>
            </w:r>
            <w:r w:rsidR="00A63FED" w:rsidRPr="00A74D9A">
              <w:rPr>
                <w:sz w:val="20"/>
                <w:szCs w:val="20"/>
              </w:rPr>
              <w:t xml:space="preserve"> </w:t>
            </w:r>
            <w:r w:rsidR="00264A10" w:rsidRPr="00A74D9A">
              <w:rPr>
                <w:sz w:val="20"/>
                <w:szCs w:val="20"/>
              </w:rPr>
              <w:t xml:space="preserve">to </w:t>
            </w:r>
            <w:r w:rsidR="00834851" w:rsidRPr="00A74D9A">
              <w:rPr>
                <w:sz w:val="20"/>
                <w:szCs w:val="20"/>
              </w:rPr>
              <w:t xml:space="preserve">identify the </w:t>
            </w:r>
            <w:r w:rsidR="007D16BD" w:rsidRPr="00A74D9A">
              <w:rPr>
                <w:sz w:val="20"/>
                <w:szCs w:val="20"/>
              </w:rPr>
              <w:t>community’s</w:t>
            </w:r>
            <w:r w:rsidR="00C647C7" w:rsidRPr="00A74D9A">
              <w:rPr>
                <w:sz w:val="20"/>
                <w:szCs w:val="20"/>
              </w:rPr>
              <w:t xml:space="preserve"> tolerance to risk and </w:t>
            </w:r>
            <w:r w:rsidR="00264A10" w:rsidRPr="00A74D9A">
              <w:rPr>
                <w:sz w:val="20"/>
                <w:szCs w:val="20"/>
              </w:rPr>
              <w:t xml:space="preserve">give effect </w:t>
            </w:r>
            <w:r w:rsidR="007D16BD" w:rsidRPr="00A74D9A">
              <w:rPr>
                <w:sz w:val="20"/>
                <w:szCs w:val="20"/>
              </w:rPr>
              <w:t>to t</w:t>
            </w:r>
            <w:r w:rsidR="00264A10" w:rsidRPr="00A74D9A">
              <w:rPr>
                <w:sz w:val="20"/>
                <w:szCs w:val="20"/>
              </w:rPr>
              <w:t xml:space="preserve">he updated </w:t>
            </w:r>
            <w:r w:rsidR="00976A64" w:rsidRPr="00A74D9A">
              <w:rPr>
                <w:sz w:val="20"/>
                <w:szCs w:val="20"/>
              </w:rPr>
              <w:t>natural</w:t>
            </w:r>
            <w:r w:rsidR="009C2F60" w:rsidRPr="00A74D9A">
              <w:rPr>
                <w:sz w:val="20"/>
                <w:szCs w:val="20"/>
              </w:rPr>
              <w:t xml:space="preserve"> hazards risk assessment requirements. </w:t>
            </w:r>
          </w:p>
          <w:p w14:paraId="236D5EB4" w14:textId="095FB139" w:rsidR="00E9552F" w:rsidRPr="00A74D9A" w:rsidRDefault="00C32E2B" w:rsidP="00A74D9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A74D9A">
              <w:rPr>
                <w:sz w:val="20"/>
                <w:szCs w:val="20"/>
              </w:rPr>
              <w:t xml:space="preserve">Ongoing </w:t>
            </w:r>
            <w:r w:rsidR="00D802DE" w:rsidRPr="00A74D9A">
              <w:rPr>
                <w:sz w:val="20"/>
                <w:szCs w:val="20"/>
              </w:rPr>
              <w:t xml:space="preserve">cost to Territorial Authorities to </w:t>
            </w:r>
            <w:r w:rsidRPr="00A74D9A">
              <w:rPr>
                <w:sz w:val="20"/>
                <w:szCs w:val="20"/>
              </w:rPr>
              <w:t xml:space="preserve">continue to </w:t>
            </w:r>
            <w:r w:rsidR="00207E7D" w:rsidRPr="00A74D9A">
              <w:rPr>
                <w:sz w:val="20"/>
                <w:szCs w:val="20"/>
              </w:rPr>
              <w:t>i</w:t>
            </w:r>
            <w:r w:rsidR="00E51193" w:rsidRPr="00A74D9A">
              <w:rPr>
                <w:sz w:val="20"/>
                <w:szCs w:val="20"/>
              </w:rPr>
              <w:t xml:space="preserve">dentifying </w:t>
            </w:r>
            <w:r w:rsidR="003F4460" w:rsidRPr="00A74D9A">
              <w:rPr>
                <w:sz w:val="20"/>
                <w:szCs w:val="20"/>
              </w:rPr>
              <w:t>areas subject to natural hazard risk</w:t>
            </w:r>
            <w:r w:rsidR="00E864B3" w:rsidRPr="00A74D9A">
              <w:rPr>
                <w:sz w:val="20"/>
                <w:szCs w:val="20"/>
              </w:rPr>
              <w:t>.</w:t>
            </w:r>
          </w:p>
          <w:p w14:paraId="411E2C51" w14:textId="30568A64" w:rsidR="00E9552F" w:rsidRPr="00A74D9A" w:rsidRDefault="00805BA7" w:rsidP="00A74D9A">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A74D9A">
              <w:rPr>
                <w:sz w:val="20"/>
                <w:szCs w:val="20"/>
              </w:rPr>
              <w:t xml:space="preserve">The greater emphasis on managing existing use rights may reduce the value of property </w:t>
            </w:r>
            <w:r w:rsidR="005A6420" w:rsidRPr="00A74D9A">
              <w:rPr>
                <w:sz w:val="20"/>
                <w:szCs w:val="20"/>
              </w:rPr>
              <w:t xml:space="preserve">as </w:t>
            </w:r>
            <w:r w:rsidR="00311C2C" w:rsidRPr="00A74D9A">
              <w:rPr>
                <w:sz w:val="20"/>
                <w:szCs w:val="20"/>
              </w:rPr>
              <w:t xml:space="preserve">greater restrictions are imposed. </w:t>
            </w:r>
          </w:p>
        </w:tc>
      </w:tr>
    </w:tbl>
    <w:p w14:paraId="62AF0557" w14:textId="77777777" w:rsidR="00E9552F" w:rsidRDefault="00E9552F" w:rsidP="00E9552F"/>
    <w:p w14:paraId="6F6CCB12" w14:textId="09BC8E38" w:rsidR="00E9552F" w:rsidRDefault="003C6E84" w:rsidP="00E9552F">
      <w:r>
        <w:rPr>
          <w:highlight w:val="yellow"/>
        </w:rPr>
        <w:fldChar w:fldCharType="begin"/>
      </w:r>
      <w:r>
        <w:instrText xml:space="preserve"> REF _Ref53669380 \h </w:instrText>
      </w:r>
      <w:r>
        <w:rPr>
          <w:highlight w:val="yellow"/>
        </w:rPr>
      </w:r>
      <w:r>
        <w:rPr>
          <w:highlight w:val="yellow"/>
        </w:rPr>
        <w:fldChar w:fldCharType="separate"/>
      </w:r>
      <w:r w:rsidR="002A7A16">
        <w:t xml:space="preserve">Table </w:t>
      </w:r>
      <w:r w:rsidR="002A7A16">
        <w:rPr>
          <w:noProof/>
        </w:rPr>
        <w:t>52</w:t>
      </w:r>
      <w:r>
        <w:fldChar w:fldCharType="end"/>
      </w:r>
      <w:r>
        <w:t xml:space="preserve"> </w:t>
      </w:r>
      <w:r w:rsidR="00E9552F">
        <w:t>below assesses the effectiveness and efficiency of the proposed provisions in achieving the objectives.</w:t>
      </w:r>
    </w:p>
    <w:p w14:paraId="3BB76408" w14:textId="2376F0A8" w:rsidR="00E9552F" w:rsidRDefault="00E9552F" w:rsidP="00E9552F">
      <w:pPr>
        <w:pStyle w:val="Caption"/>
        <w:keepNext/>
      </w:pPr>
      <w:bookmarkStart w:id="125" w:name="_Ref53669380"/>
      <w:r>
        <w:t xml:space="preserve">Table </w:t>
      </w:r>
      <w:r>
        <w:fldChar w:fldCharType="begin"/>
      </w:r>
      <w:r>
        <w:instrText>SEQ Table \* ARABIC</w:instrText>
      </w:r>
      <w:r>
        <w:fldChar w:fldCharType="separate"/>
      </w:r>
      <w:r w:rsidR="002A7A16">
        <w:rPr>
          <w:noProof/>
        </w:rPr>
        <w:t>52</w:t>
      </w:r>
      <w:r>
        <w:fldChar w:fldCharType="end"/>
      </w:r>
      <w:bookmarkEnd w:id="125"/>
      <w:r>
        <w:t xml:space="preserve">: Efficiency and effectiveness evaluation for </w:t>
      </w:r>
      <w:r w:rsidR="004E4CC2">
        <w:t>HAZ-NH – N</w:t>
      </w:r>
      <w:r w:rsidR="003C6E84">
        <w:t>atural hazards</w:t>
      </w:r>
    </w:p>
    <w:tbl>
      <w:tblPr>
        <w:tblW w:w="0" w:type="auto"/>
        <w:tblLook w:val="04A0" w:firstRow="1" w:lastRow="0" w:firstColumn="1" w:lastColumn="0" w:noHBand="0" w:noVBand="1"/>
      </w:tblPr>
      <w:tblGrid>
        <w:gridCol w:w="1413"/>
        <w:gridCol w:w="7603"/>
      </w:tblGrid>
      <w:tr w:rsidR="00E9552F" w:rsidRPr="00C767B5" w14:paraId="1DAB8F35"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05854F5E" w14:textId="77777777" w:rsidR="00E9552F" w:rsidRPr="00C767B5" w:rsidRDefault="00E9552F" w:rsidP="00424DBB">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4A73D483" w14:textId="3B37563A" w:rsidR="00E9552F" w:rsidRDefault="00EB6EA0" w:rsidP="00424DBB">
            <w:pPr>
              <w:jc w:val="both"/>
              <w:rPr>
                <w:sz w:val="20"/>
              </w:rPr>
            </w:pPr>
            <w:r>
              <w:rPr>
                <w:sz w:val="20"/>
              </w:rPr>
              <w:t xml:space="preserve">While there are costs involved in adopting Option 2, many of these are </w:t>
            </w:r>
            <w:proofErr w:type="gramStart"/>
            <w:r>
              <w:rPr>
                <w:sz w:val="20"/>
              </w:rPr>
              <w:t>similar to</w:t>
            </w:r>
            <w:proofErr w:type="gramEnd"/>
            <w:r>
              <w:rPr>
                <w:sz w:val="20"/>
              </w:rPr>
              <w:t xml:space="preserve"> those </w:t>
            </w:r>
            <w:r w:rsidR="00C820CE">
              <w:rPr>
                <w:sz w:val="20"/>
              </w:rPr>
              <w:t>under the status quo, given th</w:t>
            </w:r>
            <w:r w:rsidR="00752358">
              <w:rPr>
                <w:sz w:val="20"/>
              </w:rPr>
              <w:t xml:space="preserve">e proposed changes are predominantly adding detail and clarity to the existing </w:t>
            </w:r>
            <w:r w:rsidR="00BB2733">
              <w:rPr>
                <w:sz w:val="20"/>
              </w:rPr>
              <w:t xml:space="preserve">PORPS 2019 </w:t>
            </w:r>
            <w:r w:rsidR="00752358">
              <w:rPr>
                <w:sz w:val="20"/>
              </w:rPr>
              <w:t xml:space="preserve">provisions. </w:t>
            </w:r>
            <w:proofErr w:type="gramStart"/>
            <w:r w:rsidR="00752358">
              <w:rPr>
                <w:sz w:val="20"/>
              </w:rPr>
              <w:t xml:space="preserve">In particular, </w:t>
            </w:r>
            <w:r w:rsidR="00A108F5">
              <w:rPr>
                <w:sz w:val="20"/>
              </w:rPr>
              <w:t>Option</w:t>
            </w:r>
            <w:proofErr w:type="gramEnd"/>
            <w:r w:rsidR="00A108F5">
              <w:rPr>
                <w:sz w:val="20"/>
              </w:rPr>
              <w:t xml:space="preserve"> 2 provides greater clarity in the classification and management of </w:t>
            </w:r>
            <w:r w:rsidR="00E243E4">
              <w:rPr>
                <w:sz w:val="20"/>
              </w:rPr>
              <w:t xml:space="preserve">activities based on the risk than the current PORPS 2019. This should provide greater certainty </w:t>
            </w:r>
            <w:r w:rsidR="006127D2">
              <w:rPr>
                <w:sz w:val="20"/>
              </w:rPr>
              <w:t>for parties implementing the provisions.</w:t>
            </w:r>
            <w:r>
              <w:rPr>
                <w:sz w:val="20"/>
              </w:rPr>
              <w:t xml:space="preserve"> </w:t>
            </w:r>
            <w:r w:rsidR="0021571E">
              <w:rPr>
                <w:sz w:val="20"/>
              </w:rPr>
              <w:t xml:space="preserve">As is </w:t>
            </w:r>
            <w:r w:rsidR="0021571E">
              <w:rPr>
                <w:sz w:val="20"/>
              </w:rPr>
              <w:lastRenderedPageBreak/>
              <w:t xml:space="preserve">the nature of natural hazards, there may be environmental costs of implementing the provisions, although </w:t>
            </w:r>
            <w:r w:rsidR="00A85488">
              <w:rPr>
                <w:sz w:val="20"/>
              </w:rPr>
              <w:t xml:space="preserve">these costs </w:t>
            </w:r>
            <w:r w:rsidR="00AB2861">
              <w:rPr>
                <w:sz w:val="20"/>
              </w:rPr>
              <w:t xml:space="preserve">are </w:t>
            </w:r>
            <w:proofErr w:type="gramStart"/>
            <w:r w:rsidR="00AB2861">
              <w:rPr>
                <w:sz w:val="20"/>
              </w:rPr>
              <w:t xml:space="preserve">similar </w:t>
            </w:r>
            <w:r w:rsidR="00FA1097">
              <w:rPr>
                <w:sz w:val="20"/>
              </w:rPr>
              <w:t>to</w:t>
            </w:r>
            <w:proofErr w:type="gramEnd"/>
            <w:r w:rsidR="00FA1097">
              <w:rPr>
                <w:sz w:val="20"/>
              </w:rPr>
              <w:t xml:space="preserve"> </w:t>
            </w:r>
            <w:r w:rsidR="00AB2861">
              <w:rPr>
                <w:sz w:val="20"/>
              </w:rPr>
              <w:t xml:space="preserve">both the </w:t>
            </w:r>
            <w:r w:rsidR="00A85488">
              <w:rPr>
                <w:sz w:val="20"/>
              </w:rPr>
              <w:t>status quo and Option 2</w:t>
            </w:r>
            <w:r w:rsidR="00EB4AFA">
              <w:rPr>
                <w:sz w:val="20"/>
              </w:rPr>
              <w:t>.</w:t>
            </w:r>
          </w:p>
          <w:p w14:paraId="66426F0F" w14:textId="043EF79F" w:rsidR="00E9552F" w:rsidRPr="00C767B5" w:rsidRDefault="003C560E" w:rsidP="00424DBB">
            <w:pPr>
              <w:jc w:val="both"/>
              <w:rPr>
                <w:sz w:val="20"/>
              </w:rPr>
            </w:pPr>
            <w:r>
              <w:rPr>
                <w:sz w:val="20"/>
              </w:rPr>
              <w:t xml:space="preserve">The </w:t>
            </w:r>
            <w:r w:rsidR="004F1B07">
              <w:rPr>
                <w:sz w:val="20"/>
              </w:rPr>
              <w:t xml:space="preserve">additional </w:t>
            </w:r>
            <w:r w:rsidR="001A7548">
              <w:rPr>
                <w:sz w:val="20"/>
              </w:rPr>
              <w:t>requirements</w:t>
            </w:r>
            <w:r w:rsidR="004F1B07">
              <w:rPr>
                <w:sz w:val="20"/>
              </w:rPr>
              <w:t xml:space="preserve"> </w:t>
            </w:r>
            <w:r w:rsidR="00945611">
              <w:rPr>
                <w:sz w:val="20"/>
              </w:rPr>
              <w:t>within Op</w:t>
            </w:r>
            <w:r w:rsidR="00AA02C2">
              <w:rPr>
                <w:sz w:val="20"/>
              </w:rPr>
              <w:t xml:space="preserve">tion 2 </w:t>
            </w:r>
            <w:r w:rsidR="00472816">
              <w:rPr>
                <w:sz w:val="20"/>
              </w:rPr>
              <w:t>may result in</w:t>
            </w:r>
            <w:r w:rsidR="00E97D69">
              <w:rPr>
                <w:sz w:val="20"/>
              </w:rPr>
              <w:t xml:space="preserve"> additional economic costs in the short terms as </w:t>
            </w:r>
            <w:r w:rsidR="006F4903">
              <w:rPr>
                <w:sz w:val="20"/>
              </w:rPr>
              <w:t>t</w:t>
            </w:r>
            <w:r w:rsidR="00DA0436" w:rsidRPr="00DA0436">
              <w:rPr>
                <w:sz w:val="20"/>
              </w:rPr>
              <w:t xml:space="preserve">erritorial </w:t>
            </w:r>
            <w:r w:rsidR="006F4903">
              <w:rPr>
                <w:sz w:val="20"/>
              </w:rPr>
              <w:t>a</w:t>
            </w:r>
            <w:r w:rsidR="00DA0436" w:rsidRPr="00DA0436">
              <w:rPr>
                <w:sz w:val="20"/>
              </w:rPr>
              <w:t xml:space="preserve">uthorities </w:t>
            </w:r>
            <w:r w:rsidR="00DA0436">
              <w:rPr>
                <w:sz w:val="20"/>
              </w:rPr>
              <w:t>are</w:t>
            </w:r>
            <w:r w:rsidR="00DA0436" w:rsidRPr="00DA0436">
              <w:rPr>
                <w:sz w:val="20"/>
              </w:rPr>
              <w:t xml:space="preserve"> require</w:t>
            </w:r>
            <w:r w:rsidR="00517249">
              <w:rPr>
                <w:sz w:val="20"/>
              </w:rPr>
              <w:t>d</w:t>
            </w:r>
            <w:r w:rsidR="00DA0436" w:rsidRPr="00DA0436">
              <w:rPr>
                <w:sz w:val="20"/>
              </w:rPr>
              <w:t xml:space="preserve"> </w:t>
            </w:r>
            <w:r w:rsidR="00517249">
              <w:rPr>
                <w:sz w:val="20"/>
              </w:rPr>
              <w:t>to</w:t>
            </w:r>
            <w:r w:rsidR="00DA0436" w:rsidRPr="00DA0436">
              <w:rPr>
                <w:sz w:val="20"/>
              </w:rPr>
              <w:t xml:space="preserve"> identify the community’s tolerance to</w:t>
            </w:r>
            <w:r w:rsidR="00517249">
              <w:rPr>
                <w:sz w:val="20"/>
              </w:rPr>
              <w:t xml:space="preserve"> risk and update </w:t>
            </w:r>
            <w:r w:rsidR="00D9242C">
              <w:rPr>
                <w:sz w:val="20"/>
              </w:rPr>
              <w:t>district</w:t>
            </w:r>
            <w:r w:rsidR="00517249">
              <w:rPr>
                <w:sz w:val="20"/>
              </w:rPr>
              <w:t xml:space="preserve"> and regional plans accordingly</w:t>
            </w:r>
            <w:r w:rsidR="00D9242C">
              <w:rPr>
                <w:sz w:val="20"/>
              </w:rPr>
              <w:t>.</w:t>
            </w:r>
            <w:r w:rsidR="0099760B">
              <w:rPr>
                <w:sz w:val="20"/>
              </w:rPr>
              <w:t xml:space="preserve"> There may also be medium </w:t>
            </w:r>
            <w:r w:rsidR="003D666A">
              <w:rPr>
                <w:sz w:val="20"/>
              </w:rPr>
              <w:t>term social</w:t>
            </w:r>
            <w:r w:rsidR="0083498E">
              <w:rPr>
                <w:sz w:val="20"/>
              </w:rPr>
              <w:t xml:space="preserve"> and economic</w:t>
            </w:r>
            <w:r w:rsidR="003D666A">
              <w:rPr>
                <w:sz w:val="20"/>
              </w:rPr>
              <w:t xml:space="preserve"> costs as </w:t>
            </w:r>
            <w:r w:rsidR="006F4903">
              <w:rPr>
                <w:sz w:val="20"/>
              </w:rPr>
              <w:t>t</w:t>
            </w:r>
            <w:r w:rsidR="00F55DE0" w:rsidRPr="00DA0436">
              <w:rPr>
                <w:sz w:val="20"/>
              </w:rPr>
              <w:t xml:space="preserve">erritorial </w:t>
            </w:r>
            <w:r w:rsidR="006F4903">
              <w:rPr>
                <w:sz w:val="20"/>
              </w:rPr>
              <w:t>a</w:t>
            </w:r>
            <w:r w:rsidR="00F55DE0" w:rsidRPr="00DA0436">
              <w:rPr>
                <w:sz w:val="20"/>
              </w:rPr>
              <w:t>uthorities</w:t>
            </w:r>
            <w:r w:rsidR="00E33A69">
              <w:rPr>
                <w:sz w:val="20"/>
              </w:rPr>
              <w:t xml:space="preserve"> may be required to </w:t>
            </w:r>
            <w:r w:rsidR="00256FD3">
              <w:rPr>
                <w:sz w:val="20"/>
              </w:rPr>
              <w:t>manag</w:t>
            </w:r>
            <w:r w:rsidR="00FA1097">
              <w:rPr>
                <w:sz w:val="20"/>
              </w:rPr>
              <w:t>e</w:t>
            </w:r>
            <w:r w:rsidR="00256FD3">
              <w:rPr>
                <w:sz w:val="20"/>
              </w:rPr>
              <w:t xml:space="preserve"> existing use</w:t>
            </w:r>
            <w:r w:rsidR="0083498E">
              <w:rPr>
                <w:sz w:val="20"/>
              </w:rPr>
              <w:t xml:space="preserve"> rights in areas of significant risk. </w:t>
            </w:r>
            <w:r w:rsidR="00D715B6">
              <w:rPr>
                <w:sz w:val="20"/>
              </w:rPr>
              <w:t xml:space="preserve">However, once </w:t>
            </w:r>
            <w:r w:rsidR="00BF68D7">
              <w:rPr>
                <w:sz w:val="20"/>
              </w:rPr>
              <w:t xml:space="preserve">the community tolerance to risk is identified and the </w:t>
            </w:r>
            <w:r w:rsidR="00E326A9">
              <w:rPr>
                <w:sz w:val="20"/>
              </w:rPr>
              <w:t xml:space="preserve">existing </w:t>
            </w:r>
            <w:r w:rsidR="00566ED3">
              <w:rPr>
                <w:sz w:val="20"/>
              </w:rPr>
              <w:t xml:space="preserve">areas of </w:t>
            </w:r>
            <w:r w:rsidR="001A009C">
              <w:rPr>
                <w:sz w:val="20"/>
              </w:rPr>
              <w:t>significant</w:t>
            </w:r>
            <w:r w:rsidR="007D3BE2">
              <w:rPr>
                <w:sz w:val="20"/>
              </w:rPr>
              <w:t xml:space="preserve"> risk have been managed to </w:t>
            </w:r>
            <w:r w:rsidR="000A7839">
              <w:rPr>
                <w:sz w:val="20"/>
              </w:rPr>
              <w:t xml:space="preserve">a </w:t>
            </w:r>
            <w:r w:rsidR="001A009C">
              <w:rPr>
                <w:sz w:val="20"/>
              </w:rPr>
              <w:t>tolerable</w:t>
            </w:r>
            <w:r w:rsidR="000A7839">
              <w:rPr>
                <w:sz w:val="20"/>
              </w:rPr>
              <w:t xml:space="preserve"> leve</w:t>
            </w:r>
            <w:r w:rsidR="001A009C">
              <w:rPr>
                <w:sz w:val="20"/>
              </w:rPr>
              <w:t>l</w:t>
            </w:r>
            <w:r w:rsidR="000A7839">
              <w:rPr>
                <w:sz w:val="20"/>
              </w:rPr>
              <w:t xml:space="preserve">, </w:t>
            </w:r>
            <w:r w:rsidR="001A009C">
              <w:rPr>
                <w:sz w:val="20"/>
              </w:rPr>
              <w:t>it is expected there will be</w:t>
            </w:r>
            <w:r w:rsidR="00D715B6">
              <w:rPr>
                <w:sz w:val="20"/>
              </w:rPr>
              <w:t xml:space="preserve"> </w:t>
            </w:r>
            <w:r w:rsidR="00102DFF">
              <w:rPr>
                <w:sz w:val="20"/>
              </w:rPr>
              <w:t xml:space="preserve">longer term </w:t>
            </w:r>
            <w:r w:rsidR="00326FE4">
              <w:rPr>
                <w:sz w:val="20"/>
              </w:rPr>
              <w:t>reductions in</w:t>
            </w:r>
            <w:r w:rsidR="0099760B">
              <w:rPr>
                <w:sz w:val="20"/>
              </w:rPr>
              <w:t xml:space="preserve"> economic and social costs as </w:t>
            </w:r>
            <w:r w:rsidR="00EE2DD1">
              <w:rPr>
                <w:sz w:val="20"/>
              </w:rPr>
              <w:t xml:space="preserve">the level of natural hazard risk will be reduced. </w:t>
            </w:r>
            <w:r w:rsidR="00F55DE0">
              <w:rPr>
                <w:sz w:val="20"/>
              </w:rPr>
              <w:t xml:space="preserve"> </w:t>
            </w:r>
          </w:p>
        </w:tc>
      </w:tr>
      <w:tr w:rsidR="00E9552F" w:rsidRPr="00C767B5" w14:paraId="1108278A"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9A1A84A" w14:textId="77777777" w:rsidR="00E9552F" w:rsidRPr="00C767B5" w:rsidRDefault="00E9552F" w:rsidP="00424DBB">
            <w:pPr>
              <w:jc w:val="both"/>
              <w:rPr>
                <w:b/>
                <w:sz w:val="20"/>
              </w:rPr>
            </w:pPr>
            <w:r w:rsidRPr="00C767B5">
              <w:rPr>
                <w:b/>
                <w:sz w:val="20"/>
              </w:rPr>
              <w:lastRenderedPageBreak/>
              <w:t>Effectiveness</w:t>
            </w:r>
          </w:p>
        </w:tc>
        <w:tc>
          <w:tcPr>
            <w:tcW w:w="7603" w:type="dxa"/>
            <w:tcBorders>
              <w:top w:val="single" w:sz="4" w:space="0" w:color="C9C9C9" w:themeColor="accent3" w:themeTint="99"/>
              <w:bottom w:val="single" w:sz="4" w:space="0" w:color="C9C9C9" w:themeColor="accent3" w:themeTint="99"/>
            </w:tcBorders>
          </w:tcPr>
          <w:p w14:paraId="29C1F607" w14:textId="089BCCA1" w:rsidR="00E9552F" w:rsidRPr="00C767B5" w:rsidRDefault="00CF6E92" w:rsidP="00424DBB">
            <w:pPr>
              <w:jc w:val="both"/>
              <w:rPr>
                <w:sz w:val="20"/>
              </w:rPr>
            </w:pPr>
            <w:r>
              <w:rPr>
                <w:sz w:val="20"/>
              </w:rPr>
              <w:t>Option</w:t>
            </w:r>
            <w:r w:rsidR="00EB4AFA">
              <w:rPr>
                <w:sz w:val="20"/>
              </w:rPr>
              <w:t xml:space="preserve"> 2</w:t>
            </w:r>
            <w:r>
              <w:rPr>
                <w:sz w:val="20"/>
              </w:rPr>
              <w:t xml:space="preserve"> is more effective at meeting the objectives, as it clear</w:t>
            </w:r>
            <w:r w:rsidR="00592BA9">
              <w:rPr>
                <w:sz w:val="20"/>
              </w:rPr>
              <w:t>ly</w:t>
            </w:r>
            <w:r>
              <w:rPr>
                <w:sz w:val="20"/>
              </w:rPr>
              <w:t xml:space="preserve"> sets out how risk</w:t>
            </w:r>
            <w:r w:rsidR="00425E9A">
              <w:rPr>
                <w:sz w:val="20"/>
              </w:rPr>
              <w:t>s</w:t>
            </w:r>
            <w:r>
              <w:rPr>
                <w:sz w:val="20"/>
              </w:rPr>
              <w:t xml:space="preserve"> should be classified, and therefore how various activities should be managed in relation to natural hazards.</w:t>
            </w:r>
            <w:r w:rsidR="006B19AA">
              <w:rPr>
                <w:sz w:val="20"/>
              </w:rPr>
              <w:t xml:space="preserve"> The </w:t>
            </w:r>
            <w:r w:rsidR="004C6976">
              <w:rPr>
                <w:sz w:val="20"/>
              </w:rPr>
              <w:t xml:space="preserve">additional </w:t>
            </w:r>
            <w:r w:rsidR="004C6976" w:rsidRPr="004C6976">
              <w:rPr>
                <w:sz w:val="20"/>
              </w:rPr>
              <w:t xml:space="preserve">detail </w:t>
            </w:r>
            <w:r w:rsidR="00A45379">
              <w:rPr>
                <w:sz w:val="20"/>
              </w:rPr>
              <w:t>pro</w:t>
            </w:r>
            <w:r w:rsidR="004C6976">
              <w:rPr>
                <w:sz w:val="20"/>
              </w:rPr>
              <w:t xml:space="preserve">vided by </w:t>
            </w:r>
            <w:r w:rsidR="00A45379">
              <w:rPr>
                <w:sz w:val="20"/>
              </w:rPr>
              <w:t>O</w:t>
            </w:r>
            <w:r w:rsidR="004C6976">
              <w:rPr>
                <w:sz w:val="20"/>
              </w:rPr>
              <w:t xml:space="preserve">ption </w:t>
            </w:r>
            <w:r w:rsidR="00A45379">
              <w:rPr>
                <w:sz w:val="20"/>
              </w:rPr>
              <w:t xml:space="preserve">2, in relation to </w:t>
            </w:r>
            <w:r w:rsidR="00D468C5">
              <w:rPr>
                <w:sz w:val="20"/>
              </w:rPr>
              <w:t xml:space="preserve">the </w:t>
            </w:r>
            <w:r w:rsidR="00EE5B22">
              <w:rPr>
                <w:sz w:val="20"/>
              </w:rPr>
              <w:t>management</w:t>
            </w:r>
            <w:r w:rsidR="00D468C5">
              <w:rPr>
                <w:sz w:val="20"/>
              </w:rPr>
              <w:t xml:space="preserve"> of existing use </w:t>
            </w:r>
            <w:r w:rsidR="004A76C8">
              <w:rPr>
                <w:sz w:val="20"/>
              </w:rPr>
              <w:t xml:space="preserve">is more effective </w:t>
            </w:r>
            <w:r w:rsidR="00C25D95">
              <w:rPr>
                <w:sz w:val="20"/>
              </w:rPr>
              <w:t>as it</w:t>
            </w:r>
            <w:r w:rsidR="004A76C8">
              <w:rPr>
                <w:sz w:val="20"/>
              </w:rPr>
              <w:t xml:space="preserve"> provides </w:t>
            </w:r>
            <w:r w:rsidR="00C25D95">
              <w:rPr>
                <w:sz w:val="20"/>
              </w:rPr>
              <w:t xml:space="preserve">a clear threshold as to when the </w:t>
            </w:r>
            <w:r w:rsidR="001F11D1">
              <w:rPr>
                <w:sz w:val="20"/>
              </w:rPr>
              <w:t>local authorities will</w:t>
            </w:r>
            <w:r w:rsidR="00EA70F7">
              <w:rPr>
                <w:sz w:val="20"/>
              </w:rPr>
              <w:t xml:space="preserve"> </w:t>
            </w:r>
            <w:r w:rsidR="001F11D1" w:rsidRPr="001F11D1">
              <w:rPr>
                <w:sz w:val="20"/>
              </w:rPr>
              <w:t xml:space="preserve">investigate options for reducing the level of natural hazard </w:t>
            </w:r>
            <w:proofErr w:type="gramStart"/>
            <w:r w:rsidR="001F11D1" w:rsidRPr="001F11D1">
              <w:rPr>
                <w:sz w:val="20"/>
              </w:rPr>
              <w:t>risk</w:t>
            </w:r>
            <w:r w:rsidR="00A63754">
              <w:rPr>
                <w:sz w:val="20"/>
              </w:rPr>
              <w:t>, or</w:t>
            </w:r>
            <w:proofErr w:type="gramEnd"/>
            <w:r w:rsidR="00A63754">
              <w:rPr>
                <w:sz w:val="20"/>
              </w:rPr>
              <w:t xml:space="preserve"> consider managing existing use rights</w:t>
            </w:r>
            <w:r w:rsidR="001F11D1">
              <w:rPr>
                <w:sz w:val="20"/>
              </w:rPr>
              <w:t xml:space="preserve">. </w:t>
            </w:r>
            <w:r w:rsidR="007679DC">
              <w:rPr>
                <w:sz w:val="20"/>
              </w:rPr>
              <w:t>Finally, clarifying the specific roles and responsibilities of Otago’s local authorities will improve the implementation of the policies, which in turn improves the achievement of the objectives.</w:t>
            </w:r>
          </w:p>
        </w:tc>
      </w:tr>
    </w:tbl>
    <w:p w14:paraId="670757E9" w14:textId="77777777" w:rsidR="00E9552F" w:rsidRDefault="00E9552F" w:rsidP="00DE069C">
      <w:pPr>
        <w:pStyle w:val="Heading4"/>
      </w:pPr>
      <w:r>
        <w:t>Risk of acting or not acting</w:t>
      </w:r>
    </w:p>
    <w:p w14:paraId="1FC48374" w14:textId="2098396A" w:rsidR="00E9552F" w:rsidRDefault="00E9552F"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7F3099">
        <w:t xml:space="preserve"> In this case, there is </w:t>
      </w:r>
      <w:r w:rsidR="007251F0">
        <w:t xml:space="preserve">some inherent </w:t>
      </w:r>
      <w:r w:rsidR="007F3099">
        <w:t xml:space="preserve">uncertainty around </w:t>
      </w:r>
      <w:r w:rsidR="0018700E">
        <w:t>the full extent of natural hazard risk</w:t>
      </w:r>
      <w:r w:rsidR="00FE48E2">
        <w:t xml:space="preserve"> in the Otago re</w:t>
      </w:r>
      <w:r w:rsidR="00B85C15">
        <w:t>gion, meaning there is uncertainty about the reach of these provisions, and to what extent they might limit activities.</w:t>
      </w:r>
    </w:p>
    <w:p w14:paraId="78FBAAE1" w14:textId="6DD8E744" w:rsidR="00B85C15" w:rsidRDefault="00294B97" w:rsidP="00A247C5">
      <w:pPr>
        <w:pStyle w:val="Normal2"/>
      </w:pPr>
      <w:r>
        <w:t xml:space="preserve">While </w:t>
      </w:r>
      <w:r w:rsidR="00926F16">
        <w:t>the PORPS</w:t>
      </w:r>
      <w:r w:rsidR="00EF4CD0">
        <w:t xml:space="preserve"> </w:t>
      </w:r>
      <w:r w:rsidR="00926F16">
        <w:t>2019</w:t>
      </w:r>
      <w:r w:rsidR="00EF4CD0">
        <w:t xml:space="preserve"> </w:t>
      </w:r>
      <w:r>
        <w:t xml:space="preserve">also </w:t>
      </w:r>
      <w:r w:rsidR="00EF4CD0">
        <w:t xml:space="preserve">requires identification of natural hazard risk, based on a similar level </w:t>
      </w:r>
      <w:r w:rsidR="002556BE">
        <w:t>of information</w:t>
      </w:r>
      <w:r w:rsidR="001931D0">
        <w:t xml:space="preserve">, </w:t>
      </w:r>
      <w:r>
        <w:t xml:space="preserve">there is a greater risk in not acting given that the PORPS 2021 will provide more </w:t>
      </w:r>
      <w:r w:rsidR="001931D0">
        <w:t>explicit direction</w:t>
      </w:r>
      <w:r w:rsidR="002556BE">
        <w:t xml:space="preserve">. As the provisions </w:t>
      </w:r>
      <w:proofErr w:type="gramStart"/>
      <w:r w:rsidR="002556BE">
        <w:t>are considered to be</w:t>
      </w:r>
      <w:proofErr w:type="gramEnd"/>
      <w:r w:rsidR="002556BE">
        <w:t xml:space="preserve"> more </w:t>
      </w:r>
      <w:r w:rsidR="00B5652D">
        <w:t>effective</w:t>
      </w:r>
      <w:r w:rsidR="002556BE">
        <w:t xml:space="preserve"> in achieving the objectives, it is appropriate to act in this case.</w:t>
      </w:r>
    </w:p>
    <w:p w14:paraId="50F3B71B" w14:textId="3E72D599" w:rsidR="00E9552F" w:rsidRDefault="00E9552F" w:rsidP="00DE069C">
      <w:pPr>
        <w:pStyle w:val="Heading4"/>
      </w:pPr>
      <w:bookmarkStart w:id="126" w:name="_Ref72507953"/>
      <w:r>
        <w:t>Conclusion</w:t>
      </w:r>
      <w:bookmarkEnd w:id="126"/>
    </w:p>
    <w:p w14:paraId="30C468F7" w14:textId="0CF5E963" w:rsidR="00E9552F" w:rsidRDefault="00685A41" w:rsidP="00A247C5">
      <w:pPr>
        <w:pStyle w:val="Normal2"/>
      </w:pPr>
      <w:r>
        <w:t xml:space="preserve">The cost-benefit and effectiveness and efficiency assessments have shown that overall, the </w:t>
      </w:r>
      <w:r w:rsidR="00E81F7F">
        <w:t>PORPS 2021</w:t>
      </w:r>
      <w:r>
        <w:t xml:space="preserve"> provisions are generally more efficient than the status quo and more effective at achieving the objectives of the </w:t>
      </w:r>
      <w:r w:rsidR="00E81F7F">
        <w:t>PORPS 2021</w:t>
      </w:r>
      <w:r w:rsidR="00A572A8">
        <w:t>, by reducing significant economic and safety risk</w:t>
      </w:r>
      <w:r>
        <w:t>. The provision</w:t>
      </w:r>
      <w:r w:rsidR="008073E9">
        <w:t>s</w:t>
      </w:r>
      <w:r>
        <w:t xml:space="preserve"> will assist ORC and the territorial authorities to fulfil their obligations under section 6 and 7 of the RMA in a regionally consistent manner.</w:t>
      </w:r>
    </w:p>
    <w:p w14:paraId="7E554E26" w14:textId="77777777" w:rsidR="00FA1097" w:rsidRDefault="00FA1097">
      <w:pPr>
        <w:rPr>
          <w:rFonts w:asciiTheme="majorHAnsi" w:eastAsiaTheme="majorEastAsia" w:hAnsiTheme="majorHAnsi" w:cstheme="majorBidi"/>
          <w:color w:val="2F5496" w:themeColor="accent1" w:themeShade="BF"/>
          <w:sz w:val="24"/>
          <w:szCs w:val="24"/>
        </w:rPr>
      </w:pPr>
      <w:bookmarkStart w:id="127" w:name="_Ref72671441"/>
      <w:r>
        <w:br w:type="page"/>
      </w:r>
    </w:p>
    <w:p w14:paraId="068ED055" w14:textId="7EAE4335" w:rsidR="00E91D1E" w:rsidRDefault="00A97861" w:rsidP="0082271A">
      <w:pPr>
        <w:pStyle w:val="Heading3"/>
      </w:pPr>
      <w:r>
        <w:lastRenderedPageBreak/>
        <w:t xml:space="preserve">HAZ–CL – </w:t>
      </w:r>
      <w:r w:rsidR="00E91D1E">
        <w:t>Contaminated land</w:t>
      </w:r>
      <w:bookmarkEnd w:id="127"/>
    </w:p>
    <w:p w14:paraId="1F9309D6" w14:textId="0B210C2E" w:rsidR="00E91D1E" w:rsidRDefault="00E91D1E" w:rsidP="00DE069C">
      <w:pPr>
        <w:pStyle w:val="Heading4"/>
      </w:pPr>
      <w:r>
        <w:t>Introduction</w:t>
      </w:r>
    </w:p>
    <w:p w14:paraId="4BF5CFBE" w14:textId="28D2B835" w:rsidR="00E91D1E" w:rsidRDefault="00E91D1E" w:rsidP="00A247C5">
      <w:pPr>
        <w:pStyle w:val="Normal2"/>
      </w:pPr>
      <w:r>
        <w:t xml:space="preserve">This section of the report assesses the provisions proposed in the PORPS 2021 that manage contaminated land and waste. </w:t>
      </w:r>
      <w:r w:rsidR="00723362">
        <w:t>As the NESCS</w:t>
      </w:r>
      <w:r>
        <w:t xml:space="preserve"> sets out a nationally consistent set of planning controls and soil contaminant values, the provisions within the PORPS 2021 avoid </w:t>
      </w:r>
      <w:r w:rsidR="00723362">
        <w:t>duplication</w:t>
      </w:r>
      <w:r>
        <w:t xml:space="preserve"> by managing the adverse effects of contaminants on other receptors, including ecology, water quality or amenity values. Similarly, the management of waste is largely managed by local authorities under the Waste Minimisation Act 2008. Therefore, the focus of the provisions within the is PORPS 2021 is to provide overarching direction on the waste minimisation hierarchy and the management of waste materials in the context of the RMA.</w:t>
      </w:r>
    </w:p>
    <w:p w14:paraId="5FCB5172" w14:textId="7FA72882" w:rsidR="00F35ED2" w:rsidRDefault="00392D78" w:rsidP="00A247C5">
      <w:pPr>
        <w:pStyle w:val="Normal2"/>
      </w:pPr>
      <w:r>
        <w:t xml:space="preserve">The </w:t>
      </w:r>
      <w:r w:rsidR="00CE357C">
        <w:t>PO</w:t>
      </w:r>
      <w:r>
        <w:t>RPS</w:t>
      </w:r>
      <w:r w:rsidR="00202C59">
        <w:t xml:space="preserve"> </w:t>
      </w:r>
      <w:r>
        <w:t xml:space="preserve">2019 </w:t>
      </w:r>
      <w:r w:rsidR="003F72C7">
        <w:t>include</w:t>
      </w:r>
      <w:r w:rsidR="00F248AD">
        <w:t>s</w:t>
      </w:r>
      <w:r w:rsidR="00730F3E">
        <w:t xml:space="preserve"> provisions managing the </w:t>
      </w:r>
      <w:r w:rsidR="00F248AD">
        <w:t xml:space="preserve">use, </w:t>
      </w:r>
      <w:proofErr w:type="gramStart"/>
      <w:r w:rsidR="00F248AD">
        <w:t>storage</w:t>
      </w:r>
      <w:proofErr w:type="gramEnd"/>
      <w:r w:rsidR="00F248AD">
        <w:t xml:space="preserve"> and disposal of hazardous substances. </w:t>
      </w:r>
      <w:r w:rsidR="00F35ED2">
        <w:t xml:space="preserve">However, the Resource Legislation Amendment Act 2017 (RLAA) removed the explicit function of regional and territorial authorities under section 30 and 31 to control hazardous substances to ensure RMA controls </w:t>
      </w:r>
      <w:r w:rsidR="00544C97">
        <w:t>did</w:t>
      </w:r>
      <w:r w:rsidR="00F35ED2">
        <w:t xml:space="preserve"> not duplicate controls in the Hazardous Substances and New Organisms Act 1996 (HSNO Act) and the Health and Safety at Work Act 2015 (HSW Act). </w:t>
      </w:r>
      <w:r w:rsidR="00683464">
        <w:t xml:space="preserve">As such, </w:t>
      </w:r>
      <w:r w:rsidR="0022482F">
        <w:t>the PORPS</w:t>
      </w:r>
      <w:r w:rsidR="005B2B92">
        <w:t xml:space="preserve"> </w:t>
      </w:r>
      <w:r w:rsidR="0022482F">
        <w:t xml:space="preserve">2021 has </w:t>
      </w:r>
      <w:r w:rsidR="005B2B92">
        <w:t xml:space="preserve">removed </w:t>
      </w:r>
      <w:r w:rsidR="0084440E">
        <w:t xml:space="preserve">the provisions </w:t>
      </w:r>
      <w:r w:rsidR="00F35ED2">
        <w:t>manag</w:t>
      </w:r>
      <w:r w:rsidR="00F512CA">
        <w:t>ing</w:t>
      </w:r>
      <w:r w:rsidR="00F35ED2">
        <w:t xml:space="preserve"> hazardous </w:t>
      </w:r>
      <w:proofErr w:type="gramStart"/>
      <w:r w:rsidR="00F35ED2">
        <w:t xml:space="preserve">substances, </w:t>
      </w:r>
      <w:r w:rsidR="00F512CA">
        <w:t>and</w:t>
      </w:r>
      <w:proofErr w:type="gramEnd"/>
      <w:r w:rsidR="00F512CA">
        <w:t xml:space="preserve"> rely on</w:t>
      </w:r>
      <w:r w:rsidR="00F35ED2">
        <w:t xml:space="preserve"> the HSNO Act and the HSW Act controls to </w:t>
      </w:r>
      <w:r w:rsidR="0017506F">
        <w:t xml:space="preserve">manage </w:t>
      </w:r>
      <w:r w:rsidR="00F35ED2">
        <w:t>hazardous substances</w:t>
      </w:r>
      <w:r w:rsidR="0017506F">
        <w:t>.</w:t>
      </w:r>
    </w:p>
    <w:p w14:paraId="36F18FEA" w14:textId="0951E8CD" w:rsidR="00723362" w:rsidRDefault="00723362" w:rsidP="00A247C5">
      <w:pPr>
        <w:pStyle w:val="Normal2"/>
      </w:pPr>
      <w:r>
        <w:t xml:space="preserve">The relevant provisions </w:t>
      </w:r>
      <w:r w:rsidR="005B15BE">
        <w:t>for this chapter are:</w:t>
      </w:r>
    </w:p>
    <w:p w14:paraId="074ECB55" w14:textId="416AC746" w:rsidR="00723362" w:rsidRDefault="00723362" w:rsidP="00A247C5">
      <w:pPr>
        <w:pStyle w:val="Normal3"/>
      </w:pPr>
      <w:r>
        <w:t>HAZ</w:t>
      </w:r>
      <w:r w:rsidR="00544C97">
        <w:t>–</w:t>
      </w:r>
      <w:r>
        <w:t>CL</w:t>
      </w:r>
      <w:r w:rsidR="00544C97">
        <w:t>–</w:t>
      </w:r>
      <w:r>
        <w:t>P1</w:t>
      </w:r>
      <w:r w:rsidR="00772B21">
        <w:t>3</w:t>
      </w:r>
      <w:r>
        <w:t xml:space="preserve"> Identifying contaminated land</w:t>
      </w:r>
    </w:p>
    <w:p w14:paraId="74DB3FB0" w14:textId="3DEA2A82" w:rsidR="00723362" w:rsidRDefault="00723362" w:rsidP="00A247C5">
      <w:pPr>
        <w:pStyle w:val="Normal3"/>
      </w:pPr>
      <w:r>
        <w:t>HAZ</w:t>
      </w:r>
      <w:r w:rsidR="00544C97">
        <w:t>–</w:t>
      </w:r>
      <w:r>
        <w:t>CL</w:t>
      </w:r>
      <w:r w:rsidR="00544C97">
        <w:t>–</w:t>
      </w:r>
      <w:r>
        <w:t>P</w:t>
      </w:r>
      <w:r w:rsidR="000130C8">
        <w:t>1</w:t>
      </w:r>
      <w:r w:rsidR="000027CD">
        <w:t>4</w:t>
      </w:r>
      <w:r>
        <w:t xml:space="preserve"> Managing contaminated land</w:t>
      </w:r>
    </w:p>
    <w:p w14:paraId="1A272B8A" w14:textId="17D548B0" w:rsidR="00723362" w:rsidRDefault="00723362" w:rsidP="00A247C5">
      <w:pPr>
        <w:pStyle w:val="Normal3"/>
      </w:pPr>
      <w:r>
        <w:t>HAZ</w:t>
      </w:r>
      <w:r w:rsidR="00544C97">
        <w:t>–</w:t>
      </w:r>
      <w:r>
        <w:t>CL</w:t>
      </w:r>
      <w:r w:rsidR="00544C97">
        <w:t>–</w:t>
      </w:r>
      <w:r>
        <w:t>P</w:t>
      </w:r>
      <w:r w:rsidR="000130C8">
        <w:t>1</w:t>
      </w:r>
      <w:r w:rsidR="000027CD">
        <w:t>5</w:t>
      </w:r>
      <w:r>
        <w:t xml:space="preserve"> New contaminated land</w:t>
      </w:r>
    </w:p>
    <w:p w14:paraId="6BBE167C" w14:textId="69425147" w:rsidR="00723362" w:rsidRDefault="00723362" w:rsidP="00A247C5">
      <w:pPr>
        <w:pStyle w:val="Normal3"/>
      </w:pPr>
      <w:r>
        <w:t>HAZ</w:t>
      </w:r>
      <w:r w:rsidR="00544C97">
        <w:t>–</w:t>
      </w:r>
      <w:r>
        <w:t>CL</w:t>
      </w:r>
      <w:r w:rsidR="00544C97">
        <w:t>–</w:t>
      </w:r>
      <w:r>
        <w:t>P</w:t>
      </w:r>
      <w:r w:rsidR="000130C8">
        <w:t>1</w:t>
      </w:r>
      <w:r w:rsidR="000027CD">
        <w:t>6</w:t>
      </w:r>
      <w:r>
        <w:t xml:space="preserve"> Waste minimisation responses</w:t>
      </w:r>
    </w:p>
    <w:p w14:paraId="76718C94" w14:textId="3999DA63" w:rsidR="00723362" w:rsidRDefault="00723362" w:rsidP="00A247C5">
      <w:pPr>
        <w:pStyle w:val="Normal3"/>
      </w:pPr>
      <w:r>
        <w:t>HAZ</w:t>
      </w:r>
      <w:r w:rsidR="00544C97">
        <w:t>–</w:t>
      </w:r>
      <w:r>
        <w:t>CL</w:t>
      </w:r>
      <w:r w:rsidR="00544C97">
        <w:t>–</w:t>
      </w:r>
      <w:r>
        <w:t>P</w:t>
      </w:r>
      <w:r w:rsidR="004548C9">
        <w:t>1</w:t>
      </w:r>
      <w:r w:rsidR="000027CD">
        <w:t>7</w:t>
      </w:r>
      <w:r>
        <w:t xml:space="preserve"> </w:t>
      </w:r>
      <w:r w:rsidR="00E854AF">
        <w:t>Disposal of waste materials</w:t>
      </w:r>
    </w:p>
    <w:p w14:paraId="49E9FCED" w14:textId="5E075E60" w:rsidR="004548C9" w:rsidRDefault="004548C9" w:rsidP="00A247C5">
      <w:pPr>
        <w:pStyle w:val="Normal3"/>
      </w:pPr>
      <w:r>
        <w:t>HAZ</w:t>
      </w:r>
      <w:r w:rsidR="00544C97">
        <w:t>–</w:t>
      </w:r>
      <w:r w:rsidR="0094691F">
        <w:t>CL</w:t>
      </w:r>
      <w:r w:rsidR="00544C97">
        <w:t>–</w:t>
      </w:r>
      <w:r w:rsidR="0094691F">
        <w:t>P1</w:t>
      </w:r>
      <w:r w:rsidR="007C70A2">
        <w:t>8</w:t>
      </w:r>
      <w:r w:rsidR="003177DC">
        <w:t xml:space="preserve"> Waste facilities and services</w:t>
      </w:r>
    </w:p>
    <w:p w14:paraId="7D2AFB94" w14:textId="173B5EBE" w:rsidR="00723362" w:rsidRDefault="00723362" w:rsidP="00A247C5">
      <w:pPr>
        <w:pStyle w:val="Normal3"/>
      </w:pPr>
      <w:r>
        <w:t>HAZ</w:t>
      </w:r>
      <w:r w:rsidR="00544C97">
        <w:t>–</w:t>
      </w:r>
      <w:r>
        <w:t>CL</w:t>
      </w:r>
      <w:r w:rsidR="00544C97">
        <w:t>–</w:t>
      </w:r>
      <w:r>
        <w:t>M</w:t>
      </w:r>
      <w:r w:rsidR="003177DC">
        <w:t>6</w:t>
      </w:r>
      <w:r>
        <w:t xml:space="preserve"> Regional plans</w:t>
      </w:r>
    </w:p>
    <w:p w14:paraId="750259AB" w14:textId="289EA458" w:rsidR="00723362" w:rsidRDefault="00723362" w:rsidP="00A247C5">
      <w:pPr>
        <w:pStyle w:val="Normal3"/>
      </w:pPr>
      <w:r>
        <w:t>HAZ</w:t>
      </w:r>
      <w:r w:rsidR="00544C97">
        <w:t>–</w:t>
      </w:r>
      <w:r>
        <w:t>CL</w:t>
      </w:r>
      <w:r w:rsidR="00544C97">
        <w:t>–</w:t>
      </w:r>
      <w:r>
        <w:t>M</w:t>
      </w:r>
      <w:r w:rsidR="003177DC">
        <w:t>7</w:t>
      </w:r>
      <w:r>
        <w:t xml:space="preserve"> District plans</w:t>
      </w:r>
    </w:p>
    <w:p w14:paraId="7636ED87" w14:textId="29B86CFF" w:rsidR="00723362" w:rsidRDefault="00723362" w:rsidP="00A247C5">
      <w:pPr>
        <w:pStyle w:val="Normal3"/>
      </w:pPr>
      <w:r>
        <w:t>HAZ</w:t>
      </w:r>
      <w:r w:rsidR="00544C97">
        <w:t>–</w:t>
      </w:r>
      <w:r>
        <w:t>CL</w:t>
      </w:r>
      <w:r w:rsidR="00544C97">
        <w:t>–</w:t>
      </w:r>
      <w:r>
        <w:t>M</w:t>
      </w:r>
      <w:r w:rsidR="003177DC">
        <w:t>8</w:t>
      </w:r>
      <w:r>
        <w:t xml:space="preserve"> Waste Management and Minimisation Plans</w:t>
      </w:r>
    </w:p>
    <w:p w14:paraId="3443505A" w14:textId="0D11AF26" w:rsidR="00723362" w:rsidRDefault="00723362" w:rsidP="00A247C5">
      <w:pPr>
        <w:pStyle w:val="Normal3"/>
      </w:pPr>
      <w:r>
        <w:t>HAZ</w:t>
      </w:r>
      <w:r w:rsidR="00544C97">
        <w:t>–</w:t>
      </w:r>
      <w:r>
        <w:t>CL</w:t>
      </w:r>
      <w:r w:rsidR="00544C97">
        <w:t>–</w:t>
      </w:r>
      <w:r>
        <w:t>M</w:t>
      </w:r>
      <w:r w:rsidR="003177DC">
        <w:t>9</w:t>
      </w:r>
      <w:r>
        <w:t xml:space="preserve"> Other incentives and mechanisms</w:t>
      </w:r>
    </w:p>
    <w:p w14:paraId="5ABF78A2" w14:textId="3FDFB6AF" w:rsidR="00697DE1" w:rsidRDefault="00697DE1" w:rsidP="00DE069C">
      <w:pPr>
        <w:pStyle w:val="Heading4"/>
      </w:pPr>
      <w:bookmarkStart w:id="128" w:name="_Ref53669114"/>
      <w:r>
        <w:t>Current issues</w:t>
      </w:r>
      <w:bookmarkEnd w:id="128"/>
    </w:p>
    <w:p w14:paraId="500A430D" w14:textId="5031F6A2" w:rsidR="00697DE1" w:rsidRDefault="00697DE1" w:rsidP="00A247C5">
      <w:pPr>
        <w:pStyle w:val="Normal2"/>
      </w:pPr>
      <w:r>
        <w:t xml:space="preserve">Historic land use and storage of hazardous substances </w:t>
      </w:r>
      <w:r w:rsidR="00544C97">
        <w:t>has</w:t>
      </w:r>
      <w:r>
        <w:t xml:space="preserve"> left a legacy of soil contamination in New Zealand. This contamination has been largely caused by historic practices in which chemicals were manufactured, used, </w:t>
      </w:r>
      <w:proofErr w:type="gramStart"/>
      <w:r>
        <w:t>stored</w:t>
      </w:r>
      <w:proofErr w:type="gramEnd"/>
      <w:r>
        <w:t xml:space="preserve"> and disposed of in ways that are considered unacceptable by today’s standards. Contaminated land can be problematic when siting future developments.</w:t>
      </w:r>
    </w:p>
    <w:p w14:paraId="34BB2AC1" w14:textId="27CF794C" w:rsidR="00697DE1" w:rsidRDefault="00697DE1" w:rsidP="00A247C5">
      <w:pPr>
        <w:pStyle w:val="Normal2"/>
      </w:pPr>
      <w:r>
        <w:t xml:space="preserve">It is considered the objective and policy direction within the PORPS 2019 related to contaminated land and waste materials is largely relevant and appropriate, being Objective 4.6 and Policies 4.6.4, 4.6.5, 4.6.7, 4.6.8 and 4.6.9. </w:t>
      </w:r>
      <w:r w:rsidR="0045700A">
        <w:t>In addition</w:t>
      </w:r>
      <w:r>
        <w:t xml:space="preserve">, it is considered that methods within the PORPS 2019 are pitched at an appropriate level. The PORPS 2021 </w:t>
      </w:r>
      <w:r w:rsidR="00544C97">
        <w:t>h</w:t>
      </w:r>
      <w:r>
        <w:t xml:space="preserve">as largely retained the direction within the PORPS 2019 in relation to management of soil contamination and waste materials. </w:t>
      </w:r>
    </w:p>
    <w:p w14:paraId="75B01A64" w14:textId="77777777" w:rsidR="00CD2196" w:rsidRDefault="00CD2196" w:rsidP="00DE069C">
      <w:pPr>
        <w:pStyle w:val="Heading4"/>
      </w:pPr>
      <w:r>
        <w:lastRenderedPageBreak/>
        <w:t>Objectives</w:t>
      </w:r>
    </w:p>
    <w:p w14:paraId="7FF15B0C" w14:textId="02B54CA8" w:rsidR="00CD2196" w:rsidRDefault="00CD2196" w:rsidP="00A247C5">
      <w:pPr>
        <w:pStyle w:val="Normal2"/>
      </w:pPr>
      <w:r>
        <w:t xml:space="preserve">Section 32(1)(b) requires examining whether the provisions in the proposal are the most appropriate way of achieving the objectives. The relevant objectives for this topic are included in </w:t>
      </w:r>
      <w:r>
        <w:fldChar w:fldCharType="begin"/>
      </w:r>
      <w:r>
        <w:instrText xml:space="preserve"> REF _Ref53668956 \h </w:instrText>
      </w:r>
      <w:r>
        <w:fldChar w:fldCharType="separate"/>
      </w:r>
      <w:r w:rsidR="002A7A16">
        <w:t xml:space="preserve">Table </w:t>
      </w:r>
      <w:r w:rsidR="002A7A16">
        <w:rPr>
          <w:noProof/>
        </w:rPr>
        <w:t>53</w:t>
      </w:r>
      <w:r>
        <w:fldChar w:fldCharType="end"/>
      </w:r>
      <w:r>
        <w:t xml:space="preserve"> below.</w:t>
      </w:r>
    </w:p>
    <w:p w14:paraId="693ECAC7" w14:textId="3E96CF4C" w:rsidR="00CD2196" w:rsidRDefault="00CD2196" w:rsidP="00CD2196">
      <w:pPr>
        <w:pStyle w:val="Caption"/>
        <w:keepNext/>
        <w:ind w:left="709"/>
      </w:pPr>
      <w:bookmarkStart w:id="129" w:name="_Ref53668956"/>
      <w:r>
        <w:t xml:space="preserve">Table </w:t>
      </w:r>
      <w:r>
        <w:fldChar w:fldCharType="begin"/>
      </w:r>
      <w:r>
        <w:instrText>SEQ Table \* ARABIC</w:instrText>
      </w:r>
      <w:r>
        <w:fldChar w:fldCharType="separate"/>
      </w:r>
      <w:r w:rsidR="002A7A16">
        <w:rPr>
          <w:noProof/>
        </w:rPr>
        <w:t>53</w:t>
      </w:r>
      <w:r>
        <w:fldChar w:fldCharType="end"/>
      </w:r>
      <w:bookmarkEnd w:id="129"/>
      <w:r>
        <w:t>: Contaminated land objective</w:t>
      </w:r>
    </w:p>
    <w:tbl>
      <w:tblPr>
        <w:tblStyle w:val="TableGrid"/>
        <w:tblW w:w="0" w:type="auto"/>
        <w:tblInd w:w="720" w:type="dxa"/>
        <w:tblLook w:val="04A0" w:firstRow="1" w:lastRow="0" w:firstColumn="1" w:lastColumn="0" w:noHBand="0" w:noVBand="1"/>
      </w:tblPr>
      <w:tblGrid>
        <w:gridCol w:w="2677"/>
        <w:gridCol w:w="5619"/>
      </w:tblGrid>
      <w:tr w:rsidR="00CD2196" w14:paraId="432041E2" w14:textId="77777777" w:rsidTr="00E77177">
        <w:tc>
          <w:tcPr>
            <w:tcW w:w="2677" w:type="dxa"/>
          </w:tcPr>
          <w:p w14:paraId="28F61208" w14:textId="47E341D7" w:rsidR="00CD2196" w:rsidRPr="00557EEE" w:rsidRDefault="00E83D6A" w:rsidP="00A247C5">
            <w:pPr>
              <w:pStyle w:val="Table1"/>
            </w:pPr>
            <w:r w:rsidRPr="00E83D6A">
              <w:t>HAZ</w:t>
            </w:r>
            <w:r w:rsidR="00544C97">
              <w:t>–</w:t>
            </w:r>
            <w:r w:rsidRPr="00E83D6A">
              <w:t>CL</w:t>
            </w:r>
            <w:r w:rsidR="00544C97">
              <w:t>–</w:t>
            </w:r>
            <w:r w:rsidRPr="00E83D6A">
              <w:t>O</w:t>
            </w:r>
            <w:r w:rsidR="00E57B31">
              <w:t>3</w:t>
            </w:r>
            <w:r w:rsidR="00544C97">
              <w:t xml:space="preserve"> –</w:t>
            </w:r>
            <w:r w:rsidRPr="00E83D6A">
              <w:t xml:space="preserve"> Contaminated land</w:t>
            </w:r>
          </w:p>
        </w:tc>
        <w:tc>
          <w:tcPr>
            <w:tcW w:w="5619" w:type="dxa"/>
          </w:tcPr>
          <w:p w14:paraId="031E794D" w14:textId="0078C948" w:rsidR="00CD2196" w:rsidRPr="00544C97" w:rsidRDefault="00E57746" w:rsidP="00544C97">
            <w:pPr>
              <w:pStyle w:val="Table1"/>
              <w:rPr>
                <w:iCs/>
                <w:lang w:eastAsia="en-NZ"/>
              </w:rPr>
            </w:pPr>
            <w:bookmarkStart w:id="130" w:name="_Hlk69134145"/>
            <w:r w:rsidRPr="00544C97">
              <w:rPr>
                <w:iCs/>
                <w:lang w:eastAsia="en-NZ"/>
              </w:rPr>
              <w:t>Contaminated land and waste materials are manged to protect human health, mana whenua values and the environment in Otago</w:t>
            </w:r>
            <w:bookmarkEnd w:id="130"/>
            <w:r w:rsidRPr="00544C97">
              <w:rPr>
                <w:iCs/>
                <w:lang w:eastAsia="en-NZ"/>
              </w:rPr>
              <w:t>.</w:t>
            </w:r>
          </w:p>
        </w:tc>
      </w:tr>
    </w:tbl>
    <w:p w14:paraId="0C2034C6" w14:textId="77777777" w:rsidR="00CD2196" w:rsidRDefault="00CD2196" w:rsidP="00DE069C">
      <w:pPr>
        <w:pStyle w:val="Heading4"/>
      </w:pPr>
      <w:r>
        <w:t>Reasonably practicable options</w:t>
      </w:r>
    </w:p>
    <w:p w14:paraId="4A955277" w14:textId="77777777" w:rsidR="00CD2196" w:rsidRDefault="00CD2196" w:rsidP="00A247C5">
      <w:pPr>
        <w:pStyle w:val="Normal2"/>
      </w:pPr>
      <w:r>
        <w:t>Two reasonably practicable options were identified to achieve the objectives:</w:t>
      </w:r>
    </w:p>
    <w:p w14:paraId="5D898475" w14:textId="77777777" w:rsidR="00CD2196" w:rsidRPr="007B1F8E" w:rsidRDefault="00CD2196" w:rsidP="00221D22">
      <w:pPr>
        <w:pStyle w:val="Normal3"/>
      </w:pPr>
      <w:r w:rsidRPr="00A247C5">
        <w:rPr>
          <w:b/>
          <w:bCs/>
        </w:rPr>
        <w:t>Option 1:</w:t>
      </w:r>
      <w:r>
        <w:t xml:space="preserve"> </w:t>
      </w:r>
      <w:r w:rsidRPr="007B1F8E">
        <w:t>Status quo (PORPS 2019)</w:t>
      </w:r>
    </w:p>
    <w:p w14:paraId="7FAB658D" w14:textId="5B4A7537" w:rsidR="00CD2196" w:rsidRDefault="00CD2196" w:rsidP="00A247C5">
      <w:pPr>
        <w:pStyle w:val="Normal3"/>
      </w:pPr>
      <w:r w:rsidRPr="29589E8D">
        <w:rPr>
          <w:b/>
          <w:bCs/>
        </w:rPr>
        <w:t>Option 2:</w:t>
      </w:r>
      <w:r>
        <w:t xml:space="preserve"> PORPS 2021</w:t>
      </w:r>
      <w:r w:rsidR="00CF7910">
        <w:t xml:space="preserve"> – </w:t>
      </w:r>
      <w:r w:rsidR="00CF7910">
        <w:rPr>
          <w:i/>
          <w:iCs/>
        </w:rPr>
        <w:t xml:space="preserve">preferred </w:t>
      </w:r>
    </w:p>
    <w:p w14:paraId="6D63C563" w14:textId="77777777" w:rsidR="00CD2196" w:rsidRDefault="00CD2196" w:rsidP="000B61EC">
      <w:pPr>
        <w:pStyle w:val="Heading5"/>
      </w:pPr>
      <w:r>
        <w:t>Option 1: Status quo</w:t>
      </w:r>
    </w:p>
    <w:p w14:paraId="16FD3D2A" w14:textId="76F877C6" w:rsidR="00CD2196" w:rsidRDefault="003475F5" w:rsidP="00A247C5">
      <w:pPr>
        <w:pStyle w:val="Normal2"/>
      </w:pPr>
      <w:r>
        <w:t xml:space="preserve">The status quo and associated issues are outlined in section </w:t>
      </w:r>
      <w:r>
        <w:fldChar w:fldCharType="begin"/>
      </w:r>
      <w:r>
        <w:instrText xml:space="preserve"> REF _Ref53669114 \r \h </w:instrText>
      </w:r>
      <w:r>
        <w:fldChar w:fldCharType="separate"/>
      </w:r>
      <w:r w:rsidR="002A7A16">
        <w:t>5.10.3.2</w:t>
      </w:r>
      <w:r>
        <w:fldChar w:fldCharType="end"/>
      </w:r>
      <w:r>
        <w:t>. As outlined in that section, the status quo is generally appropriate</w:t>
      </w:r>
      <w:r w:rsidR="00D91FE4">
        <w:t xml:space="preserve"> but there are opportunities to improve clarity. The status quo also contains direction on the management of hazardous substances which is no longer required to be managed within the RMA.  </w:t>
      </w:r>
    </w:p>
    <w:p w14:paraId="5A65D91A" w14:textId="1D7CB3E3" w:rsidR="00D91FE4" w:rsidRPr="00CF7910" w:rsidRDefault="00D91FE4" w:rsidP="000B61EC">
      <w:pPr>
        <w:pStyle w:val="Heading5"/>
        <w:rPr>
          <w:i/>
          <w:iCs/>
        </w:rPr>
      </w:pPr>
      <w:r>
        <w:t>Option 2: PORPS 2021</w:t>
      </w:r>
      <w:r w:rsidR="00CF7910">
        <w:t xml:space="preserve"> – </w:t>
      </w:r>
      <w:r w:rsidR="00CF7910" w:rsidRPr="00CF7910">
        <w:rPr>
          <w:i/>
          <w:iCs/>
        </w:rPr>
        <w:t>p</w:t>
      </w:r>
      <w:r w:rsidR="00CF7910">
        <w:rPr>
          <w:i/>
          <w:iCs/>
        </w:rPr>
        <w:t xml:space="preserve">referred </w:t>
      </w:r>
    </w:p>
    <w:p w14:paraId="7836A9F7" w14:textId="52811779" w:rsidR="00D91FE4" w:rsidRDefault="00D91FE4" w:rsidP="00A247C5">
      <w:pPr>
        <w:pStyle w:val="Normal2"/>
      </w:pPr>
      <w:r>
        <w:t>Policy HAZ-CL-P1</w:t>
      </w:r>
      <w:r w:rsidR="007163D9">
        <w:t>3</w:t>
      </w:r>
      <w:r>
        <w:t xml:space="preserve"> requires the identification of known or potentially contaminated land in Otago using the Ministry for the Environment’s Hazardous Activities and Industries List. Policies </w:t>
      </w:r>
      <w:r w:rsidRPr="29589E8D">
        <w:rPr>
          <w:rFonts w:eastAsia="Times New Roman"/>
          <w:lang w:eastAsia="en-NZ"/>
        </w:rPr>
        <w:t>HAZ-CL-</w:t>
      </w:r>
      <w:r w:rsidRPr="7DE66FE7">
        <w:rPr>
          <w:rFonts w:eastAsia="Times New Roman"/>
          <w:lang w:eastAsia="en-NZ"/>
        </w:rPr>
        <w:t>P</w:t>
      </w:r>
      <w:r w:rsidR="00641878">
        <w:rPr>
          <w:rFonts w:eastAsia="Times New Roman"/>
          <w:lang w:eastAsia="en-NZ"/>
        </w:rPr>
        <w:t>14</w:t>
      </w:r>
      <w:r w:rsidRPr="29589E8D">
        <w:rPr>
          <w:rFonts w:eastAsia="Times New Roman"/>
          <w:lang w:eastAsia="en-NZ"/>
        </w:rPr>
        <w:t xml:space="preserve"> and HAZ-CL-</w:t>
      </w:r>
      <w:r w:rsidRPr="7DE66FE7">
        <w:rPr>
          <w:rFonts w:eastAsia="Times New Roman"/>
          <w:lang w:eastAsia="en-NZ"/>
        </w:rPr>
        <w:t>P</w:t>
      </w:r>
      <w:r w:rsidR="00641878">
        <w:rPr>
          <w:rFonts w:eastAsia="Times New Roman"/>
          <w:lang w:eastAsia="en-NZ"/>
        </w:rPr>
        <w:t>15</w:t>
      </w:r>
      <w:r w:rsidRPr="29589E8D">
        <w:rPr>
          <w:rFonts w:eastAsia="Times New Roman"/>
          <w:lang w:eastAsia="en-NZ"/>
        </w:rPr>
        <w:t xml:space="preserve"> </w:t>
      </w:r>
      <w:r w:rsidRPr="29589E8D">
        <w:rPr>
          <w:rFonts w:ascii="Calibri" w:eastAsia="Calibri" w:hAnsi="Calibri" w:cs="Times New Roman"/>
        </w:rPr>
        <w:t xml:space="preserve">ensure contaminated or potentially contaminated land does not pose an unacceptable risk to people and the environment and the creation of new contaminated land is avoided or, where this is not practicable, the adverse effects on the environment minimised. Method </w:t>
      </w:r>
      <w:r w:rsidRPr="29589E8D">
        <w:rPr>
          <w:rFonts w:eastAsia="Calibri"/>
        </w:rPr>
        <w:t>HAZ-CL-</w:t>
      </w:r>
      <w:r w:rsidRPr="7DE66FE7">
        <w:rPr>
          <w:rFonts w:eastAsia="Calibri"/>
        </w:rPr>
        <w:t>M</w:t>
      </w:r>
      <w:r w:rsidR="00A20548">
        <w:rPr>
          <w:rFonts w:eastAsia="Calibri"/>
        </w:rPr>
        <w:t>6</w:t>
      </w:r>
      <w:r w:rsidRPr="29589E8D">
        <w:rPr>
          <w:rFonts w:eastAsia="Calibri"/>
        </w:rPr>
        <w:t xml:space="preserve"> directs that the regional </w:t>
      </w:r>
      <w:r w:rsidRPr="29589E8D">
        <w:rPr>
          <w:rFonts w:ascii="Calibri" w:eastAsia="Calibri" w:hAnsi="Calibri" w:cs="Times New Roman"/>
        </w:rPr>
        <w:t xml:space="preserve">council will maintain a register or database of sites where hazardous activities and industries are or have </w:t>
      </w:r>
      <w:proofErr w:type="gramStart"/>
      <w:r w:rsidRPr="29589E8D">
        <w:rPr>
          <w:rFonts w:ascii="Calibri" w:eastAsia="Calibri" w:hAnsi="Calibri" w:cs="Times New Roman"/>
        </w:rPr>
        <w:t>been located in</w:t>
      </w:r>
      <w:proofErr w:type="gramEnd"/>
      <w:r w:rsidRPr="29589E8D">
        <w:rPr>
          <w:rFonts w:ascii="Calibri" w:eastAsia="Calibri" w:hAnsi="Calibri" w:cs="Times New Roman"/>
        </w:rPr>
        <w:t xml:space="preserve"> Otago and amend its regional plans to manage the effects of the use of contaminated land.</w:t>
      </w:r>
    </w:p>
    <w:p w14:paraId="6423646F" w14:textId="0DD5B16D" w:rsidR="00D91FE4" w:rsidRPr="00247F48" w:rsidRDefault="00D91FE4" w:rsidP="00A247C5">
      <w:pPr>
        <w:pStyle w:val="Normal2"/>
        <w:rPr>
          <w:rFonts w:eastAsia="Calibri"/>
        </w:rPr>
      </w:pPr>
      <w:r>
        <w:t>Policies HAZ-CL-P</w:t>
      </w:r>
      <w:r w:rsidR="00EF3224">
        <w:t>16</w:t>
      </w:r>
      <w:r>
        <w:t xml:space="preserve"> and </w:t>
      </w:r>
      <w:r w:rsidRPr="29589E8D">
        <w:rPr>
          <w:lang w:eastAsia="en-NZ"/>
        </w:rPr>
        <w:t>HAZ-CL-</w:t>
      </w:r>
      <w:r w:rsidR="00EF3224">
        <w:rPr>
          <w:lang w:eastAsia="en-NZ"/>
        </w:rPr>
        <w:t>P17</w:t>
      </w:r>
      <w:r w:rsidRPr="29589E8D">
        <w:rPr>
          <w:lang w:eastAsia="en-NZ"/>
        </w:rPr>
        <w:t xml:space="preserve"> require that the principles of the waste management hierarchy are applied to the management of all waste streams and the storage, recycling, recovery, </w:t>
      </w:r>
      <w:proofErr w:type="gramStart"/>
      <w:r w:rsidRPr="29589E8D">
        <w:rPr>
          <w:lang w:eastAsia="en-NZ"/>
        </w:rPr>
        <w:t>treatment</w:t>
      </w:r>
      <w:proofErr w:type="gramEnd"/>
      <w:r w:rsidRPr="29589E8D">
        <w:rPr>
          <w:lang w:eastAsia="en-NZ"/>
        </w:rPr>
        <w:t xml:space="preserve"> and disposal of waste materials are managed. Method </w:t>
      </w:r>
      <w:r w:rsidRPr="29589E8D">
        <w:rPr>
          <w:rFonts w:eastAsia="Calibri"/>
        </w:rPr>
        <w:t>HAZ-CL-</w:t>
      </w:r>
      <w:r w:rsidRPr="7DE66FE7">
        <w:rPr>
          <w:rFonts w:eastAsia="Calibri"/>
        </w:rPr>
        <w:t>M</w:t>
      </w:r>
      <w:r w:rsidR="00A20548">
        <w:rPr>
          <w:rFonts w:eastAsia="Calibri"/>
        </w:rPr>
        <w:t>7</w:t>
      </w:r>
      <w:r w:rsidRPr="29589E8D">
        <w:rPr>
          <w:rFonts w:eastAsia="Calibri"/>
        </w:rPr>
        <w:t xml:space="preserve">, specifies the provisions required in district plans </w:t>
      </w:r>
      <w:proofErr w:type="gramStart"/>
      <w:r w:rsidRPr="29589E8D">
        <w:rPr>
          <w:rFonts w:eastAsia="Calibri"/>
        </w:rPr>
        <w:t>in order to</w:t>
      </w:r>
      <w:proofErr w:type="gramEnd"/>
      <w:r w:rsidRPr="29589E8D">
        <w:rPr>
          <w:rFonts w:eastAsia="Calibri"/>
        </w:rPr>
        <w:t xml:space="preserve"> implement the policies. Method HAZ-CL-</w:t>
      </w:r>
      <w:r w:rsidRPr="7DE66FE7">
        <w:rPr>
          <w:rFonts w:eastAsia="Calibri"/>
        </w:rPr>
        <w:t>M</w:t>
      </w:r>
      <w:r w:rsidR="00675C58">
        <w:rPr>
          <w:rFonts w:eastAsia="Calibri"/>
        </w:rPr>
        <w:t>8</w:t>
      </w:r>
      <w:r w:rsidRPr="29589E8D">
        <w:rPr>
          <w:rFonts w:eastAsia="Calibri"/>
        </w:rPr>
        <w:t xml:space="preserve"> requires local authorities develop waste management and minimisation plans in accordance with the Waste Minimisation Act 2008 and HAZ-CL-</w:t>
      </w:r>
      <w:r w:rsidRPr="7DE66FE7">
        <w:rPr>
          <w:rFonts w:eastAsia="Calibri"/>
        </w:rPr>
        <w:t>M</w:t>
      </w:r>
      <w:r w:rsidR="00675C58">
        <w:rPr>
          <w:rFonts w:eastAsia="Calibri"/>
        </w:rPr>
        <w:t>9</w:t>
      </w:r>
      <w:r w:rsidRPr="29589E8D">
        <w:rPr>
          <w:rFonts w:eastAsia="Calibri"/>
        </w:rPr>
        <w:t xml:space="preserve"> encourages </w:t>
      </w:r>
      <w:r>
        <w:t xml:space="preserve">application of the waste management </w:t>
      </w:r>
      <w:proofErr w:type="gramStart"/>
      <w:r>
        <w:t>hierarchy, and</w:t>
      </w:r>
      <w:proofErr w:type="gramEnd"/>
      <w:r>
        <w:t xml:space="preserve"> </w:t>
      </w:r>
      <w:r w:rsidRPr="29589E8D">
        <w:rPr>
          <w:rFonts w:eastAsia="Calibri"/>
        </w:rPr>
        <w:t>outlines additional mechanisms or incentives that would support the implementation of the policies and achievement of the objectives.</w:t>
      </w:r>
    </w:p>
    <w:p w14:paraId="35D2D2A4" w14:textId="25EE7385" w:rsidR="00697DE1" w:rsidRDefault="00D91FE4" w:rsidP="00A247C5">
      <w:pPr>
        <w:pStyle w:val="Normal2"/>
      </w:pPr>
      <w:r>
        <w:t>These provisions within the PORPS 2021 largely retained the direction within the PORPS 2019 in relation to management of soil contamination and waste materials.</w:t>
      </w:r>
    </w:p>
    <w:p w14:paraId="727D5234" w14:textId="77777777" w:rsidR="00CA315B" w:rsidRDefault="00CA315B" w:rsidP="00DE069C">
      <w:pPr>
        <w:pStyle w:val="Heading4"/>
      </w:pPr>
      <w:r>
        <w:lastRenderedPageBreak/>
        <w:t>Consultation summary</w:t>
      </w:r>
    </w:p>
    <w:p w14:paraId="0B828EBD" w14:textId="039B27FD" w:rsidR="002D3955" w:rsidRDefault="00CA315B" w:rsidP="000B61EC">
      <w:pPr>
        <w:pStyle w:val="Heading5"/>
      </w:pPr>
      <w:r>
        <w:t>Clause 3</w:t>
      </w:r>
      <w:r w:rsidR="005359BD">
        <w:t xml:space="preserve"> consultation</w:t>
      </w:r>
    </w:p>
    <w:p w14:paraId="4CC77FF6" w14:textId="0175C1B3" w:rsidR="00CA315B" w:rsidRPr="00963D37" w:rsidRDefault="002D3955" w:rsidP="00A247C5">
      <w:pPr>
        <w:pStyle w:val="Normal2"/>
      </w:pPr>
      <w:r>
        <w:t>A summary of the process for consultation under</w:t>
      </w:r>
      <w:r w:rsidR="00CA315B">
        <w:t xml:space="preserve"> clause </w:t>
      </w:r>
      <w:r>
        <w:t xml:space="preserve">3 of Schedule 1 of the RMA, including the full list of parties involved, is provided in </w:t>
      </w:r>
      <w:r w:rsidR="00CF301F">
        <w:t>S</w:t>
      </w:r>
      <w:r>
        <w:t>ection</w:t>
      </w:r>
      <w:r w:rsidR="00CF301F">
        <w:t xml:space="preserve"> 2.5.1</w:t>
      </w:r>
      <w:r>
        <w:t xml:space="preserve"> of this report. </w:t>
      </w:r>
      <w:r w:rsidR="006F3710">
        <w:t xml:space="preserve">The Dunedin City Council was the only </w:t>
      </w:r>
      <w:r>
        <w:t>part</w:t>
      </w:r>
      <w:r w:rsidR="005F5927">
        <w:t>y</w:t>
      </w:r>
      <w:r>
        <w:t xml:space="preserve"> </w:t>
      </w:r>
      <w:r w:rsidR="006F3710">
        <w:t xml:space="preserve">that </w:t>
      </w:r>
      <w:r>
        <w:t xml:space="preserve">provided feedback on the </w:t>
      </w:r>
      <w:r w:rsidR="005F5927">
        <w:t>Contaminated Land section of the HAZ</w:t>
      </w:r>
      <w:r>
        <w:t xml:space="preserve"> chapter through clause 3 consultation</w:t>
      </w:r>
      <w:r w:rsidR="006F3710">
        <w:t xml:space="preserve">. The Dunedin City Council </w:t>
      </w:r>
      <w:r w:rsidR="00A9309D">
        <w:t>suggested that district</w:t>
      </w:r>
      <w:r w:rsidR="005A1DA4">
        <w:t xml:space="preserve"> plans </w:t>
      </w:r>
      <w:r w:rsidR="00A9309D">
        <w:t xml:space="preserve">can </w:t>
      </w:r>
      <w:r w:rsidR="005A1DA4">
        <w:t>still play a role in the management of hazardous substances</w:t>
      </w:r>
      <w:r w:rsidR="00A9309D">
        <w:t>.</w:t>
      </w:r>
      <w:r w:rsidR="00F9104C">
        <w:t xml:space="preserve"> As noted above, given the RLAA removed the explicit function of regional and territorial authorities under section 30 and 31 to control hazardous substances, </w:t>
      </w:r>
      <w:r w:rsidR="00B0585B">
        <w:t xml:space="preserve">no changes to the </w:t>
      </w:r>
      <w:r w:rsidR="00B0585B" w:rsidRPr="00544C97">
        <w:rPr>
          <w:i/>
          <w:iCs/>
        </w:rPr>
        <w:t>HAZ</w:t>
      </w:r>
      <w:r w:rsidR="00544C97" w:rsidRPr="00544C97">
        <w:rPr>
          <w:i/>
          <w:iCs/>
        </w:rPr>
        <w:t>–</w:t>
      </w:r>
      <w:r w:rsidR="00B0585B" w:rsidRPr="00544C97">
        <w:rPr>
          <w:i/>
          <w:iCs/>
        </w:rPr>
        <w:t xml:space="preserve">CL </w:t>
      </w:r>
      <w:r w:rsidR="00544C97" w:rsidRPr="00544C97">
        <w:rPr>
          <w:i/>
          <w:iCs/>
        </w:rPr>
        <w:t>– Contaminated land</w:t>
      </w:r>
      <w:r w:rsidR="00544C97">
        <w:t xml:space="preserve"> section</w:t>
      </w:r>
      <w:r w:rsidR="00B0585B">
        <w:t xml:space="preserve"> have been made. </w:t>
      </w:r>
      <w:r w:rsidR="00F9104C">
        <w:t xml:space="preserve"> </w:t>
      </w:r>
    </w:p>
    <w:p w14:paraId="237FC92B" w14:textId="479BD229" w:rsidR="005359BD" w:rsidRDefault="005359BD" w:rsidP="000B61EC">
      <w:pPr>
        <w:pStyle w:val="Heading5"/>
      </w:pPr>
      <w:r>
        <w:t>Clause 4A consultation</w:t>
      </w:r>
    </w:p>
    <w:p w14:paraId="34224619" w14:textId="48FD38F5" w:rsidR="005359BD" w:rsidRPr="00946812" w:rsidRDefault="002174FA" w:rsidP="00A247C5">
      <w:pPr>
        <w:pStyle w:val="Normal2"/>
      </w:pPr>
      <w:r w:rsidRPr="002174FA">
        <w:t xml:space="preserve">The feedback provided by Iwi on the </w:t>
      </w:r>
      <w:r w:rsidRPr="00544C97">
        <w:rPr>
          <w:i/>
          <w:iCs/>
        </w:rPr>
        <w:t>HAZ</w:t>
      </w:r>
      <w:r w:rsidR="00544C97" w:rsidRPr="00544C97">
        <w:rPr>
          <w:i/>
          <w:iCs/>
        </w:rPr>
        <w:t>–</w:t>
      </w:r>
      <w:r w:rsidRPr="00544C97">
        <w:rPr>
          <w:i/>
          <w:iCs/>
        </w:rPr>
        <w:t xml:space="preserve">CL </w:t>
      </w:r>
      <w:r w:rsidR="00544C97" w:rsidRPr="00544C97">
        <w:rPr>
          <w:i/>
          <w:iCs/>
        </w:rPr>
        <w:t>– Contaminated land</w:t>
      </w:r>
      <w:r w:rsidR="00544C97">
        <w:t xml:space="preserve"> section</w:t>
      </w:r>
      <w:r w:rsidRPr="002174FA">
        <w:t xml:space="preserve"> was concerned with providing greater recognition </w:t>
      </w:r>
      <w:r w:rsidR="008C68D5">
        <w:t xml:space="preserve">of </w:t>
      </w:r>
      <w:r w:rsidRPr="002174FA">
        <w:t>mana whenua</w:t>
      </w:r>
      <w:r w:rsidR="008C68D5">
        <w:t xml:space="preserve"> values</w:t>
      </w:r>
      <w:r w:rsidRPr="002174FA">
        <w:t>. As such, HAZ–</w:t>
      </w:r>
      <w:r w:rsidR="00F65721">
        <w:t>CL</w:t>
      </w:r>
      <w:r w:rsidRPr="002174FA">
        <w:t>–</w:t>
      </w:r>
      <w:r w:rsidR="00722E83">
        <w:t>O3 and HAZ</w:t>
      </w:r>
      <w:r w:rsidR="00544C97">
        <w:t>–</w:t>
      </w:r>
      <w:r w:rsidR="00722E83">
        <w:t>CL</w:t>
      </w:r>
      <w:r w:rsidR="00544C97">
        <w:t>–</w:t>
      </w:r>
      <w:r w:rsidR="00722E83">
        <w:t>P15 have been</w:t>
      </w:r>
      <w:r w:rsidR="00946812">
        <w:t xml:space="preserve"> amended</w:t>
      </w:r>
      <w:r w:rsidRPr="002174FA">
        <w:t xml:space="preserve"> to recognise </w:t>
      </w:r>
      <w:r w:rsidR="00722E83">
        <w:t>the effect</w:t>
      </w:r>
      <w:r w:rsidR="007166B0">
        <w:t xml:space="preserve"> c</w:t>
      </w:r>
      <w:r w:rsidR="007166B0" w:rsidRPr="007166B0">
        <w:t xml:space="preserve">ontaminated land </w:t>
      </w:r>
      <w:r w:rsidR="00722E83">
        <w:t>can have on of</w:t>
      </w:r>
      <w:r w:rsidR="007166B0" w:rsidRPr="007166B0">
        <w:t xml:space="preserve"> mana whenua values</w:t>
      </w:r>
      <w:r w:rsidRPr="002174FA">
        <w:t xml:space="preserve">.  </w:t>
      </w:r>
    </w:p>
    <w:p w14:paraId="2A25D475" w14:textId="38E9F422" w:rsidR="00D91FE4" w:rsidRDefault="00D91FE4" w:rsidP="00DE069C">
      <w:pPr>
        <w:pStyle w:val="Heading4"/>
      </w:pPr>
      <w:r>
        <w:t>Efficiency and effectiveness evaluation</w:t>
      </w:r>
    </w:p>
    <w:p w14:paraId="085468D2" w14:textId="136CA01C" w:rsidR="00D91FE4" w:rsidRDefault="00D91FE4" w:rsidP="00A247C5">
      <w:pPr>
        <w:pStyle w:val="Normal2"/>
      </w:pPr>
      <w:r>
        <w:rPr>
          <w:highlight w:val="yellow"/>
        </w:rPr>
        <w:fldChar w:fldCharType="begin"/>
      </w:r>
      <w:r>
        <w:instrText xml:space="preserve"> REF _Ref53669246 \h </w:instrText>
      </w:r>
      <w:r>
        <w:rPr>
          <w:highlight w:val="yellow"/>
        </w:rPr>
      </w:r>
      <w:r>
        <w:rPr>
          <w:highlight w:val="yellow"/>
        </w:rPr>
        <w:fldChar w:fldCharType="separate"/>
      </w:r>
      <w:r w:rsidR="002A7A16">
        <w:t xml:space="preserve">Table </w:t>
      </w:r>
      <w:r w:rsidR="002A7A16">
        <w:rPr>
          <w:noProof/>
        </w:rPr>
        <w:t>54</w:t>
      </w:r>
      <w:r>
        <w:fldChar w:fldCharType="end"/>
      </w:r>
      <w:r>
        <w:t xml:space="preserve"> below identifies and assesses the benefits and costs of the environmental, cultural, </w:t>
      </w:r>
      <w:proofErr w:type="gramStart"/>
      <w:r>
        <w:t>social</w:t>
      </w:r>
      <w:proofErr w:type="gramEnd"/>
      <w:r>
        <w:t xml:space="preserve"> and economic effects that are anticipated from the implementation of the provisions proposed under Option 2 above.</w:t>
      </w:r>
    </w:p>
    <w:p w14:paraId="2945EB60" w14:textId="3A024496" w:rsidR="00D91FE4" w:rsidRDefault="00D91FE4" w:rsidP="00D91FE4">
      <w:pPr>
        <w:pStyle w:val="Caption"/>
        <w:keepNext/>
      </w:pPr>
      <w:bookmarkStart w:id="131" w:name="_Ref53669246"/>
      <w:r>
        <w:t xml:space="preserve">Table </w:t>
      </w:r>
      <w:r>
        <w:fldChar w:fldCharType="begin"/>
      </w:r>
      <w:r>
        <w:instrText>SEQ Table \* ARABIC</w:instrText>
      </w:r>
      <w:r>
        <w:fldChar w:fldCharType="separate"/>
      </w:r>
      <w:r w:rsidR="002A7A16">
        <w:rPr>
          <w:noProof/>
        </w:rPr>
        <w:t>54</w:t>
      </w:r>
      <w:r>
        <w:fldChar w:fldCharType="end"/>
      </w:r>
      <w:bookmarkEnd w:id="131"/>
      <w:r>
        <w:t>:</w:t>
      </w:r>
      <w:r w:rsidRPr="00005F72">
        <w:t xml:space="preserve"> </w:t>
      </w:r>
      <w:r>
        <w:t>Benefits and costs for contaminated land</w:t>
      </w:r>
    </w:p>
    <w:tbl>
      <w:tblPr>
        <w:tblStyle w:val="ListTable1Light-Accent1"/>
        <w:tblW w:w="0" w:type="auto"/>
        <w:tblLook w:val="04A0" w:firstRow="1" w:lastRow="0" w:firstColumn="1" w:lastColumn="0" w:noHBand="0" w:noVBand="1"/>
      </w:tblPr>
      <w:tblGrid>
        <w:gridCol w:w="4508"/>
        <w:gridCol w:w="4508"/>
      </w:tblGrid>
      <w:tr w:rsidR="00D91FE4" w:rsidRPr="00AE42AF" w14:paraId="742507CA" w14:textId="77777777" w:rsidTr="00E771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A63865B" w14:textId="77777777" w:rsidR="00D91FE4" w:rsidRPr="00AE42AF" w:rsidRDefault="00D91FE4" w:rsidP="00E77177">
            <w:pPr>
              <w:jc w:val="center"/>
              <w:rPr>
                <w:sz w:val="20"/>
              </w:rPr>
            </w:pPr>
            <w:r w:rsidRPr="00AE42AF">
              <w:rPr>
                <w:sz w:val="20"/>
              </w:rPr>
              <w:t>BENEFITS</w:t>
            </w:r>
          </w:p>
        </w:tc>
        <w:tc>
          <w:tcPr>
            <w:tcW w:w="4508" w:type="dxa"/>
          </w:tcPr>
          <w:p w14:paraId="57265202" w14:textId="77777777" w:rsidR="00D91FE4" w:rsidRPr="00AE42AF" w:rsidRDefault="00D91FE4" w:rsidP="00E77177">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D91FE4" w:rsidRPr="00AE42AF" w14:paraId="26E3B5D4" w14:textId="77777777" w:rsidTr="00E77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BA8D442" w14:textId="77777777" w:rsidR="00D91FE4" w:rsidRPr="00AE42AF" w:rsidRDefault="00D91FE4" w:rsidP="00E77177">
            <w:pPr>
              <w:jc w:val="center"/>
              <w:rPr>
                <w:sz w:val="20"/>
              </w:rPr>
            </w:pPr>
            <w:r w:rsidRPr="00AE42AF">
              <w:rPr>
                <w:sz w:val="20"/>
              </w:rPr>
              <w:t>Environmental</w:t>
            </w:r>
          </w:p>
        </w:tc>
      </w:tr>
      <w:tr w:rsidR="00D91FE4" w:rsidRPr="000136C1" w14:paraId="2DB00E77" w14:textId="77777777" w:rsidTr="00E77177">
        <w:tc>
          <w:tcPr>
            <w:cnfStyle w:val="001000000000" w:firstRow="0" w:lastRow="0" w:firstColumn="1" w:lastColumn="0" w:oddVBand="0" w:evenVBand="0" w:oddHBand="0" w:evenHBand="0" w:firstRowFirstColumn="0" w:firstRowLastColumn="0" w:lastRowFirstColumn="0" w:lastRowLastColumn="0"/>
            <w:tcW w:w="4508" w:type="dxa"/>
          </w:tcPr>
          <w:p w14:paraId="72071369" w14:textId="589BD03F" w:rsidR="00D91FE4" w:rsidRPr="00BC1092" w:rsidRDefault="00890E97" w:rsidP="00E77177">
            <w:pPr>
              <w:pStyle w:val="ListParagraph"/>
              <w:numPr>
                <w:ilvl w:val="0"/>
                <w:numId w:val="22"/>
              </w:numPr>
              <w:rPr>
                <w:b w:val="0"/>
                <w:sz w:val="20"/>
                <w:szCs w:val="20"/>
              </w:rPr>
            </w:pPr>
            <w:r w:rsidRPr="00BC1092">
              <w:rPr>
                <w:b w:val="0"/>
                <w:sz w:val="20"/>
                <w:szCs w:val="20"/>
              </w:rPr>
              <w:t>HAZ</w:t>
            </w:r>
            <w:r w:rsidR="00544C97" w:rsidRPr="00544C97">
              <w:rPr>
                <w:b w:val="0"/>
                <w:bCs w:val="0"/>
              </w:rPr>
              <w:t>–</w:t>
            </w:r>
            <w:r w:rsidRPr="00BC1092">
              <w:rPr>
                <w:b w:val="0"/>
                <w:sz w:val="20"/>
                <w:szCs w:val="20"/>
              </w:rPr>
              <w:t>CL</w:t>
            </w:r>
            <w:r w:rsidR="00544C97" w:rsidRPr="00544C97">
              <w:rPr>
                <w:b w:val="0"/>
                <w:sz w:val="20"/>
                <w:szCs w:val="20"/>
              </w:rPr>
              <w:t>–</w:t>
            </w:r>
            <w:r w:rsidR="00485063" w:rsidRPr="00BC1092">
              <w:rPr>
                <w:b w:val="0"/>
                <w:bCs w:val="0"/>
                <w:sz w:val="20"/>
                <w:szCs w:val="20"/>
              </w:rPr>
              <w:t>P1</w:t>
            </w:r>
            <w:r w:rsidR="00327DE3" w:rsidRPr="00BC1092">
              <w:rPr>
                <w:b w:val="0"/>
                <w:bCs w:val="0"/>
                <w:sz w:val="20"/>
                <w:szCs w:val="20"/>
              </w:rPr>
              <w:t>3</w:t>
            </w:r>
            <w:r w:rsidR="00485063" w:rsidRPr="00BC1092">
              <w:rPr>
                <w:b w:val="0"/>
                <w:sz w:val="20"/>
                <w:szCs w:val="20"/>
              </w:rPr>
              <w:t xml:space="preserve"> provides </w:t>
            </w:r>
            <w:r w:rsidR="00800EC0" w:rsidRPr="00BC1092">
              <w:rPr>
                <w:b w:val="0"/>
                <w:sz w:val="20"/>
                <w:szCs w:val="20"/>
              </w:rPr>
              <w:t>greater</w:t>
            </w:r>
            <w:r w:rsidR="00485063" w:rsidRPr="00BC1092">
              <w:rPr>
                <w:b w:val="0"/>
                <w:sz w:val="20"/>
                <w:szCs w:val="20"/>
              </w:rPr>
              <w:t xml:space="preserve"> clarity as to how </w:t>
            </w:r>
            <w:r w:rsidR="00800EC0" w:rsidRPr="00BC1092">
              <w:rPr>
                <w:b w:val="0"/>
                <w:sz w:val="20"/>
                <w:szCs w:val="20"/>
              </w:rPr>
              <w:t xml:space="preserve">sites of known or potentially contaminated land are to be identified </w:t>
            </w:r>
            <w:r w:rsidR="00827E84" w:rsidRPr="00BC1092">
              <w:rPr>
                <w:b w:val="0"/>
                <w:sz w:val="20"/>
                <w:szCs w:val="20"/>
              </w:rPr>
              <w:t xml:space="preserve">resulting in a </w:t>
            </w:r>
            <w:r w:rsidR="00C42F0A" w:rsidRPr="00BC1092">
              <w:rPr>
                <w:b w:val="0"/>
                <w:sz w:val="20"/>
                <w:szCs w:val="20"/>
              </w:rPr>
              <w:t>consistent</w:t>
            </w:r>
            <w:r w:rsidR="003A3AFB" w:rsidRPr="00BC1092">
              <w:rPr>
                <w:b w:val="0"/>
                <w:sz w:val="20"/>
                <w:szCs w:val="20"/>
              </w:rPr>
              <w:t xml:space="preserve"> approach to identifying </w:t>
            </w:r>
            <w:r w:rsidR="008219C0" w:rsidRPr="00BC1092">
              <w:rPr>
                <w:b w:val="0"/>
                <w:sz w:val="20"/>
                <w:szCs w:val="20"/>
              </w:rPr>
              <w:t xml:space="preserve">contaminated land across </w:t>
            </w:r>
            <w:r w:rsidR="00C42F0A" w:rsidRPr="00BC1092">
              <w:rPr>
                <w:b w:val="0"/>
                <w:sz w:val="20"/>
                <w:szCs w:val="20"/>
              </w:rPr>
              <w:t xml:space="preserve">districts. </w:t>
            </w:r>
            <w:r w:rsidR="00800EC0" w:rsidRPr="00BC1092">
              <w:rPr>
                <w:b w:val="0"/>
                <w:sz w:val="20"/>
                <w:szCs w:val="20"/>
              </w:rPr>
              <w:t xml:space="preserve"> </w:t>
            </w:r>
          </w:p>
          <w:p w14:paraId="039C2C3E" w14:textId="2876F333" w:rsidR="004524ED" w:rsidRPr="00790B77" w:rsidRDefault="007646DE" w:rsidP="00E77177">
            <w:pPr>
              <w:pStyle w:val="ListParagraph"/>
              <w:numPr>
                <w:ilvl w:val="0"/>
                <w:numId w:val="22"/>
              </w:numPr>
              <w:rPr>
                <w:sz w:val="20"/>
                <w:szCs w:val="20"/>
              </w:rPr>
            </w:pPr>
            <w:r w:rsidRPr="00BC1092">
              <w:rPr>
                <w:b w:val="0"/>
                <w:sz w:val="20"/>
                <w:szCs w:val="20"/>
              </w:rPr>
              <w:t>HAZ</w:t>
            </w:r>
            <w:r w:rsidR="00544C97" w:rsidRPr="00544C97">
              <w:rPr>
                <w:b w:val="0"/>
                <w:sz w:val="20"/>
                <w:szCs w:val="20"/>
              </w:rPr>
              <w:t>–</w:t>
            </w:r>
            <w:r w:rsidRPr="00BC1092">
              <w:rPr>
                <w:b w:val="0"/>
                <w:sz w:val="20"/>
                <w:szCs w:val="20"/>
              </w:rPr>
              <w:t>CL</w:t>
            </w:r>
            <w:r w:rsidR="00544C97" w:rsidRPr="00544C97">
              <w:rPr>
                <w:b w:val="0"/>
                <w:sz w:val="20"/>
                <w:szCs w:val="20"/>
              </w:rPr>
              <w:t>–</w:t>
            </w:r>
            <w:r w:rsidRPr="00BC1092">
              <w:rPr>
                <w:b w:val="0"/>
                <w:bCs w:val="0"/>
                <w:sz w:val="20"/>
                <w:szCs w:val="20"/>
              </w:rPr>
              <w:t>P1</w:t>
            </w:r>
            <w:r w:rsidR="00E859EA" w:rsidRPr="00BC1092">
              <w:rPr>
                <w:b w:val="0"/>
                <w:bCs w:val="0"/>
                <w:sz w:val="20"/>
                <w:szCs w:val="20"/>
              </w:rPr>
              <w:t>4</w:t>
            </w:r>
            <w:r w:rsidRPr="00BC1092">
              <w:rPr>
                <w:b w:val="0"/>
                <w:sz w:val="20"/>
                <w:szCs w:val="20"/>
              </w:rPr>
              <w:t xml:space="preserve"> in</w:t>
            </w:r>
            <w:r w:rsidR="00DA1872" w:rsidRPr="00BC1092">
              <w:rPr>
                <w:b w:val="0"/>
                <w:sz w:val="20"/>
                <w:szCs w:val="20"/>
              </w:rPr>
              <w:t xml:space="preserve">cludes specific </w:t>
            </w:r>
            <w:r w:rsidR="005A2296" w:rsidRPr="00BC1092">
              <w:rPr>
                <w:b w:val="0"/>
                <w:sz w:val="20"/>
                <w:szCs w:val="20"/>
              </w:rPr>
              <w:t xml:space="preserve">policy direction </w:t>
            </w:r>
            <w:r w:rsidR="00B733BB" w:rsidRPr="00BC1092">
              <w:rPr>
                <w:b w:val="0"/>
                <w:sz w:val="20"/>
                <w:szCs w:val="20"/>
              </w:rPr>
              <w:t xml:space="preserve">requiring closed landfills to be managed in accordance with a closure plan </w:t>
            </w:r>
            <w:r w:rsidR="00B21CD5" w:rsidRPr="00BC1092">
              <w:rPr>
                <w:b w:val="0"/>
                <w:sz w:val="20"/>
                <w:szCs w:val="20"/>
              </w:rPr>
              <w:t xml:space="preserve">which will ensure </w:t>
            </w:r>
            <w:r w:rsidR="00FA6EBC" w:rsidRPr="00BC1092">
              <w:rPr>
                <w:b w:val="0"/>
                <w:sz w:val="20"/>
                <w:szCs w:val="20"/>
              </w:rPr>
              <w:t xml:space="preserve">the </w:t>
            </w:r>
            <w:r w:rsidR="00124D1B" w:rsidRPr="00BC1092">
              <w:rPr>
                <w:b w:val="0"/>
                <w:sz w:val="20"/>
                <w:szCs w:val="20"/>
              </w:rPr>
              <w:t>environment</w:t>
            </w:r>
            <w:r w:rsidR="00FA6EBC" w:rsidRPr="00BC1092">
              <w:rPr>
                <w:b w:val="0"/>
                <w:sz w:val="20"/>
                <w:szCs w:val="20"/>
              </w:rPr>
              <w:t xml:space="preserve"> effect</w:t>
            </w:r>
            <w:r w:rsidR="00124D1B" w:rsidRPr="00BC1092">
              <w:rPr>
                <w:b w:val="0"/>
                <w:sz w:val="20"/>
                <w:szCs w:val="20"/>
              </w:rPr>
              <w:t xml:space="preserve">s associated with closing </w:t>
            </w:r>
            <w:r w:rsidR="003C6082" w:rsidRPr="00BC1092">
              <w:rPr>
                <w:b w:val="0"/>
                <w:sz w:val="20"/>
                <w:szCs w:val="20"/>
              </w:rPr>
              <w:t>landfill</w:t>
            </w:r>
            <w:r w:rsidR="00024A5F" w:rsidRPr="00BC1092">
              <w:rPr>
                <w:b w:val="0"/>
                <w:sz w:val="20"/>
                <w:szCs w:val="20"/>
              </w:rPr>
              <w:t xml:space="preserve">s </w:t>
            </w:r>
            <w:r w:rsidR="005325CC" w:rsidRPr="00BC1092">
              <w:rPr>
                <w:b w:val="0"/>
                <w:sz w:val="20"/>
                <w:szCs w:val="20"/>
              </w:rPr>
              <w:t>will be managed.</w:t>
            </w:r>
            <w:r w:rsidR="003C6082" w:rsidRPr="634A1E48">
              <w:rPr>
                <w:sz w:val="20"/>
                <w:szCs w:val="20"/>
              </w:rPr>
              <w:t xml:space="preserve"> </w:t>
            </w:r>
          </w:p>
        </w:tc>
        <w:tc>
          <w:tcPr>
            <w:tcW w:w="4508" w:type="dxa"/>
          </w:tcPr>
          <w:p w14:paraId="195A064A" w14:textId="568A159B" w:rsidR="00D91FE4" w:rsidRPr="000136C1" w:rsidRDefault="00C46D9E" w:rsidP="00E7717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 removal of </w:t>
            </w:r>
            <w:r w:rsidR="00CA7914" w:rsidRPr="634A1E48">
              <w:rPr>
                <w:sz w:val="20"/>
                <w:szCs w:val="20"/>
              </w:rPr>
              <w:t xml:space="preserve">provisions managing the use, storage and disposal of hazardous substances will remove a </w:t>
            </w:r>
            <w:r w:rsidR="00EF3C00" w:rsidRPr="634A1E48">
              <w:rPr>
                <w:sz w:val="20"/>
                <w:szCs w:val="20"/>
              </w:rPr>
              <w:t xml:space="preserve">layer of </w:t>
            </w:r>
            <w:r w:rsidR="00C421E2" w:rsidRPr="634A1E48">
              <w:rPr>
                <w:sz w:val="20"/>
                <w:szCs w:val="20"/>
              </w:rPr>
              <w:t>en</w:t>
            </w:r>
            <w:r w:rsidR="00364E7A" w:rsidRPr="634A1E48">
              <w:rPr>
                <w:sz w:val="20"/>
                <w:szCs w:val="20"/>
              </w:rPr>
              <w:t>vironmental protection as these activities will not be required to obtain a resource consent.</w:t>
            </w:r>
          </w:p>
        </w:tc>
      </w:tr>
      <w:tr w:rsidR="00D91FE4" w:rsidRPr="00AE42AF" w14:paraId="4B227EDA" w14:textId="77777777" w:rsidTr="00E77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627ACF1" w14:textId="77777777" w:rsidR="00D91FE4" w:rsidRPr="00AE42AF" w:rsidRDefault="00D91FE4" w:rsidP="00E77177">
            <w:pPr>
              <w:jc w:val="center"/>
              <w:rPr>
                <w:sz w:val="20"/>
              </w:rPr>
            </w:pPr>
            <w:r>
              <w:rPr>
                <w:sz w:val="20"/>
              </w:rPr>
              <w:t>Cultural</w:t>
            </w:r>
          </w:p>
        </w:tc>
      </w:tr>
      <w:tr w:rsidR="00D91FE4" w:rsidRPr="000E2E23" w14:paraId="488276CB" w14:textId="77777777" w:rsidTr="00E77177">
        <w:tc>
          <w:tcPr>
            <w:cnfStyle w:val="001000000000" w:firstRow="0" w:lastRow="0" w:firstColumn="1" w:lastColumn="0" w:oddVBand="0" w:evenVBand="0" w:oddHBand="0" w:evenHBand="0" w:firstRowFirstColumn="0" w:firstRowLastColumn="0" w:lastRowFirstColumn="0" w:lastRowLastColumn="0"/>
            <w:tcW w:w="4508" w:type="dxa"/>
          </w:tcPr>
          <w:p w14:paraId="05696138" w14:textId="50675C56" w:rsidR="00757874" w:rsidRPr="00BC1092" w:rsidRDefault="008E7AE9" w:rsidP="00757874">
            <w:pPr>
              <w:pStyle w:val="ListParagraph"/>
              <w:numPr>
                <w:ilvl w:val="0"/>
                <w:numId w:val="22"/>
              </w:numPr>
              <w:jc w:val="both"/>
              <w:rPr>
                <w:b w:val="0"/>
                <w:sz w:val="20"/>
                <w:szCs w:val="20"/>
              </w:rPr>
            </w:pPr>
            <w:r w:rsidRPr="00BC1092">
              <w:rPr>
                <w:b w:val="0"/>
                <w:sz w:val="20"/>
                <w:szCs w:val="20"/>
              </w:rPr>
              <w:t xml:space="preserve">There are no </w:t>
            </w:r>
            <w:r w:rsidR="00A427C3" w:rsidRPr="00BC1092">
              <w:rPr>
                <w:b w:val="0"/>
                <w:sz w:val="20"/>
                <w:szCs w:val="20"/>
              </w:rPr>
              <w:t xml:space="preserve">cultural </w:t>
            </w:r>
            <w:r w:rsidR="006C587A" w:rsidRPr="00BC1092">
              <w:rPr>
                <w:b w:val="0"/>
                <w:sz w:val="20"/>
                <w:szCs w:val="20"/>
              </w:rPr>
              <w:t>benefits anticipated with Option 2.</w:t>
            </w:r>
          </w:p>
          <w:p w14:paraId="36C343A9" w14:textId="52EFA5D6" w:rsidR="00D91FE4" w:rsidRPr="00501014" w:rsidRDefault="00D91FE4" w:rsidP="00DF3FA4">
            <w:pPr>
              <w:pStyle w:val="ListParagraph"/>
              <w:ind w:left="360"/>
              <w:jc w:val="both"/>
              <w:rPr>
                <w:sz w:val="20"/>
              </w:rPr>
            </w:pPr>
          </w:p>
        </w:tc>
        <w:tc>
          <w:tcPr>
            <w:tcW w:w="4508" w:type="dxa"/>
          </w:tcPr>
          <w:p w14:paraId="7C078B93" w14:textId="740FE96F" w:rsidR="00D91FE4" w:rsidRPr="00BA5702" w:rsidRDefault="006C587A" w:rsidP="006C587A">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There are no cultural cost</w:t>
            </w:r>
            <w:r w:rsidR="003731E3" w:rsidRPr="634A1E48">
              <w:rPr>
                <w:sz w:val="20"/>
                <w:szCs w:val="20"/>
              </w:rPr>
              <w:t>s</w:t>
            </w:r>
            <w:r w:rsidRPr="634A1E48">
              <w:rPr>
                <w:sz w:val="20"/>
                <w:szCs w:val="20"/>
              </w:rPr>
              <w:t xml:space="preserve"> anticipated with Option 2.</w:t>
            </w:r>
          </w:p>
        </w:tc>
      </w:tr>
      <w:tr w:rsidR="00D91FE4" w:rsidRPr="00AE42AF" w14:paraId="324C64A5" w14:textId="77777777" w:rsidTr="00E77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0143544" w14:textId="77777777" w:rsidR="00D91FE4" w:rsidRPr="00AE42AF" w:rsidRDefault="00D91FE4" w:rsidP="00E77177">
            <w:pPr>
              <w:jc w:val="center"/>
              <w:rPr>
                <w:sz w:val="20"/>
              </w:rPr>
            </w:pPr>
            <w:r w:rsidRPr="00AE42AF">
              <w:rPr>
                <w:sz w:val="20"/>
              </w:rPr>
              <w:t>Social</w:t>
            </w:r>
          </w:p>
        </w:tc>
      </w:tr>
      <w:tr w:rsidR="00D91FE4" w:rsidRPr="00FC5CD5" w14:paraId="6D5CB0E7" w14:textId="77777777" w:rsidTr="00E77177">
        <w:tc>
          <w:tcPr>
            <w:cnfStyle w:val="001000000000" w:firstRow="0" w:lastRow="0" w:firstColumn="1" w:lastColumn="0" w:oddVBand="0" w:evenVBand="0" w:oddHBand="0" w:evenHBand="0" w:firstRowFirstColumn="0" w:firstRowLastColumn="0" w:lastRowFirstColumn="0" w:lastRowLastColumn="0"/>
            <w:tcW w:w="4508" w:type="dxa"/>
          </w:tcPr>
          <w:p w14:paraId="051D413F" w14:textId="45C49E41" w:rsidR="00757874" w:rsidRPr="00BC1092" w:rsidRDefault="00B60167" w:rsidP="00757874">
            <w:pPr>
              <w:pStyle w:val="ListParagraph"/>
              <w:numPr>
                <w:ilvl w:val="0"/>
                <w:numId w:val="22"/>
              </w:numPr>
              <w:jc w:val="both"/>
              <w:rPr>
                <w:b w:val="0"/>
                <w:sz w:val="20"/>
                <w:szCs w:val="20"/>
              </w:rPr>
            </w:pPr>
            <w:r w:rsidRPr="00BC1092">
              <w:rPr>
                <w:b w:val="0"/>
                <w:sz w:val="20"/>
                <w:szCs w:val="20"/>
              </w:rPr>
              <w:t xml:space="preserve">Provides the community with </w:t>
            </w:r>
            <w:r w:rsidR="00DF3FA4" w:rsidRPr="00BC1092">
              <w:rPr>
                <w:b w:val="0"/>
                <w:sz w:val="20"/>
                <w:szCs w:val="20"/>
              </w:rPr>
              <w:t xml:space="preserve">clear direction and information on how the </w:t>
            </w:r>
            <w:r w:rsidR="00D908F3" w:rsidRPr="00BC1092">
              <w:rPr>
                <w:b w:val="0"/>
                <w:sz w:val="20"/>
                <w:szCs w:val="20"/>
              </w:rPr>
              <w:t>HAZ</w:t>
            </w:r>
            <w:r w:rsidR="00544C97" w:rsidRPr="00544C97">
              <w:rPr>
                <w:b w:val="0"/>
                <w:sz w:val="20"/>
                <w:szCs w:val="20"/>
              </w:rPr>
              <w:t>–</w:t>
            </w:r>
            <w:r w:rsidR="00D908F3" w:rsidRPr="00BC1092">
              <w:rPr>
                <w:b w:val="0"/>
                <w:sz w:val="20"/>
                <w:szCs w:val="20"/>
              </w:rPr>
              <w:t>CL</w:t>
            </w:r>
            <w:r w:rsidR="00544C97" w:rsidRPr="00544C97">
              <w:rPr>
                <w:b w:val="0"/>
                <w:sz w:val="20"/>
                <w:szCs w:val="20"/>
              </w:rPr>
              <w:t>–</w:t>
            </w:r>
            <w:r w:rsidR="006F3D51">
              <w:rPr>
                <w:b w:val="0"/>
                <w:sz w:val="20"/>
                <w:szCs w:val="20"/>
              </w:rPr>
              <w:t>O</w:t>
            </w:r>
            <w:r w:rsidR="00D908F3" w:rsidRPr="00BC1092">
              <w:rPr>
                <w:b w:val="0"/>
                <w:sz w:val="20"/>
                <w:szCs w:val="20"/>
              </w:rPr>
              <w:t>2</w:t>
            </w:r>
            <w:r w:rsidR="00DF3FA4" w:rsidRPr="00BC1092">
              <w:rPr>
                <w:b w:val="0"/>
                <w:sz w:val="20"/>
                <w:szCs w:val="20"/>
              </w:rPr>
              <w:t xml:space="preserve"> is to be achieved</w:t>
            </w:r>
            <w:r w:rsidR="00D908F3" w:rsidRPr="00BC1092">
              <w:rPr>
                <w:b w:val="0"/>
                <w:sz w:val="20"/>
                <w:szCs w:val="20"/>
              </w:rPr>
              <w:t xml:space="preserve">, particularly in </w:t>
            </w:r>
            <w:r w:rsidRPr="00BC1092">
              <w:rPr>
                <w:b w:val="0"/>
                <w:sz w:val="20"/>
                <w:szCs w:val="20"/>
              </w:rPr>
              <w:t xml:space="preserve">relation to </w:t>
            </w:r>
            <w:r w:rsidR="00342BB9" w:rsidRPr="00BC1092">
              <w:rPr>
                <w:b w:val="0"/>
                <w:sz w:val="20"/>
                <w:szCs w:val="20"/>
              </w:rPr>
              <w:t>managing contaminated land</w:t>
            </w:r>
            <w:r w:rsidR="003731E3" w:rsidRPr="00BC1092">
              <w:rPr>
                <w:b w:val="0"/>
                <w:sz w:val="20"/>
                <w:szCs w:val="20"/>
              </w:rPr>
              <w:t xml:space="preserve"> and the</w:t>
            </w:r>
            <w:r w:rsidR="00342BB9" w:rsidRPr="00BC1092">
              <w:rPr>
                <w:b w:val="0"/>
                <w:sz w:val="20"/>
                <w:szCs w:val="20"/>
              </w:rPr>
              <w:t xml:space="preserve"> </w:t>
            </w:r>
            <w:r w:rsidR="003731E3" w:rsidRPr="00BC1092">
              <w:rPr>
                <w:b w:val="0"/>
                <w:sz w:val="20"/>
                <w:szCs w:val="20"/>
              </w:rPr>
              <w:t>disposal of waste materials</w:t>
            </w:r>
            <w:r w:rsidR="00DF3FA4" w:rsidRPr="00BC1092">
              <w:rPr>
                <w:b w:val="0"/>
                <w:sz w:val="20"/>
                <w:szCs w:val="20"/>
              </w:rPr>
              <w:t>.</w:t>
            </w:r>
          </w:p>
          <w:p w14:paraId="2605CC91" w14:textId="66DD4B2E" w:rsidR="00D91FE4" w:rsidRPr="000136C1" w:rsidRDefault="00D91FE4" w:rsidP="00607720">
            <w:pPr>
              <w:pStyle w:val="ListParagraph"/>
              <w:ind w:left="360"/>
              <w:rPr>
                <w:sz w:val="20"/>
              </w:rPr>
            </w:pPr>
          </w:p>
        </w:tc>
        <w:tc>
          <w:tcPr>
            <w:tcW w:w="4508" w:type="dxa"/>
          </w:tcPr>
          <w:p w14:paraId="511352CF" w14:textId="217B4A3A" w:rsidR="00D91FE4" w:rsidRPr="00A336B7" w:rsidRDefault="00CE4F0A" w:rsidP="00A336B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There are no social cost</w:t>
            </w:r>
            <w:r w:rsidR="003731E3" w:rsidRPr="634A1E48">
              <w:rPr>
                <w:sz w:val="20"/>
                <w:szCs w:val="20"/>
              </w:rPr>
              <w:t>s</w:t>
            </w:r>
            <w:r w:rsidRPr="634A1E48">
              <w:rPr>
                <w:sz w:val="20"/>
                <w:szCs w:val="20"/>
              </w:rPr>
              <w:t xml:space="preserve"> anticipated with Option 2.</w:t>
            </w:r>
          </w:p>
        </w:tc>
      </w:tr>
      <w:tr w:rsidR="00D91FE4" w:rsidRPr="00AE42AF" w14:paraId="27B91652" w14:textId="77777777" w:rsidTr="00E771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7FB88BA" w14:textId="77777777" w:rsidR="00D91FE4" w:rsidRPr="00AE42AF" w:rsidRDefault="00D91FE4" w:rsidP="00E77177">
            <w:pPr>
              <w:jc w:val="center"/>
              <w:rPr>
                <w:sz w:val="20"/>
              </w:rPr>
            </w:pPr>
            <w:r>
              <w:rPr>
                <w:sz w:val="20"/>
              </w:rPr>
              <w:t>Economic</w:t>
            </w:r>
          </w:p>
        </w:tc>
      </w:tr>
      <w:tr w:rsidR="00D91FE4" w:rsidRPr="000136C1" w14:paraId="452BE62D" w14:textId="77777777" w:rsidTr="00E77177">
        <w:tc>
          <w:tcPr>
            <w:cnfStyle w:val="001000000000" w:firstRow="0" w:lastRow="0" w:firstColumn="1" w:lastColumn="0" w:oddVBand="0" w:evenVBand="0" w:oddHBand="0" w:evenHBand="0" w:firstRowFirstColumn="0" w:firstRowLastColumn="0" w:lastRowFirstColumn="0" w:lastRowLastColumn="0"/>
            <w:tcW w:w="4508" w:type="dxa"/>
          </w:tcPr>
          <w:p w14:paraId="6F8D68E2" w14:textId="75EDF403" w:rsidR="00687A0C" w:rsidRPr="00B20B0D" w:rsidRDefault="004B2A87" w:rsidP="0079304A">
            <w:pPr>
              <w:pStyle w:val="ListParagraph"/>
              <w:numPr>
                <w:ilvl w:val="0"/>
                <w:numId w:val="22"/>
              </w:numPr>
              <w:rPr>
                <w:b w:val="0"/>
                <w:sz w:val="20"/>
                <w:szCs w:val="20"/>
              </w:rPr>
            </w:pPr>
            <w:r w:rsidRPr="00B20B0D">
              <w:rPr>
                <w:b w:val="0"/>
                <w:sz w:val="20"/>
                <w:szCs w:val="20"/>
              </w:rPr>
              <w:t>The removal of provisions managing the use, storage and disposal of hazardous substances</w:t>
            </w:r>
            <w:r w:rsidR="001B1B86" w:rsidRPr="00B20B0D">
              <w:rPr>
                <w:b w:val="0"/>
                <w:sz w:val="20"/>
                <w:szCs w:val="20"/>
              </w:rPr>
              <w:t xml:space="preserve"> </w:t>
            </w:r>
            <w:r w:rsidRPr="00B20B0D">
              <w:rPr>
                <w:b w:val="0"/>
                <w:sz w:val="20"/>
                <w:szCs w:val="20"/>
              </w:rPr>
              <w:t>ensure</w:t>
            </w:r>
            <w:r w:rsidR="001B1B86" w:rsidRPr="00B20B0D">
              <w:rPr>
                <w:b w:val="0"/>
                <w:sz w:val="20"/>
                <w:szCs w:val="20"/>
              </w:rPr>
              <w:t xml:space="preserve">s the provisions within the RPS </w:t>
            </w:r>
            <w:r w:rsidRPr="00B20B0D">
              <w:rPr>
                <w:b w:val="0"/>
                <w:sz w:val="20"/>
                <w:szCs w:val="20"/>
              </w:rPr>
              <w:t xml:space="preserve">do not </w:t>
            </w:r>
            <w:r w:rsidRPr="00B20B0D">
              <w:rPr>
                <w:b w:val="0"/>
                <w:sz w:val="20"/>
                <w:szCs w:val="20"/>
              </w:rPr>
              <w:lastRenderedPageBreak/>
              <w:t>duplicate controls in the Hazardous Substances and New Organisms Act 1996 (HSNO Act) and the Health and Safety at Work Act 2015 (HSW Act)</w:t>
            </w:r>
            <w:r w:rsidR="001B1B86" w:rsidRPr="00B20B0D">
              <w:rPr>
                <w:b w:val="0"/>
                <w:sz w:val="20"/>
                <w:szCs w:val="20"/>
              </w:rPr>
              <w:t xml:space="preserve"> and lead to </w:t>
            </w:r>
            <w:r w:rsidR="00BD7BC3" w:rsidRPr="00B20B0D">
              <w:rPr>
                <w:b w:val="0"/>
                <w:sz w:val="20"/>
                <w:szCs w:val="20"/>
              </w:rPr>
              <w:t xml:space="preserve">additional regional and </w:t>
            </w:r>
            <w:r w:rsidR="0079304A" w:rsidRPr="00B20B0D">
              <w:rPr>
                <w:b w:val="0"/>
                <w:sz w:val="20"/>
                <w:szCs w:val="20"/>
              </w:rPr>
              <w:t>district</w:t>
            </w:r>
            <w:r w:rsidR="00BD7BC3" w:rsidRPr="00B20B0D">
              <w:rPr>
                <w:b w:val="0"/>
                <w:sz w:val="20"/>
                <w:szCs w:val="20"/>
              </w:rPr>
              <w:t xml:space="preserve"> plan </w:t>
            </w:r>
            <w:r w:rsidR="0079304A" w:rsidRPr="00B20B0D">
              <w:rPr>
                <w:b w:val="0"/>
                <w:sz w:val="20"/>
                <w:szCs w:val="20"/>
              </w:rPr>
              <w:t>drafting and subsequent resource consent.</w:t>
            </w:r>
          </w:p>
        </w:tc>
        <w:tc>
          <w:tcPr>
            <w:tcW w:w="4508" w:type="dxa"/>
          </w:tcPr>
          <w:p w14:paraId="328576D0" w14:textId="07EC0218" w:rsidR="00D91FE4" w:rsidRPr="000136C1" w:rsidRDefault="00D91FE4" w:rsidP="00E77177">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 </w:t>
            </w:r>
            <w:r w:rsidR="002441DB" w:rsidRPr="634A1E48">
              <w:rPr>
                <w:sz w:val="20"/>
                <w:szCs w:val="20"/>
              </w:rPr>
              <w:t xml:space="preserve">There </w:t>
            </w:r>
            <w:r w:rsidR="00125424" w:rsidRPr="634A1E48">
              <w:rPr>
                <w:sz w:val="20"/>
                <w:szCs w:val="20"/>
              </w:rPr>
              <w:t xml:space="preserve">will be reduced </w:t>
            </w:r>
            <w:r w:rsidR="00D80AB8" w:rsidRPr="634A1E48">
              <w:rPr>
                <w:sz w:val="20"/>
                <w:szCs w:val="20"/>
              </w:rPr>
              <w:t xml:space="preserve">opportunities for </w:t>
            </w:r>
            <w:r w:rsidR="001D7B78">
              <w:rPr>
                <w:sz w:val="20"/>
                <w:szCs w:val="20"/>
              </w:rPr>
              <w:t>resource management</w:t>
            </w:r>
            <w:r w:rsidR="00D80AB8" w:rsidRPr="634A1E48">
              <w:rPr>
                <w:sz w:val="20"/>
                <w:szCs w:val="20"/>
              </w:rPr>
              <w:t xml:space="preserve"> consultants</w:t>
            </w:r>
            <w:r w:rsidR="001D7B78">
              <w:rPr>
                <w:sz w:val="20"/>
                <w:szCs w:val="20"/>
              </w:rPr>
              <w:t xml:space="preserve"> that specialise in </w:t>
            </w:r>
            <w:r w:rsidR="00B46DDD">
              <w:rPr>
                <w:sz w:val="20"/>
                <w:szCs w:val="20"/>
              </w:rPr>
              <w:t>hazardous substances</w:t>
            </w:r>
            <w:r w:rsidR="00854C67" w:rsidRPr="634A1E48">
              <w:rPr>
                <w:sz w:val="20"/>
                <w:szCs w:val="20"/>
              </w:rPr>
              <w:t>,</w:t>
            </w:r>
            <w:r w:rsidR="00D80AB8" w:rsidRPr="634A1E48">
              <w:rPr>
                <w:sz w:val="20"/>
                <w:szCs w:val="20"/>
              </w:rPr>
              <w:t xml:space="preserve"> as there will </w:t>
            </w:r>
            <w:r w:rsidR="00D80AB8" w:rsidRPr="634A1E48">
              <w:rPr>
                <w:sz w:val="20"/>
                <w:szCs w:val="20"/>
              </w:rPr>
              <w:lastRenderedPageBreak/>
              <w:t xml:space="preserve">be reduced </w:t>
            </w:r>
            <w:r w:rsidR="00854C67" w:rsidRPr="634A1E48">
              <w:rPr>
                <w:sz w:val="20"/>
                <w:szCs w:val="20"/>
              </w:rPr>
              <w:t xml:space="preserve">RMA </w:t>
            </w:r>
            <w:r w:rsidR="00D80AB8" w:rsidRPr="634A1E48">
              <w:rPr>
                <w:sz w:val="20"/>
                <w:szCs w:val="20"/>
              </w:rPr>
              <w:t xml:space="preserve">consenting requirements associated </w:t>
            </w:r>
            <w:r w:rsidR="00854C67" w:rsidRPr="634A1E48">
              <w:rPr>
                <w:sz w:val="20"/>
                <w:szCs w:val="20"/>
              </w:rPr>
              <w:t xml:space="preserve">with the management of hazardous substances. </w:t>
            </w:r>
          </w:p>
        </w:tc>
      </w:tr>
    </w:tbl>
    <w:p w14:paraId="402A134E" w14:textId="77777777" w:rsidR="00D91FE4" w:rsidRDefault="00D91FE4" w:rsidP="00D91FE4"/>
    <w:p w14:paraId="293371B4" w14:textId="010E865A" w:rsidR="00D91FE4" w:rsidRDefault="00544C97" w:rsidP="00D91FE4">
      <w:r>
        <w:rPr>
          <w:highlight w:val="yellow"/>
        </w:rPr>
        <w:fldChar w:fldCharType="begin"/>
      </w:r>
      <w:r>
        <w:instrText xml:space="preserve"> REF _Ref73085184 \h </w:instrText>
      </w:r>
      <w:r>
        <w:rPr>
          <w:highlight w:val="yellow"/>
        </w:rPr>
      </w:r>
      <w:r>
        <w:rPr>
          <w:highlight w:val="yellow"/>
        </w:rPr>
        <w:fldChar w:fldCharType="separate"/>
      </w:r>
      <w:r w:rsidR="002A7A16">
        <w:t xml:space="preserve">Table </w:t>
      </w:r>
      <w:r w:rsidR="002A7A16">
        <w:rPr>
          <w:noProof/>
        </w:rPr>
        <w:t>55</w:t>
      </w:r>
      <w:r>
        <w:rPr>
          <w:highlight w:val="yellow"/>
        </w:rPr>
        <w:fldChar w:fldCharType="end"/>
      </w:r>
      <w:r w:rsidR="00757874">
        <w:t xml:space="preserve"> </w:t>
      </w:r>
      <w:r w:rsidR="00D91FE4">
        <w:t>below assesses the effectiveness and efficiency of the proposed provisions in achieving the objectives.</w:t>
      </w:r>
    </w:p>
    <w:p w14:paraId="359DBC1D" w14:textId="6468EDFF" w:rsidR="00D91FE4" w:rsidRDefault="00D91FE4" w:rsidP="00D91FE4">
      <w:pPr>
        <w:pStyle w:val="Caption"/>
        <w:keepNext/>
      </w:pPr>
      <w:bookmarkStart w:id="132" w:name="_Ref73085184"/>
      <w:r>
        <w:t xml:space="preserve">Table </w:t>
      </w:r>
      <w:r>
        <w:fldChar w:fldCharType="begin"/>
      </w:r>
      <w:r>
        <w:instrText>SEQ Table \* ARABIC</w:instrText>
      </w:r>
      <w:r>
        <w:fldChar w:fldCharType="separate"/>
      </w:r>
      <w:r w:rsidR="002A7A16">
        <w:rPr>
          <w:noProof/>
        </w:rPr>
        <w:t>55</w:t>
      </w:r>
      <w:r>
        <w:fldChar w:fldCharType="end"/>
      </w:r>
      <w:bookmarkEnd w:id="132"/>
      <w:r>
        <w:t xml:space="preserve">: Efficiency and effectiveness evaluation for </w:t>
      </w:r>
      <w:r w:rsidR="00757874">
        <w:t>contaminated land</w:t>
      </w:r>
    </w:p>
    <w:tbl>
      <w:tblPr>
        <w:tblW w:w="0" w:type="auto"/>
        <w:tblLook w:val="04A0" w:firstRow="1" w:lastRow="0" w:firstColumn="1" w:lastColumn="0" w:noHBand="0" w:noVBand="1"/>
      </w:tblPr>
      <w:tblGrid>
        <w:gridCol w:w="1413"/>
        <w:gridCol w:w="7603"/>
      </w:tblGrid>
      <w:tr w:rsidR="00D91FE4" w:rsidRPr="00C767B5" w14:paraId="1D7D7BE2" w14:textId="77777777" w:rsidTr="00E77177">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7F468770" w14:textId="77777777" w:rsidR="00D91FE4" w:rsidRPr="00C767B5" w:rsidRDefault="00D91FE4" w:rsidP="00E77177">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1862B319" w14:textId="77777777" w:rsidR="00D91FE4" w:rsidRPr="00C767B5" w:rsidRDefault="00D91FE4" w:rsidP="00E77177">
            <w:pPr>
              <w:jc w:val="both"/>
              <w:rPr>
                <w:sz w:val="20"/>
              </w:rPr>
            </w:pPr>
            <w:r>
              <w:rPr>
                <w:sz w:val="20"/>
              </w:rPr>
              <w:t xml:space="preserve">The removal of the provisions related to hazardous substances within Option 2 adds greater efficiency as it removes the duplication between the RMA controls and the controls within the HSNO Act.    </w:t>
            </w:r>
          </w:p>
        </w:tc>
      </w:tr>
      <w:tr w:rsidR="00D91FE4" w:rsidRPr="00C767B5" w14:paraId="5E8729F5" w14:textId="77777777" w:rsidTr="00E77177">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7206509C" w14:textId="77777777" w:rsidR="00D91FE4" w:rsidRPr="00C767B5" w:rsidRDefault="00D91FE4" w:rsidP="00E77177">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3BB309AE" w14:textId="754E6F9A" w:rsidR="00D91FE4" w:rsidRPr="00C767B5" w:rsidRDefault="004A11C6" w:rsidP="00E77177">
            <w:pPr>
              <w:jc w:val="both"/>
              <w:rPr>
                <w:sz w:val="20"/>
              </w:rPr>
            </w:pPr>
            <w:r w:rsidRPr="004A11C6">
              <w:rPr>
                <w:sz w:val="20"/>
              </w:rPr>
              <w:t xml:space="preserve">Option 2 is considered more effective than the status quo at achieving the objectives as clearer policy direction is provided. The policies include more directive guidance </w:t>
            </w:r>
            <w:r w:rsidR="00BE3FDE">
              <w:rPr>
                <w:sz w:val="20"/>
              </w:rPr>
              <w:t>associated</w:t>
            </w:r>
            <w:r w:rsidR="007F2685">
              <w:rPr>
                <w:sz w:val="20"/>
              </w:rPr>
              <w:t xml:space="preserve"> with identifying sites of contaminates land, </w:t>
            </w:r>
            <w:r w:rsidR="007F2685" w:rsidRPr="006E18F7">
              <w:rPr>
                <w:sz w:val="20"/>
              </w:rPr>
              <w:t>clos</w:t>
            </w:r>
            <w:r w:rsidR="007F2685">
              <w:rPr>
                <w:sz w:val="20"/>
              </w:rPr>
              <w:t>ing</w:t>
            </w:r>
            <w:r w:rsidR="007F2685" w:rsidRPr="006E18F7">
              <w:rPr>
                <w:sz w:val="20"/>
              </w:rPr>
              <w:t xml:space="preserve"> landfills</w:t>
            </w:r>
            <w:r w:rsidR="007F2685">
              <w:rPr>
                <w:sz w:val="20"/>
              </w:rPr>
              <w:t>,</w:t>
            </w:r>
            <w:r w:rsidR="007F2685" w:rsidRPr="006E18F7">
              <w:rPr>
                <w:sz w:val="20"/>
              </w:rPr>
              <w:t xml:space="preserve"> </w:t>
            </w:r>
            <w:r w:rsidR="007F2685">
              <w:rPr>
                <w:sz w:val="20"/>
              </w:rPr>
              <w:t>and dispos</w:t>
            </w:r>
            <w:r w:rsidR="00BE3FDE">
              <w:rPr>
                <w:sz w:val="20"/>
              </w:rPr>
              <w:t>ing</w:t>
            </w:r>
            <w:r w:rsidR="007F2685">
              <w:rPr>
                <w:sz w:val="20"/>
              </w:rPr>
              <w:t xml:space="preserve"> of waste materials</w:t>
            </w:r>
            <w:r w:rsidR="007F2685" w:rsidRPr="004A11C6">
              <w:rPr>
                <w:sz w:val="20"/>
              </w:rPr>
              <w:t xml:space="preserve"> </w:t>
            </w:r>
            <w:r w:rsidRPr="004A11C6">
              <w:rPr>
                <w:sz w:val="20"/>
              </w:rPr>
              <w:t xml:space="preserve">compared to Option 1. </w:t>
            </w:r>
            <w:r w:rsidR="00F40FF1" w:rsidRPr="006632C4">
              <w:rPr>
                <w:sz w:val="20"/>
              </w:rPr>
              <w:t>Including the provisions in one chapter more effectively sets out how the outcome will be achieved. This option is also effective at meeting the direction in the National Planning Standards</w:t>
            </w:r>
          </w:p>
        </w:tc>
      </w:tr>
    </w:tbl>
    <w:p w14:paraId="02617C5E" w14:textId="77777777" w:rsidR="00D91FE4" w:rsidRDefault="00D91FE4" w:rsidP="00DE069C">
      <w:pPr>
        <w:pStyle w:val="Heading4"/>
      </w:pPr>
      <w:r>
        <w:t>Risk of acting or not acting</w:t>
      </w:r>
    </w:p>
    <w:p w14:paraId="467087F5" w14:textId="39615CDD" w:rsidR="00D91FE4" w:rsidRDefault="00D91FE4"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 In this case</w:t>
      </w:r>
      <w:r w:rsidR="00871EB9">
        <w:t xml:space="preserve">, it is </w:t>
      </w:r>
      <w:r w:rsidR="00285BC5">
        <w:t xml:space="preserve">noted that the Council currently maintains a </w:t>
      </w:r>
      <w:r w:rsidR="00CF57F0">
        <w:t>Hazardous Activities and Industries List (</w:t>
      </w:r>
      <w:r w:rsidR="00285BC5">
        <w:t>HAIL</w:t>
      </w:r>
      <w:r w:rsidR="00CF57F0">
        <w:t>)</w:t>
      </w:r>
      <w:r w:rsidR="00285BC5">
        <w:t xml:space="preserve"> database, of properties where information is held regarding current or past land-uses that have the potential to contaminate land.  </w:t>
      </w:r>
      <w:r w:rsidR="00814A97">
        <w:t>Therefore, it is considered th</w:t>
      </w:r>
      <w:r w:rsidR="00FA3045">
        <w:t xml:space="preserve">at there is sufficient information </w:t>
      </w:r>
      <w:r w:rsidR="0065271F">
        <w:t xml:space="preserve">to conclude that </w:t>
      </w:r>
      <w:r w:rsidR="009A2A15">
        <w:t xml:space="preserve">the provisions proposed </w:t>
      </w:r>
      <w:r w:rsidR="00497D28">
        <w:t xml:space="preserve">related to the management of contaminated land </w:t>
      </w:r>
      <w:r w:rsidR="009A2A15">
        <w:t>are appropriate.</w:t>
      </w:r>
    </w:p>
    <w:p w14:paraId="661CA189" w14:textId="77777777" w:rsidR="00D91FE4" w:rsidRDefault="00D91FE4" w:rsidP="00DE069C">
      <w:pPr>
        <w:pStyle w:val="Heading4"/>
      </w:pPr>
      <w:r>
        <w:t>Conclusion</w:t>
      </w:r>
    </w:p>
    <w:p w14:paraId="3CF2413B" w14:textId="4204EA09" w:rsidR="00502D05" w:rsidRPr="00502D05" w:rsidRDefault="00502D05" w:rsidP="00A247C5">
      <w:pPr>
        <w:pStyle w:val="Normal2"/>
      </w:pPr>
      <w:r>
        <w:t>The cost-benefit and effectiveness and efficiency assessments have shown that overall, the PORPS 2021 provisions are generally more efficient than the status quo and more effective at achieving the objectives of the PORPS 2021</w:t>
      </w:r>
      <w:r w:rsidR="00CE357C">
        <w:t xml:space="preserve"> on the basis that changes are required to reflect </w:t>
      </w:r>
      <w:r w:rsidR="006412C9">
        <w:t xml:space="preserve">legislative </w:t>
      </w:r>
      <w:r w:rsidR="008403CE">
        <w:t>requirement</w:t>
      </w:r>
      <w:r w:rsidR="006412C9">
        <w:t>s</w:t>
      </w:r>
      <w:r w:rsidR="008403CE">
        <w:t>.</w:t>
      </w:r>
      <w:r w:rsidR="00CE357C">
        <w:t xml:space="preserve"> </w:t>
      </w:r>
    </w:p>
    <w:p w14:paraId="37E9BFFA" w14:textId="77777777" w:rsidR="00CA315B" w:rsidRDefault="00CA315B">
      <w:pPr>
        <w:rPr>
          <w:rFonts w:asciiTheme="majorHAnsi" w:eastAsiaTheme="majorEastAsia" w:hAnsiTheme="majorHAnsi" w:cstheme="majorBidi"/>
          <w:color w:val="2F5496" w:themeColor="accent1" w:themeShade="BF"/>
          <w:sz w:val="26"/>
          <w:szCs w:val="26"/>
        </w:rPr>
      </w:pPr>
      <w:r>
        <w:br w:type="page"/>
      </w:r>
    </w:p>
    <w:p w14:paraId="7740FB79" w14:textId="72095D4B" w:rsidR="00E9552F" w:rsidRDefault="00A97861" w:rsidP="00CB405E">
      <w:pPr>
        <w:pStyle w:val="Heading2"/>
      </w:pPr>
      <w:bookmarkStart w:id="133" w:name="_Toc72507644"/>
      <w:bookmarkStart w:id="134" w:name="_Ref72671504"/>
      <w:bookmarkStart w:id="135" w:name="_Ref72671564"/>
      <w:r>
        <w:lastRenderedPageBreak/>
        <w:t xml:space="preserve">HCV – </w:t>
      </w:r>
      <w:r w:rsidR="00E9552F">
        <w:t>Historical and cultural values</w:t>
      </w:r>
      <w:bookmarkEnd w:id="133"/>
      <w:bookmarkEnd w:id="134"/>
      <w:bookmarkEnd w:id="135"/>
    </w:p>
    <w:p w14:paraId="12FC3E95" w14:textId="77777777" w:rsidR="00E9552F" w:rsidRDefault="00E9552F" w:rsidP="0082271A">
      <w:pPr>
        <w:pStyle w:val="Heading3"/>
      </w:pPr>
      <w:r>
        <w:t>Introduction</w:t>
      </w:r>
    </w:p>
    <w:p w14:paraId="51DE24E7" w14:textId="18E5031B" w:rsidR="00CE5BB9" w:rsidRDefault="00D82B2B" w:rsidP="00A247C5">
      <w:pPr>
        <w:pStyle w:val="Normal2"/>
      </w:pPr>
      <w:r>
        <w:t xml:space="preserve">This section of the report </w:t>
      </w:r>
      <w:r w:rsidR="000627FF">
        <w:t>assesses the provisions</w:t>
      </w:r>
      <w:r w:rsidR="0036486D">
        <w:t xml:space="preserve"> proposed in the </w:t>
      </w:r>
      <w:r w:rsidR="00E81F7F">
        <w:t>PORPS 2021</w:t>
      </w:r>
      <w:r w:rsidR="0036486D">
        <w:t xml:space="preserve"> </w:t>
      </w:r>
      <w:r w:rsidR="000627FF">
        <w:t xml:space="preserve">for managing </w:t>
      </w:r>
      <w:r w:rsidR="004103E8">
        <w:t xml:space="preserve">historical and cultural values in the Otago Region. </w:t>
      </w:r>
      <w:r w:rsidR="00AE66E3">
        <w:t xml:space="preserve">Otago is a region rich in historic heritage, with a wide range of important cultural and historic heritage places and areas. Kāi </w:t>
      </w:r>
      <w:proofErr w:type="spellStart"/>
      <w:r w:rsidR="00AE66E3">
        <w:t>Tahu</w:t>
      </w:r>
      <w:proofErr w:type="spellEnd"/>
      <w:r w:rsidR="00AE66E3">
        <w:t xml:space="preserve"> ki Otago</w:t>
      </w:r>
      <w:r w:rsidR="00AE66E3">
        <w:rPr>
          <w:rStyle w:val="FootnoteReference"/>
        </w:rPr>
        <w:footnoteReference w:id="35"/>
      </w:r>
      <w:r w:rsidR="00AE66E3">
        <w:t xml:space="preserve"> have a long history of settlement, travel and resource use throughout Otago, and areas used for these purposes form part of wider cultural landscape</w:t>
      </w:r>
      <w:r w:rsidR="00426267">
        <w:t>s</w:t>
      </w:r>
      <w:r w:rsidR="00AE66E3">
        <w:t xml:space="preserve"> (</w:t>
      </w:r>
      <w:proofErr w:type="spellStart"/>
      <w:r w:rsidR="00AE66E3">
        <w:t>wāhi</w:t>
      </w:r>
      <w:proofErr w:type="spellEnd"/>
      <w:r w:rsidR="00AE66E3">
        <w:t xml:space="preserve"> t</w:t>
      </w:r>
      <w:r w:rsidR="00AE66E3" w:rsidRPr="1F248919">
        <w:t>ū</w:t>
      </w:r>
      <w:r w:rsidR="00AE66E3">
        <w:t xml:space="preserve">puna). </w:t>
      </w:r>
      <w:proofErr w:type="spellStart"/>
      <w:r w:rsidR="00AE66E3">
        <w:t>Wāhi</w:t>
      </w:r>
      <w:proofErr w:type="spellEnd"/>
      <w:r w:rsidR="00AE66E3">
        <w:t xml:space="preserve"> t</w:t>
      </w:r>
      <w:r w:rsidR="00AE66E3" w:rsidRPr="1F248919">
        <w:t>ū</w:t>
      </w:r>
      <w:r w:rsidR="00AE66E3">
        <w:t xml:space="preserve">puna embody both the customary and contemporary relationships of Kāi </w:t>
      </w:r>
      <w:proofErr w:type="spellStart"/>
      <w:r w:rsidR="00AE66E3">
        <w:t>Tahu</w:t>
      </w:r>
      <w:proofErr w:type="spellEnd"/>
      <w:r w:rsidR="00AE66E3">
        <w:t xml:space="preserve"> and their culture and traditions. Kāi</w:t>
      </w:r>
      <w:r w:rsidR="00AE66E3" w:rsidRPr="004D557F">
        <w:rPr>
          <w:shd w:val="clear" w:color="auto" w:fill="FFFFFF"/>
        </w:rPr>
        <w:t xml:space="preserve"> </w:t>
      </w:r>
      <w:proofErr w:type="spellStart"/>
      <w:r w:rsidR="00AE66E3" w:rsidRPr="004D557F">
        <w:rPr>
          <w:shd w:val="clear" w:color="auto" w:fill="FFFFFF"/>
        </w:rPr>
        <w:t>Tahu</w:t>
      </w:r>
      <w:proofErr w:type="spellEnd"/>
      <w:r w:rsidR="00AE66E3" w:rsidRPr="004D557F" w:rsidDel="00CC52B0">
        <w:rPr>
          <w:shd w:val="clear" w:color="auto" w:fill="FFFFFF"/>
        </w:rPr>
        <w:t xml:space="preserve"> </w:t>
      </w:r>
      <w:r w:rsidR="00CC52B0" w:rsidRPr="004D557F">
        <w:rPr>
          <w:shd w:val="clear" w:color="auto" w:fill="FFFFFF"/>
        </w:rPr>
        <w:t>ha</w:t>
      </w:r>
      <w:r w:rsidR="00CC52B0">
        <w:rPr>
          <w:shd w:val="clear" w:color="auto" w:fill="FFFFFF"/>
        </w:rPr>
        <w:t>ve</w:t>
      </w:r>
      <w:r w:rsidR="00AE66E3" w:rsidRPr="004D557F">
        <w:rPr>
          <w:shd w:val="clear" w:color="auto" w:fill="FFFFFF"/>
        </w:rPr>
        <w:t xml:space="preserve"> a special relationship with their ancestral lands, water, sites, </w:t>
      </w:r>
      <w:proofErr w:type="spellStart"/>
      <w:r w:rsidR="00AE66E3">
        <w:t>wāhi</w:t>
      </w:r>
      <w:proofErr w:type="spellEnd"/>
      <w:r w:rsidR="00AE66E3">
        <w:t xml:space="preserve"> </w:t>
      </w:r>
      <w:proofErr w:type="spellStart"/>
      <w:r w:rsidR="00AE66E3">
        <w:t>tapu</w:t>
      </w:r>
      <w:proofErr w:type="spellEnd"/>
      <w:r w:rsidR="00AE66E3" w:rsidRPr="004D557F">
        <w:rPr>
          <w:shd w:val="clear" w:color="auto" w:fill="FFFFFF"/>
        </w:rPr>
        <w:t xml:space="preserve">, and other </w:t>
      </w:r>
      <w:r w:rsidR="00AE66E3">
        <w:t xml:space="preserve">taonga, and this is recognised in the RMA as a matter of national importance.  </w:t>
      </w:r>
    </w:p>
    <w:p w14:paraId="56F534C9" w14:textId="24B4DB4E" w:rsidR="00CC4A55" w:rsidRDefault="00A92290" w:rsidP="00A247C5">
      <w:pPr>
        <w:pStyle w:val="Normal2"/>
      </w:pPr>
      <w:r>
        <w:t>While</w:t>
      </w:r>
      <w:r w:rsidR="009875F4">
        <w:t xml:space="preserve"> Kāi </w:t>
      </w:r>
      <w:proofErr w:type="spellStart"/>
      <w:r>
        <w:t>Tahu</w:t>
      </w:r>
      <w:proofErr w:type="spellEnd"/>
      <w:r>
        <w:t xml:space="preserve"> values a</w:t>
      </w:r>
      <w:r w:rsidR="009875F4">
        <w:t xml:space="preserve">ssociated with </w:t>
      </w:r>
      <w:proofErr w:type="spellStart"/>
      <w:r w:rsidR="00902051">
        <w:t>w</w:t>
      </w:r>
      <w:r w:rsidR="009875F4">
        <w:t>āhi</w:t>
      </w:r>
      <w:proofErr w:type="spellEnd"/>
      <w:r w:rsidR="009875F4">
        <w:t xml:space="preserve"> tupuna are included in this chapter of the </w:t>
      </w:r>
      <w:r w:rsidR="00E81F7F">
        <w:t>PORPS 2021</w:t>
      </w:r>
      <w:r w:rsidR="009875F4">
        <w:t>, t</w:t>
      </w:r>
      <w:r w:rsidR="008A3A2E">
        <w:t xml:space="preserve">he expression of </w:t>
      </w:r>
      <w:proofErr w:type="spellStart"/>
      <w:r w:rsidR="008A3A2E">
        <w:t>kaitiakitaka</w:t>
      </w:r>
      <w:proofErr w:type="spellEnd"/>
      <w:r w:rsidR="008A3A2E">
        <w:t xml:space="preserve"> and broader recognition of Kāi </w:t>
      </w:r>
      <w:proofErr w:type="spellStart"/>
      <w:r w:rsidR="008A3A2E">
        <w:t>Tahu</w:t>
      </w:r>
      <w:proofErr w:type="spellEnd"/>
      <w:r w:rsidR="008A3A2E">
        <w:t xml:space="preserve"> rights, values and interests i</w:t>
      </w:r>
      <w:r w:rsidR="00DF30F4">
        <w:t xml:space="preserve">s addressed and managed via provisions contained in </w:t>
      </w:r>
      <w:r w:rsidR="00767A8B">
        <w:t>Part 1: MW -</w:t>
      </w:r>
      <w:r w:rsidR="00DF30F4">
        <w:t xml:space="preserve"> </w:t>
      </w:r>
      <w:r w:rsidR="00A22FFE">
        <w:t>Mana</w:t>
      </w:r>
      <w:r w:rsidR="00DF30F4">
        <w:t xml:space="preserve"> Whenua. </w:t>
      </w:r>
    </w:p>
    <w:p w14:paraId="7217F665" w14:textId="12E80BAE" w:rsidR="00E0303C" w:rsidRDefault="00E31D76" w:rsidP="00A247C5">
      <w:pPr>
        <w:pStyle w:val="Normal2"/>
      </w:pPr>
      <w:proofErr w:type="gramStart"/>
      <w:r>
        <w:t>For the purpose of</w:t>
      </w:r>
      <w:proofErr w:type="gramEnd"/>
      <w:r>
        <w:t xml:space="preserve"> describing and evaluati</w:t>
      </w:r>
      <w:r w:rsidR="00544C97">
        <w:t>ng</w:t>
      </w:r>
      <w:r>
        <w:t xml:space="preserve"> the</w:t>
      </w:r>
      <w:r w:rsidR="00B27AD4">
        <w:t xml:space="preserve"> </w:t>
      </w:r>
      <w:r>
        <w:t xml:space="preserve">provisions </w:t>
      </w:r>
      <w:r w:rsidR="00B22C06">
        <w:t>related to historic herita</w:t>
      </w:r>
      <w:r w:rsidR="00E0303C">
        <w:t>ge and cultural values</w:t>
      </w:r>
      <w:r>
        <w:t xml:space="preserve"> proposed i</w:t>
      </w:r>
      <w:r w:rsidR="003A7AC9">
        <w:t xml:space="preserve">n the </w:t>
      </w:r>
      <w:r w:rsidR="00E81F7F">
        <w:t>PORPS 2021</w:t>
      </w:r>
      <w:r w:rsidR="00B22C06">
        <w:t xml:space="preserve">, the provisions have been </w:t>
      </w:r>
      <w:r w:rsidR="00E0303C">
        <w:t>grouped as follows:</w:t>
      </w:r>
    </w:p>
    <w:p w14:paraId="0F569AF4" w14:textId="6B14C9A8" w:rsidR="00972801" w:rsidRPr="006B54B7" w:rsidRDefault="003C157D" w:rsidP="00544C97">
      <w:pPr>
        <w:pStyle w:val="Normal3"/>
      </w:pPr>
      <w:proofErr w:type="spellStart"/>
      <w:r w:rsidRPr="00D62907">
        <w:t>Wāhi</w:t>
      </w:r>
      <w:proofErr w:type="spellEnd"/>
      <w:r w:rsidRPr="00D62907">
        <w:t xml:space="preserve"> </w:t>
      </w:r>
      <w:r w:rsidRPr="006B54B7">
        <w:t>tupuna</w:t>
      </w:r>
    </w:p>
    <w:p w14:paraId="40726057" w14:textId="67B746F4" w:rsidR="006F2BD7" w:rsidRPr="00D62907" w:rsidRDefault="5CA54A02" w:rsidP="00544C97">
      <w:pPr>
        <w:pStyle w:val="Normal3"/>
      </w:pPr>
      <w:r>
        <w:t>Historic heritage</w:t>
      </w:r>
    </w:p>
    <w:p w14:paraId="6B0FB591" w14:textId="5E2E6589" w:rsidR="006F2BD7" w:rsidRDefault="00A97861" w:rsidP="0082271A">
      <w:pPr>
        <w:pStyle w:val="Heading3"/>
      </w:pPr>
      <w:r>
        <w:t xml:space="preserve">HCV–WT – </w:t>
      </w:r>
      <w:proofErr w:type="spellStart"/>
      <w:r w:rsidR="006B54B7">
        <w:t>Wāhi</w:t>
      </w:r>
      <w:proofErr w:type="spellEnd"/>
      <w:r w:rsidR="006B54B7">
        <w:t xml:space="preserve"> tūpuna </w:t>
      </w:r>
    </w:p>
    <w:p w14:paraId="1201DA11" w14:textId="2A4BCE93" w:rsidR="006F2BD7" w:rsidRDefault="5CA54A02" w:rsidP="00DE069C">
      <w:pPr>
        <w:pStyle w:val="Heading4"/>
      </w:pPr>
      <w:r>
        <w:t>Introduction</w:t>
      </w:r>
    </w:p>
    <w:p w14:paraId="76CE3A5D" w14:textId="7997A939" w:rsidR="006F2BD7" w:rsidRDefault="5CA54A02" w:rsidP="00A247C5">
      <w:pPr>
        <w:pStyle w:val="Normal2"/>
        <w:rPr>
          <w:rFonts w:eastAsiaTheme="minorEastAsia"/>
        </w:rPr>
      </w:pPr>
      <w:r>
        <w:t xml:space="preserve">This section of the report assesses the provisions proposed in the </w:t>
      </w:r>
      <w:r w:rsidR="00E81F7F">
        <w:t>PORPS 2021</w:t>
      </w:r>
      <w:r>
        <w:t xml:space="preserve"> related to </w:t>
      </w:r>
      <w:proofErr w:type="spellStart"/>
      <w:r>
        <w:t>wāhi</w:t>
      </w:r>
      <w:proofErr w:type="spellEnd"/>
      <w:r>
        <w:t xml:space="preserve"> tūpuna. The relevant provisions for this section are:</w:t>
      </w:r>
    </w:p>
    <w:p w14:paraId="33F759AA" w14:textId="6137C389" w:rsidR="006F2BD7" w:rsidRDefault="5CA54A02" w:rsidP="00A247C5">
      <w:pPr>
        <w:pStyle w:val="Normal3"/>
        <w:rPr>
          <w:rFonts w:eastAsiaTheme="minorEastAsia"/>
        </w:rPr>
      </w:pPr>
      <w:r>
        <w:t>HCV</w:t>
      </w:r>
      <w:r w:rsidR="00FF6F82">
        <w:t>–</w:t>
      </w:r>
      <w:r w:rsidR="002C02B8">
        <w:t>WT</w:t>
      </w:r>
      <w:r w:rsidR="00FF6F82">
        <w:t>–</w:t>
      </w:r>
      <w:r>
        <w:t>O</w:t>
      </w:r>
      <w:r w:rsidR="002C02B8">
        <w:t>1</w:t>
      </w:r>
      <w:r>
        <w:t xml:space="preserve"> </w:t>
      </w:r>
      <w:r w:rsidR="00FF6F82">
        <w:t xml:space="preserve">– </w:t>
      </w:r>
      <w:r>
        <w:t xml:space="preserve">Kāi </w:t>
      </w:r>
      <w:proofErr w:type="spellStart"/>
      <w:r>
        <w:t>Tahu</w:t>
      </w:r>
      <w:proofErr w:type="spellEnd"/>
      <w:r>
        <w:t xml:space="preserve"> cultural landscapes</w:t>
      </w:r>
    </w:p>
    <w:p w14:paraId="5FC28D2A" w14:textId="35CA7BAD" w:rsidR="0013417E" w:rsidRDefault="0013417E" w:rsidP="00A247C5">
      <w:pPr>
        <w:pStyle w:val="Normal3"/>
      </w:pPr>
      <w:r w:rsidRPr="2B2D0A62">
        <w:t xml:space="preserve">HCV–WT–O2 – </w:t>
      </w:r>
      <w:proofErr w:type="spellStart"/>
      <w:r w:rsidRPr="2B2D0A62">
        <w:t>Rakatirataka</w:t>
      </w:r>
      <w:proofErr w:type="spellEnd"/>
    </w:p>
    <w:p w14:paraId="5357EB7A" w14:textId="15A0294B" w:rsidR="006F2BD7" w:rsidRDefault="5CA54A02" w:rsidP="00A247C5">
      <w:pPr>
        <w:pStyle w:val="Normal3"/>
        <w:rPr>
          <w:rFonts w:eastAsiaTheme="minorEastAsia"/>
        </w:rPr>
      </w:pPr>
      <w:r>
        <w:t>HCV</w:t>
      </w:r>
      <w:r w:rsidR="00E577CB">
        <w:t>—</w:t>
      </w:r>
      <w:r w:rsidR="002C02B8">
        <w:t>WT</w:t>
      </w:r>
      <w:r w:rsidR="00E577CB">
        <w:t>—</w:t>
      </w:r>
      <w:r>
        <w:t xml:space="preserve">P1 </w:t>
      </w:r>
      <w:r w:rsidR="00FF6F82">
        <w:t xml:space="preserve">– </w:t>
      </w:r>
      <w:r>
        <w:t xml:space="preserve">Recognise and identify </w:t>
      </w:r>
      <w:proofErr w:type="spellStart"/>
      <w:r>
        <w:t>wāhi</w:t>
      </w:r>
      <w:proofErr w:type="spellEnd"/>
      <w:r>
        <w:t xml:space="preserve"> tūpuna</w:t>
      </w:r>
    </w:p>
    <w:p w14:paraId="21A8D58F" w14:textId="032BA220" w:rsidR="006F2BD7" w:rsidRDefault="5CA54A02" w:rsidP="00A247C5">
      <w:pPr>
        <w:pStyle w:val="Normal3"/>
        <w:rPr>
          <w:rFonts w:eastAsiaTheme="minorEastAsia"/>
        </w:rPr>
      </w:pPr>
      <w:r>
        <w:t>HCV</w:t>
      </w:r>
      <w:r w:rsidR="00E577CB">
        <w:t>—</w:t>
      </w:r>
      <w:r w:rsidR="002C02B8">
        <w:t>WT</w:t>
      </w:r>
      <w:r w:rsidR="00E577CB">
        <w:t>—</w:t>
      </w:r>
      <w:r>
        <w:t xml:space="preserve">P2 </w:t>
      </w:r>
      <w:r w:rsidR="00FF6F82">
        <w:t xml:space="preserve">– </w:t>
      </w:r>
      <w:r>
        <w:t xml:space="preserve">Management of </w:t>
      </w:r>
      <w:proofErr w:type="spellStart"/>
      <w:r>
        <w:t>wāhi</w:t>
      </w:r>
      <w:proofErr w:type="spellEnd"/>
      <w:r>
        <w:t xml:space="preserve"> tūpuna</w:t>
      </w:r>
    </w:p>
    <w:p w14:paraId="76B9C0BC" w14:textId="6052426F" w:rsidR="006F2BD7" w:rsidRDefault="5CA54A02" w:rsidP="00A247C5">
      <w:pPr>
        <w:pStyle w:val="Normal3"/>
        <w:rPr>
          <w:rFonts w:eastAsiaTheme="minorEastAsia"/>
        </w:rPr>
      </w:pPr>
      <w:r>
        <w:t>HCV</w:t>
      </w:r>
      <w:r w:rsidR="003C3693">
        <w:t>—</w:t>
      </w:r>
      <w:r w:rsidR="00A47C67">
        <w:t>WT</w:t>
      </w:r>
      <w:r w:rsidR="003C3693">
        <w:t>—</w:t>
      </w:r>
      <w:r>
        <w:t>M</w:t>
      </w:r>
      <w:r w:rsidR="00FF6F82">
        <w:t>1 –</w:t>
      </w:r>
      <w:r>
        <w:t xml:space="preserve"> </w:t>
      </w:r>
      <w:r w:rsidR="00A47C67">
        <w:t>Identification</w:t>
      </w:r>
    </w:p>
    <w:p w14:paraId="0B071E5A" w14:textId="3F9E4B9A" w:rsidR="006F2BD7" w:rsidRDefault="5CA54A02" w:rsidP="00A247C5">
      <w:pPr>
        <w:pStyle w:val="Normal3"/>
        <w:rPr>
          <w:rFonts w:eastAsiaTheme="minorEastAsia"/>
        </w:rPr>
      </w:pPr>
      <w:r>
        <w:t>HCV</w:t>
      </w:r>
      <w:r w:rsidR="003C3693">
        <w:t>—</w:t>
      </w:r>
      <w:r w:rsidR="00A47C67">
        <w:t>WT</w:t>
      </w:r>
      <w:r w:rsidR="003C3693">
        <w:t>—</w:t>
      </w:r>
      <w:r>
        <w:t xml:space="preserve">M2 </w:t>
      </w:r>
      <w:r w:rsidR="00FF6F82">
        <w:t xml:space="preserve">– </w:t>
      </w:r>
      <w:r>
        <w:t>Local authorities</w:t>
      </w:r>
    </w:p>
    <w:p w14:paraId="00B0E9BD" w14:textId="321C68A0" w:rsidR="006F2BD7" w:rsidRDefault="5CA54A02" w:rsidP="00A247C5">
      <w:pPr>
        <w:pStyle w:val="Normal3"/>
        <w:rPr>
          <w:rFonts w:eastAsiaTheme="minorEastAsia"/>
        </w:rPr>
      </w:pPr>
      <w:r>
        <w:t>HCV</w:t>
      </w:r>
      <w:r w:rsidR="003C3693">
        <w:t>—</w:t>
      </w:r>
      <w:r w:rsidR="00A47C67">
        <w:t>WT</w:t>
      </w:r>
      <w:r w:rsidR="003C3693">
        <w:t>—</w:t>
      </w:r>
      <w:r>
        <w:t xml:space="preserve">M3 </w:t>
      </w:r>
      <w:r w:rsidR="00FF6F82">
        <w:t xml:space="preserve">– </w:t>
      </w:r>
      <w:r w:rsidR="00F90619">
        <w:t xml:space="preserve">Collaboration with Kāi </w:t>
      </w:r>
      <w:proofErr w:type="spellStart"/>
      <w:r w:rsidR="00F90619">
        <w:t>Tahu</w:t>
      </w:r>
      <w:proofErr w:type="spellEnd"/>
    </w:p>
    <w:p w14:paraId="79BFC3D3" w14:textId="5DC42AD9" w:rsidR="006F2BD7" w:rsidRDefault="5CA54A02" w:rsidP="00DE069C">
      <w:pPr>
        <w:pStyle w:val="Heading4"/>
      </w:pPr>
      <w:bookmarkStart w:id="136" w:name="_Ref53990573"/>
      <w:r>
        <w:t>Current issues</w:t>
      </w:r>
      <w:bookmarkEnd w:id="136"/>
    </w:p>
    <w:p w14:paraId="0EB06EE3" w14:textId="576D8918" w:rsidR="006F2BD7" w:rsidRDefault="5CA54A02" w:rsidP="00A247C5">
      <w:pPr>
        <w:pStyle w:val="Normal2"/>
      </w:pPr>
      <w:r>
        <w:t>During consultation on the P</w:t>
      </w:r>
      <w:r w:rsidR="003E586A">
        <w:t>O</w:t>
      </w:r>
      <w:r>
        <w:t>RPS 202</w:t>
      </w:r>
      <w:r w:rsidR="003E586A">
        <w:t>1</w:t>
      </w:r>
      <w:r>
        <w:t>, undertaken in early 2020, participants did not highlight any significant issues with the management of historic and cultural heritage</w:t>
      </w:r>
      <w:r w:rsidR="00025DB2">
        <w:t>. H</w:t>
      </w:r>
      <w:r>
        <w:t>owever</w:t>
      </w:r>
      <w:r w:rsidR="00D57BA7">
        <w:t>,</w:t>
      </w:r>
      <w:r>
        <w:t xml:space="preserve"> the issues previously identified by Kāi </w:t>
      </w:r>
      <w:proofErr w:type="spellStart"/>
      <w:r>
        <w:t>Tahu</w:t>
      </w:r>
      <w:proofErr w:type="spellEnd"/>
      <w:r w:rsidR="00D57BA7">
        <w:t xml:space="preserve"> </w:t>
      </w:r>
      <w:r>
        <w:t>in the development of the PORPS 2019 remain relevant. These include:</w:t>
      </w:r>
    </w:p>
    <w:p w14:paraId="3A393950" w14:textId="38706F87" w:rsidR="00234227" w:rsidRPr="00D82932" w:rsidRDefault="5CA54A02" w:rsidP="00A247C5">
      <w:pPr>
        <w:pStyle w:val="Normal3"/>
      </w:pPr>
      <w:r>
        <w:t xml:space="preserve">the values of </w:t>
      </w:r>
      <w:proofErr w:type="spellStart"/>
      <w:r>
        <w:t>wāhi</w:t>
      </w:r>
      <w:proofErr w:type="spellEnd"/>
      <w:r>
        <w:t xml:space="preserve"> t</w:t>
      </w:r>
      <w:r w:rsidRPr="1F248919">
        <w:t>ū</w:t>
      </w:r>
      <w:r>
        <w:t xml:space="preserve">puna are poorly recognised in resource management in Otago, and </w:t>
      </w:r>
      <w:r w:rsidRPr="00D82932">
        <w:t xml:space="preserve">these values can be adversely affected by inappropriate land use and development, which has resulted in the mauri of some places, sites, </w:t>
      </w:r>
      <w:proofErr w:type="gramStart"/>
      <w:r w:rsidRPr="00D82932">
        <w:t>resources</w:t>
      </w:r>
      <w:proofErr w:type="gramEnd"/>
      <w:r w:rsidRPr="00D82932">
        <w:t xml:space="preserve"> and the values of </w:t>
      </w:r>
      <w:r w:rsidRPr="00D82932">
        <w:lastRenderedPageBreak/>
        <w:t xml:space="preserve">cultural, spiritual or historic significance to Kāi </w:t>
      </w:r>
      <w:proofErr w:type="spellStart"/>
      <w:r w:rsidRPr="00D82932">
        <w:t>Tahu</w:t>
      </w:r>
      <w:proofErr w:type="spellEnd"/>
      <w:r w:rsidRPr="00D82932">
        <w:t xml:space="preserve">, including </w:t>
      </w:r>
      <w:proofErr w:type="spellStart"/>
      <w:r w:rsidRPr="00D82932">
        <w:t>wāhi</w:t>
      </w:r>
      <w:proofErr w:type="spellEnd"/>
      <w:r w:rsidRPr="00D82932">
        <w:t xml:space="preserve"> </w:t>
      </w:r>
      <w:proofErr w:type="spellStart"/>
      <w:r w:rsidRPr="00D82932">
        <w:t>tapu</w:t>
      </w:r>
      <w:proofErr w:type="spellEnd"/>
      <w:r w:rsidRPr="00D82932">
        <w:t xml:space="preserve"> sites, being destroyed or degraded</w:t>
      </w:r>
      <w:r w:rsidR="006C321C" w:rsidRPr="00D82932">
        <w:t>;</w:t>
      </w:r>
      <w:r w:rsidR="00234227" w:rsidRPr="00D82932">
        <w:t xml:space="preserve"> </w:t>
      </w:r>
      <w:r w:rsidR="003C542C" w:rsidRPr="00D82932">
        <w:t>and</w:t>
      </w:r>
    </w:p>
    <w:p w14:paraId="6EBD06CF" w14:textId="6CE91C56" w:rsidR="003C542C" w:rsidRDefault="5CA54A02" w:rsidP="00A247C5">
      <w:pPr>
        <w:pStyle w:val="Normal3"/>
      </w:pPr>
      <w:r>
        <w:t xml:space="preserve">land management regimes have failed to adequately provide for Kāi </w:t>
      </w:r>
      <w:proofErr w:type="spellStart"/>
      <w:r>
        <w:t>Tahu</w:t>
      </w:r>
      <w:proofErr w:type="spellEnd"/>
      <w:r>
        <w:t xml:space="preserve"> interests in </w:t>
      </w:r>
      <w:proofErr w:type="spellStart"/>
      <w:r>
        <w:t>wāhi</w:t>
      </w:r>
      <w:proofErr w:type="spellEnd"/>
      <w:r>
        <w:t xml:space="preserve"> tupuna, including statutory acknowledgements, place names, </w:t>
      </w:r>
      <w:proofErr w:type="spellStart"/>
      <w:r>
        <w:t>tōpuni</w:t>
      </w:r>
      <w:proofErr w:type="spellEnd"/>
      <w:r>
        <w:t xml:space="preserve"> areas and </w:t>
      </w:r>
      <w:proofErr w:type="spellStart"/>
      <w:r>
        <w:t>nohoaka</w:t>
      </w:r>
      <w:proofErr w:type="spellEnd"/>
      <w:r>
        <w:t xml:space="preserve"> sites that are recognised in the Ngāi </w:t>
      </w:r>
      <w:proofErr w:type="spellStart"/>
      <w:r>
        <w:t>Tahu</w:t>
      </w:r>
      <w:proofErr w:type="spellEnd"/>
      <w:r>
        <w:t xml:space="preserve"> Claims Settlement Act 1998, and other sites not listed in that Act</w:t>
      </w:r>
      <w:r w:rsidR="003C542C">
        <w:t>.</w:t>
      </w:r>
    </w:p>
    <w:p w14:paraId="7AD35F60" w14:textId="66CAFFB0" w:rsidR="008D4D27" w:rsidRDefault="000E4DFA" w:rsidP="00A247C5">
      <w:pPr>
        <w:pStyle w:val="Normal2"/>
      </w:pPr>
      <w:r>
        <w:t xml:space="preserve">The key objective in the PORPS 2019 for cultural values is that </w:t>
      </w:r>
      <w:r w:rsidRPr="003D56CE">
        <w:t xml:space="preserve">Kāi </w:t>
      </w:r>
      <w:proofErr w:type="spellStart"/>
      <w:r w:rsidRPr="003D56CE">
        <w:t>Tahu</w:t>
      </w:r>
      <w:proofErr w:type="spellEnd"/>
      <w:r>
        <w:t xml:space="preserve"> values, interests and customary resources are recognised and provided for.</w:t>
      </w:r>
      <w:r w:rsidRPr="001F363B">
        <w:rPr>
          <w:vertAlign w:val="superscript"/>
        </w:rPr>
        <w:footnoteReference w:id="36"/>
      </w:r>
      <w:r>
        <w:t xml:space="preserve"> To achieve this objective, the PORPS contains direction to manage the natural environment to support </w:t>
      </w:r>
      <w:r w:rsidRPr="003D56CE">
        <w:t>Kāi</w:t>
      </w:r>
      <w:r>
        <w:t xml:space="preserve"> </w:t>
      </w:r>
      <w:proofErr w:type="spellStart"/>
      <w:r>
        <w:t>Tahu</w:t>
      </w:r>
      <w:proofErr w:type="spellEnd"/>
      <w:r>
        <w:t xml:space="preserve"> wellbeing and recognise and protect sites and areas of cultural significance. The provisions do not explicitly require the identification of </w:t>
      </w:r>
      <w:proofErr w:type="spellStart"/>
      <w:r>
        <w:t>wāhi</w:t>
      </w:r>
      <w:proofErr w:type="spellEnd"/>
      <w:r>
        <w:t xml:space="preserve"> tūpuna</w:t>
      </w:r>
      <w:r w:rsidR="00093017">
        <w:t xml:space="preserve"> or</w:t>
      </w:r>
      <w:r>
        <w:t xml:space="preserve"> clearly identify who should be responsible for undertaking this exercise. Without clarification and direction on the timing and responsibility for identifying </w:t>
      </w:r>
      <w:proofErr w:type="spellStart"/>
      <w:r>
        <w:t>wāhi</w:t>
      </w:r>
      <w:proofErr w:type="spellEnd"/>
      <w:r>
        <w:t xml:space="preserve"> tūpuna, the management approach for </w:t>
      </w:r>
      <w:proofErr w:type="spellStart"/>
      <w:r>
        <w:t>wāhi</w:t>
      </w:r>
      <w:proofErr w:type="spellEnd"/>
      <w:r>
        <w:t xml:space="preserve"> tūpuna is not likely to be effective. </w:t>
      </w:r>
      <w:r w:rsidR="00C34D72">
        <w:t xml:space="preserve">During consultation on the PORPS 2021 </w:t>
      </w:r>
      <w:r w:rsidR="00C34D72" w:rsidRPr="00D57BA7">
        <w:t xml:space="preserve">Kāi </w:t>
      </w:r>
      <w:proofErr w:type="spellStart"/>
      <w:r w:rsidR="00C34D72" w:rsidRPr="00D57BA7">
        <w:t>Tahu</w:t>
      </w:r>
      <w:proofErr w:type="spellEnd"/>
      <w:r w:rsidR="00C34D72" w:rsidRPr="00D57BA7">
        <w:t xml:space="preserve"> also highlighted that the PORPS 2019 does not acknowledge that </w:t>
      </w:r>
      <w:proofErr w:type="spellStart"/>
      <w:r w:rsidR="00C34D72" w:rsidRPr="00D57BA7">
        <w:t>wāhi</w:t>
      </w:r>
      <w:proofErr w:type="spellEnd"/>
      <w:r w:rsidR="00C34D72" w:rsidRPr="00D57BA7">
        <w:t xml:space="preserve"> tupuna can only be identified by mana whenua. </w:t>
      </w:r>
    </w:p>
    <w:p w14:paraId="4B84EEFB" w14:textId="398375FA" w:rsidR="00EB15B1" w:rsidRPr="00D57BA7" w:rsidRDefault="00682F2D" w:rsidP="00A247C5">
      <w:pPr>
        <w:pStyle w:val="Normal2"/>
      </w:pPr>
      <w:r>
        <w:t xml:space="preserve">Based on the feedback from Kāi </w:t>
      </w:r>
      <w:proofErr w:type="spellStart"/>
      <w:r>
        <w:t>Tahu</w:t>
      </w:r>
      <w:proofErr w:type="spellEnd"/>
      <w:r>
        <w:t>, the provisions in the PORPS 2019 are still relevant</w:t>
      </w:r>
      <w:r w:rsidR="00962A93">
        <w:t xml:space="preserve"> and appropriate</w:t>
      </w:r>
      <w:r w:rsidR="00B155BF">
        <w:t xml:space="preserve">, however some </w:t>
      </w:r>
      <w:r w:rsidR="00FF0692">
        <w:t xml:space="preserve">minor </w:t>
      </w:r>
      <w:r w:rsidR="00B155BF">
        <w:t>changes are proposed to</w:t>
      </w:r>
      <w:r w:rsidR="00EB15B1">
        <w:t>:</w:t>
      </w:r>
    </w:p>
    <w:p w14:paraId="693A33BA" w14:textId="7D1A32E8" w:rsidR="00EB15B1" w:rsidRPr="003E586A" w:rsidRDefault="00B155BF" w:rsidP="00A247C5">
      <w:pPr>
        <w:pStyle w:val="Normal3"/>
      </w:pPr>
      <w:r>
        <w:t xml:space="preserve">make </w:t>
      </w:r>
      <w:r w:rsidRPr="003E586A">
        <w:t xml:space="preserve">clear that </w:t>
      </w:r>
      <w:proofErr w:type="spellStart"/>
      <w:r w:rsidRPr="003E586A">
        <w:t>wāhi</w:t>
      </w:r>
      <w:proofErr w:type="spellEnd"/>
      <w:r w:rsidRPr="003E586A">
        <w:t xml:space="preserve"> tupuna can only be identified by Kāi </w:t>
      </w:r>
      <w:proofErr w:type="spellStart"/>
      <w:r w:rsidRPr="003E586A">
        <w:t>Tahu</w:t>
      </w:r>
      <w:proofErr w:type="spellEnd"/>
      <w:r w:rsidRPr="003E586A">
        <w:t>,</w:t>
      </w:r>
    </w:p>
    <w:p w14:paraId="438C72C2" w14:textId="08EBE23A" w:rsidR="0008503F" w:rsidRPr="003E586A" w:rsidRDefault="00F34E52" w:rsidP="00A247C5">
      <w:pPr>
        <w:pStyle w:val="Normal3"/>
      </w:pPr>
      <w:r>
        <w:t>define the roles and responsibilities</w:t>
      </w:r>
      <w:r w:rsidR="00317525">
        <w:t xml:space="preserve"> of the local authorities</w:t>
      </w:r>
      <w:r w:rsidR="008F328E">
        <w:t xml:space="preserve">, including a requirement to collaborate </w:t>
      </w:r>
      <w:r w:rsidR="0008503F">
        <w:t xml:space="preserve">with Kāi </w:t>
      </w:r>
      <w:proofErr w:type="spellStart"/>
      <w:r w:rsidR="0008503F">
        <w:t>Tahu</w:t>
      </w:r>
      <w:proofErr w:type="spellEnd"/>
      <w:r w:rsidR="0008503F">
        <w:t xml:space="preserve"> to identify </w:t>
      </w:r>
      <w:proofErr w:type="spellStart"/>
      <w:r w:rsidR="0008503F">
        <w:t>wāhi</w:t>
      </w:r>
      <w:proofErr w:type="spellEnd"/>
      <w:r w:rsidR="0008503F">
        <w:t xml:space="preserve"> tupuna</w:t>
      </w:r>
      <w:r w:rsidR="00FF0692">
        <w:t>, and</w:t>
      </w:r>
    </w:p>
    <w:p w14:paraId="6C49C2AB" w14:textId="28D68C28" w:rsidR="006F2BD7" w:rsidRPr="003C542C" w:rsidRDefault="00EB15B1" w:rsidP="00A247C5">
      <w:pPr>
        <w:pStyle w:val="Normal3"/>
      </w:pPr>
      <w:r>
        <w:t xml:space="preserve">align the style of the </w:t>
      </w:r>
      <w:r w:rsidR="00FF0692">
        <w:t>provisions</w:t>
      </w:r>
      <w:r>
        <w:t xml:space="preserve"> with the remainder of the </w:t>
      </w:r>
      <w:r w:rsidR="00E81F7F">
        <w:t>PORPS 2021</w:t>
      </w:r>
      <w:r>
        <w:t xml:space="preserve">. </w:t>
      </w:r>
      <w:r w:rsidR="00B155BF">
        <w:t xml:space="preserve"> </w:t>
      </w:r>
    </w:p>
    <w:p w14:paraId="2077B4D7" w14:textId="2948EE8C" w:rsidR="006F2BD7" w:rsidRDefault="5CA54A02" w:rsidP="00DE069C">
      <w:pPr>
        <w:pStyle w:val="Heading4"/>
      </w:pPr>
      <w:r>
        <w:t>Objectives</w:t>
      </w:r>
    </w:p>
    <w:p w14:paraId="37346FF5" w14:textId="2779C973" w:rsidR="006F2BD7" w:rsidRDefault="5CA54A02" w:rsidP="00A247C5">
      <w:pPr>
        <w:pStyle w:val="Normal2"/>
      </w:pPr>
      <w:r>
        <w:t>Section 32(1)(b) requires examining whether the provisions in the proposal are the most appropriate way of achieving the objectives. The relevant objective</w:t>
      </w:r>
      <w:r w:rsidR="00935D48">
        <w:t>s</w:t>
      </w:r>
      <w:r>
        <w:t xml:space="preserve"> for this topic </w:t>
      </w:r>
      <w:r w:rsidR="00935D48">
        <w:t>are</w:t>
      </w:r>
      <w:r w:rsidR="00DB3541">
        <w:t xml:space="preserve"> included in </w:t>
      </w:r>
      <w:r>
        <w:fldChar w:fldCharType="begin"/>
      </w:r>
      <w:r>
        <w:instrText xml:space="preserve"> REF _Ref53670425 \h </w:instrText>
      </w:r>
      <w:r>
        <w:fldChar w:fldCharType="separate"/>
      </w:r>
      <w:r w:rsidR="002A7A16">
        <w:t xml:space="preserve">Table </w:t>
      </w:r>
      <w:r w:rsidR="002A7A16">
        <w:rPr>
          <w:noProof/>
        </w:rPr>
        <w:t>56</w:t>
      </w:r>
      <w:r>
        <w:fldChar w:fldCharType="end"/>
      </w:r>
      <w:r w:rsidR="00DB3541">
        <w:t xml:space="preserve"> below.</w:t>
      </w:r>
    </w:p>
    <w:p w14:paraId="68C0EE2B" w14:textId="717E0823" w:rsidR="00680717" w:rsidRDefault="00680717" w:rsidP="00DB3541">
      <w:pPr>
        <w:pStyle w:val="Caption"/>
        <w:keepNext/>
        <w:ind w:left="709"/>
      </w:pPr>
      <w:bookmarkStart w:id="137" w:name="_Ref53670425"/>
      <w:r>
        <w:t xml:space="preserve">Table </w:t>
      </w:r>
      <w:r>
        <w:fldChar w:fldCharType="begin"/>
      </w:r>
      <w:r>
        <w:instrText>SEQ Table \* ARABIC</w:instrText>
      </w:r>
      <w:r>
        <w:fldChar w:fldCharType="separate"/>
      </w:r>
      <w:r w:rsidR="002A7A16">
        <w:rPr>
          <w:noProof/>
        </w:rPr>
        <w:t>56</w:t>
      </w:r>
      <w:r>
        <w:fldChar w:fldCharType="end"/>
      </w:r>
      <w:bookmarkEnd w:id="137"/>
      <w:r>
        <w:t xml:space="preserve">: </w:t>
      </w:r>
      <w:proofErr w:type="spellStart"/>
      <w:r w:rsidR="003C78FF">
        <w:t>Wāhi</w:t>
      </w:r>
      <w:proofErr w:type="spellEnd"/>
      <w:r w:rsidR="003C78FF">
        <w:t xml:space="preserve"> tūpuna objective</w:t>
      </w:r>
    </w:p>
    <w:tbl>
      <w:tblPr>
        <w:tblStyle w:val="TableGrid"/>
        <w:tblW w:w="0" w:type="auto"/>
        <w:tblInd w:w="720" w:type="dxa"/>
        <w:tblLook w:val="04A0" w:firstRow="1" w:lastRow="0" w:firstColumn="1" w:lastColumn="0" w:noHBand="0" w:noVBand="1"/>
      </w:tblPr>
      <w:tblGrid>
        <w:gridCol w:w="2677"/>
        <w:gridCol w:w="5619"/>
      </w:tblGrid>
      <w:tr w:rsidR="00680717" w14:paraId="709A411D" w14:textId="77777777" w:rsidTr="00E77177">
        <w:tc>
          <w:tcPr>
            <w:tcW w:w="2677" w:type="dxa"/>
          </w:tcPr>
          <w:p w14:paraId="6BBD3F4F" w14:textId="63A5AD4F" w:rsidR="00680717" w:rsidRPr="00557EEE" w:rsidRDefault="001C4957" w:rsidP="00A247C5">
            <w:pPr>
              <w:pStyle w:val="Table1"/>
            </w:pPr>
            <w:r w:rsidRPr="001C4957">
              <w:t xml:space="preserve">HCV-WT-O1 </w:t>
            </w:r>
            <w:r w:rsidR="00DD728A">
              <w:t>–</w:t>
            </w:r>
            <w:r w:rsidRPr="001C4957">
              <w:t xml:space="preserve"> Kāi </w:t>
            </w:r>
            <w:proofErr w:type="spellStart"/>
            <w:r w:rsidRPr="001C4957">
              <w:t>Tahu</w:t>
            </w:r>
            <w:proofErr w:type="spellEnd"/>
            <w:r w:rsidRPr="001C4957">
              <w:t xml:space="preserve"> cultural landscapes</w:t>
            </w:r>
          </w:p>
        </w:tc>
        <w:tc>
          <w:tcPr>
            <w:tcW w:w="5619" w:type="dxa"/>
          </w:tcPr>
          <w:p w14:paraId="5632A96B" w14:textId="08C99955" w:rsidR="00680717" w:rsidRPr="00561E15" w:rsidRDefault="0009378C" w:rsidP="00A247C5">
            <w:pPr>
              <w:pStyle w:val="Table1"/>
            </w:pPr>
            <w:proofErr w:type="spellStart"/>
            <w:r w:rsidRPr="0009378C">
              <w:t>Wāhi</w:t>
            </w:r>
            <w:proofErr w:type="spellEnd"/>
            <w:r w:rsidRPr="0009378C">
              <w:t xml:space="preserve"> tūpuna and their associated cultural values are identified and protected., </w:t>
            </w:r>
          </w:p>
        </w:tc>
      </w:tr>
      <w:tr w:rsidR="009E267C" w14:paraId="19BEC6DA" w14:textId="77777777" w:rsidTr="00E77177">
        <w:tc>
          <w:tcPr>
            <w:tcW w:w="2677" w:type="dxa"/>
          </w:tcPr>
          <w:p w14:paraId="2D8C2399" w14:textId="346B9F1B" w:rsidR="009E267C" w:rsidRPr="001C4957" w:rsidRDefault="00EE6B0A" w:rsidP="00A247C5">
            <w:pPr>
              <w:pStyle w:val="Table1"/>
            </w:pPr>
            <w:r w:rsidRPr="00EE6B0A">
              <w:t xml:space="preserve">HCV–WT–O2 – </w:t>
            </w:r>
            <w:proofErr w:type="spellStart"/>
            <w:r w:rsidRPr="00EE6B0A">
              <w:t>Rakatirataka</w:t>
            </w:r>
            <w:proofErr w:type="spellEnd"/>
          </w:p>
        </w:tc>
        <w:tc>
          <w:tcPr>
            <w:tcW w:w="5619" w:type="dxa"/>
          </w:tcPr>
          <w:p w14:paraId="743E6BE9" w14:textId="2C31027C" w:rsidR="009E267C" w:rsidRPr="0059279D" w:rsidRDefault="00D32ED3" w:rsidP="00A247C5">
            <w:pPr>
              <w:pStyle w:val="Table1"/>
            </w:pPr>
            <w:r w:rsidRPr="00D32ED3">
              <w:t>T</w:t>
            </w:r>
            <w:r w:rsidR="00AC0DCE">
              <w:t>he</w:t>
            </w:r>
            <w:r w:rsidRPr="00D32ED3">
              <w:t xml:space="preserve"> </w:t>
            </w:r>
            <w:proofErr w:type="spellStart"/>
            <w:r w:rsidRPr="00D32ED3">
              <w:t>rakatirataka</w:t>
            </w:r>
            <w:proofErr w:type="spellEnd"/>
            <w:r w:rsidRPr="00D32ED3">
              <w:t xml:space="preserve"> of mana whenua over </w:t>
            </w:r>
            <w:proofErr w:type="spellStart"/>
            <w:r w:rsidRPr="00D32ED3">
              <w:t>wāhi</w:t>
            </w:r>
            <w:proofErr w:type="spellEnd"/>
            <w:r w:rsidRPr="00D32ED3">
              <w:t xml:space="preserve"> tūpuna is recognised, and mana whenua </w:t>
            </w:r>
            <w:proofErr w:type="gramStart"/>
            <w:r w:rsidRPr="00D32ED3">
              <w:t>are able to</w:t>
            </w:r>
            <w:proofErr w:type="gramEnd"/>
            <w:r w:rsidRPr="00D32ED3">
              <w:t xml:space="preserve"> exercise </w:t>
            </w:r>
            <w:proofErr w:type="spellStart"/>
            <w:r w:rsidRPr="00D32ED3">
              <w:t>kaitiakitaka</w:t>
            </w:r>
            <w:proofErr w:type="spellEnd"/>
            <w:r w:rsidRPr="00D32ED3">
              <w:t xml:space="preserve"> within these areas.</w:t>
            </w:r>
            <w:r>
              <w:tab/>
            </w:r>
          </w:p>
        </w:tc>
      </w:tr>
    </w:tbl>
    <w:p w14:paraId="19A4F621" w14:textId="1108EBC9" w:rsidR="5CA54A02" w:rsidRDefault="5CA54A02" w:rsidP="00DE069C">
      <w:pPr>
        <w:pStyle w:val="Heading4"/>
        <w:rPr>
          <w:szCs w:val="24"/>
        </w:rPr>
      </w:pPr>
      <w:r>
        <w:t>Reasonably practicable options</w:t>
      </w:r>
    </w:p>
    <w:p w14:paraId="4088467B" w14:textId="5DE99ECE" w:rsidR="5CA54A02" w:rsidRPr="00F763A5" w:rsidRDefault="005724E0" w:rsidP="00A247C5">
      <w:pPr>
        <w:pStyle w:val="Normal2"/>
      </w:pPr>
      <w:r>
        <w:t>Three</w:t>
      </w:r>
      <w:r w:rsidR="5CA54A02">
        <w:t xml:space="preserve"> reasonably practicable options were identified to achieve the objectives:</w:t>
      </w:r>
    </w:p>
    <w:p w14:paraId="25BAB396" w14:textId="1AEC3C1A" w:rsidR="000C4C5B" w:rsidRPr="00DB3541" w:rsidRDefault="000C4C5B" w:rsidP="00A247C5">
      <w:pPr>
        <w:pStyle w:val="Normal3"/>
        <w:numPr>
          <w:ilvl w:val="1"/>
          <w:numId w:val="70"/>
        </w:numPr>
      </w:pPr>
      <w:r w:rsidRPr="00A247C5">
        <w:rPr>
          <w:b/>
          <w:bCs/>
        </w:rPr>
        <w:t>Option 1:</w:t>
      </w:r>
      <w:r>
        <w:t xml:space="preserve"> </w:t>
      </w:r>
      <w:r w:rsidRPr="00DB3541">
        <w:t>Status quo (PORPS 2019)</w:t>
      </w:r>
    </w:p>
    <w:p w14:paraId="5F18FA63" w14:textId="1C0E6030" w:rsidR="1F248919" w:rsidRPr="00F763A5" w:rsidRDefault="000C4C5B" w:rsidP="00A247C5">
      <w:pPr>
        <w:pStyle w:val="Normal3"/>
        <w:numPr>
          <w:ilvl w:val="1"/>
          <w:numId w:val="70"/>
        </w:numPr>
      </w:pPr>
      <w:r w:rsidRPr="00A247C5">
        <w:rPr>
          <w:b/>
          <w:bCs/>
        </w:rPr>
        <w:t>Option 2:</w:t>
      </w:r>
      <w:r>
        <w:t xml:space="preserve"> </w:t>
      </w:r>
      <w:r w:rsidR="00E81F7F">
        <w:t>PORPS 2021</w:t>
      </w:r>
      <w:r w:rsidR="00DC4D46">
        <w:t xml:space="preserve"> – </w:t>
      </w:r>
      <w:r w:rsidR="00DC4D46">
        <w:rPr>
          <w:i/>
          <w:iCs/>
        </w:rPr>
        <w:t xml:space="preserve">preferred </w:t>
      </w:r>
    </w:p>
    <w:p w14:paraId="4F155D11" w14:textId="01962417" w:rsidR="005724E0" w:rsidRPr="00F763A5" w:rsidRDefault="005724E0" w:rsidP="00A247C5">
      <w:pPr>
        <w:pStyle w:val="Normal3"/>
        <w:numPr>
          <w:ilvl w:val="1"/>
          <w:numId w:val="70"/>
        </w:numPr>
      </w:pPr>
      <w:r w:rsidRPr="00A247C5">
        <w:rPr>
          <w:b/>
          <w:bCs/>
        </w:rPr>
        <w:t>Option</w:t>
      </w:r>
      <w:r w:rsidR="001B199E" w:rsidRPr="00A247C5">
        <w:rPr>
          <w:b/>
          <w:bCs/>
        </w:rPr>
        <w:t xml:space="preserve"> 3: </w:t>
      </w:r>
      <w:proofErr w:type="spellStart"/>
      <w:r w:rsidR="00DC4D46">
        <w:t>W</w:t>
      </w:r>
      <w:r w:rsidR="00A11F96">
        <w:t>āhi</w:t>
      </w:r>
      <w:proofErr w:type="spellEnd"/>
      <w:r w:rsidR="00A11F96">
        <w:t xml:space="preserve"> t</w:t>
      </w:r>
      <w:r w:rsidR="003A2AF9">
        <w:t>ū</w:t>
      </w:r>
      <w:r w:rsidR="00A11F96">
        <w:t xml:space="preserve">puna </w:t>
      </w:r>
      <w:r w:rsidR="003A2AF9">
        <w:t>addressed indirectly through provisions</w:t>
      </w:r>
      <w:r w:rsidR="00383B35">
        <w:t xml:space="preserve"> in</w:t>
      </w:r>
      <w:r w:rsidR="003A2AF9">
        <w:t xml:space="preserve"> </w:t>
      </w:r>
      <w:r w:rsidR="00383B35">
        <w:t xml:space="preserve">other </w:t>
      </w:r>
      <w:r w:rsidR="003A2AF9">
        <w:t xml:space="preserve">chapters </w:t>
      </w:r>
    </w:p>
    <w:p w14:paraId="5BB7206D" w14:textId="77777777" w:rsidR="5CA54A02" w:rsidRPr="00F763A5" w:rsidRDefault="5CA54A02" w:rsidP="000B61EC">
      <w:pPr>
        <w:pStyle w:val="Heading5"/>
      </w:pPr>
      <w:r w:rsidRPr="00F763A5">
        <w:t>Option 1: Status quo</w:t>
      </w:r>
    </w:p>
    <w:p w14:paraId="0AC84118" w14:textId="0FF10F53" w:rsidR="00162C7E" w:rsidRPr="009F72C5" w:rsidRDefault="00194828" w:rsidP="00A247C5">
      <w:pPr>
        <w:pStyle w:val="Normal2"/>
      </w:pPr>
      <w:r>
        <w:t>The status quo and associated issues are outlined in section</w:t>
      </w:r>
      <w:r w:rsidR="00C34D72">
        <w:t xml:space="preserve"> </w:t>
      </w:r>
      <w:r>
        <w:fldChar w:fldCharType="begin"/>
      </w:r>
      <w:r>
        <w:instrText xml:space="preserve"> REF _Ref53990573 \r \h </w:instrText>
      </w:r>
      <w:r>
        <w:fldChar w:fldCharType="separate"/>
      </w:r>
      <w:r w:rsidR="002A7A16">
        <w:t>5.11.2.2</w:t>
      </w:r>
      <w:r>
        <w:fldChar w:fldCharType="end"/>
      </w:r>
      <w:r>
        <w:t>. As outlined in that section, the status quo is generally appropriate but there are opportunities to improve clarity</w:t>
      </w:r>
      <w:r w:rsidR="00721F9E">
        <w:t xml:space="preserve"> </w:t>
      </w:r>
      <w:r w:rsidR="00721F9E">
        <w:lastRenderedPageBreak/>
        <w:t xml:space="preserve">and better recognise feedback from Kāi </w:t>
      </w:r>
      <w:proofErr w:type="spellStart"/>
      <w:r w:rsidR="00721F9E">
        <w:t>Tahu</w:t>
      </w:r>
      <w:proofErr w:type="spellEnd"/>
      <w:r>
        <w:t xml:space="preserve">. </w:t>
      </w:r>
      <w:r w:rsidR="00026BB7">
        <w:t>Given the issues associated with the effectiveness of the existing provisions, Option 1 is unlikely to be the most appropriate option for achieving the objecti</w:t>
      </w:r>
      <w:r w:rsidR="00843408">
        <w:t>ves</w:t>
      </w:r>
      <w:r w:rsidR="00154B63">
        <w:t>.</w:t>
      </w:r>
    </w:p>
    <w:p w14:paraId="663AEA9F" w14:textId="344C4109" w:rsidR="5CA54A02" w:rsidRPr="00DC4D46" w:rsidRDefault="5CA54A02" w:rsidP="000B61EC">
      <w:pPr>
        <w:pStyle w:val="Heading5"/>
        <w:rPr>
          <w:i/>
          <w:iCs/>
        </w:rPr>
      </w:pPr>
      <w:r w:rsidRPr="00F763A5">
        <w:t xml:space="preserve">Option 2: </w:t>
      </w:r>
      <w:r w:rsidR="00E81F7F">
        <w:t>PORPS 2021</w:t>
      </w:r>
      <w:r w:rsidR="00DC4D46">
        <w:t xml:space="preserve"> – </w:t>
      </w:r>
      <w:r w:rsidR="00DC4D46">
        <w:rPr>
          <w:i/>
          <w:iCs/>
        </w:rPr>
        <w:t xml:space="preserve">preferred </w:t>
      </w:r>
    </w:p>
    <w:p w14:paraId="70DA9F11" w14:textId="0AF263DB" w:rsidR="007B3C8C" w:rsidRPr="009E423D" w:rsidRDefault="007B3C8C" w:rsidP="00A247C5">
      <w:pPr>
        <w:pStyle w:val="Normal2"/>
      </w:pPr>
      <w:r>
        <w:t>This option includes policies and methods that describe the actions that will be undertaken to achieve HCV</w:t>
      </w:r>
      <w:r w:rsidR="00DC4D46">
        <w:t>–</w:t>
      </w:r>
      <w:r w:rsidR="009C02DF">
        <w:t>WT</w:t>
      </w:r>
      <w:r w:rsidR="00DC4D46">
        <w:t>–</w:t>
      </w:r>
      <w:r>
        <w:t xml:space="preserve">O1 and </w:t>
      </w:r>
      <w:r w:rsidR="003048FD">
        <w:t>HCV</w:t>
      </w:r>
      <w:r w:rsidR="00DC4D46">
        <w:t>–</w:t>
      </w:r>
      <w:r w:rsidR="003048FD">
        <w:t>WT</w:t>
      </w:r>
      <w:r w:rsidR="00DC4D46">
        <w:t>–</w:t>
      </w:r>
      <w:proofErr w:type="gramStart"/>
      <w:r w:rsidR="003048FD">
        <w:t>O2,</w:t>
      </w:r>
      <w:r>
        <w:t xml:space="preserve"> and</w:t>
      </w:r>
      <w:proofErr w:type="gramEnd"/>
      <w:r>
        <w:t xml:space="preserve"> seek to recognise</w:t>
      </w:r>
      <w:r w:rsidR="0095116F">
        <w:t xml:space="preserve"> and protect the</w:t>
      </w:r>
      <w:r>
        <w:t xml:space="preserve"> elements of </w:t>
      </w:r>
      <w:proofErr w:type="spellStart"/>
      <w:r w:rsidR="002C6509">
        <w:t>wāhi</w:t>
      </w:r>
      <w:proofErr w:type="spellEnd"/>
      <w:r w:rsidR="002C6509">
        <w:t xml:space="preserve"> tūpuna </w:t>
      </w:r>
      <w:r>
        <w:t xml:space="preserve">to </w:t>
      </w:r>
      <w:r w:rsidR="007A780C">
        <w:t>Kāi</w:t>
      </w:r>
      <w:r w:rsidR="002C6509">
        <w:t xml:space="preserve"> </w:t>
      </w:r>
      <w:proofErr w:type="spellStart"/>
      <w:r w:rsidR="002C6509">
        <w:t>Tahu</w:t>
      </w:r>
      <w:proofErr w:type="spellEnd"/>
      <w:r w:rsidR="002C6509">
        <w:t xml:space="preserve"> ki </w:t>
      </w:r>
      <w:r>
        <w:t>Otago</w:t>
      </w:r>
      <w:r w:rsidR="008C6BCE">
        <w:t xml:space="preserve">, including ensuring </w:t>
      </w:r>
      <w:r w:rsidR="00DC4D46">
        <w:t>m</w:t>
      </w:r>
      <w:r w:rsidR="008C6BCE">
        <w:t>ana whenua can exercise</w:t>
      </w:r>
      <w:r w:rsidR="00540FEF">
        <w:t xml:space="preserve"> </w:t>
      </w:r>
      <w:proofErr w:type="spellStart"/>
      <w:r w:rsidR="00ED2C00" w:rsidRPr="00ED2C00">
        <w:t>kaitiakitaka</w:t>
      </w:r>
      <w:proofErr w:type="spellEnd"/>
      <w:r>
        <w:t xml:space="preserve">. </w:t>
      </w:r>
    </w:p>
    <w:p w14:paraId="0E1547AA" w14:textId="6C6D2BFE" w:rsidR="007B3C8C" w:rsidRPr="008B270A" w:rsidRDefault="007B3C8C" w:rsidP="00A247C5">
      <w:pPr>
        <w:pStyle w:val="Normal2"/>
        <w:rPr>
          <w:rFonts w:eastAsiaTheme="minorEastAsia"/>
        </w:rPr>
      </w:pPr>
      <w:r>
        <w:t xml:space="preserve">The policies </w:t>
      </w:r>
      <w:r w:rsidR="0076352D">
        <w:t xml:space="preserve">seek to enable </w:t>
      </w:r>
      <w:r w:rsidR="007A780C">
        <w:t xml:space="preserve">Kāi </w:t>
      </w:r>
      <w:proofErr w:type="spellStart"/>
      <w:r w:rsidR="00E33A73">
        <w:t>Tahu</w:t>
      </w:r>
      <w:proofErr w:type="spellEnd"/>
      <w:r w:rsidR="00E33A73">
        <w:t xml:space="preserve"> relationships with </w:t>
      </w:r>
      <w:proofErr w:type="spellStart"/>
      <w:r w:rsidR="00E33A73">
        <w:t>wāhi</w:t>
      </w:r>
      <w:proofErr w:type="spellEnd"/>
      <w:r w:rsidR="00E33A73">
        <w:t xml:space="preserve"> tūpuna by </w:t>
      </w:r>
      <w:r w:rsidR="007A780C">
        <w:t xml:space="preserve">ensuring that </w:t>
      </w:r>
      <w:proofErr w:type="spellStart"/>
      <w:r w:rsidR="007A780C">
        <w:t>wāhi</w:t>
      </w:r>
      <w:proofErr w:type="spellEnd"/>
      <w:r w:rsidR="007A780C">
        <w:t xml:space="preserve"> </w:t>
      </w:r>
      <w:r w:rsidR="2680147D">
        <w:t>tūpuna</w:t>
      </w:r>
      <w:r w:rsidR="007A780C">
        <w:t>, and the values that contribute to them being significant, are identified</w:t>
      </w:r>
      <w:r w:rsidR="005116FE">
        <w:t>. The policies</w:t>
      </w:r>
      <w:r w:rsidR="007A780C">
        <w:t xml:space="preserve"> recognis</w:t>
      </w:r>
      <w:r w:rsidR="005116FE">
        <w:t>e</w:t>
      </w:r>
      <w:r w:rsidR="007A780C">
        <w:t xml:space="preserve"> that this identification process can only be undertaken by Kāi </w:t>
      </w:r>
      <w:proofErr w:type="spellStart"/>
      <w:r w:rsidR="007A780C">
        <w:t>Tahu</w:t>
      </w:r>
      <w:proofErr w:type="spellEnd"/>
      <w:r w:rsidR="005116FE">
        <w:t xml:space="preserve">, with methods that require local authorities to collaborate with iwi to identify </w:t>
      </w:r>
      <w:proofErr w:type="spellStart"/>
      <w:r w:rsidR="00CE2FC6">
        <w:t>wāhi</w:t>
      </w:r>
      <w:proofErr w:type="spellEnd"/>
      <w:r w:rsidR="00CE2FC6">
        <w:t xml:space="preserve"> tūpuna </w:t>
      </w:r>
      <w:r w:rsidR="0047168D">
        <w:t xml:space="preserve">and </w:t>
      </w:r>
      <w:r w:rsidR="00094496">
        <w:t>map</w:t>
      </w:r>
      <w:r w:rsidR="0047168D">
        <w:t xml:space="preserve"> these sites and areas in </w:t>
      </w:r>
      <w:r w:rsidR="008579C8">
        <w:t xml:space="preserve">the relevant regional and district plans. </w:t>
      </w:r>
    </w:p>
    <w:p w14:paraId="616AFB3B" w14:textId="77A5899B" w:rsidR="007B3C8C" w:rsidRDefault="007B3C8C" w:rsidP="00A247C5">
      <w:pPr>
        <w:pStyle w:val="Normal2"/>
      </w:pPr>
      <w:r>
        <w:t xml:space="preserve">The policies also set out a management approach for protecting </w:t>
      </w:r>
      <w:proofErr w:type="spellStart"/>
      <w:r w:rsidR="00644D7F">
        <w:t>wāhi</w:t>
      </w:r>
      <w:proofErr w:type="spellEnd"/>
      <w:r w:rsidR="00644D7F">
        <w:t xml:space="preserve"> tūpuna </w:t>
      </w:r>
      <w:r>
        <w:t xml:space="preserve">from inappropriate subdivision, use and development that includes avoiding </w:t>
      </w:r>
      <w:r w:rsidR="006D7451">
        <w:t xml:space="preserve">significant </w:t>
      </w:r>
      <w:r>
        <w:t xml:space="preserve">adverse effects on values that contribute to </w:t>
      </w:r>
      <w:proofErr w:type="spellStart"/>
      <w:r w:rsidR="003A6C4A">
        <w:t>wāhi</w:t>
      </w:r>
      <w:proofErr w:type="spellEnd"/>
      <w:r w:rsidR="003A6C4A">
        <w:t xml:space="preserve"> tūpuna </w:t>
      </w:r>
      <w:r w:rsidR="00C537D2">
        <w:t>being significant and avoiding</w:t>
      </w:r>
      <w:r>
        <w:t xml:space="preserve">, </w:t>
      </w:r>
      <w:proofErr w:type="gramStart"/>
      <w:r>
        <w:t>remedying</w:t>
      </w:r>
      <w:proofErr w:type="gramEnd"/>
      <w:r>
        <w:t xml:space="preserve"> or mitigating adverse effects on </w:t>
      </w:r>
      <w:r w:rsidR="00B502B5">
        <w:t>other adverse effects</w:t>
      </w:r>
      <w:r>
        <w:t>.</w:t>
      </w:r>
      <w:r w:rsidR="00B502B5">
        <w:t xml:space="preserve"> This management approach is the same as Option 1.</w:t>
      </w:r>
      <w:r>
        <w:t xml:space="preserve"> </w:t>
      </w:r>
    </w:p>
    <w:p w14:paraId="67DA4B9C" w14:textId="1D76AEF1" w:rsidR="007B3C8C" w:rsidRDefault="007B3C8C" w:rsidP="00A247C5">
      <w:pPr>
        <w:pStyle w:val="Normal2"/>
      </w:pPr>
      <w:r>
        <w:t xml:space="preserve">The proposed methods include direction for the local authorities to amend their plans to include objectives, </w:t>
      </w:r>
      <w:proofErr w:type="gramStart"/>
      <w:r>
        <w:t>policies</w:t>
      </w:r>
      <w:proofErr w:type="gramEnd"/>
      <w:r>
        <w:t xml:space="preserve"> and methods to protect </w:t>
      </w:r>
      <w:r w:rsidR="00B502B5">
        <w:t xml:space="preserve">identified </w:t>
      </w:r>
      <w:proofErr w:type="spellStart"/>
      <w:r w:rsidR="00B502B5">
        <w:t>wāhi</w:t>
      </w:r>
      <w:proofErr w:type="spellEnd"/>
      <w:r w:rsidR="00B502B5">
        <w:t xml:space="preserve"> tūpuna </w:t>
      </w:r>
      <w:r>
        <w:t>from inappropriate use and development.</w:t>
      </w:r>
    </w:p>
    <w:p w14:paraId="20C046FD" w14:textId="76BE1547" w:rsidR="0090660F" w:rsidRDefault="0090660F" w:rsidP="000B61EC">
      <w:pPr>
        <w:pStyle w:val="Heading5"/>
      </w:pPr>
      <w:r w:rsidRPr="0090660F">
        <w:t xml:space="preserve">Option 3: </w:t>
      </w:r>
      <w:proofErr w:type="spellStart"/>
      <w:r w:rsidR="00743DB8">
        <w:t>W</w:t>
      </w:r>
      <w:r>
        <w:t>āhi</w:t>
      </w:r>
      <w:proofErr w:type="spellEnd"/>
      <w:r>
        <w:t xml:space="preserve"> tūpuna addressed indirectly through provisions</w:t>
      </w:r>
      <w:r w:rsidR="007105B1">
        <w:t xml:space="preserve"> in </w:t>
      </w:r>
      <w:r>
        <w:t xml:space="preserve">other chapters </w:t>
      </w:r>
    </w:p>
    <w:p w14:paraId="569D69E2" w14:textId="5EF5BCA6" w:rsidR="006A39A3" w:rsidRDefault="0090660F" w:rsidP="00A247C5">
      <w:pPr>
        <w:pStyle w:val="Normal2"/>
      </w:pPr>
      <w:r>
        <w:t xml:space="preserve">The National Planning Standards do not require </w:t>
      </w:r>
      <w:r w:rsidR="00AC7607">
        <w:t>provisions specifically dealing</w:t>
      </w:r>
      <w:r w:rsidR="00DB7C7B">
        <w:t xml:space="preserve"> with </w:t>
      </w:r>
      <w:proofErr w:type="spellStart"/>
      <w:r w:rsidR="00DB7C7B">
        <w:t>wāhi</w:t>
      </w:r>
      <w:proofErr w:type="spellEnd"/>
      <w:r w:rsidR="00DB7C7B">
        <w:t xml:space="preserve"> tūpuna. These matters could be dealt with</w:t>
      </w:r>
      <w:r w:rsidR="00743DB8">
        <w:t xml:space="preserve"> in provisions</w:t>
      </w:r>
      <w:r w:rsidR="00CD6BBD">
        <w:t xml:space="preserve"> in </w:t>
      </w:r>
      <w:r w:rsidR="00743DB8">
        <w:t xml:space="preserve">other chapters, </w:t>
      </w:r>
      <w:r w:rsidR="006A39A3">
        <w:t>for example those regarding natural features and landscapes.</w:t>
      </w:r>
    </w:p>
    <w:p w14:paraId="25343E15" w14:textId="60548DC7" w:rsidR="006A39A3" w:rsidRDefault="00690B61" w:rsidP="00A247C5">
      <w:pPr>
        <w:pStyle w:val="Normal2"/>
      </w:pPr>
      <w:r>
        <w:t xml:space="preserve">This approach was rejected, as </w:t>
      </w:r>
      <w:r w:rsidR="006C39A4">
        <w:t xml:space="preserve">matters pertaining to </w:t>
      </w:r>
      <w:proofErr w:type="spellStart"/>
      <w:r>
        <w:t>wāhi</w:t>
      </w:r>
      <w:proofErr w:type="spellEnd"/>
      <w:r>
        <w:t xml:space="preserve"> tupuna </w:t>
      </w:r>
      <w:r w:rsidR="006C39A4">
        <w:t>identification and management are distinct</w:t>
      </w:r>
      <w:r w:rsidR="00367DDE">
        <w:t xml:space="preserve"> and require a specific suite of provisions</w:t>
      </w:r>
      <w:r w:rsidR="006C39A4">
        <w:t>. Ad</w:t>
      </w:r>
      <w:r w:rsidR="00B94247">
        <w:t>d</w:t>
      </w:r>
      <w:r w:rsidR="006C39A4">
        <w:t>ressing the</w:t>
      </w:r>
      <w:r w:rsidR="00E258F1">
        <w:t>se matters</w:t>
      </w:r>
      <w:r w:rsidR="006C39A4">
        <w:t xml:space="preserve"> through</w:t>
      </w:r>
      <w:r w:rsidR="00CE2D33">
        <w:t>out the RPS</w:t>
      </w:r>
      <w:r w:rsidR="006C39A4">
        <w:t xml:space="preserve"> policy framework would not appropriately </w:t>
      </w:r>
      <w:r w:rsidR="00E258F1">
        <w:t xml:space="preserve">provide for </w:t>
      </w:r>
      <w:r w:rsidR="00112A38">
        <w:t xml:space="preserve">the specific requirements for </w:t>
      </w:r>
      <w:r w:rsidR="00C92857">
        <w:t>managing</w:t>
      </w:r>
      <w:r w:rsidR="00112A38">
        <w:t xml:space="preserve"> </w:t>
      </w:r>
      <w:proofErr w:type="spellStart"/>
      <w:r w:rsidR="00112A38">
        <w:t>wāhi</w:t>
      </w:r>
      <w:proofErr w:type="spellEnd"/>
      <w:r w:rsidR="00112A38">
        <w:t xml:space="preserve"> t</w:t>
      </w:r>
      <w:r w:rsidR="00473C30">
        <w:t>ū</w:t>
      </w:r>
      <w:r w:rsidR="00112A38">
        <w:t xml:space="preserve">puna, including </w:t>
      </w:r>
      <w:r w:rsidR="00C920D2">
        <w:t xml:space="preserve">the </w:t>
      </w:r>
      <w:r w:rsidR="00112A38">
        <w:t>appropriate identification and</w:t>
      </w:r>
      <w:r w:rsidR="00473C30">
        <w:t xml:space="preserve"> recognition of cultural values.</w:t>
      </w:r>
      <w:r w:rsidR="00B94247">
        <w:t xml:space="preserve"> This </w:t>
      </w:r>
      <w:r w:rsidR="00B90B3F">
        <w:t>approach is not considered</w:t>
      </w:r>
      <w:r w:rsidR="00B94247">
        <w:t xml:space="preserve"> </w:t>
      </w:r>
      <w:r w:rsidR="00B90B3F">
        <w:t xml:space="preserve">to </w:t>
      </w:r>
      <w:r w:rsidR="00B94247">
        <w:t>be effective or efficient.</w:t>
      </w:r>
    </w:p>
    <w:p w14:paraId="4F6E5274" w14:textId="77777777" w:rsidR="00CA315B" w:rsidRDefault="00CA315B" w:rsidP="00DE069C">
      <w:pPr>
        <w:pStyle w:val="Heading4"/>
      </w:pPr>
      <w:r>
        <w:t>Consultation summary</w:t>
      </w:r>
    </w:p>
    <w:p w14:paraId="3A0C3AF5" w14:textId="77777777" w:rsidR="001E2632" w:rsidRDefault="001E2632" w:rsidP="000B61EC">
      <w:pPr>
        <w:pStyle w:val="Heading5"/>
      </w:pPr>
      <w:r w:rsidRPr="00DD728A">
        <w:t>Clause 3 consultation</w:t>
      </w:r>
    </w:p>
    <w:p w14:paraId="023E9523" w14:textId="5BD07029" w:rsidR="001E2632" w:rsidRDefault="001E2632"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w:instrText>
      </w:r>
      <w:r>
        <w:fldChar w:fldCharType="separate"/>
      </w:r>
      <w:r w:rsidR="002A7A16">
        <w:t>2.5.1</w:t>
      </w:r>
      <w:r>
        <w:fldChar w:fldCharType="end"/>
      </w:r>
      <w:r>
        <w:t xml:space="preserve"> of this report. </w:t>
      </w:r>
      <w:r w:rsidR="007F7EAE">
        <w:t>T</w:t>
      </w:r>
      <w:r w:rsidR="00954DC4">
        <w:t>hree</w:t>
      </w:r>
      <w:r>
        <w:t xml:space="preserve"> parties provided feedback on the </w:t>
      </w:r>
      <w:r w:rsidRPr="00DC4D46">
        <w:rPr>
          <w:i/>
          <w:iCs/>
        </w:rPr>
        <w:t>HCV</w:t>
      </w:r>
      <w:r w:rsidR="00DC4D46" w:rsidRPr="00DC4D46">
        <w:rPr>
          <w:i/>
          <w:iCs/>
        </w:rPr>
        <w:t>–</w:t>
      </w:r>
      <w:r w:rsidR="007F7EAE" w:rsidRPr="00DC4D46">
        <w:rPr>
          <w:i/>
          <w:iCs/>
        </w:rPr>
        <w:t>WT</w:t>
      </w:r>
      <w:r w:rsidRPr="00DC4D46">
        <w:rPr>
          <w:i/>
          <w:iCs/>
        </w:rPr>
        <w:t xml:space="preserve"> </w:t>
      </w:r>
      <w:r w:rsidR="00DC4D46" w:rsidRPr="00DC4D46">
        <w:rPr>
          <w:i/>
          <w:iCs/>
        </w:rPr>
        <w:t xml:space="preserve">– </w:t>
      </w:r>
      <w:proofErr w:type="spellStart"/>
      <w:r w:rsidR="00DC4D46" w:rsidRPr="00DC4D46">
        <w:rPr>
          <w:i/>
          <w:iCs/>
        </w:rPr>
        <w:t>Wāhi</w:t>
      </w:r>
      <w:proofErr w:type="spellEnd"/>
      <w:r w:rsidR="00DC4D46" w:rsidRPr="00DC4D46">
        <w:rPr>
          <w:i/>
          <w:iCs/>
        </w:rPr>
        <w:t xml:space="preserve"> tūpuna</w:t>
      </w:r>
      <w:r w:rsidR="00DC4D46">
        <w:t xml:space="preserve"> section</w:t>
      </w:r>
      <w:r>
        <w:t xml:space="preserve"> through clause 3 consultation</w:t>
      </w:r>
      <w:r w:rsidR="00954DC4">
        <w:t xml:space="preserve"> (which includes the Reference Group for the HCV chapter)</w:t>
      </w:r>
      <w:r>
        <w:t xml:space="preserve">. The feedback </w:t>
      </w:r>
      <w:r w:rsidR="00197772">
        <w:t xml:space="preserve">sought ranged from </w:t>
      </w:r>
      <w:r w:rsidR="00DD7C47">
        <w:t>general</w:t>
      </w:r>
      <w:r w:rsidR="00197772">
        <w:t xml:space="preserve"> clarifications </w:t>
      </w:r>
      <w:r w:rsidR="00A503DB">
        <w:t xml:space="preserve">(including the use of </w:t>
      </w:r>
      <w:r w:rsidR="000C7B5D">
        <w:t xml:space="preserve">terminology), </w:t>
      </w:r>
      <w:r w:rsidR="00251A12">
        <w:t xml:space="preserve">requests for </w:t>
      </w:r>
      <w:r w:rsidR="00197772">
        <w:t>changes</w:t>
      </w:r>
      <w:r w:rsidR="000042BA">
        <w:t xml:space="preserve"> related to the obligations of local authorities and </w:t>
      </w:r>
      <w:r w:rsidR="00251A12">
        <w:t>to resolve</w:t>
      </w:r>
      <w:r w:rsidR="000042BA">
        <w:t xml:space="preserve"> the potential duplication of </w:t>
      </w:r>
      <w:r w:rsidR="00F81AE2">
        <w:t xml:space="preserve">archaeological site protection under the Heritage New Zealand </w:t>
      </w:r>
      <w:proofErr w:type="spellStart"/>
      <w:r w:rsidR="009E1BCD">
        <w:t>Pouhere</w:t>
      </w:r>
      <w:proofErr w:type="spellEnd"/>
      <w:r w:rsidR="009E1BCD">
        <w:t xml:space="preserve"> Taonga Act 2014.</w:t>
      </w:r>
      <w:r w:rsidR="00A23570">
        <w:t xml:space="preserve"> </w:t>
      </w:r>
      <w:r w:rsidR="00032294">
        <w:t>Few m</w:t>
      </w:r>
      <w:r w:rsidR="00F15E52">
        <w:t xml:space="preserve">inor amendments were made to the draft provisions in response </w:t>
      </w:r>
      <w:r w:rsidR="0069461F">
        <w:t>the</w:t>
      </w:r>
      <w:r w:rsidR="0053340D">
        <w:t xml:space="preserve"> feedback including </w:t>
      </w:r>
      <w:r w:rsidR="00176ABB">
        <w:t xml:space="preserve">adding </w:t>
      </w:r>
      <w:r w:rsidR="0053340D">
        <w:t xml:space="preserve">a definition of </w:t>
      </w:r>
      <w:proofErr w:type="spellStart"/>
      <w:r w:rsidR="007105B1">
        <w:t>w</w:t>
      </w:r>
      <w:r w:rsidR="00176ABB">
        <w:t>āhi</w:t>
      </w:r>
      <w:proofErr w:type="spellEnd"/>
      <w:r w:rsidR="00176ABB">
        <w:t xml:space="preserve"> </w:t>
      </w:r>
      <w:r w:rsidR="007105B1">
        <w:t>t</w:t>
      </w:r>
      <w:r w:rsidR="00176ABB">
        <w:t>ūpuna</w:t>
      </w:r>
      <w:r w:rsidR="00032294">
        <w:t xml:space="preserve">. </w:t>
      </w:r>
      <w:r w:rsidR="00F15E52">
        <w:t xml:space="preserve"> </w:t>
      </w:r>
    </w:p>
    <w:p w14:paraId="565E0947" w14:textId="35EC01CF" w:rsidR="00CA315B" w:rsidRPr="00963D37" w:rsidRDefault="00466909" w:rsidP="00A247C5">
      <w:pPr>
        <w:pStyle w:val="Normal2"/>
      </w:pPr>
      <w:r>
        <w:t xml:space="preserve">The </w:t>
      </w:r>
      <w:proofErr w:type="spellStart"/>
      <w:r>
        <w:t>Wāhi</w:t>
      </w:r>
      <w:proofErr w:type="spellEnd"/>
      <w:r>
        <w:t xml:space="preserve"> Tūpuna provisi</w:t>
      </w:r>
      <w:r w:rsidR="00F23F01">
        <w:t>o</w:t>
      </w:r>
      <w:r>
        <w:t xml:space="preserve">ns were developed in close partnership and collaboration with </w:t>
      </w:r>
      <w:r w:rsidR="00F23F01">
        <w:t>mana whenua</w:t>
      </w:r>
      <w:r w:rsidR="0036092F">
        <w:t xml:space="preserve"> at a staff level</w:t>
      </w:r>
      <w:r>
        <w:t>, through</w:t>
      </w:r>
      <w:r w:rsidR="00F23F01">
        <w:t xml:space="preserve"> the Kāi </w:t>
      </w:r>
      <w:proofErr w:type="spellStart"/>
      <w:r w:rsidR="00F23F01">
        <w:t>Tahu</w:t>
      </w:r>
      <w:proofErr w:type="spellEnd"/>
      <w:r w:rsidR="0040068F">
        <w:t xml:space="preserve"> consulta</w:t>
      </w:r>
      <w:r w:rsidR="00F23F01">
        <w:t xml:space="preserve">ncies </w:t>
      </w:r>
      <w:proofErr w:type="spellStart"/>
      <w:r w:rsidR="00F23F01">
        <w:t>Aukaha</w:t>
      </w:r>
      <w:proofErr w:type="spellEnd"/>
      <w:r w:rsidR="00F23F01">
        <w:t xml:space="preserve"> and Te Ao Marama </w:t>
      </w:r>
      <w:r w:rsidR="00F23F01">
        <w:lastRenderedPageBreak/>
        <w:t>Inc.</w:t>
      </w:r>
      <w:r w:rsidR="0036092F">
        <w:t xml:space="preserve"> Some comments on these provisions were</w:t>
      </w:r>
      <w:r w:rsidR="0027135B">
        <w:t xml:space="preserve"> received through clause 3 </w:t>
      </w:r>
      <w:proofErr w:type="gramStart"/>
      <w:r w:rsidR="0027135B">
        <w:t>consu</w:t>
      </w:r>
      <w:r w:rsidR="0040068F">
        <w:t>ltati</w:t>
      </w:r>
      <w:r w:rsidR="0027135B">
        <w:t>on, and</w:t>
      </w:r>
      <w:proofErr w:type="gramEnd"/>
      <w:r w:rsidR="0027135B">
        <w:t xml:space="preserve"> were provided to Kāi </w:t>
      </w:r>
      <w:proofErr w:type="spellStart"/>
      <w:r w:rsidR="0027135B">
        <w:t>Tahu</w:t>
      </w:r>
      <w:proofErr w:type="spellEnd"/>
      <w:r w:rsidR="0027135B">
        <w:t xml:space="preserve"> for their consideration as a part of clause 4A.</w:t>
      </w:r>
    </w:p>
    <w:p w14:paraId="79AAD086" w14:textId="5E937157" w:rsidR="00095A81" w:rsidRDefault="00095A81" w:rsidP="000B61EC">
      <w:pPr>
        <w:pStyle w:val="Heading5"/>
      </w:pPr>
      <w:r w:rsidRPr="00DD728A">
        <w:t xml:space="preserve">Clause </w:t>
      </w:r>
      <w:r>
        <w:t>4A</w:t>
      </w:r>
      <w:r w:rsidRPr="00DD728A">
        <w:t xml:space="preserve"> consultation</w:t>
      </w:r>
    </w:p>
    <w:p w14:paraId="47AAAC8F" w14:textId="2299E9EE" w:rsidR="00095A81" w:rsidRPr="00963D37" w:rsidRDefault="00DD3414" w:rsidP="00A247C5">
      <w:pPr>
        <w:pStyle w:val="Normal2"/>
      </w:pPr>
      <w:r w:rsidRPr="00ED22B7">
        <w:t xml:space="preserve">The feedback provided by Iwi on the </w:t>
      </w:r>
      <w:r>
        <w:t>HCV-WT</w:t>
      </w:r>
      <w:r w:rsidRPr="00ED22B7" w:rsidDel="001B5899">
        <w:t xml:space="preserve"> </w:t>
      </w:r>
      <w:r w:rsidRPr="00ED22B7">
        <w:t xml:space="preserve">chapter was to include </w:t>
      </w:r>
      <w:r w:rsidR="001B5899">
        <w:t>S</w:t>
      </w:r>
      <w:r>
        <w:t xml:space="preserve">chedule 1C from the </w:t>
      </w:r>
      <w:r w:rsidR="001B5899">
        <w:t>PORPS</w:t>
      </w:r>
      <w:r>
        <w:t xml:space="preserve"> 2019. The schedule identifies </w:t>
      </w:r>
      <w:proofErr w:type="spellStart"/>
      <w:r w:rsidRPr="00AA58C4">
        <w:t>wāhi</w:t>
      </w:r>
      <w:proofErr w:type="spellEnd"/>
      <w:r w:rsidRPr="00AA58C4">
        <w:t xml:space="preserve"> tūpuna</w:t>
      </w:r>
      <w:r>
        <w:t xml:space="preserve"> values and, while it is not exhaustive, it will provide an established and robust</w:t>
      </w:r>
      <w:r w:rsidR="001B5899">
        <w:t xml:space="preserve"> guidance</w:t>
      </w:r>
      <w:r>
        <w:t xml:space="preserve"> tool for </w:t>
      </w:r>
      <w:r w:rsidR="00267BEF">
        <w:t xml:space="preserve">implementing </w:t>
      </w:r>
      <w:r w:rsidRPr="003B76E9">
        <w:t>HCV–WT–P1</w:t>
      </w:r>
      <w:r>
        <w:t xml:space="preserve"> (1) and </w:t>
      </w:r>
      <w:r w:rsidRPr="003D1C57">
        <w:t>HCV</w:t>
      </w:r>
      <w:r w:rsidRPr="00071BD7">
        <w:t>–</w:t>
      </w:r>
      <w:r w:rsidRPr="003D1C57">
        <w:t>WT</w:t>
      </w:r>
      <w:r w:rsidRPr="00071BD7">
        <w:t>–</w:t>
      </w:r>
      <w:r w:rsidRPr="003D1C57">
        <w:t>M1</w:t>
      </w:r>
      <w:r>
        <w:t>.</w:t>
      </w:r>
      <w:r w:rsidR="00267BEF">
        <w:t xml:space="preserve"> Iwi also provided a definition of </w:t>
      </w:r>
      <w:proofErr w:type="spellStart"/>
      <w:r w:rsidR="00CD6BBD">
        <w:t>w</w:t>
      </w:r>
      <w:r w:rsidR="00267BEF">
        <w:t>āhi</w:t>
      </w:r>
      <w:proofErr w:type="spellEnd"/>
      <w:r w:rsidR="00267BEF">
        <w:t xml:space="preserve"> </w:t>
      </w:r>
      <w:r w:rsidR="00CD6BBD">
        <w:t>t</w:t>
      </w:r>
      <w:r w:rsidR="00267BEF">
        <w:t>ūpuna</w:t>
      </w:r>
      <w:r w:rsidR="00646D39">
        <w:t xml:space="preserve">. </w:t>
      </w:r>
      <w:r w:rsidR="009638B2">
        <w:t>Amendments to the provisions have been made in response to this feedback.</w:t>
      </w:r>
      <w:r w:rsidR="00C47B3B">
        <w:t xml:space="preserve"> </w:t>
      </w:r>
    </w:p>
    <w:p w14:paraId="72541925" w14:textId="3D98945E" w:rsidR="5CA54A02" w:rsidRPr="00F763A5" w:rsidRDefault="5CA54A02" w:rsidP="00DE069C">
      <w:pPr>
        <w:pStyle w:val="Heading4"/>
      </w:pPr>
      <w:r w:rsidRPr="00F763A5">
        <w:t>Efficiency and effectiveness evaluation</w:t>
      </w:r>
    </w:p>
    <w:p w14:paraId="07668D7C" w14:textId="2460E5E0" w:rsidR="5CA54A02" w:rsidRPr="00F763A5" w:rsidRDefault="00EC6C57" w:rsidP="00A247C5">
      <w:pPr>
        <w:pStyle w:val="Normal2"/>
      </w:pPr>
      <w:r>
        <w:fldChar w:fldCharType="begin"/>
      </w:r>
      <w:r>
        <w:instrText xml:space="preserve"> REF _Ref53990770 \h </w:instrText>
      </w:r>
      <w:r>
        <w:fldChar w:fldCharType="separate"/>
      </w:r>
      <w:r w:rsidR="002A7A16">
        <w:t xml:space="preserve">Table </w:t>
      </w:r>
      <w:r w:rsidR="002A7A16">
        <w:rPr>
          <w:noProof/>
        </w:rPr>
        <w:t>57</w:t>
      </w:r>
      <w:r>
        <w:fldChar w:fldCharType="end"/>
      </w:r>
      <w:r>
        <w:t xml:space="preserve"> </w:t>
      </w:r>
      <w:r w:rsidR="5CA54A02">
        <w:t xml:space="preserve">below identifies and assesses the benefits and costs of the environmental, cultural, </w:t>
      </w:r>
      <w:proofErr w:type="gramStart"/>
      <w:r w:rsidR="5CA54A02">
        <w:t>social</w:t>
      </w:r>
      <w:proofErr w:type="gramEnd"/>
      <w:r w:rsidR="5CA54A02">
        <w:t xml:space="preserve"> and economic effects that are anticipated from the implementation of the provisions proposed under Option 2 above.</w:t>
      </w:r>
    </w:p>
    <w:p w14:paraId="350CF83E" w14:textId="37F4A40E" w:rsidR="00992F4E" w:rsidRPr="00992F4E" w:rsidRDefault="00992F4E" w:rsidP="00992F4E">
      <w:pPr>
        <w:pStyle w:val="Caption"/>
      </w:pPr>
      <w:bookmarkStart w:id="138" w:name="_Ref53990770"/>
      <w:r>
        <w:t xml:space="preserve">Table </w:t>
      </w:r>
      <w:r>
        <w:fldChar w:fldCharType="begin"/>
      </w:r>
      <w:r>
        <w:instrText>SEQ Table \* ARABIC</w:instrText>
      </w:r>
      <w:r>
        <w:fldChar w:fldCharType="separate"/>
      </w:r>
      <w:r w:rsidR="002A7A16">
        <w:rPr>
          <w:noProof/>
        </w:rPr>
        <w:t>57</w:t>
      </w:r>
      <w:r>
        <w:fldChar w:fldCharType="end"/>
      </w:r>
      <w:bookmarkEnd w:id="138"/>
      <w:r>
        <w:t xml:space="preserve">: Benefits and costs for </w:t>
      </w:r>
      <w:proofErr w:type="spellStart"/>
      <w:r>
        <w:t>w</w:t>
      </w:r>
      <w:r>
        <w:rPr>
          <w:rFonts w:cstheme="minorHAnsi"/>
        </w:rPr>
        <w:t>ā</w:t>
      </w:r>
      <w:r>
        <w:t>hi</w:t>
      </w:r>
      <w:proofErr w:type="spellEnd"/>
      <w:r>
        <w:t xml:space="preserve"> t</w:t>
      </w:r>
      <w:r>
        <w:rPr>
          <w:rFonts w:cstheme="minorHAnsi"/>
        </w:rPr>
        <w:t>ū</w:t>
      </w:r>
      <w:r>
        <w:t>puna</w:t>
      </w:r>
    </w:p>
    <w:tbl>
      <w:tblPr>
        <w:tblStyle w:val="ListTable1Light-Accent1"/>
        <w:tblW w:w="0" w:type="auto"/>
        <w:tblLook w:val="04A0" w:firstRow="1" w:lastRow="0" w:firstColumn="1" w:lastColumn="0" w:noHBand="0" w:noVBand="1"/>
      </w:tblPr>
      <w:tblGrid>
        <w:gridCol w:w="4508"/>
        <w:gridCol w:w="4508"/>
      </w:tblGrid>
      <w:tr w:rsidR="1F248919" w14:paraId="46273C18" w14:textId="77777777" w:rsidTr="1F2489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676EA7" w14:textId="77777777" w:rsidR="1F248919" w:rsidRDefault="1F248919" w:rsidP="1F248919">
            <w:pPr>
              <w:jc w:val="center"/>
              <w:rPr>
                <w:sz w:val="20"/>
                <w:szCs w:val="20"/>
              </w:rPr>
            </w:pPr>
            <w:r w:rsidRPr="1F248919">
              <w:rPr>
                <w:sz w:val="20"/>
                <w:szCs w:val="20"/>
              </w:rPr>
              <w:t>BENEFITS</w:t>
            </w:r>
          </w:p>
        </w:tc>
        <w:tc>
          <w:tcPr>
            <w:tcW w:w="4508" w:type="dxa"/>
          </w:tcPr>
          <w:p w14:paraId="609AB264" w14:textId="77777777" w:rsidR="1F248919" w:rsidRDefault="1F248919" w:rsidP="1F248919">
            <w:pPr>
              <w:jc w:val="center"/>
              <w:cnfStyle w:val="100000000000" w:firstRow="1" w:lastRow="0" w:firstColumn="0" w:lastColumn="0" w:oddVBand="0" w:evenVBand="0" w:oddHBand="0" w:evenHBand="0" w:firstRowFirstColumn="0" w:firstRowLastColumn="0" w:lastRowFirstColumn="0" w:lastRowLastColumn="0"/>
              <w:rPr>
                <w:sz w:val="20"/>
                <w:szCs w:val="20"/>
              </w:rPr>
            </w:pPr>
            <w:r w:rsidRPr="1F248919">
              <w:rPr>
                <w:sz w:val="20"/>
                <w:szCs w:val="20"/>
              </w:rPr>
              <w:t>COSTS</w:t>
            </w:r>
          </w:p>
        </w:tc>
      </w:tr>
      <w:tr w:rsidR="1F248919" w14:paraId="22763B1C" w14:textId="77777777" w:rsidTr="1F248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9628B96" w14:textId="77777777" w:rsidR="1F248919" w:rsidRDefault="1F248919" w:rsidP="1F248919">
            <w:pPr>
              <w:jc w:val="center"/>
              <w:rPr>
                <w:sz w:val="20"/>
                <w:szCs w:val="20"/>
              </w:rPr>
            </w:pPr>
            <w:r w:rsidRPr="1F248919">
              <w:rPr>
                <w:sz w:val="20"/>
                <w:szCs w:val="20"/>
              </w:rPr>
              <w:t>Environmental</w:t>
            </w:r>
          </w:p>
        </w:tc>
      </w:tr>
      <w:tr w:rsidR="1F248919" w14:paraId="7D5FC214" w14:textId="77777777" w:rsidTr="1F248919">
        <w:tc>
          <w:tcPr>
            <w:cnfStyle w:val="001000000000" w:firstRow="0" w:lastRow="0" w:firstColumn="1" w:lastColumn="0" w:oddVBand="0" w:evenVBand="0" w:oddHBand="0" w:evenHBand="0" w:firstRowFirstColumn="0" w:firstRowLastColumn="0" w:lastRowFirstColumn="0" w:lastRowLastColumn="0"/>
            <w:tcW w:w="4508" w:type="dxa"/>
          </w:tcPr>
          <w:p w14:paraId="1238043A" w14:textId="101BEA77" w:rsidR="1F248919" w:rsidRPr="00CD6BBD" w:rsidRDefault="00D01F63" w:rsidP="1F248919">
            <w:pPr>
              <w:pStyle w:val="ListParagraph"/>
              <w:numPr>
                <w:ilvl w:val="0"/>
                <w:numId w:val="22"/>
              </w:numPr>
              <w:rPr>
                <w:b w:val="0"/>
                <w:sz w:val="20"/>
                <w:szCs w:val="20"/>
              </w:rPr>
            </w:pPr>
            <w:r w:rsidRPr="00CD6BBD">
              <w:rPr>
                <w:b w:val="0"/>
                <w:sz w:val="20"/>
                <w:szCs w:val="20"/>
              </w:rPr>
              <w:t xml:space="preserve">Given the </w:t>
            </w:r>
            <w:r w:rsidR="00DC7A73" w:rsidRPr="00CD6BBD">
              <w:rPr>
                <w:b w:val="0"/>
                <w:sz w:val="20"/>
                <w:szCs w:val="20"/>
              </w:rPr>
              <w:t>close link between the natural physical environment</w:t>
            </w:r>
            <w:r w:rsidR="00214E68" w:rsidRPr="00CD6BBD">
              <w:rPr>
                <w:b w:val="0"/>
                <w:sz w:val="20"/>
                <w:szCs w:val="20"/>
              </w:rPr>
              <w:t xml:space="preserve"> and </w:t>
            </w:r>
            <w:proofErr w:type="spellStart"/>
            <w:r w:rsidR="00214E68" w:rsidRPr="00CD6BBD">
              <w:rPr>
                <w:b w:val="0"/>
                <w:sz w:val="20"/>
                <w:szCs w:val="20"/>
              </w:rPr>
              <w:t>wāhi</w:t>
            </w:r>
            <w:proofErr w:type="spellEnd"/>
            <w:r w:rsidR="00214E68" w:rsidRPr="00CD6BBD">
              <w:rPr>
                <w:b w:val="0"/>
                <w:sz w:val="20"/>
                <w:szCs w:val="20"/>
              </w:rPr>
              <w:t xml:space="preserve"> tūpuna, t</w:t>
            </w:r>
            <w:r w:rsidR="00CD6FB6" w:rsidRPr="00CD6BBD">
              <w:rPr>
                <w:b w:val="0"/>
                <w:sz w:val="20"/>
                <w:szCs w:val="20"/>
              </w:rPr>
              <w:t xml:space="preserve">he identification and protection of </w:t>
            </w:r>
            <w:proofErr w:type="spellStart"/>
            <w:r w:rsidR="00CD6FB6" w:rsidRPr="00CD6BBD">
              <w:rPr>
                <w:b w:val="0"/>
                <w:sz w:val="20"/>
                <w:szCs w:val="20"/>
              </w:rPr>
              <w:t>wāhi</w:t>
            </w:r>
            <w:proofErr w:type="spellEnd"/>
            <w:r w:rsidR="00CD6FB6" w:rsidRPr="00CD6BBD">
              <w:rPr>
                <w:b w:val="0"/>
                <w:sz w:val="20"/>
                <w:szCs w:val="20"/>
              </w:rPr>
              <w:t xml:space="preserve"> tūpuna from</w:t>
            </w:r>
            <w:r w:rsidR="005003B0" w:rsidRPr="00CD6BBD">
              <w:rPr>
                <w:b w:val="0"/>
                <w:sz w:val="20"/>
                <w:szCs w:val="20"/>
              </w:rPr>
              <w:t xml:space="preserve"> inappropriate use, </w:t>
            </w:r>
            <w:proofErr w:type="gramStart"/>
            <w:r w:rsidR="005003B0" w:rsidRPr="00CD6BBD">
              <w:rPr>
                <w:b w:val="0"/>
                <w:sz w:val="20"/>
                <w:szCs w:val="20"/>
              </w:rPr>
              <w:t>subdivision</w:t>
            </w:r>
            <w:proofErr w:type="gramEnd"/>
            <w:r w:rsidR="005003B0" w:rsidRPr="00CD6BBD">
              <w:rPr>
                <w:b w:val="0"/>
                <w:sz w:val="20"/>
                <w:szCs w:val="20"/>
              </w:rPr>
              <w:t xml:space="preserve"> and development</w:t>
            </w:r>
            <w:r w:rsidR="0046216A" w:rsidRPr="00CD6BBD">
              <w:rPr>
                <w:b w:val="0"/>
                <w:sz w:val="20"/>
                <w:szCs w:val="20"/>
              </w:rPr>
              <w:t xml:space="preserve">, </w:t>
            </w:r>
            <w:r w:rsidR="00DA3E52" w:rsidRPr="00CD6BBD">
              <w:rPr>
                <w:b w:val="0"/>
                <w:sz w:val="20"/>
                <w:szCs w:val="20"/>
              </w:rPr>
              <w:t>will</w:t>
            </w:r>
            <w:r w:rsidR="005003B0" w:rsidRPr="00CD6BBD">
              <w:rPr>
                <w:b w:val="0"/>
                <w:sz w:val="20"/>
                <w:szCs w:val="20"/>
              </w:rPr>
              <w:t xml:space="preserve"> likely result in positive environmental benefits. </w:t>
            </w:r>
          </w:p>
        </w:tc>
        <w:tc>
          <w:tcPr>
            <w:tcW w:w="4508" w:type="dxa"/>
          </w:tcPr>
          <w:p w14:paraId="23F64F8A" w14:textId="723C7111" w:rsidR="1F248919" w:rsidRDefault="00AA57AA" w:rsidP="1F248919">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There are no environmental costs anticipated with Option 2.</w:t>
            </w:r>
          </w:p>
        </w:tc>
      </w:tr>
      <w:tr w:rsidR="1F248919" w14:paraId="0BC6F137" w14:textId="77777777" w:rsidTr="1F248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E21618E" w14:textId="77777777" w:rsidR="1F248919" w:rsidRDefault="1F248919" w:rsidP="1F248919">
            <w:pPr>
              <w:jc w:val="center"/>
              <w:rPr>
                <w:sz w:val="20"/>
                <w:szCs w:val="20"/>
              </w:rPr>
            </w:pPr>
            <w:r w:rsidRPr="1F248919">
              <w:rPr>
                <w:sz w:val="20"/>
                <w:szCs w:val="20"/>
              </w:rPr>
              <w:t>Cultural</w:t>
            </w:r>
          </w:p>
        </w:tc>
      </w:tr>
      <w:tr w:rsidR="1F248919" w:rsidRPr="006450ED" w14:paraId="4F351243" w14:textId="77777777" w:rsidTr="1F248919">
        <w:tc>
          <w:tcPr>
            <w:cnfStyle w:val="001000000000" w:firstRow="0" w:lastRow="0" w:firstColumn="1" w:lastColumn="0" w:oddVBand="0" w:evenVBand="0" w:oddHBand="0" w:evenHBand="0" w:firstRowFirstColumn="0" w:firstRowLastColumn="0" w:lastRowFirstColumn="0" w:lastRowLastColumn="0"/>
            <w:tcW w:w="4508" w:type="dxa"/>
          </w:tcPr>
          <w:p w14:paraId="0B5660CA" w14:textId="36B488C1" w:rsidR="1F248919" w:rsidRPr="00CD6BBD" w:rsidRDefault="00007425" w:rsidP="1F248919">
            <w:pPr>
              <w:pStyle w:val="ListParagraph"/>
              <w:numPr>
                <w:ilvl w:val="0"/>
                <w:numId w:val="22"/>
              </w:numPr>
              <w:jc w:val="both"/>
              <w:rPr>
                <w:b w:val="0"/>
                <w:sz w:val="20"/>
                <w:szCs w:val="20"/>
              </w:rPr>
            </w:pPr>
            <w:r w:rsidRPr="00CD6BBD">
              <w:rPr>
                <w:b w:val="0"/>
                <w:sz w:val="20"/>
                <w:szCs w:val="20"/>
              </w:rPr>
              <w:t xml:space="preserve">The </w:t>
            </w:r>
            <w:r w:rsidR="004C78F1" w:rsidRPr="00CD6BBD">
              <w:rPr>
                <w:b w:val="0"/>
                <w:sz w:val="20"/>
                <w:szCs w:val="20"/>
              </w:rPr>
              <w:t xml:space="preserve">requirement to identify </w:t>
            </w:r>
            <w:proofErr w:type="spellStart"/>
            <w:r w:rsidR="00F56455" w:rsidRPr="00CD6BBD">
              <w:rPr>
                <w:b w:val="0"/>
                <w:sz w:val="20"/>
                <w:szCs w:val="20"/>
              </w:rPr>
              <w:t>wāhi</w:t>
            </w:r>
            <w:proofErr w:type="spellEnd"/>
            <w:r w:rsidR="00F56455" w:rsidRPr="00CD6BBD">
              <w:rPr>
                <w:b w:val="0"/>
                <w:sz w:val="20"/>
                <w:szCs w:val="20"/>
              </w:rPr>
              <w:t xml:space="preserve"> tūpuna </w:t>
            </w:r>
            <w:r w:rsidR="004C78F1" w:rsidRPr="00CD6BBD">
              <w:rPr>
                <w:b w:val="0"/>
                <w:sz w:val="20"/>
                <w:szCs w:val="20"/>
              </w:rPr>
              <w:t xml:space="preserve">in collaboration with </w:t>
            </w:r>
            <w:r w:rsidR="00DA3E52" w:rsidRPr="00CD6BBD">
              <w:rPr>
                <w:b w:val="0"/>
                <w:sz w:val="20"/>
                <w:szCs w:val="20"/>
              </w:rPr>
              <w:t>iwi</w:t>
            </w:r>
            <w:r w:rsidR="004C78F1" w:rsidRPr="00CD6BBD">
              <w:rPr>
                <w:b w:val="0"/>
                <w:sz w:val="20"/>
                <w:szCs w:val="20"/>
              </w:rPr>
              <w:t xml:space="preserve"> is likely to increase the number of</w:t>
            </w:r>
            <w:r w:rsidR="00F56455" w:rsidRPr="00CD6BBD">
              <w:rPr>
                <w:b w:val="0"/>
                <w:sz w:val="20"/>
                <w:szCs w:val="20"/>
              </w:rPr>
              <w:t xml:space="preserve"> significant</w:t>
            </w:r>
            <w:r w:rsidR="004C78F1" w:rsidRPr="00CD6BBD">
              <w:rPr>
                <w:b w:val="0"/>
                <w:sz w:val="20"/>
                <w:szCs w:val="20"/>
              </w:rPr>
              <w:t xml:space="preserve"> sites, areas and landscapes that are protected</w:t>
            </w:r>
            <w:r w:rsidR="00F56455" w:rsidRPr="00CD6BBD">
              <w:rPr>
                <w:b w:val="0"/>
                <w:sz w:val="20"/>
                <w:szCs w:val="20"/>
              </w:rPr>
              <w:t xml:space="preserve">. </w:t>
            </w:r>
          </w:p>
          <w:p w14:paraId="0B30EAA0" w14:textId="5F23864F" w:rsidR="00F56455" w:rsidRPr="00CD6BBD" w:rsidRDefault="00BA35AD" w:rsidP="1F248919">
            <w:pPr>
              <w:pStyle w:val="ListParagraph"/>
              <w:numPr>
                <w:ilvl w:val="0"/>
                <w:numId w:val="22"/>
              </w:numPr>
              <w:jc w:val="both"/>
              <w:rPr>
                <w:b w:val="0"/>
                <w:sz w:val="20"/>
                <w:szCs w:val="20"/>
              </w:rPr>
            </w:pPr>
            <w:r w:rsidRPr="00CD6BBD">
              <w:rPr>
                <w:b w:val="0"/>
                <w:sz w:val="20"/>
                <w:szCs w:val="20"/>
              </w:rPr>
              <w:t xml:space="preserve">Recognising the </w:t>
            </w:r>
            <w:proofErr w:type="spellStart"/>
            <w:r w:rsidRPr="00CD6BBD">
              <w:rPr>
                <w:b w:val="0"/>
                <w:sz w:val="20"/>
                <w:szCs w:val="20"/>
              </w:rPr>
              <w:t>rakatirataka</w:t>
            </w:r>
            <w:proofErr w:type="spellEnd"/>
            <w:r w:rsidRPr="00CD6BBD">
              <w:rPr>
                <w:b w:val="0"/>
                <w:sz w:val="20"/>
                <w:szCs w:val="20"/>
              </w:rPr>
              <w:t xml:space="preserve"> of mana whenua over </w:t>
            </w:r>
            <w:proofErr w:type="spellStart"/>
            <w:r w:rsidRPr="00CD6BBD">
              <w:rPr>
                <w:b w:val="0"/>
                <w:sz w:val="20"/>
                <w:szCs w:val="20"/>
              </w:rPr>
              <w:t>wāhi</w:t>
            </w:r>
            <w:proofErr w:type="spellEnd"/>
            <w:r w:rsidRPr="00CD6BBD">
              <w:rPr>
                <w:b w:val="0"/>
                <w:sz w:val="20"/>
                <w:szCs w:val="20"/>
              </w:rPr>
              <w:t xml:space="preserve"> tupuna</w:t>
            </w:r>
            <w:r w:rsidR="00F56455" w:rsidRPr="00CD6BBD">
              <w:rPr>
                <w:b w:val="0"/>
                <w:sz w:val="20"/>
                <w:szCs w:val="20"/>
              </w:rPr>
              <w:t xml:space="preserve"> </w:t>
            </w:r>
            <w:proofErr w:type="spellStart"/>
            <w:r w:rsidR="00F56455" w:rsidRPr="00CD6BBD">
              <w:rPr>
                <w:b w:val="0"/>
                <w:sz w:val="20"/>
                <w:szCs w:val="20"/>
              </w:rPr>
              <w:t>wāhi</w:t>
            </w:r>
            <w:proofErr w:type="spellEnd"/>
            <w:r w:rsidR="00F56455" w:rsidRPr="00CD6BBD">
              <w:rPr>
                <w:b w:val="0"/>
                <w:sz w:val="20"/>
                <w:szCs w:val="20"/>
              </w:rPr>
              <w:t xml:space="preserve"> tūpuna </w:t>
            </w:r>
            <w:r w:rsidR="00DC3FA6" w:rsidRPr="00CD6BBD">
              <w:rPr>
                <w:b w:val="0"/>
                <w:sz w:val="20"/>
                <w:szCs w:val="20"/>
              </w:rPr>
              <w:t xml:space="preserve">better </w:t>
            </w:r>
            <w:r w:rsidR="00606121" w:rsidRPr="00CD6BBD">
              <w:rPr>
                <w:b w:val="0"/>
                <w:sz w:val="20"/>
                <w:szCs w:val="20"/>
              </w:rPr>
              <w:t xml:space="preserve">enables </w:t>
            </w:r>
            <w:proofErr w:type="spellStart"/>
            <w:r w:rsidR="00606121" w:rsidRPr="00CD6BBD">
              <w:rPr>
                <w:b w:val="0"/>
                <w:sz w:val="20"/>
                <w:szCs w:val="20"/>
              </w:rPr>
              <w:t>papatipu</w:t>
            </w:r>
            <w:proofErr w:type="spellEnd"/>
            <w:r w:rsidR="00606121" w:rsidRPr="00CD6BBD">
              <w:rPr>
                <w:b w:val="0"/>
                <w:sz w:val="20"/>
                <w:szCs w:val="20"/>
              </w:rPr>
              <w:t xml:space="preserve"> </w:t>
            </w:r>
            <w:proofErr w:type="spellStart"/>
            <w:r w:rsidR="00606121" w:rsidRPr="00CD6BBD">
              <w:rPr>
                <w:b w:val="0"/>
                <w:sz w:val="20"/>
                <w:szCs w:val="20"/>
              </w:rPr>
              <w:t>rūnanka</w:t>
            </w:r>
            <w:proofErr w:type="spellEnd"/>
            <w:r w:rsidR="00606121" w:rsidRPr="00CD6BBD">
              <w:rPr>
                <w:b w:val="0"/>
                <w:sz w:val="20"/>
                <w:szCs w:val="20"/>
              </w:rPr>
              <w:t xml:space="preserve"> to undertake their kaitiaki responsibilities</w:t>
            </w:r>
            <w:r w:rsidR="00DC3FA6" w:rsidRPr="00CD6BBD">
              <w:rPr>
                <w:b w:val="0"/>
                <w:sz w:val="20"/>
                <w:szCs w:val="20"/>
              </w:rPr>
              <w:t>.</w:t>
            </w:r>
          </w:p>
        </w:tc>
        <w:tc>
          <w:tcPr>
            <w:tcW w:w="4508" w:type="dxa"/>
          </w:tcPr>
          <w:p w14:paraId="1AA6C97F" w14:textId="205EB68F" w:rsidR="1F248919" w:rsidRDefault="00A46584" w:rsidP="1F24891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will be costs to iwi and </w:t>
            </w:r>
            <w:proofErr w:type="spellStart"/>
            <w:r w:rsidRPr="634A1E48">
              <w:rPr>
                <w:sz w:val="20"/>
                <w:szCs w:val="20"/>
              </w:rPr>
              <w:t>runaka</w:t>
            </w:r>
            <w:proofErr w:type="spellEnd"/>
            <w:r w:rsidRPr="634A1E48">
              <w:rPr>
                <w:sz w:val="20"/>
                <w:szCs w:val="20"/>
              </w:rPr>
              <w:t xml:space="preserve"> in engaging in planning process to identify</w:t>
            </w:r>
            <w:r w:rsidR="006566CA" w:rsidRPr="634A1E48">
              <w:rPr>
                <w:sz w:val="20"/>
                <w:szCs w:val="20"/>
              </w:rPr>
              <w:t xml:space="preserve"> </w:t>
            </w:r>
            <w:proofErr w:type="spellStart"/>
            <w:r w:rsidR="006566CA" w:rsidRPr="006450ED">
              <w:rPr>
                <w:sz w:val="20"/>
                <w:szCs w:val="20"/>
              </w:rPr>
              <w:t>wāhi</w:t>
            </w:r>
            <w:proofErr w:type="spellEnd"/>
            <w:r w:rsidR="006566CA" w:rsidRPr="006450ED">
              <w:rPr>
                <w:sz w:val="20"/>
                <w:szCs w:val="20"/>
              </w:rPr>
              <w:t xml:space="preserve"> tūpuna</w:t>
            </w:r>
            <w:r w:rsidR="006566CA">
              <w:rPr>
                <w:sz w:val="20"/>
                <w:szCs w:val="20"/>
              </w:rPr>
              <w:t>.</w:t>
            </w:r>
          </w:p>
          <w:p w14:paraId="5E3A11FC" w14:textId="04DD4202" w:rsidR="00281C25" w:rsidRPr="001100EF" w:rsidRDefault="002C1BAB" w:rsidP="001100EF">
            <w:pPr>
              <w:pStyle w:val="ListParagraph"/>
              <w:numPr>
                <w:ilvl w:val="0"/>
                <w:numId w:val="22"/>
              </w:numPr>
              <w:spacing w:after="60"/>
              <w:ind w:left="357" w:hanging="357"/>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Identification </w:t>
            </w:r>
            <w:r w:rsidR="00770B7E" w:rsidRPr="634A1E48">
              <w:rPr>
                <w:sz w:val="20"/>
                <w:szCs w:val="20"/>
              </w:rPr>
              <w:t xml:space="preserve">of </w:t>
            </w:r>
            <w:proofErr w:type="spellStart"/>
            <w:r w:rsidR="00770B7E" w:rsidRPr="00CD6FB6">
              <w:rPr>
                <w:sz w:val="20"/>
                <w:szCs w:val="20"/>
              </w:rPr>
              <w:t>wāhi</w:t>
            </w:r>
            <w:proofErr w:type="spellEnd"/>
            <w:r w:rsidR="00770B7E" w:rsidRPr="00CD6FB6">
              <w:rPr>
                <w:sz w:val="20"/>
                <w:szCs w:val="20"/>
              </w:rPr>
              <w:t xml:space="preserve"> </w:t>
            </w:r>
            <w:r w:rsidR="00770B7E">
              <w:rPr>
                <w:sz w:val="20"/>
                <w:szCs w:val="20"/>
              </w:rPr>
              <w:t>tūpuna</w:t>
            </w:r>
            <w:r w:rsidRPr="634A1E48">
              <w:rPr>
                <w:sz w:val="20"/>
                <w:szCs w:val="20"/>
              </w:rPr>
              <w:t xml:space="preserve"> has not occurred in some parts of Otago, </w:t>
            </w:r>
            <w:r w:rsidR="00F47235">
              <w:rPr>
                <w:sz w:val="20"/>
                <w:szCs w:val="20"/>
              </w:rPr>
              <w:t xml:space="preserve">and identification </w:t>
            </w:r>
            <w:r w:rsidR="00990AB6">
              <w:rPr>
                <w:sz w:val="20"/>
                <w:szCs w:val="20"/>
              </w:rPr>
              <w:t>may need to occur</w:t>
            </w:r>
            <w:r w:rsidR="00D47942">
              <w:rPr>
                <w:sz w:val="20"/>
                <w:szCs w:val="20"/>
              </w:rPr>
              <w:t xml:space="preserve"> which may have associated costs. </w:t>
            </w:r>
            <w:r w:rsidR="00A023BD" w:rsidRPr="00CD6BBD">
              <w:rPr>
                <w:sz w:val="20"/>
                <w:szCs w:val="20"/>
              </w:rPr>
              <w:t>Additionally</w:t>
            </w:r>
            <w:r w:rsidR="00A023BD">
              <w:rPr>
                <w:sz w:val="20"/>
                <w:szCs w:val="20"/>
              </w:rPr>
              <w:t>,</w:t>
            </w:r>
            <w:r w:rsidRPr="634A1E48">
              <w:rPr>
                <w:sz w:val="20"/>
                <w:szCs w:val="20"/>
              </w:rPr>
              <w:t xml:space="preserve"> there may be cases where </w:t>
            </w:r>
            <w:proofErr w:type="spellStart"/>
            <w:r w:rsidRPr="006450ED">
              <w:rPr>
                <w:sz w:val="20"/>
                <w:szCs w:val="20"/>
              </w:rPr>
              <w:t>wāhi</w:t>
            </w:r>
            <w:proofErr w:type="spellEnd"/>
            <w:r w:rsidRPr="006450ED">
              <w:rPr>
                <w:sz w:val="20"/>
                <w:szCs w:val="20"/>
              </w:rPr>
              <w:t xml:space="preserve"> tūpuna</w:t>
            </w:r>
            <w:r>
              <w:rPr>
                <w:sz w:val="20"/>
                <w:szCs w:val="20"/>
              </w:rPr>
              <w:t xml:space="preserve"> </w:t>
            </w:r>
            <w:r w:rsidRPr="634A1E48">
              <w:rPr>
                <w:sz w:val="20"/>
                <w:szCs w:val="20"/>
              </w:rPr>
              <w:t>are not protected as required and are adversely affected by inappropriate subdivision, use or development in the interim.</w:t>
            </w:r>
          </w:p>
        </w:tc>
      </w:tr>
      <w:tr w:rsidR="1F248919" w14:paraId="18E0DD97" w14:textId="77777777" w:rsidTr="1F248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89692CB" w14:textId="77777777" w:rsidR="1F248919" w:rsidRDefault="1F248919" w:rsidP="1F248919">
            <w:pPr>
              <w:jc w:val="center"/>
              <w:rPr>
                <w:sz w:val="20"/>
                <w:szCs w:val="20"/>
              </w:rPr>
            </w:pPr>
            <w:r w:rsidRPr="1F248919">
              <w:rPr>
                <w:sz w:val="20"/>
                <w:szCs w:val="20"/>
              </w:rPr>
              <w:t>Social</w:t>
            </w:r>
          </w:p>
        </w:tc>
      </w:tr>
      <w:tr w:rsidR="1F248919" w14:paraId="6A56FBBA" w14:textId="77777777" w:rsidTr="1F248919">
        <w:tc>
          <w:tcPr>
            <w:cnfStyle w:val="001000000000" w:firstRow="0" w:lastRow="0" w:firstColumn="1" w:lastColumn="0" w:oddVBand="0" w:evenVBand="0" w:oddHBand="0" w:evenHBand="0" w:firstRowFirstColumn="0" w:firstRowLastColumn="0" w:lastRowFirstColumn="0" w:lastRowLastColumn="0"/>
            <w:tcW w:w="4508" w:type="dxa"/>
          </w:tcPr>
          <w:p w14:paraId="21C20A24" w14:textId="77777777" w:rsidR="0059341A" w:rsidRPr="00CD6BBD" w:rsidRDefault="0059341A" w:rsidP="0059341A">
            <w:pPr>
              <w:pStyle w:val="ListParagraph"/>
              <w:numPr>
                <w:ilvl w:val="0"/>
                <w:numId w:val="22"/>
              </w:numPr>
              <w:spacing w:after="60"/>
              <w:rPr>
                <w:b w:val="0"/>
                <w:sz w:val="20"/>
                <w:szCs w:val="20"/>
              </w:rPr>
            </w:pPr>
            <w:r w:rsidRPr="00CD6BBD">
              <w:rPr>
                <w:b w:val="0"/>
                <w:sz w:val="20"/>
                <w:szCs w:val="20"/>
              </w:rPr>
              <w:t>Mapping areas provides certainty to the public about the extent of the protected areas.</w:t>
            </w:r>
          </w:p>
          <w:p w14:paraId="59C2EB26" w14:textId="0F82A35E" w:rsidR="1F248919" w:rsidRPr="00CD6BBD" w:rsidRDefault="1F248919" w:rsidP="00A92A9F">
            <w:pPr>
              <w:pStyle w:val="ListParagraph"/>
              <w:ind w:left="360"/>
              <w:jc w:val="both"/>
              <w:rPr>
                <w:b w:val="0"/>
                <w:sz w:val="20"/>
                <w:szCs w:val="20"/>
              </w:rPr>
            </w:pPr>
          </w:p>
        </w:tc>
        <w:tc>
          <w:tcPr>
            <w:tcW w:w="4508" w:type="dxa"/>
          </w:tcPr>
          <w:p w14:paraId="4A7F23B8" w14:textId="35D6A202" w:rsidR="1F248919" w:rsidRDefault="0034605F" w:rsidP="1F248919">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There will be restrictions on </w:t>
            </w:r>
            <w:r w:rsidR="00605524" w:rsidRPr="634A1E48">
              <w:rPr>
                <w:sz w:val="20"/>
                <w:szCs w:val="20"/>
              </w:rPr>
              <w:t xml:space="preserve">resource </w:t>
            </w:r>
            <w:r w:rsidRPr="634A1E48">
              <w:rPr>
                <w:sz w:val="20"/>
                <w:szCs w:val="20"/>
              </w:rPr>
              <w:t>use and development within protected areas, which may affect the potential for land to be used for purposes that support social well-being, for example for housing or recreational purposes.</w:t>
            </w:r>
          </w:p>
        </w:tc>
      </w:tr>
      <w:tr w:rsidR="1F248919" w14:paraId="038E5BDD" w14:textId="77777777" w:rsidTr="1F2489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5D0BFFF1" w14:textId="77777777" w:rsidR="1F248919" w:rsidRDefault="1F248919" w:rsidP="1F248919">
            <w:pPr>
              <w:jc w:val="center"/>
              <w:rPr>
                <w:sz w:val="20"/>
                <w:szCs w:val="20"/>
              </w:rPr>
            </w:pPr>
            <w:r w:rsidRPr="1F248919">
              <w:rPr>
                <w:sz w:val="20"/>
                <w:szCs w:val="20"/>
              </w:rPr>
              <w:t>Economic</w:t>
            </w:r>
          </w:p>
        </w:tc>
      </w:tr>
      <w:tr w:rsidR="1F248919" w14:paraId="509DA21B" w14:textId="77777777" w:rsidTr="1F248919">
        <w:tc>
          <w:tcPr>
            <w:cnfStyle w:val="001000000000" w:firstRow="0" w:lastRow="0" w:firstColumn="1" w:lastColumn="0" w:oddVBand="0" w:evenVBand="0" w:oddHBand="0" w:evenHBand="0" w:firstRowFirstColumn="0" w:firstRowLastColumn="0" w:lastRowFirstColumn="0" w:lastRowLastColumn="0"/>
            <w:tcW w:w="4508" w:type="dxa"/>
          </w:tcPr>
          <w:p w14:paraId="7AC89C87" w14:textId="77777777" w:rsidR="00616729" w:rsidRPr="00CD6BBD" w:rsidRDefault="00616729" w:rsidP="00616729">
            <w:pPr>
              <w:pStyle w:val="ListParagraph"/>
              <w:numPr>
                <w:ilvl w:val="0"/>
                <w:numId w:val="22"/>
              </w:numPr>
              <w:spacing w:after="60"/>
              <w:ind w:left="357" w:hanging="357"/>
              <w:rPr>
                <w:b w:val="0"/>
                <w:sz w:val="20"/>
                <w:szCs w:val="20"/>
              </w:rPr>
            </w:pPr>
            <w:r w:rsidRPr="00CD6BBD">
              <w:rPr>
                <w:b w:val="0"/>
                <w:sz w:val="20"/>
                <w:szCs w:val="20"/>
              </w:rPr>
              <w:t>Mapping areas provides certainty about where management approaches apply, potentially reducing the costs of processing and deciding on resource consent applications.</w:t>
            </w:r>
          </w:p>
          <w:p w14:paraId="1D902712" w14:textId="7D29E3F2" w:rsidR="1F248919" w:rsidRPr="00CD6BBD" w:rsidRDefault="1F248919" w:rsidP="00776274">
            <w:pPr>
              <w:rPr>
                <w:b w:val="0"/>
                <w:sz w:val="20"/>
                <w:szCs w:val="20"/>
              </w:rPr>
            </w:pPr>
          </w:p>
        </w:tc>
        <w:tc>
          <w:tcPr>
            <w:tcW w:w="4508" w:type="dxa"/>
          </w:tcPr>
          <w:p w14:paraId="671D9FB8" w14:textId="56BDD4B6" w:rsidR="009900C8" w:rsidRPr="00A30B8A" w:rsidRDefault="000E79F2" w:rsidP="00A30B8A">
            <w:pPr>
              <w:pStyle w:val="ListParagraph"/>
              <w:numPr>
                <w:ilvl w:val="0"/>
                <w:numId w:val="22"/>
              </w:numPr>
              <w:spacing w:after="60"/>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Collaborating with iwi to identify </w:t>
            </w:r>
            <w:proofErr w:type="spellStart"/>
            <w:r w:rsidRPr="006450ED">
              <w:rPr>
                <w:sz w:val="20"/>
                <w:szCs w:val="20"/>
              </w:rPr>
              <w:t>wāhi</w:t>
            </w:r>
            <w:proofErr w:type="spellEnd"/>
            <w:r w:rsidRPr="006450ED">
              <w:rPr>
                <w:sz w:val="20"/>
                <w:szCs w:val="20"/>
              </w:rPr>
              <w:t xml:space="preserve"> tūpuna</w:t>
            </w:r>
            <w:r w:rsidRPr="634A1E48">
              <w:rPr>
                <w:sz w:val="20"/>
                <w:szCs w:val="20"/>
              </w:rPr>
              <w:t xml:space="preserve"> will come at a cost for ORC and the </w:t>
            </w:r>
            <w:proofErr w:type="spellStart"/>
            <w:r w:rsidRPr="634A1E48">
              <w:rPr>
                <w:sz w:val="20"/>
                <w:szCs w:val="20"/>
              </w:rPr>
              <w:t>T</w:t>
            </w:r>
            <w:r w:rsidR="00A405B5" w:rsidRPr="634A1E48">
              <w:rPr>
                <w:sz w:val="20"/>
                <w:szCs w:val="20"/>
              </w:rPr>
              <w:t>As.</w:t>
            </w:r>
            <w:proofErr w:type="spellEnd"/>
          </w:p>
          <w:p w14:paraId="7C8E7AAC" w14:textId="254BA65D" w:rsidR="00A30B8A" w:rsidRDefault="008E3F43" w:rsidP="00A30B8A">
            <w:pPr>
              <w:pStyle w:val="ListParagraph"/>
              <w:numPr>
                <w:ilvl w:val="0"/>
                <w:numId w:val="22"/>
              </w:numPr>
              <w:spacing w:after="60"/>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The requirement for cultural impact assessments where activities have the potential to adversely affect </w:t>
            </w:r>
            <w:proofErr w:type="spellStart"/>
            <w:r w:rsidRPr="006450ED">
              <w:rPr>
                <w:sz w:val="20"/>
                <w:szCs w:val="20"/>
              </w:rPr>
              <w:t>wāhi</w:t>
            </w:r>
            <w:proofErr w:type="spellEnd"/>
            <w:r w:rsidRPr="006450ED">
              <w:rPr>
                <w:sz w:val="20"/>
                <w:szCs w:val="20"/>
              </w:rPr>
              <w:t xml:space="preserve"> tūpuna</w:t>
            </w:r>
            <w:r>
              <w:rPr>
                <w:sz w:val="20"/>
                <w:szCs w:val="20"/>
              </w:rPr>
              <w:t xml:space="preserve"> </w:t>
            </w:r>
            <w:r w:rsidR="00A30B8A">
              <w:rPr>
                <w:sz w:val="20"/>
                <w:szCs w:val="20"/>
              </w:rPr>
              <w:t>will come at an additional cost to consent applicants</w:t>
            </w:r>
            <w:r w:rsidR="00DF7AFB">
              <w:rPr>
                <w:sz w:val="20"/>
                <w:szCs w:val="20"/>
              </w:rPr>
              <w:t xml:space="preserve"> through limitations or pre</w:t>
            </w:r>
            <w:r w:rsidR="00EE482F">
              <w:rPr>
                <w:sz w:val="20"/>
                <w:szCs w:val="20"/>
              </w:rPr>
              <w:t>ve</w:t>
            </w:r>
            <w:r w:rsidR="00DF7AFB">
              <w:rPr>
                <w:sz w:val="20"/>
                <w:szCs w:val="20"/>
              </w:rPr>
              <w:t>ntion of some economic activities</w:t>
            </w:r>
            <w:r w:rsidR="00DF7AFB" w:rsidRPr="00CD6BBD">
              <w:rPr>
                <w:sz w:val="20"/>
                <w:szCs w:val="20"/>
              </w:rPr>
              <w:t>.</w:t>
            </w:r>
          </w:p>
          <w:p w14:paraId="0E1F5DB5" w14:textId="4B962874" w:rsidR="00A30B8A" w:rsidRPr="009900C8" w:rsidRDefault="00A30B8A" w:rsidP="008E3F43">
            <w:pPr>
              <w:pStyle w:val="ListParagraph"/>
              <w:spacing w:after="60"/>
              <w:ind w:left="360"/>
              <w:cnfStyle w:val="000000000000" w:firstRow="0" w:lastRow="0" w:firstColumn="0" w:lastColumn="0" w:oddVBand="0" w:evenVBand="0" w:oddHBand="0" w:evenHBand="0" w:firstRowFirstColumn="0" w:firstRowLastColumn="0" w:lastRowFirstColumn="0" w:lastRowLastColumn="0"/>
              <w:rPr>
                <w:sz w:val="20"/>
                <w:szCs w:val="20"/>
              </w:rPr>
            </w:pPr>
          </w:p>
        </w:tc>
      </w:tr>
    </w:tbl>
    <w:p w14:paraId="18906FB6" w14:textId="77777777" w:rsidR="1F248919" w:rsidRDefault="1F248919" w:rsidP="004806D3">
      <w:pPr>
        <w:pStyle w:val="ListParagraph"/>
        <w:numPr>
          <w:ilvl w:val="0"/>
          <w:numId w:val="27"/>
        </w:numPr>
        <w:ind w:hanging="360"/>
        <w:rPr>
          <w:rFonts w:eastAsiaTheme="minorEastAsia"/>
        </w:rPr>
      </w:pPr>
    </w:p>
    <w:p w14:paraId="3BA7BD08" w14:textId="0A13D724" w:rsidR="167A3442" w:rsidRPr="00F763A5" w:rsidRDefault="00992F4E" w:rsidP="00A247C5">
      <w:pPr>
        <w:pStyle w:val="Normal2"/>
      </w:pPr>
      <w:r>
        <w:lastRenderedPageBreak/>
        <w:fldChar w:fldCharType="begin"/>
      </w:r>
      <w:r>
        <w:instrText xml:space="preserve"> REF _Ref53990814 \h </w:instrText>
      </w:r>
      <w:r>
        <w:fldChar w:fldCharType="separate"/>
      </w:r>
      <w:r w:rsidR="002A7A16">
        <w:t xml:space="preserve">Table </w:t>
      </w:r>
      <w:r w:rsidR="002A7A16">
        <w:rPr>
          <w:noProof/>
        </w:rPr>
        <w:t>58</w:t>
      </w:r>
      <w:r>
        <w:fldChar w:fldCharType="end"/>
      </w:r>
      <w:r>
        <w:t xml:space="preserve"> </w:t>
      </w:r>
      <w:r w:rsidR="167A3442">
        <w:t>below assesses the effectiveness and efficiency of the proposed provisions in achieving the objectives.</w:t>
      </w:r>
    </w:p>
    <w:p w14:paraId="5E83A319" w14:textId="24A33C8B" w:rsidR="00992F4E" w:rsidRPr="00992F4E" w:rsidRDefault="00992F4E" w:rsidP="00992F4E">
      <w:pPr>
        <w:pStyle w:val="Caption"/>
      </w:pPr>
      <w:bookmarkStart w:id="139" w:name="_Ref53990814"/>
      <w:r>
        <w:t xml:space="preserve">Table </w:t>
      </w:r>
      <w:r>
        <w:fldChar w:fldCharType="begin"/>
      </w:r>
      <w:r>
        <w:instrText>SEQ Table \* ARABIC</w:instrText>
      </w:r>
      <w:r>
        <w:fldChar w:fldCharType="separate"/>
      </w:r>
      <w:r w:rsidR="002A7A16">
        <w:rPr>
          <w:noProof/>
        </w:rPr>
        <w:t>58</w:t>
      </w:r>
      <w:r>
        <w:fldChar w:fldCharType="end"/>
      </w:r>
      <w:bookmarkEnd w:id="139"/>
      <w:r>
        <w:t xml:space="preserve">: Efficiency and effectiveness evaluation for </w:t>
      </w:r>
      <w:proofErr w:type="spellStart"/>
      <w:r>
        <w:t>w</w:t>
      </w:r>
      <w:r>
        <w:rPr>
          <w:rFonts w:cstheme="minorHAnsi"/>
        </w:rPr>
        <w:t>ā</w:t>
      </w:r>
      <w:r>
        <w:t>hi</w:t>
      </w:r>
      <w:proofErr w:type="spellEnd"/>
      <w:r>
        <w:t xml:space="preserve"> t</w:t>
      </w:r>
      <w:r>
        <w:rPr>
          <w:rFonts w:cstheme="minorHAnsi"/>
        </w:rPr>
        <w:t>ū</w:t>
      </w:r>
      <w:r>
        <w:t>puna</w:t>
      </w:r>
    </w:p>
    <w:tbl>
      <w:tblPr>
        <w:tblW w:w="0" w:type="auto"/>
        <w:tblLook w:val="04A0" w:firstRow="1" w:lastRow="0" w:firstColumn="1" w:lastColumn="0" w:noHBand="0" w:noVBand="1"/>
      </w:tblPr>
      <w:tblGrid>
        <w:gridCol w:w="1413"/>
        <w:gridCol w:w="7603"/>
      </w:tblGrid>
      <w:tr w:rsidR="1F248919" w14:paraId="5C8ED234" w14:textId="77777777" w:rsidTr="1F248919">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2326E6BB" w14:textId="77777777" w:rsidR="1F248919" w:rsidRDefault="1F248919" w:rsidP="1F248919">
            <w:pPr>
              <w:rPr>
                <w:b/>
                <w:bCs/>
                <w:sz w:val="20"/>
                <w:szCs w:val="20"/>
              </w:rPr>
            </w:pPr>
            <w:r w:rsidRPr="1F248919">
              <w:rPr>
                <w:b/>
                <w:bCs/>
                <w:sz w:val="20"/>
                <w:szCs w:val="20"/>
              </w:rPr>
              <w:t>Efficiency</w:t>
            </w:r>
          </w:p>
        </w:tc>
        <w:tc>
          <w:tcPr>
            <w:tcW w:w="7603" w:type="dxa"/>
            <w:tcBorders>
              <w:top w:val="single" w:sz="4" w:space="0" w:color="C9C9C9" w:themeColor="accent3" w:themeTint="99"/>
              <w:bottom w:val="single" w:sz="4" w:space="0" w:color="C9C9C9" w:themeColor="accent3" w:themeTint="99"/>
            </w:tcBorders>
          </w:tcPr>
          <w:p w14:paraId="74A692C2" w14:textId="3D253F10" w:rsidR="1F248919" w:rsidRDefault="00743E9C" w:rsidP="1F248919">
            <w:pPr>
              <w:jc w:val="both"/>
              <w:rPr>
                <w:sz w:val="20"/>
                <w:szCs w:val="20"/>
              </w:rPr>
            </w:pPr>
            <w:r>
              <w:rPr>
                <w:sz w:val="20"/>
              </w:rPr>
              <w:t xml:space="preserve">Identifying and mapping </w:t>
            </w:r>
            <w:proofErr w:type="spellStart"/>
            <w:r w:rsidRPr="006450ED">
              <w:rPr>
                <w:sz w:val="20"/>
                <w:szCs w:val="20"/>
              </w:rPr>
              <w:t>wāhi</w:t>
            </w:r>
            <w:proofErr w:type="spellEnd"/>
            <w:r w:rsidRPr="006450ED">
              <w:rPr>
                <w:sz w:val="20"/>
                <w:szCs w:val="20"/>
              </w:rPr>
              <w:t xml:space="preserve"> tūpuna</w:t>
            </w:r>
            <w:r>
              <w:rPr>
                <w:sz w:val="20"/>
              </w:rPr>
              <w:t xml:space="preserve"> is costly but provides certainty about the extent of these areas and where and how protection will occur in accordance with Objective HCV-O1. The benefits in providing certainty about what is being managed, where and how is considered to outweigh the costs associated with </w:t>
            </w:r>
            <w:r w:rsidR="00DA2B7A">
              <w:rPr>
                <w:sz w:val="20"/>
              </w:rPr>
              <w:t xml:space="preserve">working with iwi to </w:t>
            </w:r>
            <w:r>
              <w:rPr>
                <w:sz w:val="20"/>
              </w:rPr>
              <w:t>identif</w:t>
            </w:r>
            <w:r w:rsidR="00DA2B7A">
              <w:rPr>
                <w:sz w:val="20"/>
              </w:rPr>
              <w:t xml:space="preserve">y </w:t>
            </w:r>
            <w:proofErr w:type="spellStart"/>
            <w:r w:rsidR="00DA2B7A" w:rsidRPr="006450ED">
              <w:rPr>
                <w:sz w:val="20"/>
                <w:szCs w:val="20"/>
              </w:rPr>
              <w:t>wāhi</w:t>
            </w:r>
            <w:proofErr w:type="spellEnd"/>
            <w:r w:rsidR="00DA2B7A" w:rsidRPr="006450ED">
              <w:rPr>
                <w:sz w:val="20"/>
                <w:szCs w:val="20"/>
              </w:rPr>
              <w:t xml:space="preserve"> tūpuna</w:t>
            </w:r>
            <w:r>
              <w:rPr>
                <w:sz w:val="20"/>
              </w:rPr>
              <w:t xml:space="preserve"> in regional and district plans. Option 2 is more efficient than option 1 as it clarifies the actions to be undertaken and by whom, avoiding potential uncertainties and inconsistency during implementation, reducing the costs of achieving the objectives.</w:t>
            </w:r>
          </w:p>
        </w:tc>
      </w:tr>
      <w:tr w:rsidR="1F248919" w14:paraId="1B7449EA" w14:textId="77777777" w:rsidTr="1F248919">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6C7037AB" w14:textId="77777777" w:rsidR="1F248919" w:rsidRDefault="1F248919" w:rsidP="1F248919">
            <w:pPr>
              <w:jc w:val="both"/>
              <w:rPr>
                <w:b/>
                <w:bCs/>
                <w:sz w:val="20"/>
                <w:szCs w:val="20"/>
              </w:rPr>
            </w:pPr>
            <w:r w:rsidRPr="1F248919">
              <w:rPr>
                <w:b/>
                <w:bCs/>
                <w:sz w:val="20"/>
                <w:szCs w:val="20"/>
              </w:rPr>
              <w:t>Effectiveness</w:t>
            </w:r>
          </w:p>
        </w:tc>
        <w:tc>
          <w:tcPr>
            <w:tcW w:w="7603" w:type="dxa"/>
            <w:tcBorders>
              <w:top w:val="single" w:sz="4" w:space="0" w:color="C9C9C9" w:themeColor="accent3" w:themeTint="99"/>
              <w:bottom w:val="single" w:sz="4" w:space="0" w:color="C9C9C9" w:themeColor="accent3" w:themeTint="99"/>
            </w:tcBorders>
          </w:tcPr>
          <w:p w14:paraId="2B7DD8D5" w14:textId="33184420" w:rsidR="1F248919" w:rsidRDefault="0093724A" w:rsidP="004010C9">
            <w:pPr>
              <w:jc w:val="both"/>
              <w:rPr>
                <w:sz w:val="20"/>
                <w:szCs w:val="20"/>
              </w:rPr>
            </w:pPr>
            <w:r>
              <w:rPr>
                <w:sz w:val="20"/>
              </w:rPr>
              <w:t xml:space="preserve">Requiring local authorities to work alongside iwi to identify </w:t>
            </w:r>
            <w:proofErr w:type="spellStart"/>
            <w:r w:rsidRPr="006450ED">
              <w:rPr>
                <w:sz w:val="20"/>
                <w:szCs w:val="20"/>
              </w:rPr>
              <w:t>wāhi</w:t>
            </w:r>
            <w:proofErr w:type="spellEnd"/>
            <w:r w:rsidRPr="006450ED">
              <w:rPr>
                <w:sz w:val="20"/>
                <w:szCs w:val="20"/>
              </w:rPr>
              <w:t xml:space="preserve"> tūpuna</w:t>
            </w:r>
            <w:r w:rsidR="006971AF">
              <w:rPr>
                <w:sz w:val="20"/>
                <w:szCs w:val="20"/>
              </w:rPr>
              <w:t xml:space="preserve"> ensures that they are correctly identified,</w:t>
            </w:r>
            <w:r w:rsidR="00A31067">
              <w:rPr>
                <w:sz w:val="20"/>
                <w:szCs w:val="20"/>
              </w:rPr>
              <w:t xml:space="preserve"> where</w:t>
            </w:r>
            <w:r w:rsidR="004010C9">
              <w:rPr>
                <w:sz w:val="20"/>
                <w:szCs w:val="20"/>
              </w:rPr>
              <w:t>as m</w:t>
            </w:r>
            <w:r w:rsidR="00E43E19">
              <w:rPr>
                <w:sz w:val="20"/>
              </w:rPr>
              <w:t xml:space="preserve">apping the extent of </w:t>
            </w:r>
            <w:proofErr w:type="spellStart"/>
            <w:r w:rsidR="00E43E19" w:rsidRPr="006450ED">
              <w:rPr>
                <w:sz w:val="20"/>
                <w:szCs w:val="20"/>
              </w:rPr>
              <w:t>wāhi</w:t>
            </w:r>
            <w:proofErr w:type="spellEnd"/>
            <w:r w:rsidR="00E43E19" w:rsidRPr="006450ED">
              <w:rPr>
                <w:sz w:val="20"/>
                <w:szCs w:val="20"/>
              </w:rPr>
              <w:t xml:space="preserve"> tūpuna</w:t>
            </w:r>
            <w:r w:rsidR="00E43E19">
              <w:rPr>
                <w:sz w:val="20"/>
              </w:rPr>
              <w:t xml:space="preserve"> will improve the certainty about their location and the management approach to be applied</w:t>
            </w:r>
            <w:r w:rsidR="004010C9">
              <w:rPr>
                <w:sz w:val="20"/>
              </w:rPr>
              <w:t>. The</w:t>
            </w:r>
            <w:r w:rsidR="00967974">
              <w:rPr>
                <w:sz w:val="20"/>
              </w:rPr>
              <w:t>se requirements, outlined in the policies and methods</w:t>
            </w:r>
            <w:r w:rsidR="00EF092A">
              <w:rPr>
                <w:sz w:val="20"/>
              </w:rPr>
              <w:t>,</w:t>
            </w:r>
            <w:r w:rsidR="007B0E96">
              <w:rPr>
                <w:sz w:val="20"/>
              </w:rPr>
              <w:t xml:space="preserve"> increases </w:t>
            </w:r>
            <w:r w:rsidR="00E43E19">
              <w:rPr>
                <w:sz w:val="20"/>
              </w:rPr>
              <w:t xml:space="preserve">the certainty that the </w:t>
            </w:r>
            <w:r w:rsidR="007B0E96">
              <w:rPr>
                <w:sz w:val="20"/>
              </w:rPr>
              <w:t>HCV-</w:t>
            </w:r>
            <w:r w:rsidR="00CA1822">
              <w:rPr>
                <w:sz w:val="20"/>
              </w:rPr>
              <w:t>WT-</w:t>
            </w:r>
            <w:r w:rsidR="007B0E96">
              <w:rPr>
                <w:sz w:val="20"/>
              </w:rPr>
              <w:t>O1</w:t>
            </w:r>
            <w:r w:rsidR="00E43E19">
              <w:rPr>
                <w:sz w:val="20"/>
              </w:rPr>
              <w:t xml:space="preserve"> will be met. Clarifying the specific roles and responsibilities of Otago’s local authorities will improve the implementation of the policies, which in turn improves the achievement of the objectives.</w:t>
            </w:r>
          </w:p>
        </w:tc>
      </w:tr>
    </w:tbl>
    <w:p w14:paraId="3B9D2DED" w14:textId="77777777" w:rsidR="167A3442" w:rsidRPr="00F763A5" w:rsidRDefault="167A3442" w:rsidP="00DE069C">
      <w:pPr>
        <w:pStyle w:val="Heading4"/>
      </w:pPr>
      <w:r w:rsidRPr="00F763A5">
        <w:t>Risk of acting or not acting</w:t>
      </w:r>
    </w:p>
    <w:p w14:paraId="497FFB2F" w14:textId="3C83479A" w:rsidR="00C76AEC" w:rsidRDefault="167A3442"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914CFA">
        <w:t xml:space="preserve"> </w:t>
      </w:r>
      <w:r w:rsidR="00C76AEC">
        <w:t xml:space="preserve">In this case, there is uncertainty about the full extent of </w:t>
      </w:r>
      <w:proofErr w:type="spellStart"/>
      <w:r w:rsidR="00C76AEC">
        <w:t>wāhi</w:t>
      </w:r>
      <w:proofErr w:type="spellEnd"/>
      <w:r w:rsidR="00C76AEC">
        <w:t xml:space="preserve"> tūpuna in Otago</w:t>
      </w:r>
      <w:r w:rsidR="00AC2FD6">
        <w:t>, as these</w:t>
      </w:r>
      <w:r w:rsidR="00C76AEC">
        <w:t xml:space="preserve"> have not</w:t>
      </w:r>
      <w:r w:rsidR="00AC2FD6">
        <w:t xml:space="preserve"> yet</w:t>
      </w:r>
      <w:r w:rsidR="00C76AEC">
        <w:t xml:space="preserve"> been identified across the entire region. This means there is uncertainty about the geographic areas these provisions will apply to and therefore the level of restriction on subdivision, </w:t>
      </w:r>
      <w:r w:rsidR="00D85203">
        <w:t xml:space="preserve">resource </w:t>
      </w:r>
      <w:r w:rsidR="00C76AEC">
        <w:t xml:space="preserve">use or development. </w:t>
      </w:r>
    </w:p>
    <w:p w14:paraId="52946999" w14:textId="09FAF970" w:rsidR="167A3442" w:rsidRPr="00F763A5" w:rsidRDefault="00C76AEC" w:rsidP="00A247C5">
      <w:pPr>
        <w:pStyle w:val="Normal2"/>
      </w:pPr>
      <w:r>
        <w:t xml:space="preserve">The risk of acting or not acting </w:t>
      </w:r>
      <w:proofErr w:type="gramStart"/>
      <w:r>
        <w:t>is considered to be</w:t>
      </w:r>
      <w:proofErr w:type="gramEnd"/>
      <w:r>
        <w:t xml:space="preserve"> the same, given that the PORPS 201</w:t>
      </w:r>
      <w:r w:rsidR="00125B7A">
        <w:t>9</w:t>
      </w:r>
      <w:r>
        <w:t xml:space="preserve"> (status quo) still requires identification of these areas based on the same amount of information. As the provisions in option 2 </w:t>
      </w:r>
      <w:proofErr w:type="gramStart"/>
      <w:r>
        <w:t>are considered to be</w:t>
      </w:r>
      <w:proofErr w:type="gramEnd"/>
      <w:r>
        <w:t xml:space="preserve"> more efficient and effective in achieving the objectives, it is appropriate to act in this case.</w:t>
      </w:r>
    </w:p>
    <w:p w14:paraId="3E8BA3B1" w14:textId="7755A868" w:rsidR="167A3442" w:rsidRPr="00F763A5" w:rsidRDefault="167A3442" w:rsidP="00DE069C">
      <w:pPr>
        <w:pStyle w:val="Heading4"/>
      </w:pPr>
      <w:r w:rsidRPr="00F763A5">
        <w:t>Conclusion</w:t>
      </w:r>
    </w:p>
    <w:p w14:paraId="5FA054B4" w14:textId="2A08B36E" w:rsidR="1F248919" w:rsidRDefault="00CE5A47" w:rsidP="00A247C5">
      <w:pPr>
        <w:pStyle w:val="Normal2"/>
      </w:pPr>
      <w:r>
        <w:t xml:space="preserve">The cost-benefit and effectiveness and efficiency assessments have shown that overall, the </w:t>
      </w:r>
      <w:r w:rsidR="00E81F7F">
        <w:t>PORPS 2021</w:t>
      </w:r>
      <w:r>
        <w:t xml:space="preserve"> provisions are generally more efficient than the status quo and more effective at achieving the objectives of the </w:t>
      </w:r>
      <w:r w:rsidR="00E81F7F">
        <w:t>PORPS 2021</w:t>
      </w:r>
      <w:r>
        <w:t>. The provisions will assist ORC and the territorial authorities to fulfil their obligations under section 6 of the RMA</w:t>
      </w:r>
      <w:r w:rsidR="00A70007">
        <w:t>.</w:t>
      </w:r>
      <w:r>
        <w:t xml:space="preserve"> </w:t>
      </w:r>
    </w:p>
    <w:p w14:paraId="7F051661" w14:textId="77777777" w:rsidR="00AB281B" w:rsidRDefault="00AB281B" w:rsidP="00A247C5">
      <w:pPr>
        <w:pStyle w:val="Normal2"/>
        <w:numPr>
          <w:ilvl w:val="0"/>
          <w:numId w:val="0"/>
        </w:numPr>
        <w:ind w:left="720"/>
      </w:pPr>
    </w:p>
    <w:p w14:paraId="53C3DB36" w14:textId="77777777" w:rsidR="00DC4D46" w:rsidRDefault="00DC4D46">
      <w:pPr>
        <w:rPr>
          <w:rFonts w:asciiTheme="majorHAnsi" w:eastAsiaTheme="majorEastAsia" w:hAnsiTheme="majorHAnsi" w:cstheme="majorBidi"/>
          <w:color w:val="2F5496" w:themeColor="accent1" w:themeShade="BF"/>
          <w:sz w:val="24"/>
          <w:szCs w:val="24"/>
        </w:rPr>
      </w:pPr>
      <w:bookmarkStart w:id="140" w:name="_Ref72671574"/>
      <w:r>
        <w:br w:type="page"/>
      </w:r>
    </w:p>
    <w:p w14:paraId="71F983B6" w14:textId="60EF34A7" w:rsidR="00592199" w:rsidRPr="00592199" w:rsidRDefault="00A97861" w:rsidP="0082271A">
      <w:pPr>
        <w:pStyle w:val="Heading3"/>
      </w:pPr>
      <w:r>
        <w:lastRenderedPageBreak/>
        <w:t xml:space="preserve">HCV–HH – </w:t>
      </w:r>
      <w:r w:rsidR="006D4F36">
        <w:t>Historic heritage</w:t>
      </w:r>
      <w:bookmarkEnd w:id="140"/>
    </w:p>
    <w:p w14:paraId="003BF0DA" w14:textId="481CA547" w:rsidR="00F279F7" w:rsidRDefault="00F279F7" w:rsidP="00A247C5">
      <w:pPr>
        <w:pStyle w:val="Normal2"/>
      </w:pPr>
      <w:r>
        <w:t xml:space="preserve">This section of the report assesses the provisions proposed in the </w:t>
      </w:r>
      <w:r w:rsidR="00E81F7F">
        <w:t>PORPS 2021</w:t>
      </w:r>
      <w:r>
        <w:t xml:space="preserve"> related to historic heritage. </w:t>
      </w:r>
      <w:r w:rsidR="0080564B">
        <w:t>The relevant provisions for this section are:</w:t>
      </w:r>
    </w:p>
    <w:p w14:paraId="576E24EB" w14:textId="30E6F2C5" w:rsidR="00176168" w:rsidRPr="00E028E0" w:rsidRDefault="00176168" w:rsidP="00A247C5">
      <w:pPr>
        <w:pStyle w:val="Normal3"/>
        <w:numPr>
          <w:ilvl w:val="1"/>
          <w:numId w:val="70"/>
        </w:numPr>
      </w:pPr>
      <w:r w:rsidRPr="00E028E0">
        <w:t>HCV</w:t>
      </w:r>
      <w:r w:rsidR="00D6693C">
        <w:t>–</w:t>
      </w:r>
      <w:r w:rsidR="00CA1822" w:rsidRPr="00E028E0">
        <w:t>HH</w:t>
      </w:r>
      <w:r w:rsidR="00D6693C">
        <w:t>–</w:t>
      </w:r>
      <w:r w:rsidR="62050C36">
        <w:t>O</w:t>
      </w:r>
      <w:r w:rsidR="6CB53C71">
        <w:t>3</w:t>
      </w:r>
      <w:r w:rsidRPr="00E028E0">
        <w:t xml:space="preserve"> </w:t>
      </w:r>
      <w:r w:rsidR="00DD728A">
        <w:t xml:space="preserve">– </w:t>
      </w:r>
      <w:r w:rsidRPr="00E028E0">
        <w:t>Historic heritage resources</w:t>
      </w:r>
    </w:p>
    <w:p w14:paraId="3384BFC4" w14:textId="7D94C0CB" w:rsidR="00176168" w:rsidRPr="00E028E0" w:rsidRDefault="00176168" w:rsidP="00A247C5">
      <w:pPr>
        <w:pStyle w:val="Normal3"/>
        <w:numPr>
          <w:ilvl w:val="1"/>
          <w:numId w:val="70"/>
        </w:numPr>
      </w:pPr>
      <w:r>
        <w:t>HCV</w:t>
      </w:r>
      <w:r w:rsidR="00D6693C">
        <w:t>–</w:t>
      </w:r>
      <w:r w:rsidR="00CA1822">
        <w:t>HH</w:t>
      </w:r>
      <w:r w:rsidR="00D6693C">
        <w:t>–</w:t>
      </w:r>
      <w:r>
        <w:t>P</w:t>
      </w:r>
      <w:r w:rsidR="005F1E96">
        <w:t>3</w:t>
      </w:r>
      <w:r>
        <w:t xml:space="preserve"> </w:t>
      </w:r>
      <w:r w:rsidR="00DD728A">
        <w:t xml:space="preserve">– </w:t>
      </w:r>
      <w:r>
        <w:t>Recognising historic heritage</w:t>
      </w:r>
    </w:p>
    <w:p w14:paraId="6DD91330" w14:textId="01BFFBF9" w:rsidR="00176168" w:rsidRPr="00E028E0" w:rsidRDefault="00176168" w:rsidP="00A247C5">
      <w:pPr>
        <w:pStyle w:val="Normal3"/>
        <w:numPr>
          <w:ilvl w:val="1"/>
          <w:numId w:val="70"/>
        </w:numPr>
      </w:pPr>
      <w:r>
        <w:t>HCV</w:t>
      </w:r>
      <w:r w:rsidR="00D6693C">
        <w:t>–</w:t>
      </w:r>
      <w:r w:rsidR="00B41298">
        <w:t>HH</w:t>
      </w:r>
      <w:r w:rsidR="00D6693C">
        <w:t>–</w:t>
      </w:r>
      <w:r>
        <w:t>P</w:t>
      </w:r>
      <w:r w:rsidR="005F1E96">
        <w:t>4</w:t>
      </w:r>
      <w:r>
        <w:t xml:space="preserve"> </w:t>
      </w:r>
      <w:r w:rsidR="00DD728A">
        <w:t xml:space="preserve">– </w:t>
      </w:r>
      <w:r>
        <w:t>Identifying historic heritage</w:t>
      </w:r>
    </w:p>
    <w:p w14:paraId="0400808D" w14:textId="12652849" w:rsidR="00176168" w:rsidRPr="00E028E0" w:rsidRDefault="00176168" w:rsidP="00A247C5">
      <w:pPr>
        <w:pStyle w:val="Normal3"/>
        <w:numPr>
          <w:ilvl w:val="1"/>
          <w:numId w:val="70"/>
        </w:numPr>
      </w:pPr>
      <w:r>
        <w:t>HCV</w:t>
      </w:r>
      <w:r w:rsidR="00D6693C">
        <w:t>–</w:t>
      </w:r>
      <w:r w:rsidR="0027760E">
        <w:t>HH</w:t>
      </w:r>
      <w:r w:rsidR="00D6693C">
        <w:t>–</w:t>
      </w:r>
      <w:r>
        <w:t>P</w:t>
      </w:r>
      <w:r w:rsidR="005F1E96">
        <w:t>5</w:t>
      </w:r>
      <w:r>
        <w:t xml:space="preserve"> </w:t>
      </w:r>
      <w:r w:rsidR="00DD728A">
        <w:t xml:space="preserve">– </w:t>
      </w:r>
      <w:r>
        <w:t xml:space="preserve">Managing historic heritage </w:t>
      </w:r>
    </w:p>
    <w:p w14:paraId="33EE7273" w14:textId="496CF029" w:rsidR="00176168" w:rsidRPr="00E028E0" w:rsidRDefault="00176168" w:rsidP="00A247C5">
      <w:pPr>
        <w:pStyle w:val="Normal3"/>
        <w:numPr>
          <w:ilvl w:val="1"/>
          <w:numId w:val="70"/>
        </w:numPr>
      </w:pPr>
      <w:r>
        <w:t>HCV</w:t>
      </w:r>
      <w:r w:rsidR="00D6693C">
        <w:t>–</w:t>
      </w:r>
      <w:r w:rsidR="0027760E">
        <w:t>HH</w:t>
      </w:r>
      <w:r w:rsidR="00D6693C">
        <w:t>–</w:t>
      </w:r>
      <w:r>
        <w:t>P</w:t>
      </w:r>
      <w:r w:rsidR="005F1E96">
        <w:t>6</w:t>
      </w:r>
      <w:r>
        <w:t xml:space="preserve"> </w:t>
      </w:r>
      <w:r w:rsidR="00DD728A">
        <w:t xml:space="preserve">– </w:t>
      </w:r>
      <w:r>
        <w:t>Enhancing historic heritage</w:t>
      </w:r>
    </w:p>
    <w:p w14:paraId="2FA945F0" w14:textId="0281459A" w:rsidR="00F455B3" w:rsidRPr="00E028E0" w:rsidRDefault="00176168" w:rsidP="00A247C5">
      <w:pPr>
        <w:pStyle w:val="Normal3"/>
        <w:numPr>
          <w:ilvl w:val="1"/>
          <w:numId w:val="70"/>
        </w:numPr>
      </w:pPr>
      <w:r>
        <w:t>HCV</w:t>
      </w:r>
      <w:r w:rsidR="00D6693C">
        <w:t>–</w:t>
      </w:r>
      <w:r w:rsidR="00F455B3">
        <w:t>HH</w:t>
      </w:r>
      <w:r w:rsidR="00D6693C">
        <w:t>–</w:t>
      </w:r>
      <w:r w:rsidR="00F455B3">
        <w:t>P</w:t>
      </w:r>
      <w:r w:rsidR="005F1E96">
        <w:t>7</w:t>
      </w:r>
      <w:r w:rsidR="00F455B3">
        <w:t xml:space="preserve"> </w:t>
      </w:r>
      <w:r w:rsidR="00DD728A">
        <w:t xml:space="preserve">– </w:t>
      </w:r>
      <w:r w:rsidR="00F455B3">
        <w:t>Integration of historic heritage</w:t>
      </w:r>
    </w:p>
    <w:p w14:paraId="23642406" w14:textId="779D8E68" w:rsidR="00176168" w:rsidRPr="00E028E0" w:rsidRDefault="00176168" w:rsidP="00A247C5">
      <w:pPr>
        <w:pStyle w:val="Normal3"/>
        <w:numPr>
          <w:ilvl w:val="1"/>
          <w:numId w:val="70"/>
        </w:numPr>
      </w:pPr>
      <w:r>
        <w:t>HCV</w:t>
      </w:r>
      <w:r w:rsidR="00D6693C">
        <w:t>–</w:t>
      </w:r>
      <w:r w:rsidR="00F455B3">
        <w:t>HH</w:t>
      </w:r>
      <w:r w:rsidR="00D6693C">
        <w:t>–</w:t>
      </w:r>
      <w:r w:rsidR="00F1099C">
        <w:t xml:space="preserve">M4 </w:t>
      </w:r>
      <w:r w:rsidR="00DD728A">
        <w:t xml:space="preserve">– </w:t>
      </w:r>
      <w:r>
        <w:t>Regional plans</w:t>
      </w:r>
    </w:p>
    <w:p w14:paraId="2E1742C8" w14:textId="35A4164B" w:rsidR="00176168" w:rsidRPr="00E028E0" w:rsidRDefault="00176168" w:rsidP="00A247C5">
      <w:pPr>
        <w:pStyle w:val="Normal3"/>
        <w:numPr>
          <w:ilvl w:val="1"/>
          <w:numId w:val="70"/>
        </w:numPr>
      </w:pPr>
      <w:r>
        <w:t>HCV</w:t>
      </w:r>
      <w:r w:rsidR="00D6693C">
        <w:t>–</w:t>
      </w:r>
      <w:r w:rsidR="00F455B3">
        <w:t>HH</w:t>
      </w:r>
      <w:r w:rsidR="00D6693C">
        <w:t>–</w:t>
      </w:r>
      <w:r w:rsidR="00F1099C">
        <w:t xml:space="preserve">M5 </w:t>
      </w:r>
      <w:r w:rsidR="00DD728A">
        <w:t xml:space="preserve">– </w:t>
      </w:r>
      <w:r w:rsidR="00F455B3">
        <w:t>District Plans</w:t>
      </w:r>
    </w:p>
    <w:p w14:paraId="2DD403BF" w14:textId="6C5DC401" w:rsidR="00176168" w:rsidRPr="00E028E0" w:rsidRDefault="00176168" w:rsidP="00A247C5">
      <w:pPr>
        <w:pStyle w:val="Normal3"/>
        <w:numPr>
          <w:ilvl w:val="1"/>
          <w:numId w:val="70"/>
        </w:numPr>
      </w:pPr>
      <w:r>
        <w:t>HCV</w:t>
      </w:r>
      <w:r w:rsidR="00D6693C">
        <w:t>–</w:t>
      </w:r>
      <w:r w:rsidR="00F455B3">
        <w:t>HH</w:t>
      </w:r>
      <w:r w:rsidR="00D6693C">
        <w:t>–</w:t>
      </w:r>
      <w:r w:rsidR="00F1099C">
        <w:t xml:space="preserve">M6 </w:t>
      </w:r>
      <w:r w:rsidR="00DD728A">
        <w:t xml:space="preserve">– </w:t>
      </w:r>
      <w:r>
        <w:t>Incentives and education</w:t>
      </w:r>
    </w:p>
    <w:p w14:paraId="0C80A31A" w14:textId="665A89F7" w:rsidR="00F279F7" w:rsidRPr="00F279F7" w:rsidRDefault="009717B3" w:rsidP="00A247C5">
      <w:pPr>
        <w:pStyle w:val="Normal3"/>
        <w:numPr>
          <w:ilvl w:val="1"/>
          <w:numId w:val="70"/>
        </w:numPr>
      </w:pPr>
      <w:r>
        <w:t>APP</w:t>
      </w:r>
      <w:r w:rsidR="00F01686">
        <w:t>8</w:t>
      </w:r>
      <w:r w:rsidR="00176168">
        <w:t xml:space="preserve"> </w:t>
      </w:r>
      <w:r w:rsidR="00DD728A">
        <w:t>–</w:t>
      </w:r>
      <w:r w:rsidR="00176168">
        <w:t xml:space="preserve"> Criteria for identification of items, </w:t>
      </w:r>
      <w:proofErr w:type="gramStart"/>
      <w:r w:rsidR="00176168">
        <w:t>places</w:t>
      </w:r>
      <w:proofErr w:type="gramEnd"/>
      <w:r w:rsidR="00176168">
        <w:t xml:space="preserve"> and areas of historic heritage</w:t>
      </w:r>
    </w:p>
    <w:p w14:paraId="0C3ED60E" w14:textId="1418E491" w:rsidR="00E9552F" w:rsidRDefault="00E9552F" w:rsidP="00DE069C">
      <w:pPr>
        <w:pStyle w:val="Heading4"/>
      </w:pPr>
      <w:bookmarkStart w:id="141" w:name="_Ref53992058"/>
      <w:r>
        <w:t>Current issues</w:t>
      </w:r>
      <w:bookmarkEnd w:id="141"/>
    </w:p>
    <w:p w14:paraId="6EC6420D" w14:textId="6BF2BA11" w:rsidR="00B450AC" w:rsidRDefault="008C1EC8" w:rsidP="00A247C5">
      <w:pPr>
        <w:pStyle w:val="Normal2"/>
      </w:pPr>
      <w:r>
        <w:t>R</w:t>
      </w:r>
      <w:r w:rsidR="004D2792">
        <w:t>ich h</w:t>
      </w:r>
      <w:r w:rsidR="00515A57">
        <w:t xml:space="preserve">istoric </w:t>
      </w:r>
      <w:r w:rsidR="009E1609">
        <w:t xml:space="preserve">heritage is </w:t>
      </w:r>
      <w:r w:rsidR="008E4834">
        <w:t xml:space="preserve">an </w:t>
      </w:r>
      <w:r w:rsidR="009C139C">
        <w:t>integral</w:t>
      </w:r>
      <w:r w:rsidR="008E4834">
        <w:t xml:space="preserve"> part of Otago</w:t>
      </w:r>
      <w:r w:rsidR="007B0841">
        <w:t>’s</w:t>
      </w:r>
      <w:r w:rsidR="008E4834">
        <w:t xml:space="preserve"> </w:t>
      </w:r>
      <w:r w:rsidR="007B0841">
        <w:t>regional</w:t>
      </w:r>
      <w:r w:rsidR="009C139C">
        <w:t xml:space="preserve"> identi</w:t>
      </w:r>
      <w:r w:rsidR="006E359C">
        <w:t>t</w:t>
      </w:r>
      <w:r w:rsidR="009C139C">
        <w:t xml:space="preserve">y and </w:t>
      </w:r>
      <w:r w:rsidR="00F001B7">
        <w:t>contributes</w:t>
      </w:r>
      <w:r w:rsidR="009C139C">
        <w:t xml:space="preserve"> to the region’s character</w:t>
      </w:r>
      <w:r w:rsidR="000D71AD">
        <w:t>, and economy</w:t>
      </w:r>
      <w:r w:rsidR="009C139C">
        <w:t xml:space="preserve">. </w:t>
      </w:r>
      <w:r w:rsidR="00E96AAF">
        <w:t>Historic heritage places, sites and areas are at risk</w:t>
      </w:r>
      <w:r w:rsidR="00471240">
        <w:t xml:space="preserve"> from inappropriate use or development</w:t>
      </w:r>
      <w:r w:rsidR="00892D8A">
        <w:t>, and subsequently require</w:t>
      </w:r>
      <w:r w:rsidR="00471240">
        <w:t xml:space="preserve"> </w:t>
      </w:r>
      <w:r w:rsidR="00997BED">
        <w:t xml:space="preserve">protection from activities that </w:t>
      </w:r>
      <w:r w:rsidR="00B8387E">
        <w:t>may diminish or</w:t>
      </w:r>
      <w:r w:rsidR="00471240">
        <w:t xml:space="preserve"> </w:t>
      </w:r>
      <w:r w:rsidR="00C750B3">
        <w:t xml:space="preserve">affect </w:t>
      </w:r>
      <w:r w:rsidR="00C7683D">
        <w:t>heritage values.</w:t>
      </w:r>
      <w:r w:rsidR="00471240">
        <w:t xml:space="preserve"> </w:t>
      </w:r>
      <w:r w:rsidR="0073695C">
        <w:t>Protection</w:t>
      </w:r>
      <w:r w:rsidR="00515A57">
        <w:t xml:space="preserve"> </w:t>
      </w:r>
      <w:r w:rsidR="00B450AC">
        <w:t xml:space="preserve">of historic heritage from inappropriate activities is required under the RMA as a matter of national importance. </w:t>
      </w:r>
    </w:p>
    <w:p w14:paraId="2EC823BE" w14:textId="1D8774F3" w:rsidR="00D31CDF" w:rsidRDefault="00733161" w:rsidP="00A247C5">
      <w:pPr>
        <w:pStyle w:val="Normal2"/>
      </w:pPr>
      <w:r>
        <w:t xml:space="preserve">The PORPS 2019 </w:t>
      </w:r>
      <w:r w:rsidR="00D31CDF">
        <w:t xml:space="preserve">provisions related to historic values </w:t>
      </w:r>
      <w:r>
        <w:t xml:space="preserve">have been implemented </w:t>
      </w:r>
      <w:r w:rsidR="00D31CDF">
        <w:t>through</w:t>
      </w:r>
      <w:r>
        <w:t xml:space="preserve"> various</w:t>
      </w:r>
      <w:r w:rsidR="00D31CDF">
        <w:t xml:space="preserve"> district planning processes</w:t>
      </w:r>
      <w:r w:rsidR="00AA63EB">
        <w:t>,</w:t>
      </w:r>
      <w:r w:rsidRPr="00AA63EB">
        <w:rPr>
          <w:vertAlign w:val="superscript"/>
        </w:rPr>
        <w:footnoteReference w:id="37"/>
      </w:r>
      <w:r>
        <w:t xml:space="preserve"> which</w:t>
      </w:r>
      <w:r w:rsidR="00D31CDF">
        <w:t xml:space="preserve"> ha</w:t>
      </w:r>
      <w:r w:rsidR="00AA63EB">
        <w:t>s</w:t>
      </w:r>
      <w:r w:rsidR="00D31CDF">
        <w:t xml:space="preserve"> highlighted </w:t>
      </w:r>
      <w:r w:rsidR="005651C5">
        <w:t xml:space="preserve">issues </w:t>
      </w:r>
      <w:r w:rsidR="00C07175">
        <w:t>w</w:t>
      </w:r>
      <w:r w:rsidR="00F4573D">
        <w:t xml:space="preserve">ith </w:t>
      </w:r>
      <w:r w:rsidR="00C07175">
        <w:t xml:space="preserve">the direction related to areas of “regional or national </w:t>
      </w:r>
      <w:r w:rsidR="003D4E2C">
        <w:t>significance</w:t>
      </w:r>
      <w:r w:rsidR="00AA63EB">
        <w:t>”</w:t>
      </w:r>
      <w:r w:rsidR="00F4573D">
        <w:t xml:space="preserve"> and </w:t>
      </w:r>
      <w:r w:rsidR="0022528B">
        <w:t xml:space="preserve">the ability </w:t>
      </w:r>
      <w:r w:rsidR="008C1EC8">
        <w:t>of</w:t>
      </w:r>
      <w:r w:rsidR="0022528B">
        <w:t xml:space="preserve"> councils to apply a consistent approach to identifying and managing historic heritage</w:t>
      </w:r>
      <w:r w:rsidR="00C07175">
        <w:t xml:space="preserve">. </w:t>
      </w:r>
      <w:r>
        <w:t xml:space="preserve"> </w:t>
      </w:r>
    </w:p>
    <w:p w14:paraId="6E1E5422" w14:textId="6630A09A" w:rsidR="00AA63EB" w:rsidRDefault="00AA63EB" w:rsidP="00A247C5">
      <w:pPr>
        <w:pStyle w:val="Normal2"/>
      </w:pPr>
      <w:r>
        <w:t xml:space="preserve">The primary </w:t>
      </w:r>
      <w:r w:rsidRPr="003173DF">
        <w:t>objective</w:t>
      </w:r>
      <w:r>
        <w:t xml:space="preserve"> in</w:t>
      </w:r>
      <w:r w:rsidRPr="003173DF">
        <w:t xml:space="preserve"> relation to historic heritage is that it is “recognised and contribute</w:t>
      </w:r>
      <w:r>
        <w:t>[s]</w:t>
      </w:r>
      <w:r w:rsidRPr="003173DF">
        <w:t xml:space="preserve"> to the region’s character and sense of identity</w:t>
      </w:r>
      <w:r w:rsidR="00DB05E8">
        <w:t>.</w:t>
      </w:r>
      <w:r w:rsidRPr="003173DF">
        <w:t>”</w:t>
      </w:r>
      <w:r>
        <w:rPr>
          <w:rStyle w:val="FootnoteReference"/>
        </w:rPr>
        <w:footnoteReference w:id="38"/>
      </w:r>
      <w:r w:rsidRPr="003173DF">
        <w:t xml:space="preserve"> </w:t>
      </w:r>
      <w:r>
        <w:t xml:space="preserve">To achieve this primary objective, the PORPS 2019 </w:t>
      </w:r>
      <w:r w:rsidRPr="003173DF">
        <w:t>contains direction to</w:t>
      </w:r>
      <w:r>
        <w:t xml:space="preserve"> recognise,</w:t>
      </w:r>
      <w:r w:rsidRPr="003173DF">
        <w:t xml:space="preserve"> identify and manage heritage values across the region.</w:t>
      </w:r>
      <w:r>
        <w:t xml:space="preserve"> </w:t>
      </w:r>
    </w:p>
    <w:p w14:paraId="1C8E7F7C" w14:textId="70ACC2D2" w:rsidR="00AA63EB" w:rsidRDefault="00AA63EB" w:rsidP="00A247C5">
      <w:pPr>
        <w:pStyle w:val="Normal2"/>
      </w:pPr>
      <w:r>
        <w:t xml:space="preserve">Policy 5.2.2 </w:t>
      </w:r>
      <w:r w:rsidR="007864BC">
        <w:t xml:space="preserve">from the </w:t>
      </w:r>
      <w:r w:rsidR="007864BC" w:rsidRPr="007864BC">
        <w:t>PORPS 2019</w:t>
      </w:r>
      <w:r>
        <w:t xml:space="preserve"> requires that historic heritage places and areas of regional or national significance are identified using the attributes in Schedule 5. Schedule 5 sets out 11 criteria for identifying historic heritage values. However, the policy and schedule do not provide guidance on when a historic heritage place or area would be deemed regionally or nationally significant, or if the criteria listed in Schedule 5 are intended to apply to both regionally and nationally significant historic heritage values, or just one or the other. It is also unclear whether just one criterion is required to determine that a place or site or building is nationally or regionally significant, or whether multiple criteria are required to be satisfied to trigger such classification. The uncertainty embedded within this policy has resulted in some confusion </w:t>
      </w:r>
      <w:r w:rsidR="000F74A5">
        <w:t>for</w:t>
      </w:r>
      <w:r>
        <w:t xml:space="preserve"> plan users and has the potential to result in different interpretations by the territorial authorities.</w:t>
      </w:r>
    </w:p>
    <w:p w14:paraId="079F7B5E" w14:textId="3A98AFED" w:rsidR="00791E8C" w:rsidRDefault="00AA63EB" w:rsidP="00A247C5">
      <w:pPr>
        <w:pStyle w:val="Normal2"/>
      </w:pPr>
      <w:r>
        <w:t xml:space="preserve">Policy 5.2.3 </w:t>
      </w:r>
      <w:r w:rsidR="007864BC">
        <w:t>from the</w:t>
      </w:r>
      <w:r w:rsidR="007864BC" w:rsidRPr="007864BC">
        <w:t xml:space="preserve"> PORPS 2019</w:t>
      </w:r>
      <w:r>
        <w:t xml:space="preserve"> requires the p</w:t>
      </w:r>
      <w:r w:rsidRPr="009233F1">
        <w:t>rotect</w:t>
      </w:r>
      <w:r>
        <w:t>ion</w:t>
      </w:r>
      <w:r w:rsidRPr="009233F1">
        <w:t xml:space="preserve"> and enhance</w:t>
      </w:r>
      <w:r>
        <w:t>ment of</w:t>
      </w:r>
      <w:r w:rsidRPr="009233F1">
        <w:t xml:space="preserve"> places and areas of historic heritage</w:t>
      </w:r>
      <w:r w:rsidR="00791E8C">
        <w:t xml:space="preserve"> </w:t>
      </w:r>
      <w:r>
        <w:t xml:space="preserve">and sets out a list of actions to achieve protection and enhancement. The policy does not specify whether the management approach required is protection </w:t>
      </w:r>
      <w:r w:rsidRPr="009233F1">
        <w:t xml:space="preserve">and </w:t>
      </w:r>
      <w:r>
        <w:t xml:space="preserve">enhancement in all cases, or whether there is a distinction between the two. The policy sets </w:t>
      </w:r>
      <w:r>
        <w:lastRenderedPageBreak/>
        <w:t xml:space="preserve">out an effects management hierarchy, which can be an effective method for achieving a management goal, however the confusion in </w:t>
      </w:r>
      <w:r w:rsidRPr="00224ECB">
        <w:t>the policy wording</w:t>
      </w:r>
      <w:r w:rsidRPr="00791E8C">
        <w:rPr>
          <w:vertAlign w:val="superscript"/>
        </w:rPr>
        <w:footnoteReference w:id="39"/>
      </w:r>
      <w:r w:rsidRPr="00224ECB">
        <w:t xml:space="preserve"> reduces the effectiveness. Policy 5.2.3(c) </w:t>
      </w:r>
      <w:r w:rsidRPr="00C2495A">
        <w:t xml:space="preserve">directs that adverse effects on values that contribute to an area or place being of regional or national significance are avoided. </w:t>
      </w:r>
    </w:p>
    <w:p w14:paraId="64641249" w14:textId="18CCE5FB" w:rsidR="00AA63EB" w:rsidRPr="00AF3813" w:rsidRDefault="00AA63EB" w:rsidP="00A247C5">
      <w:pPr>
        <w:pStyle w:val="Normal2"/>
      </w:pPr>
      <w:r>
        <w:t>The inconsistent use of terms such as “historic heritage” and “values” (in relation to historic heritage) throughout the PORPS adds to the confusion associated with the provisions and may result in inconsistency in implementation. It is not clear if the requirement to ‘avoid’ adverse effects on historic heritage values is intended to align with the direction set out in Section 6(f) of the RMA, which requires the protection of historic heritage from inappropriate subdivision, use, and development.  The methods provide limited guidance on the roles and responsibilities of local authorities in managing historic heritage.</w:t>
      </w:r>
    </w:p>
    <w:p w14:paraId="7E782D5C" w14:textId="6474F068" w:rsidR="008F2F78" w:rsidRDefault="008F2F78" w:rsidP="00A247C5">
      <w:pPr>
        <w:pStyle w:val="Normal2"/>
      </w:pPr>
      <w:r>
        <w:t xml:space="preserve">Broadly, the provisions in the PORPS 2019 remain relevant and appropriate. However, some </w:t>
      </w:r>
      <w:r w:rsidR="00F33029">
        <w:t>changes are proposed to:</w:t>
      </w:r>
      <w:r>
        <w:t xml:space="preserve"> </w:t>
      </w:r>
    </w:p>
    <w:p w14:paraId="03E5E17F" w14:textId="5344A277" w:rsidR="008F2F78" w:rsidRPr="006E359C" w:rsidRDefault="00B4052B" w:rsidP="00A67475">
      <w:pPr>
        <w:pStyle w:val="Normal3"/>
      </w:pPr>
      <w:r w:rsidRPr="006E359C">
        <w:t>Clearly identify w</w:t>
      </w:r>
      <w:r w:rsidR="00375BDA" w:rsidRPr="006E359C">
        <w:t xml:space="preserve">ho will identify </w:t>
      </w:r>
      <w:r w:rsidR="00316A92" w:rsidRPr="006E359C">
        <w:t xml:space="preserve">areas and places </w:t>
      </w:r>
      <w:r w:rsidR="003C7B29">
        <w:t>with</w:t>
      </w:r>
      <w:r w:rsidR="00316A92" w:rsidRPr="006E359C">
        <w:t xml:space="preserve"> historic heritage</w:t>
      </w:r>
      <w:r w:rsidR="003C7B29">
        <w:t xml:space="preserve"> </w:t>
      </w:r>
      <w:proofErr w:type="gramStart"/>
      <w:r w:rsidR="003C7B29">
        <w:t>values</w:t>
      </w:r>
      <w:r w:rsidR="00316A92" w:rsidRPr="006E359C">
        <w:t>;</w:t>
      </w:r>
      <w:proofErr w:type="gramEnd"/>
    </w:p>
    <w:p w14:paraId="45C232BE" w14:textId="499852DF" w:rsidR="00C02B42" w:rsidRPr="006E359C" w:rsidRDefault="00596A40" w:rsidP="00A67475">
      <w:pPr>
        <w:pStyle w:val="Normal3"/>
      </w:pPr>
      <w:r>
        <w:t>Improve overall clarity of the provisions and p</w:t>
      </w:r>
      <w:r w:rsidR="00453926">
        <w:t>rovide more specific guidance</w:t>
      </w:r>
      <w:r w:rsidR="00B4052B">
        <w:t xml:space="preserve"> </w:t>
      </w:r>
      <w:r>
        <w:t>on t</w:t>
      </w:r>
      <w:r w:rsidR="00E036D0">
        <w:t xml:space="preserve">he criteria that must be met </w:t>
      </w:r>
      <w:r w:rsidR="00C02B42">
        <w:t xml:space="preserve">for a place or site </w:t>
      </w:r>
      <w:r w:rsidR="00E036D0">
        <w:t xml:space="preserve">to </w:t>
      </w:r>
      <w:r w:rsidR="00C02B42">
        <w:t>be classified as having</w:t>
      </w:r>
      <w:r w:rsidR="00E036D0">
        <w:t xml:space="preserve"> significant heritage values</w:t>
      </w:r>
      <w:r w:rsidR="00C02B42">
        <w:t>;</w:t>
      </w:r>
      <w:r w:rsidR="001D786B">
        <w:t xml:space="preserve"> and</w:t>
      </w:r>
    </w:p>
    <w:p w14:paraId="066EC1EC" w14:textId="467E1174" w:rsidR="00422680" w:rsidRPr="006E359C" w:rsidRDefault="001D786B" w:rsidP="00A67475">
      <w:pPr>
        <w:pStyle w:val="Normal3"/>
      </w:pPr>
      <w:r>
        <w:t>Define t</w:t>
      </w:r>
      <w:r w:rsidR="00E37130">
        <w:t>he division of responsibilities between ORC and the territorial authorities.</w:t>
      </w:r>
    </w:p>
    <w:p w14:paraId="4E1B7C9A" w14:textId="714F5D44" w:rsidR="00E9552F" w:rsidRDefault="00E9552F" w:rsidP="00DE069C">
      <w:pPr>
        <w:pStyle w:val="Heading4"/>
      </w:pPr>
      <w:r>
        <w:t>Objectives</w:t>
      </w:r>
    </w:p>
    <w:p w14:paraId="10D58014" w14:textId="5D9D77EC" w:rsidR="008A1149" w:rsidRDefault="007224C8" w:rsidP="00A247C5">
      <w:pPr>
        <w:pStyle w:val="Normal2"/>
      </w:pPr>
      <w:r>
        <w:t>Sec</w:t>
      </w:r>
      <w:r w:rsidR="00C62919">
        <w:t>tion 32(1)(b) requires examining whether the provisions in the proposal are the most appropriate way of achieving the objectives. The relevant objective for this topic is</w:t>
      </w:r>
      <w:r w:rsidR="00316B16">
        <w:t xml:space="preserve"> included in </w:t>
      </w:r>
      <w:r>
        <w:fldChar w:fldCharType="begin"/>
      </w:r>
      <w:r>
        <w:instrText xml:space="preserve"> REF _Ref53994422 \h </w:instrText>
      </w:r>
      <w:r>
        <w:fldChar w:fldCharType="separate"/>
      </w:r>
      <w:r w:rsidR="002A7A16">
        <w:t xml:space="preserve">Table </w:t>
      </w:r>
      <w:r w:rsidR="002A7A16">
        <w:rPr>
          <w:noProof/>
        </w:rPr>
        <w:t>59</w:t>
      </w:r>
      <w:r>
        <w:fldChar w:fldCharType="end"/>
      </w:r>
      <w:r w:rsidR="00316B16">
        <w:t xml:space="preserve"> below.</w:t>
      </w:r>
    </w:p>
    <w:p w14:paraId="1E8D4E8F" w14:textId="0A87B379" w:rsidR="000F28E2" w:rsidRDefault="000F28E2" w:rsidP="000F28E2">
      <w:pPr>
        <w:pStyle w:val="Caption"/>
        <w:keepNext/>
        <w:ind w:left="709"/>
      </w:pPr>
      <w:bookmarkStart w:id="142" w:name="_Ref53994422"/>
      <w:r>
        <w:t xml:space="preserve">Table </w:t>
      </w:r>
      <w:r>
        <w:fldChar w:fldCharType="begin"/>
      </w:r>
      <w:r>
        <w:instrText>SEQ Table \* ARABIC</w:instrText>
      </w:r>
      <w:r>
        <w:fldChar w:fldCharType="separate"/>
      </w:r>
      <w:r w:rsidR="002A7A16">
        <w:rPr>
          <w:noProof/>
        </w:rPr>
        <w:t>59</w:t>
      </w:r>
      <w:r>
        <w:fldChar w:fldCharType="end"/>
      </w:r>
      <w:bookmarkEnd w:id="142"/>
      <w:r>
        <w:t>: Historic heritage objective</w:t>
      </w:r>
    </w:p>
    <w:tbl>
      <w:tblPr>
        <w:tblStyle w:val="TableGrid"/>
        <w:tblW w:w="0" w:type="auto"/>
        <w:tblInd w:w="720" w:type="dxa"/>
        <w:tblLook w:val="04A0" w:firstRow="1" w:lastRow="0" w:firstColumn="1" w:lastColumn="0" w:noHBand="0" w:noVBand="1"/>
      </w:tblPr>
      <w:tblGrid>
        <w:gridCol w:w="2677"/>
        <w:gridCol w:w="5619"/>
      </w:tblGrid>
      <w:tr w:rsidR="000F28E2" w14:paraId="34EA60B8" w14:textId="77777777" w:rsidTr="00E77177">
        <w:tc>
          <w:tcPr>
            <w:tcW w:w="2677" w:type="dxa"/>
          </w:tcPr>
          <w:p w14:paraId="7F61C74A" w14:textId="4E2FD264" w:rsidR="000F28E2" w:rsidRPr="00D6693C" w:rsidRDefault="00B11D45" w:rsidP="00A247C5">
            <w:pPr>
              <w:pStyle w:val="Table1"/>
            </w:pPr>
            <w:r w:rsidRPr="00D6693C">
              <w:t>HCV</w:t>
            </w:r>
            <w:r w:rsidR="000715BF" w:rsidRPr="00D6693C">
              <w:t>–</w:t>
            </w:r>
            <w:r w:rsidRPr="00D6693C">
              <w:t>HH</w:t>
            </w:r>
            <w:r w:rsidR="000715BF" w:rsidRPr="00D6693C">
              <w:t>–</w:t>
            </w:r>
            <w:r w:rsidRPr="00D6693C">
              <w:t>O</w:t>
            </w:r>
            <w:r w:rsidR="008B0B0F" w:rsidRPr="00D6693C">
              <w:t>3</w:t>
            </w:r>
            <w:r w:rsidRPr="00D6693C">
              <w:t xml:space="preserve"> </w:t>
            </w:r>
            <w:r w:rsidR="000715BF" w:rsidRPr="00D6693C">
              <w:t xml:space="preserve">– </w:t>
            </w:r>
            <w:r w:rsidRPr="00D6693C">
              <w:t>Historic heritage resources</w:t>
            </w:r>
          </w:p>
        </w:tc>
        <w:tc>
          <w:tcPr>
            <w:tcW w:w="5619" w:type="dxa"/>
          </w:tcPr>
          <w:p w14:paraId="65276F6C" w14:textId="7DF56634" w:rsidR="000F28E2" w:rsidRPr="00561E15" w:rsidRDefault="007D4563" w:rsidP="00A247C5">
            <w:pPr>
              <w:pStyle w:val="Table1"/>
            </w:pPr>
            <w:r w:rsidRPr="007D4563">
              <w:t>Otago’s unique historic heritage contributes to the region’s character, sense of identity, and social and economic wellbeing.</w:t>
            </w:r>
          </w:p>
        </w:tc>
      </w:tr>
    </w:tbl>
    <w:p w14:paraId="719A0241" w14:textId="32D65977" w:rsidR="00E9552F" w:rsidRDefault="00E9552F" w:rsidP="00DE069C">
      <w:pPr>
        <w:pStyle w:val="Heading4"/>
      </w:pPr>
      <w:r>
        <w:t>Reasonably practicable options</w:t>
      </w:r>
    </w:p>
    <w:p w14:paraId="3C5566BC" w14:textId="7342ED16" w:rsidR="00E9552F" w:rsidRDefault="00355940" w:rsidP="00A247C5">
      <w:pPr>
        <w:pStyle w:val="Normal2"/>
      </w:pPr>
      <w:r>
        <w:t>Two</w:t>
      </w:r>
      <w:r w:rsidR="00A92EFD">
        <w:t xml:space="preserve"> reasonably practicable options were identified to achieve the objectives:</w:t>
      </w:r>
    </w:p>
    <w:p w14:paraId="6F136EDF" w14:textId="77F2323B" w:rsidR="00A92EFD" w:rsidRPr="007D4563" w:rsidRDefault="0091392B" w:rsidP="00A67475">
      <w:pPr>
        <w:pStyle w:val="Normal3"/>
      </w:pPr>
      <w:r w:rsidRPr="00A247C5">
        <w:rPr>
          <w:b/>
          <w:bCs/>
        </w:rPr>
        <w:t>Option 1:</w:t>
      </w:r>
      <w:r>
        <w:t xml:space="preserve"> </w:t>
      </w:r>
      <w:r w:rsidRPr="007D4563">
        <w:t>Status quo (PORPS 2019</w:t>
      </w:r>
      <w:r w:rsidR="000C4C5B" w:rsidRPr="007D4563">
        <w:t>)</w:t>
      </w:r>
    </w:p>
    <w:p w14:paraId="49C060D8" w14:textId="0265547E" w:rsidR="0091392B" w:rsidRPr="007D4563" w:rsidRDefault="0091392B" w:rsidP="00A67475">
      <w:pPr>
        <w:pStyle w:val="Normal3"/>
      </w:pPr>
      <w:r w:rsidRPr="00A247C5">
        <w:rPr>
          <w:b/>
          <w:bCs/>
        </w:rPr>
        <w:t>Option 2:</w:t>
      </w:r>
      <w:r>
        <w:t xml:space="preserve"> </w:t>
      </w:r>
      <w:r w:rsidR="00E81F7F">
        <w:t>PORPS 2021</w:t>
      </w:r>
      <w:r w:rsidR="00E2354B">
        <w:t xml:space="preserve"> – </w:t>
      </w:r>
      <w:r w:rsidR="00E2354B" w:rsidRPr="00A247C5">
        <w:rPr>
          <w:i/>
          <w:iCs/>
        </w:rPr>
        <w:t xml:space="preserve">preferred </w:t>
      </w:r>
    </w:p>
    <w:p w14:paraId="02F91373" w14:textId="752F00B2" w:rsidR="00E2354B" w:rsidRPr="00434A60" w:rsidRDefault="00E2354B" w:rsidP="00A67475">
      <w:pPr>
        <w:pStyle w:val="Normal3"/>
      </w:pPr>
      <w:r w:rsidRPr="00A247C5">
        <w:rPr>
          <w:b/>
          <w:bCs/>
        </w:rPr>
        <w:t>Option 3:</w:t>
      </w:r>
      <w:r>
        <w:t xml:space="preserve"> PORPS 2021 plus geographic heritage classifications system</w:t>
      </w:r>
    </w:p>
    <w:p w14:paraId="3352FC29" w14:textId="77777777" w:rsidR="00E9552F" w:rsidRDefault="00E9552F" w:rsidP="000B61EC">
      <w:pPr>
        <w:pStyle w:val="Heading5"/>
      </w:pPr>
      <w:r>
        <w:t>Option 1: Status quo</w:t>
      </w:r>
    </w:p>
    <w:p w14:paraId="5708321A" w14:textId="4FE5FA25" w:rsidR="009364A8" w:rsidRDefault="009364A8" w:rsidP="00A247C5">
      <w:pPr>
        <w:pStyle w:val="Normal2"/>
      </w:pPr>
      <w:r>
        <w:t xml:space="preserve">The status quo and associated issues are outlined in section </w:t>
      </w:r>
      <w:r>
        <w:fldChar w:fldCharType="begin"/>
      </w:r>
      <w:r>
        <w:instrText xml:space="preserve"> REF _Ref53992058 \r \h </w:instrText>
      </w:r>
      <w:r>
        <w:fldChar w:fldCharType="separate"/>
      </w:r>
      <w:r w:rsidR="002A7A16">
        <w:t>5.11.3.1</w:t>
      </w:r>
      <w:r>
        <w:fldChar w:fldCharType="end"/>
      </w:r>
      <w:r>
        <w:t>. As outlined in that section, the status quo is not considered to be effective or efficient.</w:t>
      </w:r>
    </w:p>
    <w:p w14:paraId="5505D657" w14:textId="3C1B4E1B" w:rsidR="00E9552F" w:rsidRPr="00D6693C" w:rsidRDefault="00E9552F" w:rsidP="000B61EC">
      <w:pPr>
        <w:pStyle w:val="Heading5"/>
        <w:rPr>
          <w:i/>
          <w:iCs/>
        </w:rPr>
      </w:pPr>
      <w:r>
        <w:t xml:space="preserve">Option 2: </w:t>
      </w:r>
      <w:r w:rsidR="00E81F7F">
        <w:t>PORPS 2021</w:t>
      </w:r>
      <w:r w:rsidR="00D6693C">
        <w:t xml:space="preserve"> – </w:t>
      </w:r>
      <w:r w:rsidR="00D6693C">
        <w:rPr>
          <w:i/>
          <w:iCs/>
        </w:rPr>
        <w:t xml:space="preserve">preferred </w:t>
      </w:r>
    </w:p>
    <w:p w14:paraId="3C270332" w14:textId="03EF4E41" w:rsidR="009E423D" w:rsidRPr="009E423D" w:rsidRDefault="009E423D" w:rsidP="00A247C5">
      <w:pPr>
        <w:pStyle w:val="Normal2"/>
      </w:pPr>
      <w:r>
        <w:t>This option includes policies and methods that describe the actions that will be undertaken to achieve HCV</w:t>
      </w:r>
      <w:r w:rsidR="00D6693C">
        <w:t>–</w:t>
      </w:r>
      <w:r w:rsidR="003A5C80">
        <w:t>HH</w:t>
      </w:r>
      <w:r w:rsidR="00D6693C">
        <w:t>–</w:t>
      </w:r>
      <w:r>
        <w:t>O</w:t>
      </w:r>
      <w:r w:rsidR="00594014">
        <w:t>3</w:t>
      </w:r>
      <w:r>
        <w:t xml:space="preserve"> and seek to recognise </w:t>
      </w:r>
      <w:r w:rsidR="00BC3ABB">
        <w:t xml:space="preserve">and protect </w:t>
      </w:r>
      <w:r>
        <w:t xml:space="preserve">elements of heritage that are characteristic or important to Otago. </w:t>
      </w:r>
    </w:p>
    <w:p w14:paraId="7704ED28" w14:textId="6E777AB0" w:rsidR="003E0D43" w:rsidRDefault="009E423D" w:rsidP="00A247C5">
      <w:pPr>
        <w:pStyle w:val="Normal2"/>
      </w:pPr>
      <w:r w:rsidRPr="00723274">
        <w:lastRenderedPageBreak/>
        <w:t xml:space="preserve">The policies set out methods for identifying </w:t>
      </w:r>
      <w:r w:rsidRPr="008B270A">
        <w:t>historic heritage places and areas by</w:t>
      </w:r>
      <w:r>
        <w:t xml:space="preserve"> using clear criteria and guidance that is easily replicated and understood so that there is consistency across the Otago region. </w:t>
      </w:r>
      <w:r w:rsidR="003E0D43">
        <w:t>APP</w:t>
      </w:r>
      <w:r w:rsidR="00C813FD">
        <w:t>8</w:t>
      </w:r>
      <w:r w:rsidR="003E0D43">
        <w:t xml:space="preserve"> include</w:t>
      </w:r>
      <w:r w:rsidR="006A1D9E">
        <w:t>s</w:t>
      </w:r>
      <w:r w:rsidR="003E0D43">
        <w:t xml:space="preserve"> identification criteria for places and areas of historic heritage, where a place or area is considered to have historic heritage if it meets any one or more of the criteria listed. The criteria </w:t>
      </w:r>
      <w:r w:rsidR="00697B8A">
        <w:t>are</w:t>
      </w:r>
      <w:r w:rsidR="00D70E75">
        <w:t xml:space="preserve"> generally based on</w:t>
      </w:r>
      <w:r w:rsidR="003E0D43">
        <w:t xml:space="preserve"> the</w:t>
      </w:r>
      <w:r w:rsidR="007934DC">
        <w:t xml:space="preserve"> definition of historic heritage under the </w:t>
      </w:r>
      <w:r w:rsidR="007B45F7">
        <w:t>RMA definition</w:t>
      </w:r>
      <w:r w:rsidR="00D70E75">
        <w:t xml:space="preserve"> and includes additional criteria from </w:t>
      </w:r>
      <w:r w:rsidR="001C32DB">
        <w:t xml:space="preserve">Heritage New Zealand </w:t>
      </w:r>
      <w:proofErr w:type="spellStart"/>
      <w:r w:rsidR="001C32DB">
        <w:t>Pouhere</w:t>
      </w:r>
      <w:proofErr w:type="spellEnd"/>
      <w:r w:rsidR="001C32DB">
        <w:t xml:space="preserve"> Taonga Significance Assessment Guidelines</w:t>
      </w:r>
      <w:r w:rsidR="001C32DB">
        <w:rPr>
          <w:rStyle w:val="FootnoteReference"/>
        </w:rPr>
        <w:footnoteReference w:id="40"/>
      </w:r>
      <w:r w:rsidR="001C32DB">
        <w:t>.</w:t>
      </w:r>
      <w:r w:rsidR="00EE4C13">
        <w:t xml:space="preserve"> </w:t>
      </w:r>
    </w:p>
    <w:p w14:paraId="38768C46" w14:textId="761A6D03" w:rsidR="009E423D" w:rsidRDefault="009E423D" w:rsidP="00A247C5">
      <w:pPr>
        <w:pStyle w:val="Normal2"/>
      </w:pPr>
      <w:r>
        <w:t>The policies also set out a</w:t>
      </w:r>
      <w:r w:rsidR="0078006D">
        <w:t>n</w:t>
      </w:r>
      <w:r>
        <w:t xml:space="preserve"> </w:t>
      </w:r>
      <w:r w:rsidR="008D573D">
        <w:t xml:space="preserve">effects </w:t>
      </w:r>
      <w:r>
        <w:t xml:space="preserve">management </w:t>
      </w:r>
      <w:r w:rsidR="008D573D">
        <w:t>hierarchy</w:t>
      </w:r>
      <w:r>
        <w:t xml:space="preserve"> for protecting historic heritage from inappropriate subdivision, use and development that includes avoiding adverse effects on areas or places</w:t>
      </w:r>
      <w:r w:rsidR="0035062A">
        <w:t xml:space="preserve"> with special or outstanding </w:t>
      </w:r>
      <w:r w:rsidR="000D6484">
        <w:t xml:space="preserve">historic heritage </w:t>
      </w:r>
      <w:r w:rsidR="0035062A">
        <w:t>values or qualities</w:t>
      </w:r>
      <w:r w:rsidR="0019572B">
        <w:t xml:space="preserve"> and </w:t>
      </w:r>
      <w:r w:rsidR="001E3065">
        <w:t xml:space="preserve">avoiding </w:t>
      </w:r>
      <w:r w:rsidR="000D6484">
        <w:t>significant</w:t>
      </w:r>
      <w:r w:rsidR="0035062A">
        <w:t xml:space="preserve"> </w:t>
      </w:r>
      <w:r>
        <w:t xml:space="preserve">adverse effects on </w:t>
      </w:r>
      <w:r w:rsidR="0035062A">
        <w:t xml:space="preserve">areas or places with </w:t>
      </w:r>
      <w:r w:rsidR="000D6484">
        <w:t>historic heritage values or qualities</w:t>
      </w:r>
      <w:r w:rsidR="0019572B">
        <w:t xml:space="preserve">. </w:t>
      </w:r>
      <w:r w:rsidR="00065EAB">
        <w:t>Protecting historic heritage</w:t>
      </w:r>
      <w:r w:rsidR="001870D8">
        <w:t xml:space="preserve"> from inappropriate </w:t>
      </w:r>
      <w:r w:rsidR="00331706">
        <w:t>subdivision, use and development</w:t>
      </w:r>
      <w:r w:rsidR="00065EAB">
        <w:t xml:space="preserve"> is a matter of national importance </w:t>
      </w:r>
      <w:r w:rsidR="00331706">
        <w:t>that Council must recognise and provide for</w:t>
      </w:r>
      <w:r w:rsidR="00065EAB">
        <w:t xml:space="preserve"> (s6</w:t>
      </w:r>
      <w:r w:rsidR="00703BA3">
        <w:t xml:space="preserve">(f) RMA). </w:t>
      </w:r>
      <w:r w:rsidR="00AD5D23">
        <w:t xml:space="preserve">The </w:t>
      </w:r>
      <w:r w:rsidR="00027AC9">
        <w:t>use of the effects management hierarchy (including the</w:t>
      </w:r>
      <w:r w:rsidR="00AD5D23">
        <w:t xml:space="preserve"> strong direction to avoid </w:t>
      </w:r>
      <w:r w:rsidR="00027AC9">
        <w:t>certain types of effects)</w:t>
      </w:r>
      <w:r w:rsidR="00236C98">
        <w:t xml:space="preserve"> has been included</w:t>
      </w:r>
      <w:r w:rsidR="00A01788">
        <w:t xml:space="preserve"> to </w:t>
      </w:r>
      <w:r w:rsidR="00065EAB">
        <w:t xml:space="preserve">meet </w:t>
      </w:r>
      <w:r w:rsidR="00827C56">
        <w:t xml:space="preserve">Councils obligations under s6 of </w:t>
      </w:r>
      <w:r w:rsidR="00065EAB">
        <w:t xml:space="preserve">the </w:t>
      </w:r>
      <w:r w:rsidR="00827C56">
        <w:t>RMA.</w:t>
      </w:r>
      <w:r w:rsidR="0019572B">
        <w:t xml:space="preserve"> The policies also include direction for avoiding other adverse effects</w:t>
      </w:r>
      <w:r w:rsidR="008D573D">
        <w:t xml:space="preserve"> on </w:t>
      </w:r>
      <w:r w:rsidR="00C56AA2">
        <w:t>places or areas with historic heritage values</w:t>
      </w:r>
      <w:r w:rsidR="00553BDA">
        <w:t xml:space="preserve"> or qualities</w:t>
      </w:r>
      <w:r w:rsidR="00C56AA2">
        <w:t xml:space="preserve"> as </w:t>
      </w:r>
      <w:proofErr w:type="gramStart"/>
      <w:r w:rsidR="00C56AA2">
        <w:t>a first priority</w:t>
      </w:r>
      <w:proofErr w:type="gramEnd"/>
      <w:r>
        <w:t xml:space="preserve"> and only when </w:t>
      </w:r>
      <w:r w:rsidR="001E3065">
        <w:t xml:space="preserve">these </w:t>
      </w:r>
      <w:r>
        <w:t xml:space="preserve">effects cannot be avoided, </w:t>
      </w:r>
      <w:r w:rsidR="00C813FD">
        <w:t xml:space="preserve">then </w:t>
      </w:r>
      <w:r>
        <w:t xml:space="preserve">remedying or mitigating adverse effects on </w:t>
      </w:r>
      <w:r w:rsidR="00C56AA2">
        <w:t xml:space="preserve">these </w:t>
      </w:r>
      <w:r w:rsidR="001E3065">
        <w:t>areas and sites</w:t>
      </w:r>
      <w:r>
        <w:t xml:space="preserve">. </w:t>
      </w:r>
      <w:r w:rsidR="005C2368">
        <w:t>F</w:t>
      </w:r>
      <w:r w:rsidR="00480187">
        <w:t>or clarity,</w:t>
      </w:r>
      <w:r w:rsidR="00656D9C">
        <w:t xml:space="preserve"> interactions </w:t>
      </w:r>
      <w:r w:rsidR="00150FFF">
        <w:t>between historic heritage and</w:t>
      </w:r>
      <w:r w:rsidR="00656D9C">
        <w:t xml:space="preserve"> infrastructure are managed through </w:t>
      </w:r>
      <w:r w:rsidR="00150FFF">
        <w:t xml:space="preserve">a provision in </w:t>
      </w:r>
      <w:r w:rsidR="00656D9C">
        <w:t>the infrastructure chapter</w:t>
      </w:r>
      <w:r w:rsidR="00150FFF">
        <w:t>.</w:t>
      </w:r>
    </w:p>
    <w:p w14:paraId="36F023C2" w14:textId="7CCE8CF7" w:rsidR="009E423D" w:rsidRDefault="009E423D" w:rsidP="00A247C5">
      <w:pPr>
        <w:pStyle w:val="Normal2"/>
      </w:pPr>
      <w:r>
        <w:t xml:space="preserve">The policies include direction for enhancing places and areas of historic heritage </w:t>
      </w:r>
      <w:r w:rsidR="00553BDA">
        <w:t>wherever possible through plan provisions, decisions on applications for resource consent, notices of requirement and other non-regulatory methods</w:t>
      </w:r>
      <w:r w:rsidR="00FF19A2">
        <w:t>.</w:t>
      </w:r>
    </w:p>
    <w:p w14:paraId="3598AA82" w14:textId="793CC3DF" w:rsidR="009E423D" w:rsidRDefault="009E423D" w:rsidP="00A247C5">
      <w:pPr>
        <w:pStyle w:val="Normal2"/>
      </w:pPr>
      <w:r>
        <w:t xml:space="preserve">The proposed methods include direction for the local authorities to amend their plans to include objectives, </w:t>
      </w:r>
      <w:proofErr w:type="gramStart"/>
      <w:r>
        <w:t>policies</w:t>
      </w:r>
      <w:proofErr w:type="gramEnd"/>
      <w:r>
        <w:t xml:space="preserve"> and methods to protect historic heritage from inappropriate use and development</w:t>
      </w:r>
      <w:r w:rsidR="00BB5C0E">
        <w:t xml:space="preserve"> and</w:t>
      </w:r>
      <w:r>
        <w:t xml:space="preserve"> </w:t>
      </w:r>
      <w:r w:rsidR="003B44CD">
        <w:t xml:space="preserve">to </w:t>
      </w:r>
      <w:r>
        <w:t xml:space="preserve">identify areas and places of historic heritage that meet the significance criteria set out in </w:t>
      </w:r>
      <w:r w:rsidR="00333431">
        <w:t>APP</w:t>
      </w:r>
      <w:r w:rsidR="003B44CD">
        <w:t>8</w:t>
      </w:r>
      <w:r>
        <w:t>.</w:t>
      </w:r>
      <w:r w:rsidR="00FF19A2">
        <w:t xml:space="preserve"> The methods also include direction for</w:t>
      </w:r>
      <w:r w:rsidR="00ED2506">
        <w:t xml:space="preserve"> territorial authorities to amend their district plans to </w:t>
      </w:r>
      <w:r w:rsidR="0033004B">
        <w:t>provide for activities</w:t>
      </w:r>
      <w:r w:rsidR="00742BE3">
        <w:t xml:space="preserve"> that seek to retain historic heritage places, </w:t>
      </w:r>
      <w:proofErr w:type="gramStart"/>
      <w:r w:rsidR="00742BE3">
        <w:t>areas</w:t>
      </w:r>
      <w:proofErr w:type="gramEnd"/>
      <w:r w:rsidR="00742BE3">
        <w:t xml:space="preserve"> or landscapes. </w:t>
      </w:r>
    </w:p>
    <w:p w14:paraId="3291D03F" w14:textId="5864A97E" w:rsidR="009E423D" w:rsidRDefault="009E423D" w:rsidP="006F37DC">
      <w:pPr>
        <w:pStyle w:val="Heading6"/>
      </w:pPr>
      <w:r>
        <w:t xml:space="preserve">Option 3: </w:t>
      </w:r>
      <w:r w:rsidR="00E81F7F">
        <w:t>PORPS 2021</w:t>
      </w:r>
      <w:r>
        <w:t xml:space="preserve"> plus</w:t>
      </w:r>
      <w:r w:rsidR="00D075E9">
        <w:t xml:space="preserve"> </w:t>
      </w:r>
      <w:r w:rsidR="00C5214C">
        <w:t xml:space="preserve">geographic </w:t>
      </w:r>
      <w:r w:rsidR="00D075E9">
        <w:t>heritage classifications system</w:t>
      </w:r>
    </w:p>
    <w:p w14:paraId="75EF6CA0" w14:textId="68683B77" w:rsidR="009D1CE2" w:rsidRPr="00913DA7" w:rsidRDefault="009D1CE2" w:rsidP="00A247C5">
      <w:pPr>
        <w:pStyle w:val="Normal2"/>
      </w:pPr>
      <w:r>
        <w:t>This option is a</w:t>
      </w:r>
      <w:r w:rsidR="00616661">
        <w:t xml:space="preserve">n extension of </w:t>
      </w:r>
      <w:r>
        <w:t>Option 2 (</w:t>
      </w:r>
      <w:r w:rsidR="00E81F7F">
        <w:t>PORPS 2021</w:t>
      </w:r>
      <w:r>
        <w:t xml:space="preserve">), which </w:t>
      </w:r>
      <w:r w:rsidR="00C5214C">
        <w:t>is generally based on</w:t>
      </w:r>
      <w:r>
        <w:t xml:space="preserve"> </w:t>
      </w:r>
      <w:r w:rsidRPr="00A04501">
        <w:t>the HNZPT criteria and guidance for assessing significance of historic heritage</w:t>
      </w:r>
      <w:r>
        <w:t>,</w:t>
      </w:r>
      <w:r w:rsidRPr="00A04501">
        <w:t xml:space="preserve"> </w:t>
      </w:r>
      <w:r w:rsidR="00616661">
        <w:t xml:space="preserve">with the addition of a </w:t>
      </w:r>
      <w:r w:rsidRPr="00A04501">
        <w:t>classification system that includes geographic significance. This option provides clear criteria necessary for a consistent a</w:t>
      </w:r>
      <w:r>
        <w:t xml:space="preserve">nd </w:t>
      </w:r>
      <w:r w:rsidRPr="00A04501">
        <w:t>reliably repeated method for identifying places and areas of significance.</w:t>
      </w:r>
      <w:r w:rsidR="000B4022">
        <w:t xml:space="preserve"> </w:t>
      </w:r>
      <w:r>
        <w:t xml:space="preserve">A full description of identifying historic heritage under </w:t>
      </w:r>
      <w:r w:rsidR="00DB02F6">
        <w:t>this option</w:t>
      </w:r>
      <w:r>
        <w:t xml:space="preserve"> is set out in </w:t>
      </w:r>
      <w:r w:rsidR="003B374E">
        <w:t xml:space="preserve">the heritage advice received on the draft RPS </w:t>
      </w:r>
      <w:r>
        <w:t>and is referred to as “Option D”</w:t>
      </w:r>
      <w:r w:rsidR="00DF6F2A">
        <w:t>. This advice is attached as Appendix 20.</w:t>
      </w:r>
      <w:r w:rsidR="00DF6F2A" w:rsidRPr="00913DA7">
        <w:t xml:space="preserve"> </w:t>
      </w:r>
    </w:p>
    <w:p w14:paraId="7D272654" w14:textId="4D31135F" w:rsidR="009D1CE2" w:rsidRPr="00A04501" w:rsidRDefault="009D1CE2" w:rsidP="00A247C5">
      <w:pPr>
        <w:pStyle w:val="Normal2"/>
      </w:pPr>
      <w:r>
        <w:t xml:space="preserve">Given the resource intensive nature of this approach without a clear need to have a different management approach for places of national and regional significance, this approach is unlikely to be efficient. </w:t>
      </w:r>
    </w:p>
    <w:p w14:paraId="4E1B8189" w14:textId="77777777" w:rsidR="00CA315B" w:rsidRDefault="00CA315B" w:rsidP="00DE069C">
      <w:pPr>
        <w:pStyle w:val="Heading4"/>
      </w:pPr>
      <w:r>
        <w:lastRenderedPageBreak/>
        <w:t>Consultation summary</w:t>
      </w:r>
    </w:p>
    <w:p w14:paraId="3C661114" w14:textId="77777777" w:rsidR="00F478CF" w:rsidRDefault="00F478CF" w:rsidP="000B61EC">
      <w:pPr>
        <w:pStyle w:val="Heading5"/>
      </w:pPr>
      <w:r w:rsidRPr="000B4022">
        <w:t>Clause 3 consultation</w:t>
      </w:r>
    </w:p>
    <w:p w14:paraId="60F4CC87" w14:textId="38128961" w:rsidR="003B44CD" w:rsidRDefault="00F478CF"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 MERGEFORMAT </w:instrText>
      </w:r>
      <w:r>
        <w:fldChar w:fldCharType="separate"/>
      </w:r>
      <w:r w:rsidR="002A7A16">
        <w:t>2.5.1</w:t>
      </w:r>
      <w:r>
        <w:fldChar w:fldCharType="end"/>
      </w:r>
      <w:r>
        <w:t xml:space="preserve"> of this report. </w:t>
      </w:r>
      <w:r w:rsidR="00E45498" w:rsidRPr="29589E8D">
        <w:rPr>
          <w:rStyle w:val="Normal2Char"/>
        </w:rPr>
        <w:t>Seven</w:t>
      </w:r>
      <w:r w:rsidR="00193D82" w:rsidRPr="29589E8D">
        <w:rPr>
          <w:rStyle w:val="Normal2Char"/>
        </w:rPr>
        <w:t xml:space="preserve"> </w:t>
      </w:r>
      <w:r w:rsidRPr="29589E8D">
        <w:rPr>
          <w:rStyle w:val="Normal2Char"/>
        </w:rPr>
        <w:t>parties</w:t>
      </w:r>
      <w:r w:rsidR="00FE78C4" w:rsidRPr="29589E8D">
        <w:rPr>
          <w:rStyle w:val="Normal2Char"/>
        </w:rPr>
        <w:t xml:space="preserve">, including </w:t>
      </w:r>
      <w:r w:rsidR="00E45498" w:rsidRPr="29589E8D">
        <w:rPr>
          <w:rStyle w:val="Normal2Char"/>
        </w:rPr>
        <w:t xml:space="preserve">the </w:t>
      </w:r>
      <w:r w:rsidR="000B4022" w:rsidRPr="29589E8D">
        <w:rPr>
          <w:rStyle w:val="Normal2Char"/>
        </w:rPr>
        <w:t>Reference</w:t>
      </w:r>
      <w:r w:rsidR="00E45498" w:rsidRPr="29589E8D">
        <w:rPr>
          <w:rStyle w:val="Normal2Char"/>
        </w:rPr>
        <w:t xml:space="preserve"> </w:t>
      </w:r>
      <w:r w:rsidR="000B4022" w:rsidRPr="29589E8D">
        <w:rPr>
          <w:rStyle w:val="Normal2Char"/>
        </w:rPr>
        <w:t>G</w:t>
      </w:r>
      <w:r w:rsidR="00E45498" w:rsidRPr="29589E8D">
        <w:rPr>
          <w:rStyle w:val="Normal2Char"/>
        </w:rPr>
        <w:t>roup,</w:t>
      </w:r>
      <w:r>
        <w:t xml:space="preserve"> provided feedback on the </w:t>
      </w:r>
      <w:r w:rsidR="003B44CD" w:rsidRPr="003B44CD">
        <w:rPr>
          <w:i/>
          <w:iCs/>
        </w:rPr>
        <w:t>HCV–HH – Historic heritage</w:t>
      </w:r>
      <w:r w:rsidR="003B44CD">
        <w:t xml:space="preserve"> section</w:t>
      </w:r>
      <w:r>
        <w:t xml:space="preserve"> through clause 3 consultation. </w:t>
      </w:r>
      <w:r w:rsidR="00BE2170">
        <w:t xml:space="preserve"> Most of the changes made to the </w:t>
      </w:r>
      <w:r w:rsidR="006777B4">
        <w:t>HCV</w:t>
      </w:r>
      <w:r w:rsidR="00BE2170">
        <w:t xml:space="preserve"> chapter were minor wording changes for clarity. There were some suggested additions to the list of historical heritage (HCV</w:t>
      </w:r>
      <w:r w:rsidR="003B44CD">
        <w:t>–</w:t>
      </w:r>
      <w:r w:rsidR="00BE2170">
        <w:t>HH</w:t>
      </w:r>
      <w:r w:rsidR="003B44CD">
        <w:t>–</w:t>
      </w:r>
      <w:r w:rsidR="00BE2170">
        <w:t>P3) such as ‘</w:t>
      </w:r>
      <w:proofErr w:type="gramStart"/>
      <w:r w:rsidR="00BE2170">
        <w:t>ruins</w:t>
      </w:r>
      <w:r w:rsidR="003B44CD">
        <w:t>’</w:t>
      </w:r>
      <w:proofErr w:type="gramEnd"/>
      <w:r w:rsidR="00BE2170">
        <w:t xml:space="preserve">. Additionally, the word ‘early’ when referring to heritage sites was removed to allow for the capturing of different eras of historical heritage. </w:t>
      </w:r>
    </w:p>
    <w:p w14:paraId="6187BA2A" w14:textId="11DACD5D" w:rsidR="00E871D8" w:rsidRPr="00913DA7" w:rsidRDefault="00BE2170" w:rsidP="00A247C5">
      <w:pPr>
        <w:pStyle w:val="Normal2"/>
      </w:pPr>
      <w:r>
        <w:t>A significant change to the direction of the chapter was made in HCV</w:t>
      </w:r>
      <w:r w:rsidR="003B44CD">
        <w:t>–</w:t>
      </w:r>
      <w:r>
        <w:t>HH</w:t>
      </w:r>
      <w:r w:rsidR="003B44CD">
        <w:t>–</w:t>
      </w:r>
      <w:r>
        <w:t>P5, and the change was made due to feedback suggesting there was no work around for infrastructure projects of a regional or national significance. The change has allowed for EIT</w:t>
      </w:r>
      <w:r w:rsidR="003B44CD">
        <w:t>–</w:t>
      </w:r>
      <w:r>
        <w:t>INF</w:t>
      </w:r>
      <w:r w:rsidR="003B44CD">
        <w:t>–</w:t>
      </w:r>
      <w:r>
        <w:t xml:space="preserve">P13 to take effect in the event where adverse effects to historic heritage cannot be avoided, </w:t>
      </w:r>
      <w:proofErr w:type="gramStart"/>
      <w:r>
        <w:t>remedied</w:t>
      </w:r>
      <w:proofErr w:type="gramEnd"/>
      <w:r>
        <w:t xml:space="preserve"> or mitigated. However, it should be noted that the intent is still for enhancement and integration of heritage buildings or sites wherever possible to enable adaptive reuse. A significant suggested change was to allow compensation options for activities with </w:t>
      </w:r>
      <w:r w:rsidR="003B44CD">
        <w:t xml:space="preserve">a </w:t>
      </w:r>
      <w:r>
        <w:t xml:space="preserve">functional need, however this was a significant deviation from the current direction around protecting and managing historic heritage. Other feedback also suggested that a compensation option would not be appropriate due to the often-irreplaceable nature of heritage sites and buildings. </w:t>
      </w:r>
    </w:p>
    <w:p w14:paraId="378FD770" w14:textId="103721C4" w:rsidR="00F478CF" w:rsidRPr="00E871D8" w:rsidRDefault="00F478CF" w:rsidP="000B61EC">
      <w:pPr>
        <w:pStyle w:val="Heading5"/>
      </w:pPr>
      <w:r w:rsidRPr="00E871D8">
        <w:t>Clause 4A consultation</w:t>
      </w:r>
    </w:p>
    <w:p w14:paraId="2448B61C" w14:textId="1177A7F9" w:rsidR="00F478CF" w:rsidRPr="00ED22B7" w:rsidRDefault="00646D39" w:rsidP="00A247C5">
      <w:pPr>
        <w:pStyle w:val="Normal2"/>
      </w:pPr>
      <w:r>
        <w:t>Iwi did not provide any feedback on the HCV-HH section of the draft RPS</w:t>
      </w:r>
      <w:r w:rsidR="003D399E">
        <w:t>.</w:t>
      </w:r>
    </w:p>
    <w:p w14:paraId="09149E32" w14:textId="3D98945E" w:rsidR="00E9552F" w:rsidRDefault="00E9552F" w:rsidP="00DE069C">
      <w:pPr>
        <w:pStyle w:val="Heading4"/>
      </w:pPr>
      <w:r>
        <w:t>Efficiency and effectiveness evaluation</w:t>
      </w:r>
    </w:p>
    <w:p w14:paraId="7705AB58" w14:textId="0DF0B75A" w:rsidR="00E9552F" w:rsidRDefault="00EC6C57" w:rsidP="00A247C5">
      <w:pPr>
        <w:pStyle w:val="Normal2"/>
      </w:pPr>
      <w:r>
        <w:fldChar w:fldCharType="begin"/>
      </w:r>
      <w:r>
        <w:instrText xml:space="preserve"> REF _Ref53994142 \h </w:instrText>
      </w:r>
      <w:r>
        <w:fldChar w:fldCharType="separate"/>
      </w:r>
      <w:r w:rsidR="002A7A16">
        <w:t xml:space="preserve">Table </w:t>
      </w:r>
      <w:r w:rsidR="002A7A16">
        <w:rPr>
          <w:noProof/>
        </w:rPr>
        <w:t>60</w:t>
      </w:r>
      <w:r>
        <w:fldChar w:fldCharType="end"/>
      </w:r>
      <w:r>
        <w:t xml:space="preserve"> </w:t>
      </w:r>
      <w:r w:rsidR="00E9552F">
        <w:t xml:space="preserve">below identifies and assesses the benefits and costs of the environmental, cultural, </w:t>
      </w:r>
      <w:proofErr w:type="gramStart"/>
      <w:r w:rsidR="00E9552F">
        <w:t>social</w:t>
      </w:r>
      <w:proofErr w:type="gramEnd"/>
      <w:r w:rsidR="00E9552F">
        <w:t xml:space="preserve"> and economic effects that are anticipated from the implementation of the provisions proposed under Option 2 above.</w:t>
      </w:r>
    </w:p>
    <w:p w14:paraId="2F8B3E3D" w14:textId="02D53102" w:rsidR="00E9552F" w:rsidRDefault="00E9552F" w:rsidP="00E9552F">
      <w:pPr>
        <w:pStyle w:val="Caption"/>
        <w:keepNext/>
      </w:pPr>
      <w:bookmarkStart w:id="143" w:name="_Ref53994142"/>
      <w:r>
        <w:t xml:space="preserve">Table </w:t>
      </w:r>
      <w:r>
        <w:fldChar w:fldCharType="begin"/>
      </w:r>
      <w:r>
        <w:instrText>SEQ Table \* ARABIC</w:instrText>
      </w:r>
      <w:r>
        <w:fldChar w:fldCharType="separate"/>
      </w:r>
      <w:r w:rsidR="002A7A16">
        <w:rPr>
          <w:noProof/>
        </w:rPr>
        <w:t>60</w:t>
      </w:r>
      <w:r>
        <w:fldChar w:fldCharType="end"/>
      </w:r>
      <w:bookmarkEnd w:id="143"/>
      <w:r>
        <w:t>:</w:t>
      </w:r>
      <w:r w:rsidRPr="00005F72">
        <w:t xml:space="preserve"> </w:t>
      </w:r>
      <w:r>
        <w:t xml:space="preserve">Benefits and costs for </w:t>
      </w:r>
      <w:r w:rsidR="009E30B0">
        <w:t>historic heritage</w:t>
      </w:r>
    </w:p>
    <w:tbl>
      <w:tblPr>
        <w:tblStyle w:val="ListTable1Light-Accent1"/>
        <w:tblW w:w="0" w:type="auto"/>
        <w:tblLook w:val="04A0" w:firstRow="1" w:lastRow="0" w:firstColumn="1" w:lastColumn="0" w:noHBand="0" w:noVBand="1"/>
      </w:tblPr>
      <w:tblGrid>
        <w:gridCol w:w="4508"/>
        <w:gridCol w:w="4508"/>
      </w:tblGrid>
      <w:tr w:rsidR="00E9552F" w:rsidRPr="00AE42AF" w14:paraId="6FEBC386" w14:textId="77777777" w:rsidTr="00424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DF79F6" w14:textId="77777777" w:rsidR="00E9552F" w:rsidRPr="00AE42AF" w:rsidRDefault="00E9552F" w:rsidP="00424DBB">
            <w:pPr>
              <w:jc w:val="center"/>
              <w:rPr>
                <w:sz w:val="20"/>
              </w:rPr>
            </w:pPr>
            <w:r w:rsidRPr="00AE42AF">
              <w:rPr>
                <w:sz w:val="20"/>
              </w:rPr>
              <w:t>BENEFITS</w:t>
            </w:r>
          </w:p>
        </w:tc>
        <w:tc>
          <w:tcPr>
            <w:tcW w:w="4508" w:type="dxa"/>
          </w:tcPr>
          <w:p w14:paraId="17569701" w14:textId="77777777" w:rsidR="00E9552F" w:rsidRPr="00AE42AF" w:rsidRDefault="00E9552F" w:rsidP="00424DBB">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9552F" w:rsidRPr="00AE42AF" w14:paraId="47BA5767"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2B8D46E" w14:textId="77777777" w:rsidR="00E9552F" w:rsidRPr="00AE42AF" w:rsidRDefault="00E9552F" w:rsidP="00424DBB">
            <w:pPr>
              <w:jc w:val="center"/>
              <w:rPr>
                <w:sz w:val="20"/>
              </w:rPr>
            </w:pPr>
            <w:r w:rsidRPr="00AE42AF">
              <w:rPr>
                <w:sz w:val="20"/>
              </w:rPr>
              <w:t>Environmental</w:t>
            </w:r>
          </w:p>
        </w:tc>
      </w:tr>
      <w:tr w:rsidR="00E9552F" w:rsidRPr="000136C1" w14:paraId="09661E1F"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7563C129" w14:textId="77777777" w:rsidR="00E9552F" w:rsidRPr="00B05101" w:rsidRDefault="00A04A48" w:rsidP="00EB6696">
            <w:pPr>
              <w:pStyle w:val="ListParagraph"/>
              <w:numPr>
                <w:ilvl w:val="0"/>
                <w:numId w:val="22"/>
              </w:numPr>
              <w:spacing w:before="60" w:after="60"/>
              <w:ind w:left="357" w:hanging="357"/>
              <w:contextualSpacing w:val="0"/>
              <w:jc w:val="both"/>
              <w:rPr>
                <w:b w:val="0"/>
                <w:sz w:val="20"/>
                <w:szCs w:val="20"/>
              </w:rPr>
            </w:pPr>
            <w:r w:rsidRPr="00B05101">
              <w:rPr>
                <w:b w:val="0"/>
                <w:sz w:val="20"/>
                <w:szCs w:val="20"/>
              </w:rPr>
              <w:t xml:space="preserve">Identification of </w:t>
            </w:r>
            <w:r w:rsidR="00230F69" w:rsidRPr="00B05101">
              <w:rPr>
                <w:b w:val="0"/>
                <w:sz w:val="20"/>
                <w:szCs w:val="20"/>
              </w:rPr>
              <w:t xml:space="preserve">significant heritage sites, places and </w:t>
            </w:r>
            <w:r w:rsidRPr="00B05101">
              <w:rPr>
                <w:b w:val="0"/>
                <w:sz w:val="20"/>
                <w:szCs w:val="20"/>
              </w:rPr>
              <w:t>areas in district plans using a method that i</w:t>
            </w:r>
            <w:r w:rsidR="00230F69" w:rsidRPr="00B05101">
              <w:rPr>
                <w:b w:val="0"/>
                <w:sz w:val="20"/>
                <w:szCs w:val="20"/>
              </w:rPr>
              <w:t xml:space="preserve">s </w:t>
            </w:r>
            <w:r w:rsidR="00665592" w:rsidRPr="00B05101">
              <w:rPr>
                <w:b w:val="0"/>
                <w:sz w:val="20"/>
                <w:szCs w:val="20"/>
              </w:rPr>
              <w:t>regionally consistent</w:t>
            </w:r>
            <w:r w:rsidR="00230F69" w:rsidRPr="00B05101">
              <w:rPr>
                <w:b w:val="0"/>
                <w:sz w:val="20"/>
                <w:szCs w:val="20"/>
              </w:rPr>
              <w:t xml:space="preserve">, will </w:t>
            </w:r>
            <w:r w:rsidR="00665592" w:rsidRPr="00B05101">
              <w:rPr>
                <w:b w:val="0"/>
                <w:sz w:val="20"/>
                <w:szCs w:val="20"/>
              </w:rPr>
              <w:t>support more effective management</w:t>
            </w:r>
            <w:r w:rsidR="001E5EE9" w:rsidRPr="00B05101">
              <w:rPr>
                <w:b w:val="0"/>
                <w:sz w:val="20"/>
                <w:szCs w:val="20"/>
              </w:rPr>
              <w:t xml:space="preserve"> by</w:t>
            </w:r>
            <w:r w:rsidR="00F753A6" w:rsidRPr="00B05101">
              <w:rPr>
                <w:b w:val="0"/>
                <w:sz w:val="20"/>
                <w:szCs w:val="20"/>
              </w:rPr>
              <w:t xml:space="preserve"> clarifying what actions are required for different categories of historic heritage. </w:t>
            </w:r>
            <w:r w:rsidR="00230F69" w:rsidRPr="00B05101">
              <w:rPr>
                <w:b w:val="0"/>
                <w:sz w:val="20"/>
                <w:szCs w:val="20"/>
              </w:rPr>
              <w:t xml:space="preserve"> </w:t>
            </w:r>
          </w:p>
          <w:p w14:paraId="52B7E348" w14:textId="7FD16D58" w:rsidR="00E9552F" w:rsidRPr="00B05101" w:rsidRDefault="00262067" w:rsidP="00EB6696">
            <w:pPr>
              <w:pStyle w:val="ListParagraph"/>
              <w:numPr>
                <w:ilvl w:val="0"/>
                <w:numId w:val="22"/>
              </w:numPr>
              <w:spacing w:before="60" w:after="60"/>
              <w:ind w:left="357" w:hanging="357"/>
              <w:contextualSpacing w:val="0"/>
              <w:jc w:val="both"/>
              <w:rPr>
                <w:b w:val="0"/>
                <w:sz w:val="20"/>
                <w:szCs w:val="20"/>
              </w:rPr>
            </w:pPr>
            <w:r w:rsidRPr="00B05101">
              <w:rPr>
                <w:b w:val="0"/>
                <w:sz w:val="20"/>
                <w:szCs w:val="20"/>
              </w:rPr>
              <w:t xml:space="preserve">Local authorities have </w:t>
            </w:r>
            <w:r w:rsidR="002A5729" w:rsidRPr="00B05101">
              <w:rPr>
                <w:b w:val="0"/>
                <w:sz w:val="20"/>
                <w:szCs w:val="20"/>
              </w:rPr>
              <w:t>improved</w:t>
            </w:r>
            <w:r w:rsidRPr="00B05101">
              <w:rPr>
                <w:b w:val="0"/>
                <w:sz w:val="20"/>
                <w:szCs w:val="20"/>
              </w:rPr>
              <w:t xml:space="preserve"> clarity over the actions required </w:t>
            </w:r>
            <w:r w:rsidR="002A5729" w:rsidRPr="00B05101">
              <w:rPr>
                <w:b w:val="0"/>
                <w:sz w:val="20"/>
                <w:szCs w:val="20"/>
              </w:rPr>
              <w:t xml:space="preserve">to protect historic heritage, improving implementation of the provisions. </w:t>
            </w:r>
          </w:p>
        </w:tc>
        <w:tc>
          <w:tcPr>
            <w:tcW w:w="4508" w:type="dxa"/>
          </w:tcPr>
          <w:p w14:paraId="73972B54" w14:textId="2FA0509A" w:rsidR="00E9552F" w:rsidRPr="000136C1" w:rsidRDefault="0093243F"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Identification of </w:t>
            </w:r>
            <w:r w:rsidR="008612EA" w:rsidRPr="634A1E48">
              <w:rPr>
                <w:sz w:val="20"/>
                <w:szCs w:val="20"/>
              </w:rPr>
              <w:t>all sites, places and areas of historic heritage ha</w:t>
            </w:r>
            <w:r w:rsidR="002A697A" w:rsidRPr="634A1E48">
              <w:rPr>
                <w:sz w:val="20"/>
                <w:szCs w:val="20"/>
              </w:rPr>
              <w:t>s not occurre</w:t>
            </w:r>
            <w:r w:rsidR="00D66121" w:rsidRPr="634A1E48">
              <w:rPr>
                <w:sz w:val="20"/>
                <w:szCs w:val="20"/>
              </w:rPr>
              <w:t xml:space="preserve">d, </w:t>
            </w:r>
            <w:r w:rsidR="008066E9" w:rsidRPr="008066E9">
              <w:rPr>
                <w:sz w:val="20"/>
                <w:szCs w:val="20"/>
              </w:rPr>
              <w:t xml:space="preserve">and identification may need to occur which may have associated costs. </w:t>
            </w:r>
            <w:r w:rsidR="00D66121" w:rsidRPr="00B05101">
              <w:rPr>
                <w:sz w:val="20"/>
                <w:szCs w:val="20"/>
              </w:rPr>
              <w:t xml:space="preserve"> </w:t>
            </w:r>
            <w:r w:rsidR="0077352E" w:rsidRPr="00B05101">
              <w:rPr>
                <w:sz w:val="20"/>
                <w:szCs w:val="20"/>
              </w:rPr>
              <w:t>T</w:t>
            </w:r>
            <w:r w:rsidR="00D66121" w:rsidRPr="00B05101">
              <w:rPr>
                <w:sz w:val="20"/>
                <w:szCs w:val="20"/>
              </w:rPr>
              <w:t>here</w:t>
            </w:r>
            <w:r w:rsidR="00D66121" w:rsidRPr="634A1E48">
              <w:rPr>
                <w:sz w:val="20"/>
                <w:szCs w:val="20"/>
              </w:rPr>
              <w:t xml:space="preserve"> are </w:t>
            </w:r>
            <w:r w:rsidR="00D72E3B" w:rsidRPr="634A1E48">
              <w:rPr>
                <w:sz w:val="20"/>
                <w:szCs w:val="20"/>
              </w:rPr>
              <w:t xml:space="preserve">places and areas that are not currently </w:t>
            </w:r>
            <w:r w:rsidR="00F32F19" w:rsidRPr="634A1E48">
              <w:rPr>
                <w:sz w:val="20"/>
                <w:szCs w:val="20"/>
              </w:rPr>
              <w:t>identified</w:t>
            </w:r>
            <w:r w:rsidR="00D72E3B" w:rsidRPr="634A1E48">
              <w:rPr>
                <w:sz w:val="20"/>
                <w:szCs w:val="20"/>
              </w:rPr>
              <w:t xml:space="preserve"> or protected and may be </w:t>
            </w:r>
            <w:r w:rsidR="00F32F19" w:rsidRPr="634A1E48">
              <w:rPr>
                <w:sz w:val="20"/>
                <w:szCs w:val="20"/>
              </w:rPr>
              <w:t>adversely</w:t>
            </w:r>
            <w:r w:rsidR="00D72E3B" w:rsidRPr="634A1E48">
              <w:rPr>
                <w:sz w:val="20"/>
                <w:szCs w:val="20"/>
              </w:rPr>
              <w:t xml:space="preserve"> affected by inappropriate subdivision, use or development </w:t>
            </w:r>
            <w:r w:rsidR="00000697" w:rsidRPr="634A1E48">
              <w:rPr>
                <w:sz w:val="20"/>
                <w:szCs w:val="20"/>
              </w:rPr>
              <w:t xml:space="preserve">ahead of </w:t>
            </w:r>
            <w:r w:rsidR="00F32F19" w:rsidRPr="634A1E48">
              <w:rPr>
                <w:sz w:val="20"/>
                <w:szCs w:val="20"/>
              </w:rPr>
              <w:t xml:space="preserve">district plan reviews. </w:t>
            </w:r>
            <w:r w:rsidR="00A66A0B" w:rsidRPr="634A1E48">
              <w:rPr>
                <w:sz w:val="20"/>
                <w:szCs w:val="20"/>
              </w:rPr>
              <w:t>This is somewhat mitigated by Policy HCV-</w:t>
            </w:r>
            <w:r w:rsidR="00BE1C2F" w:rsidRPr="634A1E48">
              <w:rPr>
                <w:sz w:val="20"/>
                <w:szCs w:val="20"/>
              </w:rPr>
              <w:t>HH-</w:t>
            </w:r>
            <w:r w:rsidR="00A66A0B" w:rsidRPr="634A1E48">
              <w:rPr>
                <w:sz w:val="20"/>
                <w:szCs w:val="20"/>
              </w:rPr>
              <w:t>P</w:t>
            </w:r>
            <w:r w:rsidR="00FE5270" w:rsidRPr="634A1E48">
              <w:rPr>
                <w:sz w:val="20"/>
                <w:szCs w:val="20"/>
              </w:rPr>
              <w:t>5</w:t>
            </w:r>
            <w:r w:rsidR="008321D4" w:rsidRPr="634A1E48">
              <w:rPr>
                <w:sz w:val="20"/>
                <w:szCs w:val="20"/>
              </w:rPr>
              <w:t>(1)</w:t>
            </w:r>
            <w:r w:rsidR="00FE5270" w:rsidRPr="634A1E48">
              <w:rPr>
                <w:sz w:val="20"/>
                <w:szCs w:val="20"/>
              </w:rPr>
              <w:t xml:space="preserve"> (through requiring the use of accidental discovery protocols</w:t>
            </w:r>
            <w:r w:rsidR="008321D4" w:rsidRPr="634A1E48">
              <w:rPr>
                <w:sz w:val="20"/>
                <w:szCs w:val="20"/>
              </w:rPr>
              <w:t>).</w:t>
            </w:r>
          </w:p>
        </w:tc>
      </w:tr>
      <w:tr w:rsidR="00E9552F" w:rsidRPr="00AE42AF" w14:paraId="286146C9"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2D9E2E41" w14:textId="77777777" w:rsidR="00E9552F" w:rsidRPr="00AE42AF" w:rsidRDefault="00E9552F" w:rsidP="00424DBB">
            <w:pPr>
              <w:jc w:val="center"/>
              <w:rPr>
                <w:sz w:val="20"/>
              </w:rPr>
            </w:pPr>
            <w:r>
              <w:rPr>
                <w:sz w:val="20"/>
              </w:rPr>
              <w:t>Cultural</w:t>
            </w:r>
          </w:p>
        </w:tc>
      </w:tr>
      <w:tr w:rsidR="00E9552F" w:rsidRPr="000E2E23" w14:paraId="45AA7CD2"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27409E6D" w14:textId="230D7450" w:rsidR="006715F3" w:rsidRPr="00B05101" w:rsidRDefault="006715F3" w:rsidP="00EB6696">
            <w:pPr>
              <w:pStyle w:val="ListParagraph"/>
              <w:numPr>
                <w:ilvl w:val="0"/>
                <w:numId w:val="22"/>
              </w:numPr>
              <w:spacing w:before="60" w:after="60"/>
              <w:ind w:left="357" w:hanging="357"/>
              <w:jc w:val="both"/>
              <w:rPr>
                <w:b w:val="0"/>
                <w:sz w:val="20"/>
                <w:szCs w:val="20"/>
              </w:rPr>
            </w:pPr>
            <w:r w:rsidRPr="00B05101">
              <w:rPr>
                <w:b w:val="0"/>
                <w:sz w:val="20"/>
                <w:szCs w:val="20"/>
              </w:rPr>
              <w:t xml:space="preserve">Iwi and </w:t>
            </w:r>
            <w:proofErr w:type="spellStart"/>
            <w:r w:rsidRPr="00B05101">
              <w:rPr>
                <w:b w:val="0"/>
                <w:sz w:val="20"/>
                <w:szCs w:val="20"/>
              </w:rPr>
              <w:t>runaka</w:t>
            </w:r>
            <w:proofErr w:type="spellEnd"/>
            <w:r w:rsidRPr="00B05101">
              <w:rPr>
                <w:b w:val="0"/>
                <w:sz w:val="20"/>
                <w:szCs w:val="20"/>
              </w:rPr>
              <w:t xml:space="preserve"> will have the ability to be involved in identification processes at the district and regional level.</w:t>
            </w:r>
          </w:p>
          <w:p w14:paraId="750A73F1" w14:textId="6DEA76AE" w:rsidR="006715F3" w:rsidRPr="00B05101" w:rsidRDefault="006715F3" w:rsidP="00EB6696">
            <w:pPr>
              <w:pStyle w:val="ListParagraph"/>
              <w:numPr>
                <w:ilvl w:val="0"/>
                <w:numId w:val="22"/>
              </w:numPr>
              <w:spacing w:before="60" w:after="60"/>
              <w:ind w:left="357" w:hanging="357"/>
              <w:jc w:val="both"/>
              <w:rPr>
                <w:b w:val="0"/>
                <w:sz w:val="20"/>
                <w:szCs w:val="20"/>
              </w:rPr>
            </w:pPr>
            <w:r w:rsidRPr="00B05101">
              <w:rPr>
                <w:b w:val="0"/>
                <w:sz w:val="20"/>
                <w:szCs w:val="20"/>
              </w:rPr>
              <w:t xml:space="preserve">There are opportunities to identify </w:t>
            </w:r>
            <w:proofErr w:type="spellStart"/>
            <w:r w:rsidRPr="00B05101">
              <w:rPr>
                <w:b w:val="0"/>
                <w:sz w:val="20"/>
                <w:szCs w:val="20"/>
              </w:rPr>
              <w:t>wāhi</w:t>
            </w:r>
            <w:proofErr w:type="spellEnd"/>
            <w:r w:rsidRPr="00B05101">
              <w:rPr>
                <w:b w:val="0"/>
                <w:sz w:val="20"/>
                <w:szCs w:val="20"/>
              </w:rPr>
              <w:t xml:space="preserve"> tūpuna alongside </w:t>
            </w:r>
            <w:r w:rsidR="002544B1" w:rsidRPr="00B05101">
              <w:rPr>
                <w:b w:val="0"/>
                <w:sz w:val="20"/>
                <w:szCs w:val="20"/>
              </w:rPr>
              <w:t>historic heritage more generally</w:t>
            </w:r>
            <w:r w:rsidRPr="00B05101">
              <w:rPr>
                <w:b w:val="0"/>
                <w:sz w:val="20"/>
                <w:szCs w:val="20"/>
              </w:rPr>
              <w:t xml:space="preserve">, </w:t>
            </w:r>
            <w:r w:rsidRPr="00B05101">
              <w:rPr>
                <w:b w:val="0"/>
                <w:sz w:val="20"/>
                <w:szCs w:val="20"/>
              </w:rPr>
              <w:lastRenderedPageBreak/>
              <w:t>providing a more holistic management approach.</w:t>
            </w:r>
          </w:p>
          <w:p w14:paraId="36E55853" w14:textId="2D0ED52B" w:rsidR="00E9552F" w:rsidRPr="00B05101" w:rsidRDefault="006715F3" w:rsidP="00EB6696">
            <w:pPr>
              <w:pStyle w:val="ListParagraph"/>
              <w:numPr>
                <w:ilvl w:val="0"/>
                <w:numId w:val="22"/>
              </w:numPr>
              <w:spacing w:before="60" w:after="60"/>
              <w:jc w:val="both"/>
              <w:rPr>
                <w:b w:val="0"/>
                <w:sz w:val="20"/>
                <w:szCs w:val="20"/>
              </w:rPr>
            </w:pPr>
            <w:r w:rsidRPr="00B05101">
              <w:rPr>
                <w:b w:val="0"/>
                <w:sz w:val="20"/>
                <w:szCs w:val="20"/>
              </w:rPr>
              <w:t>Providing for enhancement of areas that may have been adversely affected by inappropriate subdivision, use and development will assist with restoring and protecting cultural values</w:t>
            </w:r>
          </w:p>
        </w:tc>
        <w:tc>
          <w:tcPr>
            <w:tcW w:w="4508" w:type="dxa"/>
          </w:tcPr>
          <w:p w14:paraId="523F023D" w14:textId="1475837D" w:rsidR="00936F52" w:rsidRPr="00936F52" w:rsidRDefault="00936F52" w:rsidP="00EB6696">
            <w:pPr>
              <w:pStyle w:val="ListParagraph"/>
              <w:numPr>
                <w:ilvl w:val="0"/>
                <w:numId w:val="22"/>
              </w:numPr>
              <w:spacing w:before="60" w:after="60"/>
              <w:ind w:left="357"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There will be costs to iwi and </w:t>
            </w:r>
            <w:proofErr w:type="spellStart"/>
            <w:r w:rsidRPr="634A1E48">
              <w:rPr>
                <w:sz w:val="20"/>
                <w:szCs w:val="20"/>
              </w:rPr>
              <w:t>runaka</w:t>
            </w:r>
            <w:proofErr w:type="spellEnd"/>
            <w:r w:rsidRPr="634A1E48">
              <w:rPr>
                <w:sz w:val="20"/>
                <w:szCs w:val="20"/>
              </w:rPr>
              <w:t xml:space="preserve"> in engaging in planning process to identify places and areas.</w:t>
            </w:r>
          </w:p>
          <w:p w14:paraId="177A30B0" w14:textId="77777777" w:rsidR="00E9552F" w:rsidRPr="00BA5702" w:rsidRDefault="00E9552F" w:rsidP="00EB6696">
            <w:pPr>
              <w:pStyle w:val="ListParagraph"/>
              <w:spacing w:before="60" w:after="60"/>
              <w:ind w:left="360"/>
              <w:jc w:val="both"/>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219C96B9"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8835690" w14:textId="77777777" w:rsidR="00E9552F" w:rsidRPr="00AE42AF" w:rsidRDefault="00E9552F" w:rsidP="00424DBB">
            <w:pPr>
              <w:jc w:val="center"/>
              <w:rPr>
                <w:sz w:val="20"/>
              </w:rPr>
            </w:pPr>
            <w:r w:rsidRPr="00AE42AF">
              <w:rPr>
                <w:sz w:val="20"/>
              </w:rPr>
              <w:t>Social</w:t>
            </w:r>
          </w:p>
        </w:tc>
      </w:tr>
      <w:tr w:rsidR="00E9552F" w:rsidRPr="00FC5CD5" w14:paraId="6D9E765E"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30847E7C" w14:textId="6CF7E726" w:rsidR="00E9552F" w:rsidRPr="00B05101" w:rsidRDefault="00121076" w:rsidP="00EB6696">
            <w:pPr>
              <w:pStyle w:val="ListParagraph"/>
              <w:numPr>
                <w:ilvl w:val="0"/>
                <w:numId w:val="22"/>
              </w:numPr>
              <w:spacing w:before="60" w:after="60"/>
              <w:ind w:left="357" w:hanging="357"/>
              <w:contextualSpacing w:val="0"/>
              <w:jc w:val="both"/>
              <w:rPr>
                <w:b w:val="0"/>
                <w:sz w:val="20"/>
                <w:szCs w:val="20"/>
              </w:rPr>
            </w:pPr>
            <w:r w:rsidRPr="00B05101">
              <w:rPr>
                <w:b w:val="0"/>
                <w:sz w:val="20"/>
                <w:szCs w:val="20"/>
              </w:rPr>
              <w:t xml:space="preserve">Protecting historic heritage from </w:t>
            </w:r>
            <w:r w:rsidR="00F5265B" w:rsidRPr="00B05101">
              <w:rPr>
                <w:b w:val="0"/>
                <w:sz w:val="20"/>
                <w:szCs w:val="20"/>
              </w:rPr>
              <w:t xml:space="preserve">inappropriate use, subdivision and development </w:t>
            </w:r>
            <w:r w:rsidR="00C0672C" w:rsidRPr="00B05101">
              <w:rPr>
                <w:b w:val="0"/>
                <w:sz w:val="20"/>
                <w:szCs w:val="20"/>
              </w:rPr>
              <w:t xml:space="preserve">and enabling the enhancement of </w:t>
            </w:r>
            <w:r w:rsidR="00A12571" w:rsidRPr="00B05101">
              <w:rPr>
                <w:b w:val="0"/>
                <w:sz w:val="20"/>
                <w:szCs w:val="20"/>
              </w:rPr>
              <w:t xml:space="preserve">historic heritage sites and places, </w:t>
            </w:r>
            <w:r w:rsidR="00F5265B" w:rsidRPr="00B05101">
              <w:rPr>
                <w:b w:val="0"/>
                <w:sz w:val="20"/>
                <w:szCs w:val="20"/>
              </w:rPr>
              <w:t xml:space="preserve">contribute to </w:t>
            </w:r>
            <w:r w:rsidR="00AA2345" w:rsidRPr="00B05101">
              <w:rPr>
                <w:b w:val="0"/>
                <w:sz w:val="20"/>
                <w:szCs w:val="20"/>
              </w:rPr>
              <w:t xml:space="preserve">Otago’s unique character </w:t>
            </w:r>
            <w:r w:rsidR="00B46B9F" w:rsidRPr="00B05101">
              <w:rPr>
                <w:b w:val="0"/>
                <w:sz w:val="20"/>
                <w:szCs w:val="20"/>
              </w:rPr>
              <w:t>and sense of identity, supporting</w:t>
            </w:r>
            <w:r w:rsidR="00E131E2" w:rsidRPr="00B05101">
              <w:rPr>
                <w:b w:val="0"/>
                <w:sz w:val="20"/>
                <w:szCs w:val="20"/>
              </w:rPr>
              <w:t xml:space="preserve"> </w:t>
            </w:r>
            <w:r w:rsidR="00B73D74" w:rsidRPr="00B05101">
              <w:rPr>
                <w:b w:val="0"/>
                <w:sz w:val="20"/>
                <w:szCs w:val="20"/>
              </w:rPr>
              <w:t xml:space="preserve">people’s </w:t>
            </w:r>
            <w:r w:rsidR="00E131E2" w:rsidRPr="00B05101">
              <w:rPr>
                <w:b w:val="0"/>
                <w:sz w:val="20"/>
                <w:szCs w:val="20"/>
              </w:rPr>
              <w:t>connection with place</w:t>
            </w:r>
            <w:r w:rsidR="00B73D74" w:rsidRPr="00B05101">
              <w:rPr>
                <w:b w:val="0"/>
                <w:sz w:val="20"/>
                <w:szCs w:val="20"/>
              </w:rPr>
              <w:t>.</w:t>
            </w:r>
            <w:r w:rsidR="00AA2345" w:rsidRPr="00B05101">
              <w:rPr>
                <w:b w:val="0"/>
                <w:sz w:val="20"/>
                <w:szCs w:val="20"/>
              </w:rPr>
              <w:t xml:space="preserve"> </w:t>
            </w:r>
          </w:p>
          <w:p w14:paraId="321B6E0D" w14:textId="1F9ED407" w:rsidR="00147D04" w:rsidRPr="00B05101" w:rsidRDefault="00147D04" w:rsidP="00EB6696">
            <w:pPr>
              <w:pStyle w:val="ListParagraph"/>
              <w:numPr>
                <w:ilvl w:val="0"/>
                <w:numId w:val="22"/>
              </w:numPr>
              <w:spacing w:before="60" w:after="60"/>
              <w:ind w:left="357" w:hanging="357"/>
              <w:contextualSpacing w:val="0"/>
              <w:jc w:val="both"/>
              <w:rPr>
                <w:b w:val="0"/>
                <w:sz w:val="20"/>
                <w:szCs w:val="20"/>
              </w:rPr>
            </w:pPr>
            <w:r w:rsidRPr="00B05101">
              <w:rPr>
                <w:b w:val="0"/>
                <w:sz w:val="20"/>
                <w:szCs w:val="20"/>
              </w:rPr>
              <w:t xml:space="preserve">Mapping places and areas provides certainty to the public about the </w:t>
            </w:r>
            <w:r w:rsidR="00B135D5" w:rsidRPr="00B05101">
              <w:rPr>
                <w:b w:val="0"/>
                <w:sz w:val="20"/>
                <w:szCs w:val="20"/>
              </w:rPr>
              <w:t>location of protected historic heritage.</w:t>
            </w:r>
          </w:p>
          <w:p w14:paraId="0F4F0AD5" w14:textId="0B4676D1" w:rsidR="00E9552F" w:rsidRPr="00B05101" w:rsidRDefault="00B135D5" w:rsidP="00EB6696">
            <w:pPr>
              <w:pStyle w:val="ListParagraph"/>
              <w:numPr>
                <w:ilvl w:val="0"/>
                <w:numId w:val="22"/>
              </w:numPr>
              <w:spacing w:before="60" w:after="60"/>
              <w:ind w:left="357" w:hanging="357"/>
              <w:contextualSpacing w:val="0"/>
              <w:jc w:val="both"/>
              <w:rPr>
                <w:b w:val="0"/>
                <w:sz w:val="20"/>
                <w:szCs w:val="20"/>
              </w:rPr>
            </w:pPr>
            <w:r w:rsidRPr="00B05101">
              <w:rPr>
                <w:b w:val="0"/>
                <w:sz w:val="20"/>
                <w:szCs w:val="20"/>
              </w:rPr>
              <w:t>Identifying</w:t>
            </w:r>
            <w:r w:rsidR="003A6572" w:rsidRPr="00B05101">
              <w:rPr>
                <w:b w:val="0"/>
                <w:sz w:val="20"/>
                <w:szCs w:val="20"/>
              </w:rPr>
              <w:t xml:space="preserve"> and protecting</w:t>
            </w:r>
            <w:r w:rsidR="00843DB2" w:rsidRPr="00B05101">
              <w:rPr>
                <w:b w:val="0"/>
                <w:sz w:val="20"/>
                <w:szCs w:val="20"/>
              </w:rPr>
              <w:t>, or enhancing,</w:t>
            </w:r>
            <w:r w:rsidR="003A6572" w:rsidRPr="00B05101">
              <w:rPr>
                <w:b w:val="0"/>
                <w:sz w:val="20"/>
                <w:szCs w:val="20"/>
              </w:rPr>
              <w:t xml:space="preserve"> historic heritage will ensure the places and areas are maintained for public enjoyment.</w:t>
            </w:r>
          </w:p>
        </w:tc>
        <w:tc>
          <w:tcPr>
            <w:tcW w:w="4508" w:type="dxa"/>
          </w:tcPr>
          <w:p w14:paraId="665F35C3" w14:textId="76255816" w:rsidR="00E9552F" w:rsidRPr="00FC5CD5" w:rsidRDefault="00C0672C"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There will be restrictions</w:t>
            </w:r>
            <w:r w:rsidR="00843DB2" w:rsidRPr="634A1E48">
              <w:rPr>
                <w:sz w:val="20"/>
                <w:szCs w:val="20"/>
              </w:rPr>
              <w:t xml:space="preserve"> on use and development </w:t>
            </w:r>
            <w:r w:rsidR="00A850D6" w:rsidRPr="634A1E48">
              <w:rPr>
                <w:sz w:val="20"/>
                <w:szCs w:val="20"/>
              </w:rPr>
              <w:t>within</w:t>
            </w:r>
            <w:r w:rsidR="00EF76C3" w:rsidRPr="634A1E48">
              <w:rPr>
                <w:sz w:val="20"/>
                <w:szCs w:val="20"/>
              </w:rPr>
              <w:t xml:space="preserve"> or near protected places and areas, which may affect the potential for land or buildings to be used for purposes that support social well-being</w:t>
            </w:r>
            <w:r w:rsidR="00E61C58" w:rsidRPr="634A1E48">
              <w:rPr>
                <w:sz w:val="20"/>
                <w:szCs w:val="20"/>
              </w:rPr>
              <w:t>.</w:t>
            </w:r>
            <w:r w:rsidRPr="634A1E48">
              <w:rPr>
                <w:sz w:val="20"/>
                <w:szCs w:val="20"/>
              </w:rPr>
              <w:t xml:space="preserve"> </w:t>
            </w:r>
          </w:p>
        </w:tc>
      </w:tr>
      <w:tr w:rsidR="00E9552F" w:rsidRPr="00AE42AF" w14:paraId="111739F2"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32FF001" w14:textId="77777777" w:rsidR="00E9552F" w:rsidRPr="00AE42AF" w:rsidRDefault="00E9552F" w:rsidP="00424DBB">
            <w:pPr>
              <w:jc w:val="center"/>
              <w:rPr>
                <w:sz w:val="20"/>
              </w:rPr>
            </w:pPr>
            <w:r>
              <w:rPr>
                <w:sz w:val="20"/>
              </w:rPr>
              <w:t>Economic</w:t>
            </w:r>
          </w:p>
        </w:tc>
      </w:tr>
      <w:tr w:rsidR="00E9552F" w:rsidRPr="000136C1" w14:paraId="0F2CF0DF"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280885C5" w14:textId="054C057E" w:rsidR="008742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There are economic benefits from protecting Otago’s</w:t>
            </w:r>
            <w:r w:rsidR="00365C2D" w:rsidRPr="00B05101">
              <w:rPr>
                <w:b w:val="0"/>
                <w:sz w:val="20"/>
                <w:szCs w:val="20"/>
              </w:rPr>
              <w:t xml:space="preserve"> </w:t>
            </w:r>
            <w:r w:rsidR="00992A07" w:rsidRPr="00B05101">
              <w:rPr>
                <w:b w:val="0"/>
                <w:sz w:val="20"/>
                <w:szCs w:val="20"/>
              </w:rPr>
              <w:t>unique</w:t>
            </w:r>
            <w:r w:rsidRPr="00B05101">
              <w:rPr>
                <w:b w:val="0"/>
                <w:sz w:val="20"/>
                <w:szCs w:val="20"/>
              </w:rPr>
              <w:t xml:space="preserve"> character which is influenced by its history and related heritage places, </w:t>
            </w:r>
            <w:proofErr w:type="gramStart"/>
            <w:r w:rsidRPr="00B05101">
              <w:rPr>
                <w:b w:val="0"/>
                <w:sz w:val="20"/>
                <w:szCs w:val="20"/>
              </w:rPr>
              <w:t>sites</w:t>
            </w:r>
            <w:proofErr w:type="gramEnd"/>
            <w:r w:rsidRPr="00B05101">
              <w:rPr>
                <w:b w:val="0"/>
                <w:sz w:val="20"/>
                <w:szCs w:val="20"/>
              </w:rPr>
              <w:t xml:space="preserve"> and areas, including heritage tourism, and tourism generated from amenity values and local character.</w:t>
            </w:r>
          </w:p>
          <w:p w14:paraId="6A00B0ED" w14:textId="77777777" w:rsidR="008742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 xml:space="preserve">Promoting adaptive reuse of historic heritage features and buildings contributes to maintaining the value of existing and surrounding buildings.  </w:t>
            </w:r>
          </w:p>
          <w:p w14:paraId="3790768C" w14:textId="77777777" w:rsidR="008742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 xml:space="preserve">Requiring the use of a clear and consistent criteria for identifying significant historic heritage areas, places and sites will reduce the cost of undertaking and defending this process on a </w:t>
            </w:r>
            <w:proofErr w:type="gramStart"/>
            <w:r w:rsidRPr="00B05101">
              <w:rPr>
                <w:b w:val="0"/>
                <w:sz w:val="20"/>
                <w:szCs w:val="20"/>
              </w:rPr>
              <w:t>council by council</w:t>
            </w:r>
            <w:proofErr w:type="gramEnd"/>
            <w:r w:rsidRPr="00B05101">
              <w:rPr>
                <w:b w:val="0"/>
                <w:sz w:val="20"/>
                <w:szCs w:val="20"/>
              </w:rPr>
              <w:t xml:space="preserve"> basis.</w:t>
            </w:r>
          </w:p>
          <w:p w14:paraId="3C20BBC4" w14:textId="77777777" w:rsidR="008742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Recognisable local character and amenity can increase value of development in urban areas.</w:t>
            </w:r>
          </w:p>
          <w:p w14:paraId="4ED01F0D" w14:textId="77777777" w:rsidR="008742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Development of unique sense of place provides opportunities for marketing points of difference for Otago from other destinations and opportunities for economic diversification</w:t>
            </w:r>
          </w:p>
          <w:p w14:paraId="4316BBD3" w14:textId="21440F30" w:rsidR="00E9552F" w:rsidRPr="00B05101" w:rsidRDefault="0087422F" w:rsidP="00EB6696">
            <w:pPr>
              <w:pStyle w:val="ListParagraph"/>
              <w:numPr>
                <w:ilvl w:val="0"/>
                <w:numId w:val="22"/>
              </w:numPr>
              <w:spacing w:before="60" w:after="60"/>
              <w:jc w:val="both"/>
              <w:rPr>
                <w:b w:val="0"/>
                <w:sz w:val="20"/>
                <w:szCs w:val="20"/>
              </w:rPr>
            </w:pPr>
            <w:r w:rsidRPr="00B05101">
              <w:rPr>
                <w:b w:val="0"/>
                <w:sz w:val="20"/>
                <w:szCs w:val="20"/>
              </w:rPr>
              <w:t>Provides specialist employment in heritage tourism, and heritage maintenance and preservation.</w:t>
            </w:r>
          </w:p>
        </w:tc>
        <w:tc>
          <w:tcPr>
            <w:tcW w:w="4508" w:type="dxa"/>
          </w:tcPr>
          <w:p w14:paraId="256B7433" w14:textId="119CFC6C" w:rsidR="0019047B" w:rsidRDefault="0019047B" w:rsidP="00EB6696">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Costs to local authorities to identify and manage heritage through plans may increase initially to adopt the regionally consistent methodology, however these costs should be lower than the status quo for district councils that have not undertaken a plan review since the notification of the PORPS 201</w:t>
            </w:r>
            <w:r w:rsidR="0034136D" w:rsidRPr="634A1E48">
              <w:rPr>
                <w:sz w:val="20"/>
                <w:szCs w:val="20"/>
              </w:rPr>
              <w:t>9</w:t>
            </w:r>
            <w:r w:rsidRPr="634A1E48">
              <w:rPr>
                <w:sz w:val="20"/>
                <w:szCs w:val="20"/>
              </w:rPr>
              <w:t>.</w:t>
            </w:r>
          </w:p>
          <w:p w14:paraId="6AF0422D" w14:textId="77777777" w:rsidR="00836B5C" w:rsidRPr="00836B5C" w:rsidRDefault="00836B5C" w:rsidP="00EB6696">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Owners of land or buildings that are </w:t>
            </w:r>
            <w:r w:rsidR="003269F6" w:rsidRPr="634A1E48">
              <w:rPr>
                <w:sz w:val="20"/>
                <w:szCs w:val="20"/>
              </w:rPr>
              <w:t>identified</w:t>
            </w:r>
            <w:r w:rsidRPr="634A1E48">
              <w:rPr>
                <w:sz w:val="20"/>
                <w:szCs w:val="20"/>
              </w:rPr>
              <w:t xml:space="preserve"> as </w:t>
            </w:r>
            <w:r w:rsidR="003269F6" w:rsidRPr="634A1E48">
              <w:rPr>
                <w:sz w:val="20"/>
                <w:szCs w:val="20"/>
              </w:rPr>
              <w:t xml:space="preserve">having </w:t>
            </w:r>
            <w:r w:rsidR="00970CB7" w:rsidRPr="634A1E48">
              <w:rPr>
                <w:sz w:val="20"/>
                <w:szCs w:val="20"/>
              </w:rPr>
              <w:t>historic heritage values</w:t>
            </w:r>
            <w:r w:rsidRPr="634A1E48">
              <w:rPr>
                <w:sz w:val="20"/>
                <w:szCs w:val="20"/>
              </w:rPr>
              <w:t xml:space="preserve"> or </w:t>
            </w:r>
            <w:r w:rsidR="00970CB7" w:rsidRPr="634A1E48">
              <w:rPr>
                <w:sz w:val="20"/>
                <w:szCs w:val="20"/>
              </w:rPr>
              <w:t>qualities</w:t>
            </w:r>
            <w:r w:rsidRPr="634A1E48">
              <w:rPr>
                <w:sz w:val="20"/>
                <w:szCs w:val="20"/>
              </w:rPr>
              <w:t xml:space="preserve"> will be restricted in the ways they can use and develop their land, which m</w:t>
            </w:r>
            <w:r w:rsidR="007E0CB8" w:rsidRPr="634A1E48">
              <w:rPr>
                <w:sz w:val="20"/>
                <w:szCs w:val="20"/>
              </w:rPr>
              <w:t>a</w:t>
            </w:r>
            <w:r w:rsidRPr="634A1E48">
              <w:rPr>
                <w:sz w:val="20"/>
                <w:szCs w:val="20"/>
              </w:rPr>
              <w:t>y also negatively impact land values.</w:t>
            </w:r>
          </w:p>
          <w:p w14:paraId="673C6AEE" w14:textId="6A930C36" w:rsidR="0006188A" w:rsidRPr="00163236" w:rsidRDefault="0006188A" w:rsidP="00EB6696">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There will be costs associated with the actual protection of significant</w:t>
            </w:r>
            <w:r w:rsidR="00163236" w:rsidRPr="634A1E48">
              <w:rPr>
                <w:sz w:val="20"/>
                <w:szCs w:val="20"/>
              </w:rPr>
              <w:t xml:space="preserve"> </w:t>
            </w:r>
            <w:r w:rsidRPr="634A1E48">
              <w:rPr>
                <w:sz w:val="20"/>
                <w:szCs w:val="20"/>
              </w:rPr>
              <w:t>historic heritage. Those costs may be significant but will be</w:t>
            </w:r>
            <w:r w:rsidR="00163236" w:rsidRPr="634A1E48">
              <w:rPr>
                <w:sz w:val="20"/>
                <w:szCs w:val="20"/>
              </w:rPr>
              <w:t xml:space="preserve"> </w:t>
            </w:r>
            <w:r w:rsidR="00EB6696" w:rsidRPr="634A1E48">
              <w:rPr>
                <w:sz w:val="20"/>
                <w:szCs w:val="20"/>
              </w:rPr>
              <w:t>dependent</w:t>
            </w:r>
            <w:r w:rsidRPr="634A1E48">
              <w:rPr>
                <w:sz w:val="20"/>
                <w:szCs w:val="20"/>
              </w:rPr>
              <w:t xml:space="preserve"> on the circumstances of the heritage item, </w:t>
            </w:r>
            <w:proofErr w:type="gramStart"/>
            <w:r w:rsidRPr="634A1E48">
              <w:rPr>
                <w:sz w:val="20"/>
                <w:szCs w:val="20"/>
              </w:rPr>
              <w:t>place</w:t>
            </w:r>
            <w:proofErr w:type="gramEnd"/>
            <w:r w:rsidRPr="634A1E48">
              <w:rPr>
                <w:sz w:val="20"/>
                <w:szCs w:val="20"/>
              </w:rPr>
              <w:t xml:space="preserve"> or area</w:t>
            </w:r>
            <w:r w:rsidR="00163236" w:rsidRPr="634A1E48">
              <w:rPr>
                <w:sz w:val="20"/>
                <w:szCs w:val="20"/>
              </w:rPr>
              <w:t xml:space="preserve"> </w:t>
            </w:r>
            <w:r w:rsidRPr="634A1E48">
              <w:rPr>
                <w:sz w:val="20"/>
                <w:szCs w:val="20"/>
              </w:rPr>
              <w:t xml:space="preserve">itself and </w:t>
            </w:r>
            <w:r w:rsidR="00DE4F88" w:rsidRPr="634A1E48">
              <w:rPr>
                <w:sz w:val="20"/>
                <w:szCs w:val="20"/>
              </w:rPr>
              <w:t>whether the requirement is</w:t>
            </w:r>
            <w:r w:rsidR="00AF1BC0" w:rsidRPr="634A1E48">
              <w:rPr>
                <w:sz w:val="20"/>
                <w:szCs w:val="20"/>
              </w:rPr>
              <w:t xml:space="preserve"> to avoid, remedy or mitigate effects on </w:t>
            </w:r>
            <w:r w:rsidRPr="634A1E48">
              <w:rPr>
                <w:sz w:val="20"/>
                <w:szCs w:val="20"/>
              </w:rPr>
              <w:t>the heritage. This cost</w:t>
            </w:r>
            <w:r w:rsidR="00163236" w:rsidRPr="634A1E48">
              <w:rPr>
                <w:sz w:val="20"/>
                <w:szCs w:val="20"/>
              </w:rPr>
              <w:t xml:space="preserve"> </w:t>
            </w:r>
            <w:r w:rsidRPr="634A1E48">
              <w:rPr>
                <w:sz w:val="20"/>
                <w:szCs w:val="20"/>
              </w:rPr>
              <w:t>may be a burden on individual property owners, or on the public</w:t>
            </w:r>
            <w:r w:rsidR="00163236" w:rsidRPr="634A1E48">
              <w:rPr>
                <w:sz w:val="20"/>
                <w:szCs w:val="20"/>
              </w:rPr>
              <w:t xml:space="preserve"> </w:t>
            </w:r>
            <w:r w:rsidRPr="634A1E48">
              <w:rPr>
                <w:sz w:val="20"/>
                <w:szCs w:val="20"/>
              </w:rPr>
              <w:t xml:space="preserve">depending on the </w:t>
            </w:r>
            <w:proofErr w:type="gramStart"/>
            <w:r w:rsidRPr="634A1E48">
              <w:rPr>
                <w:sz w:val="20"/>
                <w:szCs w:val="20"/>
              </w:rPr>
              <w:t>particular heritage</w:t>
            </w:r>
            <w:proofErr w:type="gramEnd"/>
            <w:r w:rsidRPr="634A1E48">
              <w:rPr>
                <w:sz w:val="20"/>
                <w:szCs w:val="20"/>
              </w:rPr>
              <w:t xml:space="preserve"> item. </w:t>
            </w:r>
          </w:p>
          <w:p w14:paraId="4818CB52" w14:textId="11F968E0" w:rsidR="00E869C8" w:rsidRPr="00163236" w:rsidRDefault="00E869C8" w:rsidP="00EB6696">
            <w:pPr>
              <w:pStyle w:val="ListParagraph"/>
              <w:numPr>
                <w:ilvl w:val="0"/>
                <w:numId w:val="22"/>
              </w:numPr>
              <w:spacing w:before="60" w:after="60"/>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Broadly, there may be costs associated </w:t>
            </w:r>
            <w:r w:rsidR="006E0DD5">
              <w:rPr>
                <w:sz w:val="20"/>
                <w:szCs w:val="20"/>
              </w:rPr>
              <w:t xml:space="preserve">with </w:t>
            </w:r>
            <w:r w:rsidR="001A2E32">
              <w:rPr>
                <w:sz w:val="20"/>
                <w:szCs w:val="20"/>
              </w:rPr>
              <w:t xml:space="preserve">heritage protection through impediment </w:t>
            </w:r>
            <w:r w:rsidR="007232EA">
              <w:rPr>
                <w:sz w:val="20"/>
                <w:szCs w:val="20"/>
              </w:rPr>
              <w:t xml:space="preserve">or prevention of </w:t>
            </w:r>
            <w:r w:rsidR="002D01D7">
              <w:rPr>
                <w:sz w:val="20"/>
                <w:szCs w:val="20"/>
              </w:rPr>
              <w:t xml:space="preserve">some </w:t>
            </w:r>
            <w:r w:rsidR="005B5AEC">
              <w:rPr>
                <w:sz w:val="20"/>
                <w:szCs w:val="20"/>
              </w:rPr>
              <w:t xml:space="preserve">economic and redevelopment activities. </w:t>
            </w:r>
          </w:p>
          <w:p w14:paraId="5A306F5C" w14:textId="511C0D4D" w:rsidR="00E9552F" w:rsidRPr="000136C1" w:rsidRDefault="00E9552F" w:rsidP="00EB6696">
            <w:pPr>
              <w:autoSpaceDE w:val="0"/>
              <w:autoSpaceDN w:val="0"/>
              <w:adjustRightInd w:val="0"/>
              <w:spacing w:before="60" w:after="60"/>
              <w:jc w:val="both"/>
              <w:cnfStyle w:val="000000000000" w:firstRow="0" w:lastRow="0" w:firstColumn="0" w:lastColumn="0" w:oddVBand="0" w:evenVBand="0" w:oddHBand="0" w:evenHBand="0" w:firstRowFirstColumn="0" w:firstRowLastColumn="0" w:lastRowFirstColumn="0" w:lastRowLastColumn="0"/>
              <w:rPr>
                <w:sz w:val="20"/>
              </w:rPr>
            </w:pPr>
          </w:p>
        </w:tc>
      </w:tr>
    </w:tbl>
    <w:p w14:paraId="4A214353" w14:textId="77777777" w:rsidR="00E9552F" w:rsidRDefault="00E9552F" w:rsidP="00E9552F"/>
    <w:p w14:paraId="79209659" w14:textId="135925D3" w:rsidR="00E9552F" w:rsidRDefault="005A3A4C" w:rsidP="00A247C5">
      <w:pPr>
        <w:pStyle w:val="Normal2"/>
      </w:pPr>
      <w:r>
        <w:fldChar w:fldCharType="begin"/>
      </w:r>
      <w:r>
        <w:instrText xml:space="preserve"> REF _Ref53994291 \h </w:instrText>
      </w:r>
      <w:r>
        <w:fldChar w:fldCharType="separate"/>
      </w:r>
      <w:r w:rsidR="002A7A16">
        <w:t xml:space="preserve">Table </w:t>
      </w:r>
      <w:r w:rsidR="002A7A16">
        <w:rPr>
          <w:noProof/>
        </w:rPr>
        <w:t>61</w:t>
      </w:r>
      <w:r>
        <w:fldChar w:fldCharType="end"/>
      </w:r>
      <w:r w:rsidR="003C5947">
        <w:t xml:space="preserve"> </w:t>
      </w:r>
      <w:r w:rsidR="00E9552F">
        <w:t>below assesses the effectiveness and efficiency of the proposed provisions in achieving the objectives.</w:t>
      </w:r>
    </w:p>
    <w:p w14:paraId="7234D44F" w14:textId="7481359D" w:rsidR="00E9552F" w:rsidRDefault="00E9552F" w:rsidP="00E9552F">
      <w:pPr>
        <w:pStyle w:val="Caption"/>
        <w:keepNext/>
      </w:pPr>
      <w:bookmarkStart w:id="144" w:name="_Ref53994291"/>
      <w:r>
        <w:t xml:space="preserve">Table </w:t>
      </w:r>
      <w:r>
        <w:fldChar w:fldCharType="begin"/>
      </w:r>
      <w:r>
        <w:instrText>SEQ Table \* ARABIC</w:instrText>
      </w:r>
      <w:r>
        <w:fldChar w:fldCharType="separate"/>
      </w:r>
      <w:r w:rsidR="002A7A16">
        <w:rPr>
          <w:noProof/>
        </w:rPr>
        <w:t>61</w:t>
      </w:r>
      <w:r>
        <w:fldChar w:fldCharType="end"/>
      </w:r>
      <w:bookmarkEnd w:id="144"/>
      <w:r>
        <w:t xml:space="preserve">: Efficiency and effectiveness evaluation for </w:t>
      </w:r>
      <w:r w:rsidR="005A3A4C">
        <w:t>historic heritage</w:t>
      </w:r>
    </w:p>
    <w:tbl>
      <w:tblPr>
        <w:tblW w:w="0" w:type="auto"/>
        <w:tblLook w:val="04A0" w:firstRow="1" w:lastRow="0" w:firstColumn="1" w:lastColumn="0" w:noHBand="0" w:noVBand="1"/>
      </w:tblPr>
      <w:tblGrid>
        <w:gridCol w:w="1413"/>
        <w:gridCol w:w="7603"/>
      </w:tblGrid>
      <w:tr w:rsidR="00E9552F" w:rsidRPr="00C767B5" w14:paraId="6649599C"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6FC1BDD4" w14:textId="77777777" w:rsidR="00E9552F" w:rsidRPr="00C767B5" w:rsidRDefault="00E9552F" w:rsidP="00424DBB">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769C53D7" w14:textId="4BB4BEB2" w:rsidR="00E9552F" w:rsidRPr="00C767B5" w:rsidRDefault="00C813D2" w:rsidP="00C813D2">
            <w:pPr>
              <w:tabs>
                <w:tab w:val="left" w:pos="2400"/>
              </w:tabs>
              <w:jc w:val="both"/>
              <w:rPr>
                <w:sz w:val="20"/>
              </w:rPr>
            </w:pPr>
            <w:r>
              <w:rPr>
                <w:sz w:val="20"/>
              </w:rPr>
              <w:t xml:space="preserve">Identifying </w:t>
            </w:r>
            <w:r w:rsidR="009A0366">
              <w:rPr>
                <w:sz w:val="20"/>
              </w:rPr>
              <w:t xml:space="preserve">and classifying historic heritage places and areas </w:t>
            </w:r>
            <w:r>
              <w:rPr>
                <w:sz w:val="20"/>
              </w:rPr>
              <w:t xml:space="preserve">is costly but provides certainty about the </w:t>
            </w:r>
            <w:r w:rsidR="009A0366">
              <w:rPr>
                <w:sz w:val="20"/>
              </w:rPr>
              <w:t>location of</w:t>
            </w:r>
            <w:r>
              <w:rPr>
                <w:sz w:val="20"/>
              </w:rPr>
              <w:t xml:space="preserve"> these areas, the values they have, and where and how protection will </w:t>
            </w:r>
            <w:r>
              <w:rPr>
                <w:sz w:val="20"/>
              </w:rPr>
              <w:lastRenderedPageBreak/>
              <w:t>occur in accordance with Objectives</w:t>
            </w:r>
            <w:r w:rsidR="009A0366">
              <w:rPr>
                <w:sz w:val="20"/>
              </w:rPr>
              <w:t xml:space="preserve"> HCV</w:t>
            </w:r>
            <w:r>
              <w:rPr>
                <w:sz w:val="20"/>
              </w:rPr>
              <w:t>-</w:t>
            </w:r>
            <w:r w:rsidR="00A96B11">
              <w:rPr>
                <w:sz w:val="20"/>
              </w:rPr>
              <w:t>HH-</w:t>
            </w:r>
            <w:r>
              <w:rPr>
                <w:sz w:val="20"/>
              </w:rPr>
              <w:t>O</w:t>
            </w:r>
            <w:r w:rsidR="00970CB7">
              <w:rPr>
                <w:sz w:val="20"/>
              </w:rPr>
              <w:t>2</w:t>
            </w:r>
            <w:r>
              <w:rPr>
                <w:sz w:val="20"/>
              </w:rPr>
              <w:t>. The benefits in providing certainty about what is being managed, where and how is considered to outweigh the costs associated with identification in regional and district plans. Option 2 is more efficient than option 1 as it</w:t>
            </w:r>
            <w:r w:rsidR="00DD6CED">
              <w:rPr>
                <w:sz w:val="20"/>
              </w:rPr>
              <w:t xml:space="preserve"> provides certain criteria for identifying and classifying historic heritage</w:t>
            </w:r>
            <w:r w:rsidR="007F66F9">
              <w:rPr>
                <w:sz w:val="20"/>
              </w:rPr>
              <w:t xml:space="preserve"> and</w:t>
            </w:r>
            <w:r>
              <w:rPr>
                <w:sz w:val="20"/>
              </w:rPr>
              <w:t xml:space="preserve"> clarifies the actions to be undertaken and by whom</w:t>
            </w:r>
            <w:r w:rsidR="007F66F9">
              <w:rPr>
                <w:sz w:val="20"/>
              </w:rPr>
              <w:t xml:space="preserve">. This </w:t>
            </w:r>
            <w:r w:rsidR="00604A3B">
              <w:rPr>
                <w:sz w:val="20"/>
              </w:rPr>
              <w:t xml:space="preserve">certainty and </w:t>
            </w:r>
            <w:r w:rsidR="007F66F9">
              <w:rPr>
                <w:sz w:val="20"/>
              </w:rPr>
              <w:t xml:space="preserve">clarification </w:t>
            </w:r>
            <w:proofErr w:type="gramStart"/>
            <w:r w:rsidR="007F66F9">
              <w:rPr>
                <w:sz w:val="20"/>
              </w:rPr>
              <w:t>helps</w:t>
            </w:r>
            <w:proofErr w:type="gramEnd"/>
            <w:r w:rsidR="007F66F9">
              <w:rPr>
                <w:sz w:val="20"/>
              </w:rPr>
              <w:t xml:space="preserve"> to</w:t>
            </w:r>
            <w:r>
              <w:rPr>
                <w:sz w:val="20"/>
              </w:rPr>
              <w:t xml:space="preserve"> avoid potential uncertainties and inconsistency during implementation, reducing the costs of achieving the objectives</w:t>
            </w:r>
          </w:p>
        </w:tc>
      </w:tr>
      <w:tr w:rsidR="00E9552F" w:rsidRPr="00C767B5" w14:paraId="5DCD6A9F"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26FFB547" w14:textId="77777777" w:rsidR="00E9552F" w:rsidRPr="00C767B5" w:rsidRDefault="00E9552F" w:rsidP="00424DBB">
            <w:pPr>
              <w:jc w:val="both"/>
              <w:rPr>
                <w:b/>
                <w:sz w:val="20"/>
              </w:rPr>
            </w:pPr>
            <w:r w:rsidRPr="00C767B5">
              <w:rPr>
                <w:b/>
                <w:sz w:val="20"/>
              </w:rPr>
              <w:lastRenderedPageBreak/>
              <w:t>Effectiveness</w:t>
            </w:r>
          </w:p>
        </w:tc>
        <w:tc>
          <w:tcPr>
            <w:tcW w:w="7603" w:type="dxa"/>
            <w:tcBorders>
              <w:top w:val="single" w:sz="4" w:space="0" w:color="C9C9C9" w:themeColor="accent3" w:themeTint="99"/>
              <w:bottom w:val="single" w:sz="4" w:space="0" w:color="C9C9C9" w:themeColor="accent3" w:themeTint="99"/>
            </w:tcBorders>
          </w:tcPr>
          <w:p w14:paraId="3ADA2515" w14:textId="77FF7482" w:rsidR="00E9552F" w:rsidRPr="00C767B5" w:rsidRDefault="00116D8F" w:rsidP="00424DBB">
            <w:pPr>
              <w:jc w:val="both"/>
              <w:rPr>
                <w:sz w:val="20"/>
              </w:rPr>
            </w:pPr>
            <w:r>
              <w:rPr>
                <w:sz w:val="20"/>
              </w:rPr>
              <w:t>Implementing a consistent approach to identifying and classifying historic heritage</w:t>
            </w:r>
            <w:r w:rsidR="00AE5094">
              <w:rPr>
                <w:sz w:val="20"/>
              </w:rPr>
              <w:t xml:space="preserve"> </w:t>
            </w:r>
            <w:r w:rsidR="00C32F97">
              <w:rPr>
                <w:sz w:val="20"/>
              </w:rPr>
              <w:t xml:space="preserve">will assist in ensuring </w:t>
            </w:r>
            <w:r w:rsidR="0013541B">
              <w:rPr>
                <w:sz w:val="20"/>
              </w:rPr>
              <w:t xml:space="preserve">the provisions are </w:t>
            </w:r>
            <w:r w:rsidR="002E02DB">
              <w:rPr>
                <w:sz w:val="20"/>
              </w:rPr>
              <w:t>applied consistently across the region</w:t>
            </w:r>
            <w:r w:rsidR="0013541B">
              <w:rPr>
                <w:sz w:val="20"/>
              </w:rPr>
              <w:t>.</w:t>
            </w:r>
            <w:r w:rsidR="002E02DB">
              <w:rPr>
                <w:sz w:val="20"/>
              </w:rPr>
              <w:t xml:space="preserve"> </w:t>
            </w:r>
            <w:r>
              <w:rPr>
                <w:sz w:val="20"/>
              </w:rPr>
              <w:t>Ma</w:t>
            </w:r>
            <w:r w:rsidR="00496BC6">
              <w:rPr>
                <w:sz w:val="20"/>
              </w:rPr>
              <w:t xml:space="preserve">pping the </w:t>
            </w:r>
            <w:r>
              <w:rPr>
                <w:sz w:val="20"/>
              </w:rPr>
              <w:t>location of historic heritage sites and places</w:t>
            </w:r>
            <w:r w:rsidR="00496BC6">
              <w:rPr>
                <w:sz w:val="20"/>
              </w:rPr>
              <w:t xml:space="preserve"> will improve the certainty about their location and the management approach to be applied</w:t>
            </w:r>
            <w:r w:rsidR="0013541B">
              <w:rPr>
                <w:sz w:val="20"/>
              </w:rPr>
              <w:t>. Collectively, the</w:t>
            </w:r>
            <w:r w:rsidR="00DE769F">
              <w:rPr>
                <w:sz w:val="20"/>
              </w:rPr>
              <w:t xml:space="preserve"> clear and</w:t>
            </w:r>
            <w:r w:rsidR="0013541B">
              <w:rPr>
                <w:sz w:val="20"/>
              </w:rPr>
              <w:t xml:space="preserve"> </w:t>
            </w:r>
            <w:r w:rsidR="00DE769F">
              <w:rPr>
                <w:sz w:val="20"/>
              </w:rPr>
              <w:t>consistent approach to identification and classification</w:t>
            </w:r>
            <w:r w:rsidR="00496BC6">
              <w:rPr>
                <w:sz w:val="20"/>
              </w:rPr>
              <w:t xml:space="preserve"> increas</w:t>
            </w:r>
            <w:r w:rsidR="00DE769F">
              <w:rPr>
                <w:sz w:val="20"/>
              </w:rPr>
              <w:t>es</w:t>
            </w:r>
            <w:r w:rsidR="00496BC6">
              <w:rPr>
                <w:sz w:val="20"/>
              </w:rPr>
              <w:t xml:space="preserve"> the certainty that </w:t>
            </w:r>
            <w:r w:rsidR="00DE769F">
              <w:rPr>
                <w:sz w:val="20"/>
              </w:rPr>
              <w:t>Objective HCV-</w:t>
            </w:r>
            <w:r w:rsidR="00A96B11">
              <w:rPr>
                <w:sz w:val="20"/>
              </w:rPr>
              <w:t>HH-</w:t>
            </w:r>
            <w:r w:rsidR="00DE769F">
              <w:rPr>
                <w:sz w:val="20"/>
              </w:rPr>
              <w:t>O</w:t>
            </w:r>
            <w:r w:rsidR="00970CB7">
              <w:rPr>
                <w:sz w:val="20"/>
              </w:rPr>
              <w:t>2</w:t>
            </w:r>
            <w:r w:rsidR="00496BC6">
              <w:rPr>
                <w:sz w:val="20"/>
              </w:rPr>
              <w:t xml:space="preserve"> will be met. Clarifying the specific roles and responsibilities of Otago’s local authorities will improve the implementation of the policies, which in turn improves the achievement of the objectives.</w:t>
            </w:r>
          </w:p>
        </w:tc>
      </w:tr>
    </w:tbl>
    <w:p w14:paraId="503E2F9F" w14:textId="77777777" w:rsidR="00E9552F" w:rsidRDefault="00E9552F" w:rsidP="00DE069C">
      <w:pPr>
        <w:pStyle w:val="Heading4"/>
      </w:pPr>
      <w:r>
        <w:t>Risk of acting or not acting</w:t>
      </w:r>
    </w:p>
    <w:p w14:paraId="2C860CC4" w14:textId="37D360B7" w:rsidR="00A51433" w:rsidRDefault="00E9552F"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A51433">
        <w:t xml:space="preserve"> In this case, there is uncertainty about the full extent of Otago’s historic heritage</w:t>
      </w:r>
      <w:r w:rsidR="00040B02">
        <w:t>, including those places</w:t>
      </w:r>
      <w:r w:rsidR="00A51433">
        <w:t xml:space="preserve"> or </w:t>
      </w:r>
      <w:r w:rsidR="00040B02">
        <w:t>sites that have special or outstanding values or qualities</w:t>
      </w:r>
      <w:r w:rsidR="00A51433">
        <w:t xml:space="preserve">, as these have not been identified across the entire region. This means there is uncertainty about the sites and locations these provisions will apply to and therefore the level of restriction on subdivision, use or development. </w:t>
      </w:r>
    </w:p>
    <w:p w14:paraId="7CB5BE20" w14:textId="7B499BC1" w:rsidR="00E9552F" w:rsidRDefault="00A51433" w:rsidP="00A247C5">
      <w:pPr>
        <w:pStyle w:val="Normal2"/>
      </w:pPr>
      <w:r>
        <w:t xml:space="preserve">The risk of acting or not acting </w:t>
      </w:r>
      <w:proofErr w:type="gramStart"/>
      <w:r>
        <w:t>is considered to be</w:t>
      </w:r>
      <w:proofErr w:type="gramEnd"/>
      <w:r>
        <w:t xml:space="preserve"> the same, given that the PORPS 201</w:t>
      </w:r>
      <w:r w:rsidR="0034136D">
        <w:t>9</w:t>
      </w:r>
      <w:r>
        <w:t xml:space="preserve"> (status quo) still requires identification of these areas, however based on less certain criteria. As the provisions in option 2 </w:t>
      </w:r>
      <w:proofErr w:type="gramStart"/>
      <w:r>
        <w:t>are considered to be</w:t>
      </w:r>
      <w:proofErr w:type="gramEnd"/>
      <w:r>
        <w:t xml:space="preserve"> more efficient and effective in achieving the objectives, it is appropriate to act in this case.</w:t>
      </w:r>
    </w:p>
    <w:p w14:paraId="634BC9E2" w14:textId="7755A868" w:rsidR="00E9552F" w:rsidRDefault="00E9552F" w:rsidP="00DE069C">
      <w:pPr>
        <w:pStyle w:val="Heading4"/>
      </w:pPr>
      <w:r>
        <w:t>Conclusion</w:t>
      </w:r>
    </w:p>
    <w:p w14:paraId="6C5F8939" w14:textId="7B0A53FD" w:rsidR="00D13635" w:rsidRPr="00005F72" w:rsidRDefault="00865382" w:rsidP="00A247C5">
      <w:pPr>
        <w:pStyle w:val="Normal2"/>
      </w:pPr>
      <w:r>
        <w:t xml:space="preserve">The cost-benefit and effectiveness and efficiency assessments have shown that overall, the </w:t>
      </w:r>
      <w:r w:rsidR="00E81F7F">
        <w:t>PORPS 2021</w:t>
      </w:r>
      <w:r>
        <w:t xml:space="preserve"> provisions are generally more efficient than the status quo and more effective at achieving the objectives of the </w:t>
      </w:r>
      <w:r w:rsidR="00E81F7F">
        <w:t>PORPS 2021</w:t>
      </w:r>
      <w:r>
        <w:t>. The provisions will assist ORC and the territorial authorities to fulfil their obligations under section 6 of the RMA in a regionally consistent manner</w:t>
      </w:r>
      <w:r w:rsidR="00AF0E28">
        <w:t>.</w:t>
      </w:r>
    </w:p>
    <w:p w14:paraId="2E19ECDF" w14:textId="77777777" w:rsidR="003C5947" w:rsidRDefault="003C5947">
      <w:pPr>
        <w:rPr>
          <w:rFonts w:asciiTheme="majorHAnsi" w:eastAsiaTheme="majorEastAsia" w:hAnsiTheme="majorHAnsi" w:cstheme="majorBidi"/>
          <w:color w:val="2F5496" w:themeColor="accent1" w:themeShade="BF"/>
          <w:sz w:val="26"/>
          <w:szCs w:val="26"/>
        </w:rPr>
      </w:pPr>
      <w:r>
        <w:br w:type="page"/>
      </w:r>
    </w:p>
    <w:p w14:paraId="04BABD7F" w14:textId="6B17967E" w:rsidR="00E9552F" w:rsidRDefault="00A97861" w:rsidP="00CB405E">
      <w:pPr>
        <w:pStyle w:val="Heading2"/>
      </w:pPr>
      <w:bookmarkStart w:id="145" w:name="_Toc72507645"/>
      <w:r>
        <w:lastRenderedPageBreak/>
        <w:t xml:space="preserve">NFL – </w:t>
      </w:r>
      <w:r w:rsidR="00E9552F">
        <w:t>Natural features and landscapes</w:t>
      </w:r>
      <w:bookmarkEnd w:id="145"/>
    </w:p>
    <w:p w14:paraId="0B0457E1" w14:textId="77777777" w:rsidR="00E9552F" w:rsidRDefault="00E9552F" w:rsidP="0082271A">
      <w:pPr>
        <w:pStyle w:val="Heading3"/>
      </w:pPr>
      <w:r>
        <w:t>Introduction</w:t>
      </w:r>
    </w:p>
    <w:p w14:paraId="1C4FEAB6" w14:textId="526E44AD" w:rsidR="00CC47A6" w:rsidRDefault="00C278F4" w:rsidP="00A247C5">
      <w:pPr>
        <w:pStyle w:val="Normal2"/>
      </w:pPr>
      <w:r>
        <w:t xml:space="preserve">This section of the report assesses the provisions proposed in the </w:t>
      </w:r>
      <w:r w:rsidR="00E81F7F">
        <w:t>PORPS 2021</w:t>
      </w:r>
      <w:r>
        <w:t xml:space="preserve"> to manage natural features and landscapes. </w:t>
      </w:r>
      <w:r w:rsidR="00CC47A6">
        <w:t>Natural features include resources that are the result of natural processes, particularly those reflecting a particular geology, topography, geomorphology, hydrology, ecology, or other physical attribute that creates a natural feature or combination of natural features.</w:t>
      </w:r>
      <w:r w:rsidR="00CC47A6">
        <w:rPr>
          <w:rStyle w:val="FootnoteReference"/>
        </w:rPr>
        <w:footnoteReference w:id="41"/>
      </w:r>
      <w:r w:rsidR="00CC47A6">
        <w:t xml:space="preserve"> Landscape means the natural and physical attributes of land together with air and water, which change over </w:t>
      </w:r>
      <w:proofErr w:type="gramStart"/>
      <w:r w:rsidR="00CC47A6">
        <w:t>time</w:t>
      </w:r>
      <w:proofErr w:type="gramEnd"/>
      <w:r w:rsidR="00CC47A6">
        <w:t xml:space="preserve"> and which is made known by people’s evolving perceptions and associations.</w:t>
      </w:r>
      <w:r w:rsidR="00CC47A6">
        <w:rPr>
          <w:rStyle w:val="FootnoteReference"/>
        </w:rPr>
        <w:footnoteReference w:id="42"/>
      </w:r>
      <w:r w:rsidR="00CC47A6">
        <w:t xml:space="preserve"> </w:t>
      </w:r>
    </w:p>
    <w:p w14:paraId="5031915D" w14:textId="2C2BD4A4" w:rsidR="006E4752" w:rsidRDefault="00CC47A6" w:rsidP="00A247C5">
      <w:pPr>
        <w:pStyle w:val="Normal2"/>
      </w:pPr>
      <w:r>
        <w:t xml:space="preserve">Natural features and landscapes also have significant cultural value to Kāi </w:t>
      </w:r>
      <w:proofErr w:type="spellStart"/>
      <w:r>
        <w:t>Tahu</w:t>
      </w:r>
      <w:proofErr w:type="spellEnd"/>
      <w:r>
        <w:t xml:space="preserve">. The entire landscape of Otago is dotted with sites of significance reflecting the relationship of Kāi </w:t>
      </w:r>
      <w:proofErr w:type="spellStart"/>
      <w:r>
        <w:t>Tahu</w:t>
      </w:r>
      <w:proofErr w:type="spellEnd"/>
      <w:r>
        <w:t xml:space="preserve"> with the land. </w:t>
      </w:r>
      <w:proofErr w:type="spellStart"/>
      <w:r>
        <w:t>Wāhi</w:t>
      </w:r>
      <w:proofErr w:type="spellEnd"/>
      <w:r>
        <w:t xml:space="preserve"> t</w:t>
      </w:r>
      <w:r w:rsidR="00052A76">
        <w:rPr>
          <w:rFonts w:cstheme="minorHAnsi"/>
        </w:rPr>
        <w:t>ū</w:t>
      </w:r>
      <w:r>
        <w:t xml:space="preserve">puna (cultural landscapes) incorporate a multitude of interconnected sites and areas that reflect the history and traditions associated with the settlement of Kāi </w:t>
      </w:r>
      <w:proofErr w:type="spellStart"/>
      <w:r>
        <w:t>Tahu</w:t>
      </w:r>
      <w:proofErr w:type="spellEnd"/>
      <w:r>
        <w:t xml:space="preserve"> in Otago. Although they are referenced in this chapter of the </w:t>
      </w:r>
      <w:r w:rsidR="00E81F7F">
        <w:t>PORPS 2021</w:t>
      </w:r>
      <w:r>
        <w:t xml:space="preserve">, Chapter </w:t>
      </w:r>
      <w:r w:rsidR="00F76E69">
        <w:t>HCV</w:t>
      </w:r>
      <w:r>
        <w:t xml:space="preserve">: Historical and cultural values is the primary home of provisions managing </w:t>
      </w:r>
      <w:proofErr w:type="spellStart"/>
      <w:r>
        <w:t>wāhi</w:t>
      </w:r>
      <w:proofErr w:type="spellEnd"/>
      <w:r>
        <w:t xml:space="preserve"> tūpuna. </w:t>
      </w:r>
    </w:p>
    <w:p w14:paraId="0776872E" w14:textId="7939BF54" w:rsidR="00CC47A6" w:rsidRDefault="006E4752" w:rsidP="00A247C5">
      <w:pPr>
        <w:pStyle w:val="Normal2"/>
      </w:pPr>
      <w:r>
        <w:t>The PORPS 2019 manage</w:t>
      </w:r>
      <w:r w:rsidR="0034136D">
        <w:t>s</w:t>
      </w:r>
      <w:r>
        <w:t xml:space="preserve"> two categories of natural features and landscapes: those that are “outstanding” and those that are “highly valued.”</w:t>
      </w:r>
      <w:r w:rsidR="007C48E2">
        <w:t xml:space="preserve"> That approach is continued in the </w:t>
      </w:r>
      <w:r w:rsidR="00E81F7F">
        <w:t>PORPS 2021</w:t>
      </w:r>
      <w:r w:rsidR="007C48E2">
        <w:t xml:space="preserve"> </w:t>
      </w:r>
      <w:proofErr w:type="gramStart"/>
      <w:r w:rsidR="007C48E2">
        <w:t>in order to</w:t>
      </w:r>
      <w:proofErr w:type="gramEnd"/>
      <w:r w:rsidR="007C48E2">
        <w:t xml:space="preserve"> implement the requirements in sections 6 and 7 of the RMA and the NZCPS.</w:t>
      </w:r>
    </w:p>
    <w:p w14:paraId="3B39233C" w14:textId="67D95A59" w:rsidR="00EE14E4" w:rsidRDefault="00EB4D49" w:rsidP="00A247C5">
      <w:pPr>
        <w:pStyle w:val="Normal2"/>
      </w:pPr>
      <w:r>
        <w:t>The relevant provisions for this chapter are:</w:t>
      </w:r>
    </w:p>
    <w:p w14:paraId="4685ED61" w14:textId="5D158575" w:rsidR="000A4C64" w:rsidRDefault="000A4C64" w:rsidP="00A247C5">
      <w:pPr>
        <w:pStyle w:val="Normal3"/>
      </w:pPr>
      <w:r>
        <w:t>NFL</w:t>
      </w:r>
      <w:r w:rsidR="002B6B65">
        <w:t>–</w:t>
      </w:r>
      <w:r>
        <w:t xml:space="preserve">P1 </w:t>
      </w:r>
      <w:r w:rsidR="00865E54">
        <w:t>–</w:t>
      </w:r>
      <w:r>
        <w:t xml:space="preserve"> </w:t>
      </w:r>
      <w:r w:rsidR="00D42C9D">
        <w:t>Identif</w:t>
      </w:r>
      <w:r w:rsidR="0048038E">
        <w:t>ication</w:t>
      </w:r>
    </w:p>
    <w:p w14:paraId="00B6F862" w14:textId="7DAD0AEA" w:rsidR="00D42C9D" w:rsidRDefault="00D42C9D" w:rsidP="00A247C5">
      <w:pPr>
        <w:pStyle w:val="Normal3"/>
      </w:pPr>
      <w:r>
        <w:t>NFL</w:t>
      </w:r>
      <w:r w:rsidR="002B6B65">
        <w:t>–</w:t>
      </w:r>
      <w:r>
        <w:t xml:space="preserve">P2 </w:t>
      </w:r>
      <w:r w:rsidR="00865E54">
        <w:t xml:space="preserve">– </w:t>
      </w:r>
      <w:r w:rsidR="003A3B22">
        <w:t>Protecti</w:t>
      </w:r>
      <w:r w:rsidR="0048038E">
        <w:t>on</w:t>
      </w:r>
    </w:p>
    <w:p w14:paraId="486D681F" w14:textId="01726ED1" w:rsidR="00D42C9D" w:rsidRDefault="00D42C9D" w:rsidP="00A247C5">
      <w:pPr>
        <w:pStyle w:val="Normal3"/>
      </w:pPr>
      <w:r>
        <w:t>NFL</w:t>
      </w:r>
      <w:r w:rsidR="002B6B65">
        <w:t>–</w:t>
      </w:r>
      <w:r>
        <w:t>P</w:t>
      </w:r>
      <w:r w:rsidR="003A3B22">
        <w:t>3</w:t>
      </w:r>
      <w:r>
        <w:t xml:space="preserve"> </w:t>
      </w:r>
      <w:r w:rsidR="00865E54">
        <w:t>– Maint</w:t>
      </w:r>
      <w:r w:rsidR="0048038E">
        <w:t>enance</w:t>
      </w:r>
    </w:p>
    <w:p w14:paraId="2E36A35D" w14:textId="3239F7DA" w:rsidR="00C76679" w:rsidRDefault="00541202" w:rsidP="00A247C5">
      <w:pPr>
        <w:pStyle w:val="Normal3"/>
      </w:pPr>
      <w:r>
        <w:t>NFL</w:t>
      </w:r>
      <w:r w:rsidR="002B6B65">
        <w:t>–</w:t>
      </w:r>
      <w:r>
        <w:t>P</w:t>
      </w:r>
      <w:r w:rsidR="003A3B22">
        <w:t>4</w:t>
      </w:r>
      <w:r>
        <w:t xml:space="preserve"> </w:t>
      </w:r>
      <w:r w:rsidR="00C76679">
        <w:t>– Restor</w:t>
      </w:r>
      <w:r w:rsidR="0048038E">
        <w:t>ation</w:t>
      </w:r>
    </w:p>
    <w:p w14:paraId="5A61DF6A" w14:textId="3EAB0C98" w:rsidR="00541202" w:rsidRDefault="00541202" w:rsidP="00A247C5">
      <w:pPr>
        <w:pStyle w:val="Normal3"/>
      </w:pPr>
      <w:r>
        <w:t>NFL</w:t>
      </w:r>
      <w:r w:rsidR="002B6B65">
        <w:t>–P</w:t>
      </w:r>
      <w:r w:rsidR="00F7155B">
        <w:t>5</w:t>
      </w:r>
      <w:r w:rsidR="002B6B65">
        <w:t xml:space="preserve"> </w:t>
      </w:r>
      <w:r w:rsidR="00C76679">
        <w:t xml:space="preserve">– </w:t>
      </w:r>
      <w:r>
        <w:t>Wilding conifers</w:t>
      </w:r>
    </w:p>
    <w:p w14:paraId="211FA930" w14:textId="31EF3009" w:rsidR="0048038E" w:rsidRDefault="0048038E" w:rsidP="00A247C5">
      <w:pPr>
        <w:pStyle w:val="Normal3"/>
      </w:pPr>
      <w:r>
        <w:t>NFL</w:t>
      </w:r>
      <w:r w:rsidR="002B6B65">
        <w:t>–</w:t>
      </w:r>
      <w:r>
        <w:t>P</w:t>
      </w:r>
      <w:r w:rsidR="00F7155B">
        <w:t>6</w:t>
      </w:r>
      <w:r>
        <w:t xml:space="preserve"> – Coastal features and landscapes</w:t>
      </w:r>
    </w:p>
    <w:p w14:paraId="0400F8C7" w14:textId="23C954B6" w:rsidR="001C00C4" w:rsidRDefault="001C00C4" w:rsidP="00A247C5">
      <w:pPr>
        <w:pStyle w:val="Normal3"/>
      </w:pPr>
      <w:r>
        <w:t>NFL</w:t>
      </w:r>
      <w:r w:rsidR="002B6B65">
        <w:t>–</w:t>
      </w:r>
      <w:r>
        <w:t xml:space="preserve">M1 </w:t>
      </w:r>
      <w:r w:rsidR="00C76679">
        <w:t xml:space="preserve">– </w:t>
      </w:r>
      <w:r w:rsidR="003A3B22">
        <w:t>Identification</w:t>
      </w:r>
    </w:p>
    <w:p w14:paraId="30D023FB" w14:textId="526DA298" w:rsidR="001C00C4" w:rsidRDefault="009118AD" w:rsidP="00A247C5">
      <w:pPr>
        <w:pStyle w:val="Normal3"/>
      </w:pPr>
      <w:r>
        <w:t>NFL</w:t>
      </w:r>
      <w:r w:rsidR="002B6B65">
        <w:t>–</w:t>
      </w:r>
      <w:r>
        <w:t xml:space="preserve">M2 </w:t>
      </w:r>
      <w:r w:rsidR="00C76679">
        <w:t xml:space="preserve">– </w:t>
      </w:r>
      <w:r>
        <w:t>Regional plans</w:t>
      </w:r>
    </w:p>
    <w:p w14:paraId="7545DD3B" w14:textId="478940A3" w:rsidR="009118AD" w:rsidRDefault="009118AD" w:rsidP="00A247C5">
      <w:pPr>
        <w:pStyle w:val="Normal3"/>
      </w:pPr>
      <w:r>
        <w:t>NFL</w:t>
      </w:r>
      <w:r w:rsidR="002B6B65">
        <w:t>–</w:t>
      </w:r>
      <w:r>
        <w:t xml:space="preserve">M3 </w:t>
      </w:r>
      <w:r w:rsidR="00C76679">
        <w:t xml:space="preserve">– </w:t>
      </w:r>
      <w:r>
        <w:t>District plans</w:t>
      </w:r>
    </w:p>
    <w:p w14:paraId="6CE88C26" w14:textId="418E1A15" w:rsidR="003A3B22" w:rsidRDefault="003A3B22" w:rsidP="00A247C5">
      <w:pPr>
        <w:pStyle w:val="Normal3"/>
      </w:pPr>
      <w:r>
        <w:t>NFL</w:t>
      </w:r>
      <w:r w:rsidR="002B6B65">
        <w:t>–</w:t>
      </w:r>
      <w:r>
        <w:t xml:space="preserve">M4 </w:t>
      </w:r>
      <w:r w:rsidR="00C76679">
        <w:t xml:space="preserve">– </w:t>
      </w:r>
      <w:r w:rsidR="00D01DAD">
        <w:t>Other incentives and mechanisms</w:t>
      </w:r>
    </w:p>
    <w:p w14:paraId="18BE1F9B" w14:textId="6F3BECC1" w:rsidR="00153C37" w:rsidRDefault="00153C37" w:rsidP="00A247C5">
      <w:pPr>
        <w:pStyle w:val="Normal3"/>
      </w:pPr>
      <w:r>
        <w:t>APP</w:t>
      </w:r>
      <w:r w:rsidR="009F14B4">
        <w:t>9</w:t>
      </w:r>
      <w:r w:rsidR="00D12239">
        <w:t xml:space="preserve"> – Identification criteria for outstanding and highly valued natural features, </w:t>
      </w:r>
      <w:proofErr w:type="gramStart"/>
      <w:r w:rsidR="00D12239">
        <w:t>landscapes</w:t>
      </w:r>
      <w:proofErr w:type="gramEnd"/>
      <w:r w:rsidR="00D12239">
        <w:t xml:space="preserve"> and seascapes</w:t>
      </w:r>
    </w:p>
    <w:p w14:paraId="21F023BC" w14:textId="5C74967D" w:rsidR="00E9552F" w:rsidRDefault="00E9552F" w:rsidP="0082271A">
      <w:pPr>
        <w:pStyle w:val="Heading3"/>
      </w:pPr>
      <w:bookmarkStart w:id="146" w:name="_Ref46326628"/>
      <w:r>
        <w:t>Current issues</w:t>
      </w:r>
      <w:bookmarkEnd w:id="146"/>
    </w:p>
    <w:p w14:paraId="14979833" w14:textId="6F1B9E04" w:rsidR="00E9552F" w:rsidRDefault="00A00E5A" w:rsidP="00A247C5">
      <w:pPr>
        <w:pStyle w:val="Normal2"/>
      </w:pPr>
      <w:r>
        <w:t xml:space="preserve">Otago’s natural features and landscapes are highly valued for a range of reasons, including their cultural and social importance. They also support domestic and international tourism in the region. Through the consultation undertaken in early 2020, </w:t>
      </w:r>
      <w:proofErr w:type="gramStart"/>
      <w:r>
        <w:t>the majority of</w:t>
      </w:r>
      <w:proofErr w:type="gramEnd"/>
      <w:r>
        <w:t xml:space="preserve"> participants who commented on this topic emphasised the importance of Otago’s natural features and landscapes and the need to protect them from inappropriate development. Many of Otago’s outstanding and highly valued natural features and landscapes </w:t>
      </w:r>
      <w:proofErr w:type="gramStart"/>
      <w:r>
        <w:t>are located in</w:t>
      </w:r>
      <w:proofErr w:type="gramEnd"/>
      <w:r>
        <w:t xml:space="preserve"> areas which have </w:t>
      </w:r>
      <w:r>
        <w:lastRenderedPageBreak/>
        <w:t xml:space="preserve">development and tourism pressures (such as the Queenstown-Lakes </w:t>
      </w:r>
      <w:r w:rsidR="00091972">
        <w:t>D</w:t>
      </w:r>
      <w:r>
        <w:t>istrict).</w:t>
      </w:r>
      <w:r w:rsidR="00231023">
        <w:t xml:space="preserve"> This has been reflected in a number of the issues of significance for the region, including SRMR</w:t>
      </w:r>
      <w:r w:rsidR="001C4C89">
        <w:t>–</w:t>
      </w:r>
      <w:r w:rsidR="00C12760">
        <w:t>I</w:t>
      </w:r>
      <w:r w:rsidR="00231023">
        <w:t>3</w:t>
      </w:r>
      <w:r w:rsidR="00B14D73">
        <w:t xml:space="preserve"> (pest species pose an ongoing threat to indigenous biodiversity, economic activities and landscapes), SRMR</w:t>
      </w:r>
      <w:r w:rsidR="001C4C89">
        <w:t>–</w:t>
      </w:r>
      <w:r w:rsidR="00C12760">
        <w:t>I</w:t>
      </w:r>
      <w:r w:rsidR="00B14D73">
        <w:t xml:space="preserve">4 (poorly managed urban and residential growth affects productive land, treasured natural assets, infrastructure and </w:t>
      </w:r>
      <w:r w:rsidR="00101484">
        <w:t xml:space="preserve">community wellbeing), </w:t>
      </w:r>
      <w:r w:rsidR="000A45F6">
        <w:t>SRMR</w:t>
      </w:r>
      <w:r w:rsidR="001C4C89">
        <w:t>–</w:t>
      </w:r>
      <w:r w:rsidR="00E306B4">
        <w:t>I</w:t>
      </w:r>
      <w:r w:rsidR="000A45F6">
        <w:t>7 (rich and varied biodiversity has been lost or degraded due to human activities or the presence of pests and predators) and SRMR</w:t>
      </w:r>
      <w:r w:rsidR="001C4C89">
        <w:t>–</w:t>
      </w:r>
      <w:r w:rsidR="00E306B4">
        <w:t>I</w:t>
      </w:r>
      <w:r w:rsidR="000A45F6">
        <w:t xml:space="preserve">11 (cumulative impacts and resilience – the environmental costs of our activities </w:t>
      </w:r>
      <w:r w:rsidR="00E306B4">
        <w:t>in Otago are adding up with tipping points potentially being reached).</w:t>
      </w:r>
      <w:r w:rsidR="000A45F6">
        <w:t xml:space="preserve"> </w:t>
      </w:r>
    </w:p>
    <w:p w14:paraId="624AA9C3" w14:textId="1094C2C2" w:rsidR="000A45F6" w:rsidRDefault="00CB1C63" w:rsidP="00A247C5">
      <w:pPr>
        <w:pStyle w:val="Normal2"/>
      </w:pPr>
      <w:r>
        <w:t xml:space="preserve">Natural features and landscapes are also important to Kāi </w:t>
      </w:r>
      <w:proofErr w:type="spellStart"/>
      <w:r>
        <w:t>Tahu</w:t>
      </w:r>
      <w:proofErr w:type="spellEnd"/>
      <w:r>
        <w:t xml:space="preserve">. </w:t>
      </w:r>
      <w:proofErr w:type="spellStart"/>
      <w:r>
        <w:t>Wāhi</w:t>
      </w:r>
      <w:proofErr w:type="spellEnd"/>
      <w:r>
        <w:t xml:space="preserve"> tūpuna (ancestral landscapes) across Otago are made up of interconnected sites and areas reflecting the history and traditions associated with the long settlement of Kāi </w:t>
      </w:r>
      <w:proofErr w:type="spellStart"/>
      <w:r>
        <w:t>Tahu</w:t>
      </w:r>
      <w:proofErr w:type="spellEnd"/>
      <w:r>
        <w:t xml:space="preserve"> in Otago. Although </w:t>
      </w:r>
      <w:proofErr w:type="spellStart"/>
      <w:r>
        <w:t>wāhi</w:t>
      </w:r>
      <w:proofErr w:type="spellEnd"/>
      <w:r>
        <w:t xml:space="preserve"> tūpuna </w:t>
      </w:r>
      <w:r w:rsidR="004B31E0">
        <w:t xml:space="preserve">are managed specifically through </w:t>
      </w:r>
      <w:r w:rsidR="001E35A0">
        <w:t>the</w:t>
      </w:r>
      <w:r w:rsidR="004B31E0">
        <w:t xml:space="preserve"> </w:t>
      </w:r>
      <w:r w:rsidR="004B31E0" w:rsidRPr="001E35A0">
        <w:rPr>
          <w:i/>
          <w:iCs/>
        </w:rPr>
        <w:t>HCV</w:t>
      </w:r>
      <w:r w:rsidR="001E35A0" w:rsidRPr="001E35A0">
        <w:rPr>
          <w:i/>
          <w:iCs/>
        </w:rPr>
        <w:t>–</w:t>
      </w:r>
      <w:r w:rsidR="004B31E0" w:rsidRPr="001E35A0">
        <w:rPr>
          <w:i/>
          <w:iCs/>
        </w:rPr>
        <w:t>WT</w:t>
      </w:r>
      <w:r w:rsidR="001E35A0">
        <w:rPr>
          <w:i/>
          <w:iCs/>
        </w:rPr>
        <w:t xml:space="preserve"> – </w:t>
      </w:r>
      <w:proofErr w:type="spellStart"/>
      <w:r w:rsidR="001E35A0">
        <w:rPr>
          <w:i/>
          <w:iCs/>
        </w:rPr>
        <w:t>Wāhi</w:t>
      </w:r>
      <w:proofErr w:type="spellEnd"/>
      <w:r w:rsidR="001E35A0">
        <w:rPr>
          <w:i/>
          <w:iCs/>
        </w:rPr>
        <w:t xml:space="preserve"> tūpuna </w:t>
      </w:r>
      <w:r w:rsidR="001E35A0">
        <w:t>section</w:t>
      </w:r>
      <w:r w:rsidR="004B31E0">
        <w:t xml:space="preserve"> of the PORPS 2021, they will form an important component of some natural features and landscapes and the cultural values of those areas.</w:t>
      </w:r>
      <w:r w:rsidR="003A20D0">
        <w:t xml:space="preserve"> </w:t>
      </w:r>
      <w:r w:rsidR="00813568">
        <w:t xml:space="preserve">Issues of significance to iwi relating to </w:t>
      </w:r>
      <w:proofErr w:type="spellStart"/>
      <w:r w:rsidR="00813568">
        <w:t>wāhi</w:t>
      </w:r>
      <w:proofErr w:type="spellEnd"/>
      <w:r w:rsidR="00813568">
        <w:t xml:space="preserve"> tūpuna and </w:t>
      </w:r>
      <w:proofErr w:type="spellStart"/>
      <w:r w:rsidR="00813568">
        <w:t>wāhi</w:t>
      </w:r>
      <w:proofErr w:type="spellEnd"/>
      <w:r w:rsidR="00813568">
        <w:t xml:space="preserve"> </w:t>
      </w:r>
      <w:proofErr w:type="spellStart"/>
      <w:r w:rsidR="00813568">
        <w:t>tapu</w:t>
      </w:r>
      <w:proofErr w:type="spellEnd"/>
      <w:r w:rsidR="00813568">
        <w:t xml:space="preserve"> are set out in RMIA</w:t>
      </w:r>
      <w:r w:rsidR="001E35A0">
        <w:t>–</w:t>
      </w:r>
      <w:r w:rsidR="00813568">
        <w:t>WTU</w:t>
      </w:r>
      <w:r w:rsidR="001E35A0">
        <w:t>–</w:t>
      </w:r>
      <w:r w:rsidR="005F05D8">
        <w:t>I</w:t>
      </w:r>
      <w:r w:rsidR="00813568">
        <w:t>1, RMIA</w:t>
      </w:r>
      <w:r w:rsidR="001E35A0">
        <w:t>–</w:t>
      </w:r>
      <w:r w:rsidR="00813568">
        <w:t>WTA</w:t>
      </w:r>
      <w:r w:rsidR="001E35A0">
        <w:t>–</w:t>
      </w:r>
      <w:r w:rsidR="005F05D8">
        <w:t>I</w:t>
      </w:r>
      <w:r w:rsidR="00813568">
        <w:t>1 and RMIA</w:t>
      </w:r>
      <w:r w:rsidR="001E35A0">
        <w:t>–</w:t>
      </w:r>
      <w:r w:rsidR="00813568">
        <w:t>WTA</w:t>
      </w:r>
      <w:r w:rsidR="001E35A0">
        <w:t>–</w:t>
      </w:r>
      <w:r w:rsidR="005F05D8">
        <w:t>I</w:t>
      </w:r>
      <w:r w:rsidR="00813568">
        <w:t>2.</w:t>
      </w:r>
    </w:p>
    <w:p w14:paraId="52AA78F9" w14:textId="1496F78B" w:rsidR="00A00E5A" w:rsidRDefault="00A00E5A" w:rsidP="00A247C5">
      <w:pPr>
        <w:pStyle w:val="Normal2"/>
      </w:pPr>
      <w:r>
        <w:t xml:space="preserve">Broadly, the provisions in the PORPS 2019 remain relevant and appropriate. However, </w:t>
      </w:r>
      <w:r w:rsidR="00B84A40">
        <w:t>some unclear drafting means there is uncertainty about:</w:t>
      </w:r>
    </w:p>
    <w:p w14:paraId="553C266B" w14:textId="1FD53678" w:rsidR="00E25090" w:rsidRPr="00316B16" w:rsidRDefault="00B84A40" w:rsidP="00A247C5">
      <w:pPr>
        <w:pStyle w:val="Normal3"/>
      </w:pPr>
      <w:r>
        <w:t>W</w:t>
      </w:r>
      <w:r w:rsidR="00E25090">
        <w:t xml:space="preserve">ho </w:t>
      </w:r>
      <w:r w:rsidR="00E25090" w:rsidRPr="00316B16">
        <w:t>will identify outstanding and highly valued natural features and landscapes</w:t>
      </w:r>
      <w:r w:rsidR="00F35342">
        <w:t>,</w:t>
      </w:r>
    </w:p>
    <w:p w14:paraId="2993A4DC" w14:textId="3817D34F" w:rsidR="00E25090" w:rsidRPr="00316B16" w:rsidRDefault="00B84A40" w:rsidP="00A247C5">
      <w:pPr>
        <w:pStyle w:val="Normal3"/>
      </w:pPr>
      <w:r>
        <w:t>Whether</w:t>
      </w:r>
      <w:r w:rsidR="00E25090">
        <w:t xml:space="preserve"> it is the areas and</w:t>
      </w:r>
      <w:r w:rsidR="00F271B1">
        <w:t>/or</w:t>
      </w:r>
      <w:r w:rsidR="00E25090">
        <w:t xml:space="preserve"> values that are to be identified</w:t>
      </w:r>
      <w:r w:rsidR="00F35342">
        <w:t>,</w:t>
      </w:r>
    </w:p>
    <w:p w14:paraId="4F3D2441" w14:textId="5BAD0BF2" w:rsidR="00E25090" w:rsidRPr="00316B16" w:rsidRDefault="00B84A40" w:rsidP="00A247C5">
      <w:pPr>
        <w:pStyle w:val="Normal3"/>
      </w:pPr>
      <w:r>
        <w:t>How</w:t>
      </w:r>
      <w:r w:rsidR="00DD38EA">
        <w:t xml:space="preserve"> identification is to occur (</w:t>
      </w:r>
      <w:proofErr w:type="gramStart"/>
      <w:r w:rsidR="00DD38EA">
        <w:t>i.e.</w:t>
      </w:r>
      <w:proofErr w:type="gramEnd"/>
      <w:r w:rsidR="00DD38EA">
        <w:t xml:space="preserve"> maps</w:t>
      </w:r>
      <w:r>
        <w:t xml:space="preserve"> or schedules</w:t>
      </w:r>
      <w:r w:rsidR="00DD38EA">
        <w:t>)</w:t>
      </w:r>
      <w:r w:rsidR="00F35342">
        <w:t>,</w:t>
      </w:r>
    </w:p>
    <w:p w14:paraId="1BE5BC2E" w14:textId="6577741E" w:rsidR="00DD38EA" w:rsidRPr="00316B16" w:rsidRDefault="00B84A40" w:rsidP="00A247C5">
      <w:pPr>
        <w:pStyle w:val="Normal3"/>
      </w:pPr>
      <w:r>
        <w:t>The</w:t>
      </w:r>
      <w:r w:rsidR="00DD38EA">
        <w:t xml:space="preserve"> management approaches required to achieve the objectives and whether they apply to the values of the areas or the areas themselves</w:t>
      </w:r>
      <w:r w:rsidR="00F35342">
        <w:t>, and</w:t>
      </w:r>
    </w:p>
    <w:p w14:paraId="594B0A7B" w14:textId="5C5AA138" w:rsidR="00DD38EA" w:rsidRDefault="00B84A40" w:rsidP="00A247C5">
      <w:pPr>
        <w:pStyle w:val="Normal3"/>
      </w:pPr>
      <w:r>
        <w:t>The division of responsibilities between ORC and the territorial authorities.</w:t>
      </w:r>
    </w:p>
    <w:p w14:paraId="16B69926" w14:textId="4F8F9B42" w:rsidR="00E9552F" w:rsidRDefault="00E9552F" w:rsidP="0082271A">
      <w:pPr>
        <w:pStyle w:val="Heading3"/>
      </w:pPr>
      <w:r>
        <w:t>Objectives</w:t>
      </w:r>
    </w:p>
    <w:p w14:paraId="6F369673" w14:textId="67B7D33B" w:rsidR="00EB4D49" w:rsidRDefault="009118AD" w:rsidP="00A247C5">
      <w:pPr>
        <w:pStyle w:val="Normal2"/>
      </w:pPr>
      <w:r>
        <w:t>Section 32</w:t>
      </w:r>
      <w:r w:rsidR="007947B5">
        <w:t xml:space="preserve">(1)(b) requires examining whether the provisions in the proposal are the most appropriate way of achieving the objectives. </w:t>
      </w:r>
      <w:r w:rsidR="00EB4D49">
        <w:t xml:space="preserve">The relevant objectives </w:t>
      </w:r>
      <w:r w:rsidR="007947B5">
        <w:t xml:space="preserve">for this topic </w:t>
      </w:r>
      <w:r w:rsidR="00EB4D49">
        <w:t>are</w:t>
      </w:r>
      <w:r w:rsidR="003C5947">
        <w:t xml:space="preserve"> included in </w:t>
      </w:r>
      <w:r>
        <w:fldChar w:fldCharType="begin"/>
      </w:r>
      <w:r>
        <w:instrText xml:space="preserve"> REF _Ref54002929 \h </w:instrText>
      </w:r>
      <w:r>
        <w:fldChar w:fldCharType="separate"/>
      </w:r>
      <w:r w:rsidR="002A7A16">
        <w:t xml:space="preserve">Table </w:t>
      </w:r>
      <w:r w:rsidR="002A7A16">
        <w:rPr>
          <w:noProof/>
        </w:rPr>
        <w:t>62</w:t>
      </w:r>
      <w:r>
        <w:fldChar w:fldCharType="end"/>
      </w:r>
      <w:r w:rsidR="003C5947">
        <w:t xml:space="preserve"> below.</w:t>
      </w:r>
    </w:p>
    <w:p w14:paraId="19744329" w14:textId="4D9BA220" w:rsidR="00316B16" w:rsidRDefault="00316B16" w:rsidP="009D176B">
      <w:pPr>
        <w:pStyle w:val="Caption"/>
        <w:keepNext/>
        <w:ind w:left="709"/>
      </w:pPr>
      <w:bookmarkStart w:id="147" w:name="_Ref54002929"/>
      <w:r>
        <w:t xml:space="preserve">Table </w:t>
      </w:r>
      <w:r>
        <w:fldChar w:fldCharType="begin"/>
      </w:r>
      <w:r>
        <w:instrText>SEQ Table \* ARABIC</w:instrText>
      </w:r>
      <w:r>
        <w:fldChar w:fldCharType="separate"/>
      </w:r>
      <w:r w:rsidR="002A7A16">
        <w:rPr>
          <w:noProof/>
        </w:rPr>
        <w:t>62</w:t>
      </w:r>
      <w:r>
        <w:fldChar w:fldCharType="end"/>
      </w:r>
      <w:bookmarkEnd w:id="147"/>
      <w:r w:rsidR="009D176B">
        <w:t>: Natural features and landscapes objective</w:t>
      </w:r>
    </w:p>
    <w:tbl>
      <w:tblPr>
        <w:tblStyle w:val="TableGrid"/>
        <w:tblW w:w="0" w:type="auto"/>
        <w:tblInd w:w="720" w:type="dxa"/>
        <w:tblLook w:val="04A0" w:firstRow="1" w:lastRow="0" w:firstColumn="1" w:lastColumn="0" w:noHBand="0" w:noVBand="1"/>
      </w:tblPr>
      <w:tblGrid>
        <w:gridCol w:w="2677"/>
        <w:gridCol w:w="5619"/>
      </w:tblGrid>
      <w:tr w:rsidR="00316B16" w14:paraId="6D315AC6" w14:textId="77777777" w:rsidTr="00E77177">
        <w:tc>
          <w:tcPr>
            <w:tcW w:w="2677" w:type="dxa"/>
          </w:tcPr>
          <w:p w14:paraId="0B6BFE81" w14:textId="56DD9941" w:rsidR="00316B16" w:rsidRPr="006B5EEF" w:rsidRDefault="00B54010" w:rsidP="00A247C5">
            <w:pPr>
              <w:pStyle w:val="Table1"/>
            </w:pPr>
            <w:r w:rsidRPr="006B5EEF">
              <w:t>NFL</w:t>
            </w:r>
            <w:r w:rsidR="006B5EEF" w:rsidRPr="006B5EEF">
              <w:t>–</w:t>
            </w:r>
            <w:r w:rsidRPr="006B5EEF">
              <w:t xml:space="preserve">O1 </w:t>
            </w:r>
            <w:r w:rsidR="0052241E" w:rsidRPr="006B5EEF">
              <w:t xml:space="preserve">– </w:t>
            </w:r>
            <w:r w:rsidRPr="006B5EEF">
              <w:t>Outstanding and highly valued natural features</w:t>
            </w:r>
            <w:r w:rsidR="00284559" w:rsidRPr="006B5EEF">
              <w:t xml:space="preserve"> and</w:t>
            </w:r>
            <w:r w:rsidR="00E875BC" w:rsidRPr="006B5EEF">
              <w:t xml:space="preserve"> </w:t>
            </w:r>
            <w:r w:rsidRPr="006B5EEF">
              <w:t>landscapes</w:t>
            </w:r>
          </w:p>
        </w:tc>
        <w:tc>
          <w:tcPr>
            <w:tcW w:w="5619" w:type="dxa"/>
          </w:tcPr>
          <w:p w14:paraId="261805CB" w14:textId="77777777" w:rsidR="00284559" w:rsidRDefault="00284559" w:rsidP="00A247C5">
            <w:pPr>
              <w:pStyle w:val="Table1"/>
            </w:pPr>
            <w:r>
              <w:t xml:space="preserve">The areas and values of Otago’s outstanding and highly valued natural features and landscapes are identified, and the use and development of Otago’s </w:t>
            </w:r>
            <w:r>
              <w:rPr>
                <w:i/>
                <w:iCs/>
              </w:rPr>
              <w:t xml:space="preserve">natural and physical resources </w:t>
            </w:r>
            <w:r>
              <w:t>results in:</w:t>
            </w:r>
          </w:p>
          <w:p w14:paraId="02A2F5B2" w14:textId="77777777" w:rsidR="00284559" w:rsidRDefault="00284559" w:rsidP="00A247C5">
            <w:pPr>
              <w:pStyle w:val="Table1"/>
              <w:ind w:left="464"/>
            </w:pPr>
            <w:r>
              <w:t>(1)</w:t>
            </w:r>
            <w:r>
              <w:tab/>
              <w:t xml:space="preserve">the protection of outstanding natural features and </w:t>
            </w:r>
            <w:proofErr w:type="gramStart"/>
            <w:r>
              <w:t>landscapes ,</w:t>
            </w:r>
            <w:proofErr w:type="gramEnd"/>
            <w:r>
              <w:t xml:space="preserve"> and</w:t>
            </w:r>
          </w:p>
          <w:p w14:paraId="490F5B60" w14:textId="1B16F853" w:rsidR="00316B16" w:rsidRPr="00561E15" w:rsidRDefault="00284559" w:rsidP="00A247C5">
            <w:pPr>
              <w:pStyle w:val="Table1"/>
              <w:ind w:left="464"/>
            </w:pPr>
            <w:r>
              <w:t>(2)</w:t>
            </w:r>
            <w:r>
              <w:tab/>
              <w:t>the maintenance or enhancement of highly valued natural features and landscapes.</w:t>
            </w:r>
          </w:p>
        </w:tc>
      </w:tr>
    </w:tbl>
    <w:p w14:paraId="76C9D151" w14:textId="017AF4BF" w:rsidR="00E9552F" w:rsidRDefault="00E9552F" w:rsidP="0082271A">
      <w:pPr>
        <w:pStyle w:val="Heading3"/>
      </w:pPr>
      <w:r>
        <w:t>Reasonably practicable options</w:t>
      </w:r>
    </w:p>
    <w:p w14:paraId="6A0BC7B5" w14:textId="4E1FE6DE" w:rsidR="00EB4D49" w:rsidRDefault="00AC3A57" w:rsidP="00A247C5">
      <w:pPr>
        <w:pStyle w:val="Normal2"/>
      </w:pPr>
      <w:r>
        <w:t>Four</w:t>
      </w:r>
      <w:r w:rsidR="00EB4D49">
        <w:t xml:space="preserve"> reasonably practicable options were identified to achieve the objectives:</w:t>
      </w:r>
    </w:p>
    <w:p w14:paraId="60F96808" w14:textId="7EA35001" w:rsidR="00EB4D49" w:rsidRPr="007E277A" w:rsidRDefault="00EB4D49" w:rsidP="00A247C5">
      <w:pPr>
        <w:pStyle w:val="Normal3"/>
      </w:pPr>
      <w:r w:rsidRPr="00145A5C">
        <w:rPr>
          <w:b/>
          <w:bCs/>
        </w:rPr>
        <w:t>Option 1</w:t>
      </w:r>
      <w:r w:rsidRPr="007E277A">
        <w:t>: Status quo (PORPS 2019)</w:t>
      </w:r>
    </w:p>
    <w:p w14:paraId="5B18EFB8" w14:textId="4E802403" w:rsidR="00EB4D49" w:rsidRDefault="00EB4D49" w:rsidP="00A247C5">
      <w:pPr>
        <w:pStyle w:val="Normal3"/>
      </w:pPr>
      <w:r w:rsidRPr="29589E8D">
        <w:rPr>
          <w:b/>
          <w:bCs/>
        </w:rPr>
        <w:t>Option 2:</w:t>
      </w:r>
      <w:r>
        <w:t xml:space="preserve"> </w:t>
      </w:r>
      <w:r w:rsidR="00E81F7F">
        <w:t>PORPS 2021</w:t>
      </w:r>
      <w:r w:rsidR="00EB6696">
        <w:t xml:space="preserve"> – </w:t>
      </w:r>
      <w:r w:rsidR="00EB6696" w:rsidRPr="29589E8D">
        <w:rPr>
          <w:i/>
          <w:iCs/>
        </w:rPr>
        <w:t xml:space="preserve">preferred </w:t>
      </w:r>
    </w:p>
    <w:p w14:paraId="57DD06E8" w14:textId="7F356D49" w:rsidR="00AC3A57" w:rsidRDefault="00AC3A57" w:rsidP="00A247C5">
      <w:pPr>
        <w:pStyle w:val="Normal3"/>
      </w:pPr>
      <w:r w:rsidRPr="29589E8D">
        <w:rPr>
          <w:b/>
          <w:bCs/>
        </w:rPr>
        <w:t>Option 3:</w:t>
      </w:r>
      <w:r>
        <w:t xml:space="preserve"> Narrative approach to protecting outstanding natural features and landscapes</w:t>
      </w:r>
    </w:p>
    <w:p w14:paraId="22EF7219" w14:textId="525EAFAE" w:rsidR="00AC3A57" w:rsidRDefault="00AC3A57" w:rsidP="00A247C5">
      <w:pPr>
        <w:pStyle w:val="Normal3"/>
      </w:pPr>
      <w:r w:rsidRPr="29589E8D">
        <w:rPr>
          <w:b/>
          <w:bCs/>
        </w:rPr>
        <w:t>Option 4:</w:t>
      </w:r>
      <w:r>
        <w:t xml:space="preserve"> PORPS 2021 (clause 3 version)</w:t>
      </w:r>
    </w:p>
    <w:p w14:paraId="6099C97A" w14:textId="77777777" w:rsidR="00E9552F" w:rsidRDefault="00E9552F" w:rsidP="00DE069C">
      <w:pPr>
        <w:pStyle w:val="Heading4"/>
      </w:pPr>
      <w:r w:rsidRPr="00A76527">
        <w:lastRenderedPageBreak/>
        <w:t>Option</w:t>
      </w:r>
      <w:r>
        <w:t xml:space="preserve"> 1: Status quo</w:t>
      </w:r>
    </w:p>
    <w:p w14:paraId="7902E62C" w14:textId="149A31C6" w:rsidR="00EB4D49" w:rsidRDefault="00EB4D49" w:rsidP="00A247C5">
      <w:pPr>
        <w:pStyle w:val="Normal2"/>
      </w:pPr>
      <w:r>
        <w:t xml:space="preserve">The status quo and associated issues are outlined in section </w:t>
      </w:r>
      <w:r>
        <w:fldChar w:fldCharType="begin"/>
      </w:r>
      <w:r>
        <w:instrText xml:space="preserve"> REF _Ref46326628 \r \h </w:instrText>
      </w:r>
      <w:r>
        <w:fldChar w:fldCharType="separate"/>
      </w:r>
      <w:r w:rsidR="002A7A16">
        <w:t>5.12.2</w:t>
      </w:r>
      <w:r>
        <w:fldChar w:fldCharType="end"/>
      </w:r>
      <w:r>
        <w:t xml:space="preserve">. As </w:t>
      </w:r>
      <w:r w:rsidR="00CE3E05">
        <w:t>set out</w:t>
      </w:r>
      <w:r>
        <w:t xml:space="preserve"> in that section, the status quo </w:t>
      </w:r>
      <w:proofErr w:type="gramStart"/>
      <w:r>
        <w:t xml:space="preserve">is </w:t>
      </w:r>
      <w:r w:rsidR="00A659B1">
        <w:t>considered to be</w:t>
      </w:r>
      <w:proofErr w:type="gramEnd"/>
      <w:r w:rsidR="00A659B1">
        <w:t xml:space="preserve"> </w:t>
      </w:r>
      <w:r w:rsidR="0071687C">
        <w:t>generally appropriate</w:t>
      </w:r>
      <w:r w:rsidR="00A659B1">
        <w:t xml:space="preserve">, however there are </w:t>
      </w:r>
      <w:r w:rsidR="0071687C">
        <w:t xml:space="preserve">areas where </w:t>
      </w:r>
      <w:r w:rsidR="002E7602">
        <w:t>amendments</w:t>
      </w:r>
      <w:r w:rsidR="0071687C">
        <w:t xml:space="preserve"> could be made to improve the effectiveness and efficiency of the management approach.</w:t>
      </w:r>
      <w:r w:rsidR="00D4674C">
        <w:t xml:space="preserve"> There are also some structural changes required </w:t>
      </w:r>
      <w:proofErr w:type="gramStart"/>
      <w:r w:rsidR="00D4674C">
        <w:t>as a result of</w:t>
      </w:r>
      <w:proofErr w:type="gramEnd"/>
      <w:r w:rsidR="00D4674C">
        <w:t xml:space="preserve"> the Planning Standards.</w:t>
      </w:r>
    </w:p>
    <w:p w14:paraId="6EA33547" w14:textId="579CD2CF" w:rsidR="00E9552F" w:rsidRDefault="00E9552F" w:rsidP="00DE069C">
      <w:pPr>
        <w:pStyle w:val="Heading4"/>
      </w:pPr>
      <w:r>
        <w:t xml:space="preserve">Option 2: </w:t>
      </w:r>
      <w:r w:rsidR="00E81F7F">
        <w:t>PORPS 2021</w:t>
      </w:r>
      <w:r w:rsidR="00CF7910">
        <w:t xml:space="preserve"> – </w:t>
      </w:r>
      <w:r w:rsidR="00CF7910">
        <w:rPr>
          <w:i/>
          <w:iCs/>
        </w:rPr>
        <w:t xml:space="preserve">preferred </w:t>
      </w:r>
    </w:p>
    <w:p w14:paraId="3592F788" w14:textId="3AFF153F" w:rsidR="00940788" w:rsidRDefault="00FE35B5" w:rsidP="00A247C5">
      <w:pPr>
        <w:pStyle w:val="Normal2"/>
      </w:pPr>
      <w:r>
        <w:t>There are two main components to this option: identification and management.</w:t>
      </w:r>
      <w:r w:rsidR="00B16DAA">
        <w:t xml:space="preserve"> </w:t>
      </w:r>
      <w:r w:rsidR="00940788">
        <w:t xml:space="preserve">In terms of </w:t>
      </w:r>
      <w:r w:rsidR="00D4674C">
        <w:t>identification,</w:t>
      </w:r>
      <w:r w:rsidR="00940788">
        <w:t xml:space="preserve"> this option retains the attributes currently used in the PORPS 201</w:t>
      </w:r>
      <w:r w:rsidR="0034136D">
        <w:t>9</w:t>
      </w:r>
      <w:r w:rsidR="00940788">
        <w:t xml:space="preserve"> for the identification process as they are considered to be consistent with the best practice guidance prepared by the New Zealand Institute of Landscape Architects</w:t>
      </w:r>
      <w:r w:rsidR="007E277A">
        <w:t xml:space="preserve"> </w:t>
      </w:r>
      <w:sdt>
        <w:sdtPr>
          <w:id w:val="-675799765"/>
          <w:placeholder>
            <w:docPart w:val="DefaultPlaceholder_1081868574"/>
          </w:placeholder>
          <w:citation/>
        </w:sdtPr>
        <w:sdtContent>
          <w:r w:rsidR="00A73BBD">
            <w:fldChar w:fldCharType="begin"/>
          </w:r>
          <w:r w:rsidR="00A73BBD">
            <w:instrText xml:space="preserve"> CITATION New10 \l 5129 </w:instrText>
          </w:r>
          <w:r w:rsidR="00A73BBD">
            <w:fldChar w:fldCharType="separate"/>
          </w:r>
          <w:r w:rsidR="00246D02">
            <w:rPr>
              <w:noProof/>
            </w:rPr>
            <w:t>(New Zealand Institute of Landscape Architects, 2010)</w:t>
          </w:r>
          <w:r w:rsidR="00A73BBD">
            <w:fldChar w:fldCharType="end"/>
          </w:r>
        </w:sdtContent>
      </w:sdt>
      <w:r w:rsidR="00940788">
        <w:t xml:space="preserve"> that have been endorsed through Environment Court decisions.</w:t>
      </w:r>
      <w:r w:rsidR="00940788">
        <w:rPr>
          <w:rStyle w:val="FootnoteReference"/>
        </w:rPr>
        <w:footnoteReference w:id="43"/>
      </w:r>
      <w:r w:rsidR="00940788">
        <w:t xml:space="preserve"> </w:t>
      </w:r>
    </w:p>
    <w:p w14:paraId="72403AEA" w14:textId="3AE3E860" w:rsidR="00200B4F" w:rsidRDefault="003A68A5" w:rsidP="00A247C5">
      <w:pPr>
        <w:pStyle w:val="Normal2"/>
      </w:pPr>
      <w:r>
        <w:t>The identification provisions in the PORPS 201</w:t>
      </w:r>
      <w:r w:rsidR="0034136D">
        <w:t>9</w:t>
      </w:r>
      <w:r>
        <w:t xml:space="preserve"> were debated during mediation on appeals</w:t>
      </w:r>
      <w:r w:rsidR="003C0208">
        <w:t xml:space="preserve">, </w:t>
      </w:r>
      <w:r w:rsidR="002E0DC5">
        <w:t>and the agreements reached have been incorporated into Policy NFL</w:t>
      </w:r>
      <w:r w:rsidR="008E0E91">
        <w:t>–</w:t>
      </w:r>
      <w:r w:rsidR="002E0DC5">
        <w:t xml:space="preserve">P1 by specifying that </w:t>
      </w:r>
      <w:r w:rsidR="0019456D">
        <w:t xml:space="preserve">it is </w:t>
      </w:r>
      <w:r w:rsidR="00671255">
        <w:t xml:space="preserve">both </w:t>
      </w:r>
      <w:r w:rsidR="0019456D">
        <w:t>the areas and values that are to be identified.</w:t>
      </w:r>
      <w:r w:rsidR="00E11BC6">
        <w:t xml:space="preserve"> </w:t>
      </w:r>
      <w:r w:rsidR="00B878A1">
        <w:t xml:space="preserve">Anecdotally, there are large parts of the Otago region that may be considered outstanding or highly valued. </w:t>
      </w:r>
      <w:r w:rsidR="0001432D">
        <w:t>Method NFL</w:t>
      </w:r>
      <w:r w:rsidR="00E07C8C">
        <w:t>–</w:t>
      </w:r>
      <w:r w:rsidR="0001432D">
        <w:t xml:space="preserve">M1 </w:t>
      </w:r>
      <w:r w:rsidR="001E3A27">
        <w:t>sets out the responsibilities of the different councils in the identification process and</w:t>
      </w:r>
      <w:r w:rsidR="000C77B3">
        <w:t xml:space="preserve"> requires prioritising investigations in particular areas</w:t>
      </w:r>
      <w:r w:rsidR="00697E8C">
        <w:t xml:space="preserve"> that </w:t>
      </w:r>
      <w:proofErr w:type="gramStart"/>
      <w:r w:rsidR="00697E8C">
        <w:t>are considered to be</w:t>
      </w:r>
      <w:proofErr w:type="gramEnd"/>
      <w:r w:rsidR="00697E8C">
        <w:t xml:space="preserve"> likely to have high value. </w:t>
      </w:r>
    </w:p>
    <w:p w14:paraId="39A5EB2B" w14:textId="57F77C77" w:rsidR="000C6DAB" w:rsidRDefault="001E5A40" w:rsidP="00A247C5">
      <w:pPr>
        <w:pStyle w:val="Normal2"/>
      </w:pPr>
      <w:r>
        <w:t xml:space="preserve">The </w:t>
      </w:r>
      <w:r w:rsidR="009A0B3F">
        <w:t>PORPS 201</w:t>
      </w:r>
      <w:r w:rsidR="0034136D">
        <w:t>9</w:t>
      </w:r>
      <w:r w:rsidR="009A0B3F">
        <w:t xml:space="preserve"> sought to manage particular effects on the values of outstanding and highly valued natural features</w:t>
      </w:r>
      <w:r w:rsidR="000D365A">
        <w:t xml:space="preserve">, </w:t>
      </w:r>
      <w:r w:rsidR="009A0B3F">
        <w:t xml:space="preserve">landscapes </w:t>
      </w:r>
      <w:r w:rsidR="000D365A">
        <w:t xml:space="preserve">and seascapes </w:t>
      </w:r>
      <w:r w:rsidR="009A0B3F">
        <w:t>in different ways, however there was criticism of this approach through appeals as it was seen to encourage ‘piecemeal’ management by attempting to manage components (</w:t>
      </w:r>
      <w:proofErr w:type="gramStart"/>
      <w:r w:rsidR="009A0B3F">
        <w:t>i.e.</w:t>
      </w:r>
      <w:proofErr w:type="gramEnd"/>
      <w:r w:rsidR="009A0B3F">
        <w:t xml:space="preserve"> values) separately from one another, rather than the feature</w:t>
      </w:r>
      <w:r w:rsidR="003B026A">
        <w:t xml:space="preserve">, </w:t>
      </w:r>
      <w:r w:rsidR="009A0B3F">
        <w:t xml:space="preserve">landscape </w:t>
      </w:r>
      <w:r w:rsidR="003B026A">
        <w:t xml:space="preserve">or seascape </w:t>
      </w:r>
      <w:r w:rsidR="009A0B3F">
        <w:t xml:space="preserve">as a whole. </w:t>
      </w:r>
      <w:r w:rsidR="004372EC">
        <w:t xml:space="preserve">Feedback from the community during consultation on the </w:t>
      </w:r>
      <w:r w:rsidR="00E81F7F">
        <w:t>PORPS 2021</w:t>
      </w:r>
      <w:r w:rsidR="004372EC">
        <w:t xml:space="preserve"> demonstrated strong support for better protection of Otago’s natural features and landscapes. </w:t>
      </w:r>
    </w:p>
    <w:p w14:paraId="11B01DEE" w14:textId="24F25757" w:rsidR="008D485E" w:rsidRDefault="007642F1" w:rsidP="00A247C5">
      <w:pPr>
        <w:pStyle w:val="Normal2"/>
      </w:pPr>
      <w:r>
        <w:t xml:space="preserve">In terms of management, this option </w:t>
      </w:r>
      <w:r w:rsidR="006809D7">
        <w:t xml:space="preserve">is not dissimilar to the PORPS 2019 framework </w:t>
      </w:r>
      <w:r w:rsidR="0007393E">
        <w:t xml:space="preserve">as it retains the separation between outstanding and highly valued natural features, landscapes and sets out direction on the types of affects that are allowable or not. </w:t>
      </w:r>
      <w:proofErr w:type="gramStart"/>
      <w:r w:rsidR="0007393E">
        <w:t>H</w:t>
      </w:r>
      <w:r w:rsidR="006809D7">
        <w:t>owever</w:t>
      </w:r>
      <w:proofErr w:type="gramEnd"/>
      <w:r w:rsidR="006809D7">
        <w:t xml:space="preserve"> there are some key difference</w:t>
      </w:r>
      <w:r w:rsidR="0007393E">
        <w:t>s</w:t>
      </w:r>
      <w:r w:rsidR="008D485E">
        <w:t>:</w:t>
      </w:r>
    </w:p>
    <w:p w14:paraId="01F27E4D" w14:textId="62DD5208" w:rsidR="00863625" w:rsidRPr="00A73BBD" w:rsidRDefault="00B33ADF" w:rsidP="00A247C5">
      <w:pPr>
        <w:pStyle w:val="Normal3"/>
      </w:pPr>
      <w:r>
        <w:t xml:space="preserve">Protection </w:t>
      </w:r>
      <w:r w:rsidR="004F3D7C">
        <w:t xml:space="preserve">for all outstanding natural </w:t>
      </w:r>
      <w:proofErr w:type="gramStart"/>
      <w:r w:rsidR="004F3D7C">
        <w:t xml:space="preserve">features </w:t>
      </w:r>
      <w:r w:rsidR="00263BB7">
        <w:t xml:space="preserve"> and</w:t>
      </w:r>
      <w:proofErr w:type="gramEnd"/>
      <w:r w:rsidR="004F3D7C">
        <w:t xml:space="preserve"> landscapes </w:t>
      </w:r>
      <w:r>
        <w:t>is to be achieved by avoiding adverse effects on the values of the feature</w:t>
      </w:r>
      <w:r w:rsidR="00631B86">
        <w:t xml:space="preserve"> </w:t>
      </w:r>
      <w:r w:rsidR="000B71E5">
        <w:t>or</w:t>
      </w:r>
      <w:r w:rsidR="00631B86">
        <w:t xml:space="preserve"> </w:t>
      </w:r>
      <w:r>
        <w:t xml:space="preserve"> landscape that contribute to it being considered outstanding</w:t>
      </w:r>
      <w:r w:rsidR="0007393E">
        <w:t xml:space="preserve"> and avoiding, remedying or mitigating other adverse effects</w:t>
      </w:r>
      <w:r w:rsidR="00165C74">
        <w:t xml:space="preserve"> (NFL</w:t>
      </w:r>
      <w:r w:rsidR="00355EF4">
        <w:t>–</w:t>
      </w:r>
      <w:r w:rsidR="00165C74">
        <w:t>P2),</w:t>
      </w:r>
      <w:r w:rsidR="007766D7">
        <w:t xml:space="preserve"> and</w:t>
      </w:r>
    </w:p>
    <w:p w14:paraId="61BA9F9F" w14:textId="0EF728DC" w:rsidR="002430F7" w:rsidRDefault="00BB4D8F" w:rsidP="00A247C5">
      <w:pPr>
        <w:pStyle w:val="Normal3"/>
      </w:pPr>
      <w:r>
        <w:t>Introducing new</w:t>
      </w:r>
      <w:r w:rsidR="00781D5A">
        <w:t xml:space="preserve"> requirements for managing wilding conifers</w:t>
      </w:r>
      <w:r w:rsidR="000139B7">
        <w:t xml:space="preserve">, recognising </w:t>
      </w:r>
      <w:r w:rsidR="00F051C0">
        <w:t>the significant issue these pest plants pose for Otago’s natural features and landscapes</w:t>
      </w:r>
      <w:r w:rsidR="00781D5A">
        <w:t xml:space="preserve"> (NFL</w:t>
      </w:r>
      <w:r w:rsidR="00355EF4">
        <w:t>–</w:t>
      </w:r>
      <w:r w:rsidR="00781D5A">
        <w:t>P</w:t>
      </w:r>
      <w:r w:rsidR="007766D7">
        <w:t>5</w:t>
      </w:r>
      <w:r w:rsidR="00781D5A">
        <w:t>).</w:t>
      </w:r>
    </w:p>
    <w:p w14:paraId="729FBAF7" w14:textId="46FB8BE1" w:rsidR="00FA465A" w:rsidRDefault="00FA465A" w:rsidP="00A247C5">
      <w:pPr>
        <w:pStyle w:val="Normal2"/>
      </w:pPr>
      <w:r>
        <w:t>Method NFL</w:t>
      </w:r>
      <w:r w:rsidR="00D21ED8">
        <w:t>–</w:t>
      </w:r>
      <w:r>
        <w:t>M1</w:t>
      </w:r>
      <w:r w:rsidR="00B04C5C">
        <w:t xml:space="preserve"> sets out how </w:t>
      </w:r>
      <w:r w:rsidR="00C66A4C">
        <w:t xml:space="preserve">the identification process will occur in detail. </w:t>
      </w:r>
      <w:r w:rsidR="0023650F">
        <w:t>In particular, Method NFL</w:t>
      </w:r>
      <w:r w:rsidR="00D21ED8">
        <w:t>–</w:t>
      </w:r>
      <w:r w:rsidR="0023650F">
        <w:t>M1(1) clarifies which plans are to include the ident</w:t>
      </w:r>
      <w:r w:rsidR="00E75535">
        <w:t xml:space="preserve">ified areas and values and (3) requires prioritising identification in areas </w:t>
      </w:r>
      <w:r w:rsidR="00133272">
        <w:t xml:space="preserve">where there is existing information to suggest that they are likely to be either outstanding or highly </w:t>
      </w:r>
      <w:proofErr w:type="gramStart"/>
      <w:r w:rsidR="00133272">
        <w:t xml:space="preserve">valued, </w:t>
      </w:r>
      <w:r w:rsidR="00C35887">
        <w:t>and</w:t>
      </w:r>
      <w:proofErr w:type="gramEnd"/>
      <w:r w:rsidR="00C35887">
        <w:t xml:space="preserve"> are likely to face development or growth pressure</w:t>
      </w:r>
      <w:r w:rsidR="00133272">
        <w:t>.</w:t>
      </w:r>
    </w:p>
    <w:p w14:paraId="3F5CAD05" w14:textId="7C3F9527" w:rsidR="00200B4F" w:rsidRDefault="00F55061" w:rsidP="00A247C5">
      <w:pPr>
        <w:pStyle w:val="Normal2"/>
      </w:pPr>
      <w:r>
        <w:lastRenderedPageBreak/>
        <w:t>Methods NFL</w:t>
      </w:r>
      <w:r w:rsidR="00D21ED8">
        <w:t>–</w:t>
      </w:r>
      <w:r>
        <w:t>M2 and NFL</w:t>
      </w:r>
      <w:r w:rsidR="00D21ED8">
        <w:t>–</w:t>
      </w:r>
      <w:r>
        <w:t xml:space="preserve">M3 specify the provisions required in regional and district plans </w:t>
      </w:r>
      <w:proofErr w:type="gramStart"/>
      <w:r>
        <w:t>in order to</w:t>
      </w:r>
      <w:proofErr w:type="gramEnd"/>
      <w:r>
        <w:t xml:space="preserve"> implement </w:t>
      </w:r>
      <w:r w:rsidR="0001667A">
        <w:t>the policies</w:t>
      </w:r>
      <w:r w:rsidR="000E4A09">
        <w:t xml:space="preserve">. </w:t>
      </w:r>
      <w:r w:rsidR="00B44CB0">
        <w:t>Method NLF</w:t>
      </w:r>
      <w:r w:rsidR="00D21ED8">
        <w:t>–</w:t>
      </w:r>
      <w:r w:rsidR="00B44CB0">
        <w:t>M</w:t>
      </w:r>
      <w:r w:rsidR="00B964FD">
        <w:t>4</w:t>
      </w:r>
      <w:r w:rsidR="00B44CB0">
        <w:t xml:space="preserve"> outlines additional </w:t>
      </w:r>
      <w:r w:rsidR="006E6B10">
        <w:t>mechanisms or incentives that would support the implementation of the policies and achievement of the objectives.</w:t>
      </w:r>
    </w:p>
    <w:p w14:paraId="3794B9C6" w14:textId="5113762C" w:rsidR="00180AB2" w:rsidRDefault="00180AB2" w:rsidP="000B61EC">
      <w:pPr>
        <w:pStyle w:val="Heading5"/>
      </w:pPr>
      <w:r>
        <w:t>Option 3:</w:t>
      </w:r>
      <w:r w:rsidR="003D1D56">
        <w:t xml:space="preserve"> Narrative approach to protecting outstanding natural features and landscapes</w:t>
      </w:r>
    </w:p>
    <w:p w14:paraId="045E8BED" w14:textId="426FF1DC" w:rsidR="007D0B01" w:rsidRDefault="00797BC1" w:rsidP="00A247C5">
      <w:pPr>
        <w:pStyle w:val="Normal2"/>
      </w:pPr>
      <w:r>
        <w:t xml:space="preserve">This option is a variation on Option 2, which replaces the avoid, </w:t>
      </w:r>
      <w:proofErr w:type="gramStart"/>
      <w:r>
        <w:t>remedy</w:t>
      </w:r>
      <w:proofErr w:type="gramEnd"/>
      <w:r>
        <w:t xml:space="preserve"> or mitigate terminology in NFL</w:t>
      </w:r>
      <w:r w:rsidR="00771DC5">
        <w:t>–</w:t>
      </w:r>
      <w:r>
        <w:t xml:space="preserve">P2 with a requirement to </w:t>
      </w:r>
      <w:r w:rsidR="009800FF">
        <w:t xml:space="preserve">protect natural features and landscapes by </w:t>
      </w:r>
      <w:r>
        <w:t>maintain</w:t>
      </w:r>
      <w:r w:rsidR="009800FF">
        <w:t>ing</w:t>
      </w:r>
      <w:r>
        <w:t xml:space="preserve"> several qualitative attributes</w:t>
      </w:r>
      <w:r w:rsidR="002F401D">
        <w:t>, being:</w:t>
      </w:r>
    </w:p>
    <w:p w14:paraId="04A898D7" w14:textId="5B9E4C07" w:rsidR="007D0B01" w:rsidRDefault="007D0B01" w:rsidP="00A247C5">
      <w:pPr>
        <w:pStyle w:val="Normal3"/>
      </w:pPr>
      <w:r>
        <w:t xml:space="preserve">Visual coherence and integrity or the feature or landscape, </w:t>
      </w:r>
    </w:p>
    <w:p w14:paraId="52FC2B13" w14:textId="62D790D7" w:rsidR="007D0B01" w:rsidRDefault="007D0B01" w:rsidP="00A247C5">
      <w:pPr>
        <w:pStyle w:val="Normal3"/>
      </w:pPr>
      <w:r>
        <w:t xml:space="preserve">Natural landforms, natural processes and vegetation areas and patterns, </w:t>
      </w:r>
    </w:p>
    <w:p w14:paraId="2F0D4FDF" w14:textId="77777777" w:rsidR="007D0B01" w:rsidRDefault="007D0B01" w:rsidP="00A247C5">
      <w:pPr>
        <w:pStyle w:val="Normal3"/>
      </w:pPr>
      <w:r>
        <w:t>Visual or physical qualities that make the feature or landscape iconic or rare, and</w:t>
      </w:r>
    </w:p>
    <w:p w14:paraId="2CBDDAEE" w14:textId="77777777" w:rsidR="007D0B01" w:rsidRDefault="007D0B01" w:rsidP="00A247C5">
      <w:pPr>
        <w:pStyle w:val="Normal3"/>
      </w:pPr>
      <w:r>
        <w:t>Integrity or sites of significance that contribute to values of cultural landscape</w:t>
      </w:r>
    </w:p>
    <w:p w14:paraId="084B9E58" w14:textId="3CB0370E" w:rsidR="003D1D56" w:rsidRDefault="007B4EF6" w:rsidP="00A247C5">
      <w:pPr>
        <w:pStyle w:val="Normal2"/>
      </w:pPr>
      <w:r>
        <w:t>The qualit</w:t>
      </w:r>
      <w:r w:rsidR="005C1E77">
        <w:t xml:space="preserve">ative </w:t>
      </w:r>
      <w:r w:rsidR="00BB5EBC">
        <w:t>attributes are likely to prove</w:t>
      </w:r>
      <w:r w:rsidR="001677E0">
        <w:t xml:space="preserve"> difficult </w:t>
      </w:r>
      <w:r w:rsidR="00417EC7">
        <w:t>in</w:t>
      </w:r>
      <w:r w:rsidR="00FB0C28">
        <w:t xml:space="preserve"> terms of implementation, </w:t>
      </w:r>
      <w:r w:rsidR="00022231">
        <w:t xml:space="preserve">as </w:t>
      </w:r>
      <w:r w:rsidR="00FB0DA8">
        <w:t xml:space="preserve">an assessment of </w:t>
      </w:r>
      <w:r w:rsidR="00022231">
        <w:t xml:space="preserve">whether </w:t>
      </w:r>
      <w:r w:rsidR="00FB0DA8">
        <w:t>the attributes are</w:t>
      </w:r>
      <w:r w:rsidR="00022231">
        <w:t xml:space="preserve"> </w:t>
      </w:r>
      <w:r w:rsidR="00BE0829">
        <w:t>maintained is likely to be very subjective, particu</w:t>
      </w:r>
      <w:r w:rsidR="00326799">
        <w:t>larly when compared</w:t>
      </w:r>
      <w:r>
        <w:t xml:space="preserve"> to the avoid, </w:t>
      </w:r>
      <w:proofErr w:type="gramStart"/>
      <w:r>
        <w:t>remedy</w:t>
      </w:r>
      <w:proofErr w:type="gramEnd"/>
      <w:r w:rsidR="00326799">
        <w:t xml:space="preserve"> or</w:t>
      </w:r>
      <w:r>
        <w:t xml:space="preserve"> mitigate pathway</w:t>
      </w:r>
      <w:r w:rsidR="00326799">
        <w:t>.</w:t>
      </w:r>
      <w:r w:rsidR="00303B2B">
        <w:t xml:space="preserve"> </w:t>
      </w:r>
      <w:r w:rsidR="00FD4FE3">
        <w:t>Given the uncertainty in implementation</w:t>
      </w:r>
      <w:r w:rsidR="00860D11">
        <w:t xml:space="preserve">, this is approach is unlikely to be effective or result in efficient outcomes. </w:t>
      </w:r>
    </w:p>
    <w:p w14:paraId="2EC2E99B" w14:textId="4EC4311A" w:rsidR="00566561" w:rsidRDefault="00566561" w:rsidP="000B61EC">
      <w:pPr>
        <w:pStyle w:val="Heading5"/>
      </w:pPr>
      <w:r>
        <w:t xml:space="preserve">Option 4: </w:t>
      </w:r>
      <w:r w:rsidR="009E4E04">
        <w:t xml:space="preserve">PORPS 2021 </w:t>
      </w:r>
      <w:r w:rsidR="009E4E04" w:rsidRPr="00E85502">
        <w:t>(clause 3 version)</w:t>
      </w:r>
    </w:p>
    <w:p w14:paraId="782981B6" w14:textId="77777777" w:rsidR="00771DC5" w:rsidRDefault="009E4E04" w:rsidP="00A247C5">
      <w:pPr>
        <w:pStyle w:val="Normal2"/>
      </w:pPr>
      <w:r>
        <w:t xml:space="preserve">Within the version of the PORPS 2021 prepared for clause 3 consultation, the management of natural features, landscapes and seascapes </w:t>
      </w:r>
      <w:r w:rsidR="005C18F4">
        <w:t xml:space="preserve">in the coastal environment </w:t>
      </w:r>
      <w:r>
        <w:t xml:space="preserve">were included in the scope of the </w:t>
      </w:r>
      <w:r w:rsidR="00771DC5">
        <w:rPr>
          <w:i/>
          <w:iCs/>
        </w:rPr>
        <w:t xml:space="preserve">NFL – Natural features and landscapes </w:t>
      </w:r>
      <w:r>
        <w:t xml:space="preserve">chapter. Some </w:t>
      </w:r>
      <w:proofErr w:type="gramStart"/>
      <w:r>
        <w:t>clause</w:t>
      </w:r>
      <w:proofErr w:type="gramEnd"/>
      <w:r>
        <w:t xml:space="preserve"> 3 feedback raised concerns with separating coastal landscape provisions from the </w:t>
      </w:r>
      <w:r w:rsidRPr="00771DC5">
        <w:rPr>
          <w:i/>
          <w:iCs/>
        </w:rPr>
        <w:t>CE – Coastal environment</w:t>
      </w:r>
      <w:r>
        <w:t xml:space="preserve"> chapter. There was also uncertainty about whether that approach was compliant with the directions in standard 2 of the National Planning Standards which directs all coastal environment-related provisions to be included in the </w:t>
      </w:r>
      <w:r w:rsidRPr="00771DC5">
        <w:rPr>
          <w:i/>
          <w:iCs/>
        </w:rPr>
        <w:t>CE – Coastal environment</w:t>
      </w:r>
      <w:r>
        <w:t xml:space="preserve"> chapter. </w:t>
      </w:r>
    </w:p>
    <w:p w14:paraId="03A36769" w14:textId="52624D67" w:rsidR="00566561" w:rsidRDefault="009E4E04" w:rsidP="00A247C5">
      <w:pPr>
        <w:pStyle w:val="Normal2"/>
      </w:pPr>
      <w:r>
        <w:t xml:space="preserve">It was also noted that the NZCPS provides specific direction on the management </w:t>
      </w:r>
      <w:r w:rsidR="00601EB0">
        <w:t xml:space="preserve">of </w:t>
      </w:r>
      <w:r>
        <w:t>natural features, landscapes and seascapes</w:t>
      </w:r>
      <w:r w:rsidR="00BC5592">
        <w:t>, and biodiversity,</w:t>
      </w:r>
      <w:r>
        <w:t xml:space="preserve"> within the coastal environment</w:t>
      </w:r>
      <w:r w:rsidR="00601EB0">
        <w:t xml:space="preserve">. Including </w:t>
      </w:r>
      <w:r w:rsidR="00BC5592">
        <w:t xml:space="preserve">these in the </w:t>
      </w:r>
      <w:r w:rsidR="00BC5592" w:rsidRPr="00BC5592">
        <w:rPr>
          <w:i/>
          <w:iCs/>
        </w:rPr>
        <w:t>CE – Coastal environment</w:t>
      </w:r>
      <w:r w:rsidR="00BC5592">
        <w:t xml:space="preserve"> chapter therefore made the provisions</w:t>
      </w:r>
      <w:r>
        <w:t xml:space="preserve"> easier to </w:t>
      </w:r>
      <w:r w:rsidR="00BC5592">
        <w:t xml:space="preserve">find and </w:t>
      </w:r>
      <w:r>
        <w:t>understand. For the</w:t>
      </w:r>
      <w:r w:rsidR="00AC3A57">
        <w:t>se</w:t>
      </w:r>
      <w:r>
        <w:t xml:space="preserve"> reasons, this option was not progressed. </w:t>
      </w:r>
    </w:p>
    <w:p w14:paraId="19AFECC4" w14:textId="77777777" w:rsidR="00813568" w:rsidRDefault="00813568" w:rsidP="0082271A">
      <w:pPr>
        <w:pStyle w:val="Heading3"/>
      </w:pPr>
      <w:r>
        <w:t>Consultation summary</w:t>
      </w:r>
    </w:p>
    <w:p w14:paraId="0D1ADEDE" w14:textId="511FBBEA" w:rsidR="00813568" w:rsidRPr="00EB6696" w:rsidRDefault="00813568" w:rsidP="00DE069C">
      <w:pPr>
        <w:pStyle w:val="Heading4"/>
      </w:pPr>
      <w:r w:rsidRPr="00D75814">
        <w:t>Clause 3</w:t>
      </w:r>
      <w:r w:rsidR="00EB6696">
        <w:t xml:space="preserve"> consultation</w:t>
      </w:r>
    </w:p>
    <w:p w14:paraId="4420B34B" w14:textId="56933B0C" w:rsidR="003B0041" w:rsidRDefault="003B0041" w:rsidP="00A247C5">
      <w:pPr>
        <w:pStyle w:val="Normal2"/>
      </w:pPr>
      <w:r>
        <w:t xml:space="preserve">A summary of the process for consultation under clause 3 of Schedule 1 of the RMA, including the full list of parties involved, is provided in section </w:t>
      </w:r>
      <w:r>
        <w:fldChar w:fldCharType="begin"/>
      </w:r>
      <w:r>
        <w:instrText xml:space="preserve"> REF _Ref68867783 \r \h </w:instrText>
      </w:r>
      <w:r>
        <w:fldChar w:fldCharType="separate"/>
      </w:r>
      <w:r w:rsidR="002A7A16">
        <w:t>2.5.1</w:t>
      </w:r>
      <w:r>
        <w:fldChar w:fldCharType="end"/>
      </w:r>
      <w:r>
        <w:t xml:space="preserve"> of this report. </w:t>
      </w:r>
      <w:r w:rsidR="005B7599">
        <w:t>Seven</w:t>
      </w:r>
      <w:r>
        <w:t xml:space="preserve"> parties provided feedback on the </w:t>
      </w:r>
      <w:r w:rsidR="005B7599">
        <w:t>NFL</w:t>
      </w:r>
      <w:r>
        <w:t xml:space="preserve"> chapter through clause 3 consultation. The feedback </w:t>
      </w:r>
      <w:r w:rsidR="00A56D59">
        <w:t xml:space="preserve">was largely </w:t>
      </w:r>
      <w:r w:rsidR="00A07F2A">
        <w:t>related to m</w:t>
      </w:r>
      <w:r>
        <w:t>inor corrections to provisions. These minor changes related to providing greater acknowledgment of cross-boundary issues,</w:t>
      </w:r>
      <w:r w:rsidR="00E81E6D">
        <w:t xml:space="preserve"> seeking </w:t>
      </w:r>
      <w:r w:rsidR="007115CA">
        <w:t xml:space="preserve">a </w:t>
      </w:r>
      <w:r w:rsidR="00E81E6D">
        <w:t xml:space="preserve">greater </w:t>
      </w:r>
      <w:r w:rsidR="007115CA">
        <w:t xml:space="preserve">understanding </w:t>
      </w:r>
      <w:r w:rsidR="00E81E6D">
        <w:t xml:space="preserve">of how the policy direction </w:t>
      </w:r>
      <w:r w:rsidR="007115CA">
        <w:t xml:space="preserve">will be implemented, and understanding how the policy direction </w:t>
      </w:r>
      <w:r w:rsidR="00FF7936">
        <w:t xml:space="preserve">relates to other parts of the Plan, such as the </w:t>
      </w:r>
      <w:r w:rsidR="005277F7">
        <w:t xml:space="preserve">Energy, </w:t>
      </w:r>
      <w:proofErr w:type="gramStart"/>
      <w:r w:rsidR="005277F7">
        <w:t>infrastructure</w:t>
      </w:r>
      <w:proofErr w:type="gramEnd"/>
      <w:r w:rsidR="005277F7">
        <w:t xml:space="preserve"> and transport chapter. </w:t>
      </w:r>
    </w:p>
    <w:p w14:paraId="02C986D3" w14:textId="1BC94052" w:rsidR="0013689C" w:rsidRDefault="00BC12BC" w:rsidP="00A247C5">
      <w:pPr>
        <w:pStyle w:val="Normal2"/>
      </w:pPr>
      <w:r>
        <w:t xml:space="preserve">As noted in the description of </w:t>
      </w:r>
      <w:r w:rsidR="00A05772">
        <w:t xml:space="preserve">Option 4 above, within the version of the PORPS 2021 prepared for clause 3 consultation, the management of natural features, landscapes and seascapes in the coastal environment were included in the scope of the </w:t>
      </w:r>
      <w:r w:rsidR="00785E30">
        <w:t xml:space="preserve">NFL chapter. However, </w:t>
      </w:r>
      <w:r w:rsidR="00264705">
        <w:t xml:space="preserve">feedback from the Department of Conservation </w:t>
      </w:r>
      <w:r w:rsidR="00EA40E5">
        <w:t xml:space="preserve">led to the management of </w:t>
      </w:r>
      <w:r w:rsidR="00293957">
        <w:t xml:space="preserve">features, landscapes and </w:t>
      </w:r>
      <w:r w:rsidR="00293957">
        <w:lastRenderedPageBreak/>
        <w:t xml:space="preserve">seascapes </w:t>
      </w:r>
      <w:r w:rsidR="00EA40E5">
        <w:t xml:space="preserve">within the coastal environment being moved to the </w:t>
      </w:r>
      <w:r w:rsidR="00BE03EF">
        <w:t>CE chapter</w:t>
      </w:r>
      <w:r w:rsidR="00293957">
        <w:t>,</w:t>
      </w:r>
      <w:r w:rsidR="00BE03EF">
        <w:t xml:space="preserve"> as the direction with the NZCPS </w:t>
      </w:r>
      <w:r w:rsidR="00D914D3">
        <w:t xml:space="preserve">is specific to </w:t>
      </w:r>
      <w:r w:rsidR="00293957">
        <w:t xml:space="preserve">features, </w:t>
      </w:r>
      <w:proofErr w:type="gramStart"/>
      <w:r w:rsidR="00293957">
        <w:t>landscapes</w:t>
      </w:r>
      <w:proofErr w:type="gramEnd"/>
      <w:r w:rsidR="00293957">
        <w:t xml:space="preserve"> and seascapes </w:t>
      </w:r>
      <w:r w:rsidR="00D914D3">
        <w:t xml:space="preserve">in the coastal environment. </w:t>
      </w:r>
    </w:p>
    <w:p w14:paraId="1701E72F" w14:textId="0F3ECBAF" w:rsidR="00EB6696" w:rsidRDefault="00EB6696" w:rsidP="00DE069C">
      <w:pPr>
        <w:pStyle w:val="Heading4"/>
      </w:pPr>
      <w:r>
        <w:t>Clause 4A consultation</w:t>
      </w:r>
    </w:p>
    <w:p w14:paraId="0AB7CBD2" w14:textId="19C94F2E" w:rsidR="00EB6696" w:rsidRPr="00F92B09" w:rsidRDefault="00F92B09" w:rsidP="00A247C5">
      <w:pPr>
        <w:pStyle w:val="Normal2"/>
      </w:pPr>
      <w:r w:rsidRPr="00F92B09">
        <w:t xml:space="preserve">The feedback provided by Iwi on the NFL chapter largely related to </w:t>
      </w:r>
      <w:proofErr w:type="gramStart"/>
      <w:r w:rsidRPr="00F92B09">
        <w:t>a number of</w:t>
      </w:r>
      <w:proofErr w:type="gramEnd"/>
      <w:r w:rsidRPr="00F92B09">
        <w:t xml:space="preserve"> technical drafting suggestions that assisted with the readability and structure of the chapter. These changes</w:t>
      </w:r>
      <w:r w:rsidR="001B1899">
        <w:t xml:space="preserve"> were</w:t>
      </w:r>
      <w:r w:rsidRPr="00F92B09">
        <w:t xml:space="preserve"> incorporated with the NFL chapter. The feedback also suggested that one of the process policies within the chapter lacked clarity and created uncertainty. As a result, this policy was removed from the PORPS 2021. </w:t>
      </w:r>
    </w:p>
    <w:p w14:paraId="5B01CAAA" w14:textId="69953080" w:rsidR="00E9552F" w:rsidRDefault="00E9552F" w:rsidP="0082271A">
      <w:pPr>
        <w:pStyle w:val="Heading3"/>
      </w:pPr>
      <w:r>
        <w:t>Efficiency and effectiveness evaluation</w:t>
      </w:r>
    </w:p>
    <w:p w14:paraId="6EC8B239" w14:textId="1E999890" w:rsidR="00E9552F" w:rsidRDefault="00A73BBD" w:rsidP="00A247C5">
      <w:pPr>
        <w:pStyle w:val="Normal2"/>
      </w:pPr>
      <w:r>
        <w:fldChar w:fldCharType="begin"/>
      </w:r>
      <w:r>
        <w:instrText xml:space="preserve"> REF _Ref48041412 \h </w:instrText>
      </w:r>
      <w:r>
        <w:fldChar w:fldCharType="separate"/>
      </w:r>
      <w:r w:rsidR="002A7A16">
        <w:t xml:space="preserve">Table </w:t>
      </w:r>
      <w:r w:rsidR="002A7A16">
        <w:rPr>
          <w:noProof/>
        </w:rPr>
        <w:t>63</w:t>
      </w:r>
      <w:r>
        <w:fldChar w:fldCharType="end"/>
      </w:r>
      <w:r>
        <w:t xml:space="preserve"> </w:t>
      </w:r>
      <w:r w:rsidR="00E9552F">
        <w:t xml:space="preserve">below identifies and assesses the benefits and costs of the environmental, cultural, </w:t>
      </w:r>
      <w:proofErr w:type="gramStart"/>
      <w:r w:rsidR="00E9552F">
        <w:t>social</w:t>
      </w:r>
      <w:proofErr w:type="gramEnd"/>
      <w:r w:rsidR="00E9552F">
        <w:t xml:space="preserve"> and economic effects that are anticipated from the implementation of the provisions proposed under Option </w:t>
      </w:r>
      <w:r w:rsidR="00750D46">
        <w:t>4</w:t>
      </w:r>
      <w:r w:rsidR="00E9552F">
        <w:t xml:space="preserve"> above.</w:t>
      </w:r>
      <w:r w:rsidR="00B6715C">
        <w:t xml:space="preserve"> </w:t>
      </w:r>
    </w:p>
    <w:p w14:paraId="246A2613" w14:textId="0778BE69" w:rsidR="00E9552F" w:rsidRDefault="00E9552F" w:rsidP="00E9552F">
      <w:pPr>
        <w:pStyle w:val="Caption"/>
        <w:keepNext/>
      </w:pPr>
      <w:bookmarkStart w:id="148" w:name="_Ref48041412"/>
      <w:r>
        <w:t xml:space="preserve">Table </w:t>
      </w:r>
      <w:r>
        <w:fldChar w:fldCharType="begin"/>
      </w:r>
      <w:r>
        <w:instrText>SEQ Table \* ARABIC</w:instrText>
      </w:r>
      <w:r>
        <w:fldChar w:fldCharType="separate"/>
      </w:r>
      <w:r w:rsidR="002A7A16">
        <w:rPr>
          <w:noProof/>
        </w:rPr>
        <w:t>63</w:t>
      </w:r>
      <w:r>
        <w:fldChar w:fldCharType="end"/>
      </w:r>
      <w:bookmarkEnd w:id="148"/>
      <w:r>
        <w:t>:</w:t>
      </w:r>
      <w:r w:rsidRPr="00005F72">
        <w:t xml:space="preserve"> </w:t>
      </w:r>
      <w:r>
        <w:t xml:space="preserve">Benefits and costs for </w:t>
      </w:r>
      <w:r w:rsidR="00424DBB">
        <w:t>natural features and landscapes</w:t>
      </w:r>
    </w:p>
    <w:tbl>
      <w:tblPr>
        <w:tblStyle w:val="ListTable1Light-Accent1"/>
        <w:tblW w:w="0" w:type="auto"/>
        <w:tblLook w:val="04A0" w:firstRow="1" w:lastRow="0" w:firstColumn="1" w:lastColumn="0" w:noHBand="0" w:noVBand="1"/>
      </w:tblPr>
      <w:tblGrid>
        <w:gridCol w:w="4508"/>
        <w:gridCol w:w="4508"/>
      </w:tblGrid>
      <w:tr w:rsidR="00E9552F" w:rsidRPr="00AE42AF" w14:paraId="6EE1ADE4" w14:textId="77777777" w:rsidTr="00424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7437A00" w14:textId="77777777" w:rsidR="00E9552F" w:rsidRPr="00AE42AF" w:rsidRDefault="00E9552F" w:rsidP="00424DBB">
            <w:pPr>
              <w:jc w:val="center"/>
              <w:rPr>
                <w:sz w:val="20"/>
              </w:rPr>
            </w:pPr>
            <w:r w:rsidRPr="00AE42AF">
              <w:rPr>
                <w:sz w:val="20"/>
              </w:rPr>
              <w:t>BENEFITS</w:t>
            </w:r>
          </w:p>
        </w:tc>
        <w:tc>
          <w:tcPr>
            <w:tcW w:w="4508" w:type="dxa"/>
          </w:tcPr>
          <w:p w14:paraId="12AC1656" w14:textId="77777777" w:rsidR="00E9552F" w:rsidRPr="00AE42AF" w:rsidRDefault="00E9552F" w:rsidP="00424DBB">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E9552F" w:rsidRPr="00AE42AF" w14:paraId="397124C2"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2D8FD0F" w14:textId="77777777" w:rsidR="00E9552F" w:rsidRPr="00AE42AF" w:rsidRDefault="00E9552F" w:rsidP="00424DBB">
            <w:pPr>
              <w:jc w:val="center"/>
              <w:rPr>
                <w:sz w:val="20"/>
              </w:rPr>
            </w:pPr>
            <w:r w:rsidRPr="00AE42AF">
              <w:rPr>
                <w:sz w:val="20"/>
              </w:rPr>
              <w:t>Environmental</w:t>
            </w:r>
          </w:p>
        </w:tc>
      </w:tr>
      <w:tr w:rsidR="00E9552F" w:rsidRPr="005F157E" w14:paraId="074A3452"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734C88CA" w14:textId="2CD780AA" w:rsidR="00630493" w:rsidRPr="005F157E" w:rsidRDefault="002B21E6" w:rsidP="00EB6696">
            <w:pPr>
              <w:pStyle w:val="ListParagraph"/>
              <w:numPr>
                <w:ilvl w:val="0"/>
                <w:numId w:val="22"/>
              </w:numPr>
              <w:spacing w:before="60" w:after="60"/>
              <w:ind w:left="357" w:hanging="357"/>
              <w:contextualSpacing w:val="0"/>
              <w:jc w:val="both"/>
              <w:rPr>
                <w:b w:val="0"/>
                <w:bCs w:val="0"/>
                <w:sz w:val="20"/>
                <w:szCs w:val="20"/>
              </w:rPr>
            </w:pPr>
            <w:r w:rsidRPr="005F157E">
              <w:rPr>
                <w:b w:val="0"/>
                <w:bCs w:val="0"/>
                <w:sz w:val="20"/>
                <w:szCs w:val="20"/>
              </w:rPr>
              <w:t>Identification of areas</w:t>
            </w:r>
            <w:r w:rsidR="009E39C5" w:rsidRPr="005F157E">
              <w:rPr>
                <w:b w:val="0"/>
                <w:bCs w:val="0"/>
                <w:sz w:val="20"/>
                <w:szCs w:val="20"/>
              </w:rPr>
              <w:t xml:space="preserve"> (by way of mapping)</w:t>
            </w:r>
            <w:r w:rsidRPr="005F157E">
              <w:rPr>
                <w:b w:val="0"/>
                <w:bCs w:val="0"/>
                <w:sz w:val="20"/>
                <w:szCs w:val="20"/>
              </w:rPr>
              <w:t xml:space="preserve"> and values in regional and district plans will support more effective management</w:t>
            </w:r>
            <w:r w:rsidR="001521D9" w:rsidRPr="005F157E">
              <w:rPr>
                <w:b w:val="0"/>
                <w:bCs w:val="0"/>
                <w:sz w:val="20"/>
                <w:szCs w:val="20"/>
              </w:rPr>
              <w:t xml:space="preserve"> by </w:t>
            </w:r>
            <w:r w:rsidR="00630493" w:rsidRPr="005F157E">
              <w:rPr>
                <w:b w:val="0"/>
                <w:bCs w:val="0"/>
                <w:sz w:val="20"/>
                <w:szCs w:val="20"/>
              </w:rPr>
              <w:t>improving information about natural features and landscapes</w:t>
            </w:r>
            <w:r w:rsidR="00467134" w:rsidRPr="005F157E">
              <w:rPr>
                <w:b w:val="0"/>
                <w:bCs w:val="0"/>
                <w:sz w:val="20"/>
                <w:szCs w:val="20"/>
              </w:rPr>
              <w:t xml:space="preserve"> and clarifying </w:t>
            </w:r>
            <w:r w:rsidR="009F2F11" w:rsidRPr="005F157E">
              <w:rPr>
                <w:b w:val="0"/>
                <w:bCs w:val="0"/>
                <w:sz w:val="20"/>
                <w:szCs w:val="20"/>
              </w:rPr>
              <w:t>what actions are required in different areas.</w:t>
            </w:r>
          </w:p>
          <w:p w14:paraId="65AB6495" w14:textId="77777777" w:rsidR="00E9552F" w:rsidRPr="005F157E" w:rsidRDefault="000879F9" w:rsidP="00EB6696">
            <w:pPr>
              <w:pStyle w:val="ListParagraph"/>
              <w:numPr>
                <w:ilvl w:val="0"/>
                <w:numId w:val="22"/>
              </w:numPr>
              <w:spacing w:before="60" w:after="60"/>
              <w:ind w:left="357" w:hanging="357"/>
              <w:contextualSpacing w:val="0"/>
              <w:jc w:val="both"/>
              <w:rPr>
                <w:b w:val="0"/>
                <w:bCs w:val="0"/>
                <w:sz w:val="20"/>
                <w:szCs w:val="20"/>
              </w:rPr>
            </w:pPr>
            <w:r w:rsidRPr="005F157E">
              <w:rPr>
                <w:b w:val="0"/>
                <w:bCs w:val="0"/>
                <w:sz w:val="20"/>
                <w:szCs w:val="20"/>
              </w:rPr>
              <w:t>Natural features and landscapes will be protected in a holistic way that safeguards their values.</w:t>
            </w:r>
          </w:p>
          <w:p w14:paraId="32DCC614" w14:textId="202D8C53" w:rsidR="00181952" w:rsidRPr="005F157E" w:rsidRDefault="00F10711" w:rsidP="00EB6696">
            <w:pPr>
              <w:pStyle w:val="ListParagraph"/>
              <w:numPr>
                <w:ilvl w:val="0"/>
                <w:numId w:val="22"/>
              </w:numPr>
              <w:spacing w:before="60" w:after="60"/>
              <w:ind w:left="357" w:hanging="357"/>
              <w:contextualSpacing w:val="0"/>
              <w:jc w:val="both"/>
              <w:rPr>
                <w:b w:val="0"/>
                <w:bCs w:val="0"/>
                <w:sz w:val="20"/>
                <w:szCs w:val="20"/>
              </w:rPr>
            </w:pPr>
            <w:r w:rsidRPr="005F157E">
              <w:rPr>
                <w:b w:val="0"/>
                <w:bCs w:val="0"/>
                <w:sz w:val="20"/>
                <w:szCs w:val="20"/>
              </w:rPr>
              <w:t xml:space="preserve">Clear direction to avoid </w:t>
            </w:r>
            <w:proofErr w:type="gramStart"/>
            <w:r w:rsidRPr="005F157E">
              <w:rPr>
                <w:b w:val="0"/>
                <w:bCs w:val="0"/>
                <w:sz w:val="20"/>
                <w:szCs w:val="20"/>
              </w:rPr>
              <w:t>particular types</w:t>
            </w:r>
            <w:proofErr w:type="gramEnd"/>
            <w:r w:rsidRPr="005F157E">
              <w:rPr>
                <w:b w:val="0"/>
                <w:bCs w:val="0"/>
                <w:sz w:val="20"/>
                <w:szCs w:val="20"/>
              </w:rPr>
              <w:t xml:space="preserve"> of adverse effects will protect the values</w:t>
            </w:r>
            <w:r w:rsidR="00076F5D" w:rsidRPr="005F157E">
              <w:rPr>
                <w:b w:val="0"/>
                <w:bCs w:val="0"/>
                <w:sz w:val="20"/>
                <w:szCs w:val="20"/>
              </w:rPr>
              <w:t xml:space="preserve"> that contribute to a natural feature</w:t>
            </w:r>
            <w:r w:rsidR="003E6BA2" w:rsidRPr="005F157E">
              <w:rPr>
                <w:b w:val="0"/>
                <w:bCs w:val="0"/>
                <w:sz w:val="20"/>
                <w:szCs w:val="20"/>
              </w:rPr>
              <w:t xml:space="preserve"> or</w:t>
            </w:r>
            <w:r w:rsidR="00076F5D" w:rsidRPr="005F157E">
              <w:rPr>
                <w:b w:val="0"/>
                <w:bCs w:val="0"/>
                <w:sz w:val="20"/>
                <w:szCs w:val="20"/>
              </w:rPr>
              <w:t xml:space="preserve"> being considered outstanding, including </w:t>
            </w:r>
            <w:r w:rsidR="00407FC3" w:rsidRPr="005F157E">
              <w:rPr>
                <w:b w:val="0"/>
                <w:bCs w:val="0"/>
                <w:sz w:val="20"/>
                <w:szCs w:val="20"/>
              </w:rPr>
              <w:t>physical attributes.</w:t>
            </w:r>
          </w:p>
          <w:p w14:paraId="449BE711" w14:textId="067516B7" w:rsidR="009B54C4" w:rsidRPr="005F157E" w:rsidRDefault="00407FC3" w:rsidP="00EB6696">
            <w:pPr>
              <w:pStyle w:val="ListParagraph"/>
              <w:numPr>
                <w:ilvl w:val="0"/>
                <w:numId w:val="22"/>
              </w:numPr>
              <w:spacing w:before="60" w:after="60"/>
              <w:ind w:left="357" w:hanging="357"/>
              <w:contextualSpacing w:val="0"/>
              <w:jc w:val="both"/>
              <w:rPr>
                <w:b w:val="0"/>
                <w:bCs w:val="0"/>
                <w:sz w:val="20"/>
                <w:szCs w:val="20"/>
              </w:rPr>
            </w:pPr>
            <w:r w:rsidRPr="005F157E">
              <w:rPr>
                <w:b w:val="0"/>
                <w:bCs w:val="0"/>
                <w:sz w:val="20"/>
                <w:szCs w:val="20"/>
              </w:rPr>
              <w:t>Promoting the restoration of highly valued natural features</w:t>
            </w:r>
            <w:r w:rsidR="003E6BA2" w:rsidRPr="005F157E">
              <w:rPr>
                <w:b w:val="0"/>
                <w:bCs w:val="0"/>
                <w:sz w:val="20"/>
                <w:szCs w:val="20"/>
              </w:rPr>
              <w:t xml:space="preserve"> and</w:t>
            </w:r>
            <w:r w:rsidRPr="005F157E">
              <w:rPr>
                <w:b w:val="0"/>
                <w:bCs w:val="0"/>
                <w:sz w:val="20"/>
                <w:szCs w:val="20"/>
              </w:rPr>
              <w:t xml:space="preserve"> landscapes may result in </w:t>
            </w:r>
            <w:r w:rsidR="00FF5692" w:rsidRPr="005F157E">
              <w:rPr>
                <w:b w:val="0"/>
                <w:bCs w:val="0"/>
                <w:sz w:val="20"/>
                <w:szCs w:val="20"/>
              </w:rPr>
              <w:t>environmental enhancement however as this is not mandatory the outcome is uncertain.</w:t>
            </w:r>
          </w:p>
        </w:tc>
        <w:tc>
          <w:tcPr>
            <w:tcW w:w="4508" w:type="dxa"/>
          </w:tcPr>
          <w:p w14:paraId="1983EA29" w14:textId="71B9CB7B" w:rsidR="001A6ED5" w:rsidRPr="005F157E" w:rsidRDefault="00447110" w:rsidP="005F157E">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F157E">
              <w:rPr>
                <w:sz w:val="20"/>
                <w:szCs w:val="20"/>
              </w:rPr>
              <w:t>There are no anticipated environmental costs.</w:t>
            </w:r>
          </w:p>
          <w:p w14:paraId="2BFC40AF" w14:textId="01E5515E" w:rsidR="00081993" w:rsidRPr="005F157E" w:rsidRDefault="00081993" w:rsidP="00EB6696">
            <w:pPr>
              <w:pStyle w:val="ListParagraph"/>
              <w:spacing w:before="60" w:after="60"/>
              <w:ind w:left="357"/>
              <w:contextualSpacing w:val="0"/>
              <w:jc w:val="both"/>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78B5A479"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4C5F0DA" w14:textId="77777777" w:rsidR="00E9552F" w:rsidRPr="00AE42AF" w:rsidRDefault="00E9552F" w:rsidP="00424DBB">
            <w:pPr>
              <w:jc w:val="center"/>
              <w:rPr>
                <w:sz w:val="20"/>
              </w:rPr>
            </w:pPr>
            <w:r>
              <w:rPr>
                <w:sz w:val="20"/>
              </w:rPr>
              <w:t>Cultural</w:t>
            </w:r>
          </w:p>
        </w:tc>
      </w:tr>
      <w:tr w:rsidR="00E9552F" w:rsidRPr="000E2E23" w14:paraId="70B56FE8"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29F7854A" w14:textId="79D6CD1D" w:rsidR="00D752D5" w:rsidRPr="00B37BAF" w:rsidRDefault="00D752D5" w:rsidP="00EB6696">
            <w:pPr>
              <w:pStyle w:val="ListParagraph"/>
              <w:numPr>
                <w:ilvl w:val="0"/>
                <w:numId w:val="22"/>
              </w:numPr>
              <w:spacing w:before="60" w:after="60"/>
              <w:ind w:left="357" w:hanging="357"/>
              <w:contextualSpacing w:val="0"/>
              <w:jc w:val="both"/>
              <w:rPr>
                <w:b w:val="0"/>
                <w:bCs w:val="0"/>
                <w:sz w:val="20"/>
                <w:szCs w:val="20"/>
              </w:rPr>
            </w:pPr>
            <w:r w:rsidRPr="00B37BAF">
              <w:rPr>
                <w:b w:val="0"/>
                <w:bCs w:val="0"/>
                <w:sz w:val="20"/>
                <w:szCs w:val="20"/>
              </w:rPr>
              <w:t xml:space="preserve">Identifying the cultural values associated with natural features </w:t>
            </w:r>
            <w:r w:rsidR="003E6BA2" w:rsidRPr="00B37BAF">
              <w:rPr>
                <w:b w:val="0"/>
                <w:bCs w:val="0"/>
                <w:sz w:val="20"/>
                <w:szCs w:val="20"/>
              </w:rPr>
              <w:t>and</w:t>
            </w:r>
            <w:r w:rsidRPr="00B37BAF">
              <w:rPr>
                <w:b w:val="0"/>
                <w:bCs w:val="0"/>
                <w:sz w:val="20"/>
                <w:szCs w:val="20"/>
              </w:rPr>
              <w:t xml:space="preserve"> landscapes </w:t>
            </w:r>
            <w:r w:rsidR="00E7698E" w:rsidRPr="00B37BAF">
              <w:rPr>
                <w:b w:val="0"/>
                <w:bCs w:val="0"/>
                <w:sz w:val="20"/>
                <w:szCs w:val="20"/>
              </w:rPr>
              <w:t xml:space="preserve">helps to recognise </w:t>
            </w:r>
            <w:r w:rsidR="00FA2C5A" w:rsidRPr="00B37BAF">
              <w:rPr>
                <w:b w:val="0"/>
                <w:bCs w:val="0"/>
                <w:sz w:val="20"/>
                <w:szCs w:val="20"/>
              </w:rPr>
              <w:t xml:space="preserve">the relationship of Kāi </w:t>
            </w:r>
            <w:proofErr w:type="spellStart"/>
            <w:r w:rsidR="00FA2C5A" w:rsidRPr="00B37BAF">
              <w:rPr>
                <w:b w:val="0"/>
                <w:bCs w:val="0"/>
                <w:sz w:val="20"/>
                <w:szCs w:val="20"/>
              </w:rPr>
              <w:t>Tahu</w:t>
            </w:r>
            <w:proofErr w:type="spellEnd"/>
            <w:r w:rsidR="00FA2C5A" w:rsidRPr="00B37BAF">
              <w:rPr>
                <w:b w:val="0"/>
                <w:bCs w:val="0"/>
                <w:sz w:val="20"/>
                <w:szCs w:val="20"/>
              </w:rPr>
              <w:t xml:space="preserve"> with these areas, including how landscapes have shaped their stories, </w:t>
            </w:r>
            <w:proofErr w:type="gramStart"/>
            <w:r w:rsidR="00FA2C5A" w:rsidRPr="00B37BAF">
              <w:rPr>
                <w:b w:val="0"/>
                <w:bCs w:val="0"/>
                <w:sz w:val="20"/>
                <w:szCs w:val="20"/>
              </w:rPr>
              <w:t>traditions</w:t>
            </w:r>
            <w:proofErr w:type="gramEnd"/>
            <w:r w:rsidR="00FA2C5A" w:rsidRPr="00B37BAF">
              <w:rPr>
                <w:b w:val="0"/>
                <w:bCs w:val="0"/>
                <w:sz w:val="20"/>
                <w:szCs w:val="20"/>
              </w:rPr>
              <w:t xml:space="preserve"> and practices.</w:t>
            </w:r>
          </w:p>
          <w:p w14:paraId="04598393" w14:textId="09DEB96F" w:rsidR="00E9552F" w:rsidRPr="00B37BAF" w:rsidRDefault="00E52984" w:rsidP="00EB6696">
            <w:pPr>
              <w:pStyle w:val="ListParagraph"/>
              <w:numPr>
                <w:ilvl w:val="0"/>
                <w:numId w:val="22"/>
              </w:numPr>
              <w:spacing w:before="60" w:after="60"/>
              <w:ind w:left="357" w:hanging="357"/>
              <w:contextualSpacing w:val="0"/>
              <w:jc w:val="both"/>
              <w:rPr>
                <w:b w:val="0"/>
                <w:bCs w:val="0"/>
                <w:sz w:val="20"/>
                <w:szCs w:val="20"/>
              </w:rPr>
            </w:pPr>
            <w:r w:rsidRPr="00B37BAF">
              <w:rPr>
                <w:b w:val="0"/>
                <w:bCs w:val="0"/>
                <w:sz w:val="20"/>
                <w:szCs w:val="20"/>
              </w:rPr>
              <w:t xml:space="preserve">Iwi and </w:t>
            </w:r>
            <w:proofErr w:type="spellStart"/>
            <w:r w:rsidRPr="00B37BAF">
              <w:rPr>
                <w:b w:val="0"/>
                <w:bCs w:val="0"/>
                <w:sz w:val="20"/>
                <w:szCs w:val="20"/>
              </w:rPr>
              <w:t>r</w:t>
            </w:r>
            <w:r w:rsidR="00F94E11">
              <w:rPr>
                <w:rFonts w:cstheme="minorHAnsi"/>
                <w:b w:val="0"/>
                <w:bCs w:val="0"/>
                <w:sz w:val="20"/>
                <w:szCs w:val="20"/>
              </w:rPr>
              <w:t>ū</w:t>
            </w:r>
            <w:r w:rsidRPr="00B37BAF">
              <w:rPr>
                <w:b w:val="0"/>
                <w:bCs w:val="0"/>
                <w:sz w:val="20"/>
                <w:szCs w:val="20"/>
              </w:rPr>
              <w:t>naka</w:t>
            </w:r>
            <w:proofErr w:type="spellEnd"/>
            <w:r w:rsidRPr="00B37BAF">
              <w:rPr>
                <w:b w:val="0"/>
                <w:bCs w:val="0"/>
                <w:sz w:val="20"/>
                <w:szCs w:val="20"/>
              </w:rPr>
              <w:t xml:space="preserve"> will have the </w:t>
            </w:r>
            <w:r w:rsidR="00BB62D6" w:rsidRPr="00B37BAF">
              <w:rPr>
                <w:b w:val="0"/>
                <w:bCs w:val="0"/>
                <w:sz w:val="20"/>
                <w:szCs w:val="20"/>
              </w:rPr>
              <w:t>ability to</w:t>
            </w:r>
            <w:r w:rsidR="004E39C2" w:rsidRPr="00B37BAF">
              <w:rPr>
                <w:b w:val="0"/>
                <w:bCs w:val="0"/>
                <w:sz w:val="20"/>
                <w:szCs w:val="20"/>
              </w:rPr>
              <w:t xml:space="preserve"> be involved in identification processes at the district and regional level</w:t>
            </w:r>
            <w:r w:rsidR="00E23BA8" w:rsidRPr="00B37BAF">
              <w:rPr>
                <w:b w:val="0"/>
                <w:bCs w:val="0"/>
                <w:sz w:val="20"/>
                <w:szCs w:val="20"/>
              </w:rPr>
              <w:t>.</w:t>
            </w:r>
          </w:p>
          <w:p w14:paraId="02565AF2" w14:textId="77777777" w:rsidR="00CF76F5" w:rsidRPr="00B37BAF" w:rsidRDefault="00CF76F5" w:rsidP="00EB6696">
            <w:pPr>
              <w:pStyle w:val="ListParagraph"/>
              <w:numPr>
                <w:ilvl w:val="0"/>
                <w:numId w:val="22"/>
              </w:numPr>
              <w:spacing w:before="60" w:after="60"/>
              <w:ind w:left="357" w:hanging="357"/>
              <w:contextualSpacing w:val="0"/>
              <w:jc w:val="both"/>
              <w:rPr>
                <w:b w:val="0"/>
                <w:bCs w:val="0"/>
                <w:sz w:val="20"/>
                <w:szCs w:val="20"/>
              </w:rPr>
            </w:pPr>
            <w:r w:rsidRPr="00B37BAF">
              <w:rPr>
                <w:b w:val="0"/>
                <w:bCs w:val="0"/>
                <w:sz w:val="20"/>
                <w:szCs w:val="20"/>
              </w:rPr>
              <w:t xml:space="preserve">There are opportunities to </w:t>
            </w:r>
            <w:r w:rsidR="00334B8A" w:rsidRPr="00B37BAF">
              <w:rPr>
                <w:b w:val="0"/>
                <w:bCs w:val="0"/>
                <w:sz w:val="20"/>
                <w:szCs w:val="20"/>
              </w:rPr>
              <w:t xml:space="preserve">identify </w:t>
            </w:r>
            <w:proofErr w:type="spellStart"/>
            <w:r w:rsidR="00334B8A" w:rsidRPr="00B37BAF">
              <w:rPr>
                <w:b w:val="0"/>
                <w:bCs w:val="0"/>
                <w:sz w:val="20"/>
                <w:szCs w:val="20"/>
              </w:rPr>
              <w:t>wāhi</w:t>
            </w:r>
            <w:proofErr w:type="spellEnd"/>
            <w:r w:rsidR="00334B8A" w:rsidRPr="00B37BAF">
              <w:rPr>
                <w:b w:val="0"/>
                <w:bCs w:val="0"/>
                <w:sz w:val="20"/>
                <w:szCs w:val="20"/>
              </w:rPr>
              <w:t xml:space="preserve"> tūpuna </w:t>
            </w:r>
            <w:r w:rsidR="00D60268" w:rsidRPr="00B37BAF">
              <w:rPr>
                <w:b w:val="0"/>
                <w:bCs w:val="0"/>
                <w:sz w:val="20"/>
                <w:szCs w:val="20"/>
              </w:rPr>
              <w:t>alongside outstanding natural features and landscapes, providing a more holistic management approach.</w:t>
            </w:r>
          </w:p>
          <w:p w14:paraId="6B73A885" w14:textId="291E31AB" w:rsidR="00051CFC" w:rsidRPr="00B37BAF" w:rsidRDefault="00051CFC" w:rsidP="00EB6696">
            <w:pPr>
              <w:pStyle w:val="ListParagraph"/>
              <w:numPr>
                <w:ilvl w:val="0"/>
                <w:numId w:val="22"/>
              </w:numPr>
              <w:spacing w:before="60" w:after="60"/>
              <w:ind w:left="357" w:hanging="357"/>
              <w:contextualSpacing w:val="0"/>
              <w:jc w:val="both"/>
              <w:rPr>
                <w:b w:val="0"/>
                <w:bCs w:val="0"/>
                <w:sz w:val="20"/>
                <w:szCs w:val="20"/>
              </w:rPr>
            </w:pPr>
            <w:r w:rsidRPr="00B37BAF">
              <w:rPr>
                <w:b w:val="0"/>
                <w:bCs w:val="0"/>
                <w:sz w:val="20"/>
                <w:szCs w:val="20"/>
              </w:rPr>
              <w:lastRenderedPageBreak/>
              <w:t xml:space="preserve">Providing for enhancement of areas that may have been adversely affected by inappropriate subdivision, use and development </w:t>
            </w:r>
            <w:r w:rsidR="00830BE0" w:rsidRPr="00B37BAF">
              <w:rPr>
                <w:b w:val="0"/>
                <w:bCs w:val="0"/>
                <w:sz w:val="20"/>
                <w:szCs w:val="20"/>
              </w:rPr>
              <w:t>will assist with</w:t>
            </w:r>
            <w:r w:rsidRPr="00B37BAF">
              <w:rPr>
                <w:b w:val="0"/>
                <w:bCs w:val="0"/>
                <w:sz w:val="20"/>
                <w:szCs w:val="20"/>
              </w:rPr>
              <w:t xml:space="preserve"> restoring and protecting cultural values.</w:t>
            </w:r>
          </w:p>
        </w:tc>
        <w:tc>
          <w:tcPr>
            <w:tcW w:w="4508" w:type="dxa"/>
          </w:tcPr>
          <w:p w14:paraId="48CEFDBF" w14:textId="77777777" w:rsidR="00E9552F" w:rsidRPr="00B37BAF" w:rsidRDefault="009A4A45"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B37BAF">
              <w:rPr>
                <w:sz w:val="20"/>
                <w:szCs w:val="20"/>
              </w:rPr>
              <w:lastRenderedPageBreak/>
              <w:t xml:space="preserve">There is some risk that applying the criteria may mean that parts of </w:t>
            </w:r>
            <w:proofErr w:type="spellStart"/>
            <w:r w:rsidRPr="00B37BAF">
              <w:rPr>
                <w:sz w:val="20"/>
                <w:szCs w:val="20"/>
              </w:rPr>
              <w:t>wāhi</w:t>
            </w:r>
            <w:proofErr w:type="spellEnd"/>
            <w:r w:rsidRPr="00B37BAF">
              <w:rPr>
                <w:sz w:val="20"/>
                <w:szCs w:val="20"/>
              </w:rPr>
              <w:t xml:space="preserve"> tūpuna are </w:t>
            </w:r>
            <w:r w:rsidR="0004215F" w:rsidRPr="00B37BAF">
              <w:rPr>
                <w:sz w:val="20"/>
                <w:szCs w:val="20"/>
              </w:rPr>
              <w:t xml:space="preserve">managed in different ways (for example, if some parts are identified as outstanding and others not outstanding or highly valued). This could undermine the integrity of </w:t>
            </w:r>
            <w:proofErr w:type="spellStart"/>
            <w:r w:rsidR="0004215F" w:rsidRPr="00B37BAF">
              <w:rPr>
                <w:sz w:val="20"/>
                <w:szCs w:val="20"/>
              </w:rPr>
              <w:t>wāhi</w:t>
            </w:r>
            <w:proofErr w:type="spellEnd"/>
            <w:r w:rsidR="0004215F" w:rsidRPr="00B37BAF">
              <w:rPr>
                <w:sz w:val="20"/>
                <w:szCs w:val="20"/>
              </w:rPr>
              <w:t xml:space="preserve"> tūpuna and not adequately protect cultural values.</w:t>
            </w:r>
          </w:p>
          <w:p w14:paraId="212E3484" w14:textId="6F14DB4B" w:rsidR="00025984" w:rsidRPr="00B37BAF" w:rsidRDefault="00B516A2"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B37BAF">
              <w:rPr>
                <w:sz w:val="20"/>
                <w:szCs w:val="20"/>
              </w:rPr>
              <w:t xml:space="preserve">There will be costs to iwi and </w:t>
            </w:r>
            <w:proofErr w:type="spellStart"/>
            <w:r w:rsidRPr="00B37BAF">
              <w:rPr>
                <w:sz w:val="20"/>
                <w:szCs w:val="20"/>
              </w:rPr>
              <w:t>r</w:t>
            </w:r>
            <w:r w:rsidR="00F94E11">
              <w:rPr>
                <w:rFonts w:cstheme="minorHAnsi"/>
                <w:sz w:val="20"/>
                <w:szCs w:val="20"/>
              </w:rPr>
              <w:t>ū</w:t>
            </w:r>
            <w:r w:rsidRPr="00B37BAF">
              <w:rPr>
                <w:sz w:val="20"/>
                <w:szCs w:val="20"/>
              </w:rPr>
              <w:t>naka</w:t>
            </w:r>
            <w:proofErr w:type="spellEnd"/>
            <w:r w:rsidRPr="00B37BAF">
              <w:rPr>
                <w:sz w:val="20"/>
                <w:szCs w:val="20"/>
              </w:rPr>
              <w:t xml:space="preserve"> in engaging in planning process to identify areas.</w:t>
            </w:r>
          </w:p>
          <w:p w14:paraId="4F14EC2E" w14:textId="1813C08F" w:rsidR="00741D66" w:rsidRPr="00B37BAF" w:rsidRDefault="00741D66" w:rsidP="00EB6696">
            <w:pPr>
              <w:spacing w:before="60" w:after="60"/>
              <w:jc w:val="both"/>
              <w:cnfStyle w:val="000000000000" w:firstRow="0" w:lastRow="0" w:firstColumn="0" w:lastColumn="0" w:oddVBand="0" w:evenVBand="0" w:oddHBand="0" w:evenHBand="0" w:firstRowFirstColumn="0" w:firstRowLastColumn="0" w:lastRowFirstColumn="0" w:lastRowLastColumn="0"/>
              <w:rPr>
                <w:sz w:val="20"/>
              </w:rPr>
            </w:pPr>
          </w:p>
        </w:tc>
      </w:tr>
      <w:tr w:rsidR="00E9552F" w:rsidRPr="00AE42AF" w14:paraId="54F0221B"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7B931741" w14:textId="77777777" w:rsidR="00E9552F" w:rsidRPr="00AE42AF" w:rsidRDefault="00E9552F" w:rsidP="00424DBB">
            <w:pPr>
              <w:jc w:val="center"/>
              <w:rPr>
                <w:sz w:val="20"/>
              </w:rPr>
            </w:pPr>
            <w:r w:rsidRPr="00AE42AF">
              <w:rPr>
                <w:sz w:val="20"/>
              </w:rPr>
              <w:t>Social</w:t>
            </w:r>
          </w:p>
        </w:tc>
      </w:tr>
      <w:tr w:rsidR="00E9552F" w:rsidRPr="00FC5CD5" w14:paraId="59C142B7"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48682C3E" w14:textId="77777777" w:rsidR="00E9552F" w:rsidRPr="00EF0F13" w:rsidRDefault="00E14E8A" w:rsidP="00EB6696">
            <w:pPr>
              <w:pStyle w:val="ListParagraph"/>
              <w:numPr>
                <w:ilvl w:val="0"/>
                <w:numId w:val="22"/>
              </w:numPr>
              <w:spacing w:before="60" w:after="60"/>
              <w:ind w:left="357" w:hanging="357"/>
              <w:contextualSpacing w:val="0"/>
              <w:jc w:val="both"/>
              <w:rPr>
                <w:b w:val="0"/>
                <w:bCs w:val="0"/>
                <w:sz w:val="20"/>
                <w:szCs w:val="20"/>
              </w:rPr>
            </w:pPr>
            <w:r w:rsidRPr="00EF0F13">
              <w:rPr>
                <w:b w:val="0"/>
                <w:bCs w:val="0"/>
                <w:sz w:val="20"/>
                <w:szCs w:val="20"/>
              </w:rPr>
              <w:t xml:space="preserve">Mapping areas provides certainty to the public about the extent </w:t>
            </w:r>
            <w:r w:rsidR="00E30E46" w:rsidRPr="00EF0F13">
              <w:rPr>
                <w:b w:val="0"/>
                <w:bCs w:val="0"/>
                <w:sz w:val="20"/>
                <w:szCs w:val="20"/>
              </w:rPr>
              <w:t>of the protected areas.</w:t>
            </w:r>
          </w:p>
          <w:p w14:paraId="604930C0" w14:textId="31E87B0D" w:rsidR="00E30E46" w:rsidRPr="00EF0F13" w:rsidRDefault="00E30E46" w:rsidP="00EB6696">
            <w:pPr>
              <w:pStyle w:val="ListParagraph"/>
              <w:numPr>
                <w:ilvl w:val="0"/>
                <w:numId w:val="22"/>
              </w:numPr>
              <w:spacing w:before="60" w:after="60"/>
              <w:ind w:left="357" w:hanging="357"/>
              <w:contextualSpacing w:val="0"/>
              <w:jc w:val="both"/>
              <w:rPr>
                <w:b w:val="0"/>
                <w:bCs w:val="0"/>
                <w:sz w:val="20"/>
                <w:szCs w:val="20"/>
              </w:rPr>
            </w:pPr>
            <w:r w:rsidRPr="00EF0F13">
              <w:rPr>
                <w:b w:val="0"/>
                <w:bCs w:val="0"/>
                <w:sz w:val="20"/>
                <w:szCs w:val="20"/>
              </w:rPr>
              <w:t xml:space="preserve">Identifying and protecting outstanding and highly valued </w:t>
            </w:r>
            <w:r w:rsidR="00442A79" w:rsidRPr="00EF0F13">
              <w:rPr>
                <w:b w:val="0"/>
                <w:bCs w:val="0"/>
                <w:sz w:val="20"/>
                <w:szCs w:val="20"/>
              </w:rPr>
              <w:t>natural features</w:t>
            </w:r>
            <w:r w:rsidR="003E6BA2" w:rsidRPr="00EF0F13">
              <w:rPr>
                <w:b w:val="0"/>
                <w:bCs w:val="0"/>
                <w:sz w:val="20"/>
                <w:szCs w:val="20"/>
              </w:rPr>
              <w:t xml:space="preserve"> and</w:t>
            </w:r>
            <w:r w:rsidR="009B54C4" w:rsidRPr="00EF0F13">
              <w:rPr>
                <w:b w:val="0"/>
                <w:bCs w:val="0"/>
                <w:sz w:val="20"/>
                <w:szCs w:val="20"/>
              </w:rPr>
              <w:t xml:space="preserve"> </w:t>
            </w:r>
            <w:r w:rsidR="00442A79" w:rsidRPr="00EF0F13">
              <w:rPr>
                <w:b w:val="0"/>
                <w:bCs w:val="0"/>
                <w:sz w:val="20"/>
                <w:szCs w:val="20"/>
              </w:rPr>
              <w:t>landscapes</w:t>
            </w:r>
            <w:r w:rsidR="00030B8E" w:rsidRPr="00EF0F13">
              <w:rPr>
                <w:b w:val="0"/>
                <w:bCs w:val="0"/>
                <w:sz w:val="20"/>
                <w:szCs w:val="20"/>
              </w:rPr>
              <w:t xml:space="preserve"> will ensure their values are maintained for public enjoyment.</w:t>
            </w:r>
          </w:p>
          <w:p w14:paraId="305E788B" w14:textId="438EAE00" w:rsidR="009B54C4" w:rsidRPr="00EF0F13" w:rsidRDefault="008276BD" w:rsidP="00EB6696">
            <w:pPr>
              <w:pStyle w:val="ListParagraph"/>
              <w:numPr>
                <w:ilvl w:val="0"/>
                <w:numId w:val="22"/>
              </w:numPr>
              <w:spacing w:before="60" w:after="60"/>
              <w:ind w:left="357" w:hanging="357"/>
              <w:contextualSpacing w:val="0"/>
              <w:jc w:val="both"/>
              <w:rPr>
                <w:b w:val="0"/>
                <w:bCs w:val="0"/>
                <w:sz w:val="20"/>
                <w:szCs w:val="20"/>
              </w:rPr>
            </w:pPr>
            <w:r w:rsidRPr="00EF0F13">
              <w:rPr>
                <w:b w:val="0"/>
                <w:bCs w:val="0"/>
                <w:sz w:val="20"/>
                <w:szCs w:val="20"/>
              </w:rPr>
              <w:t>People and communities can access and understand the values associated with outstanding and highly valued areas</w:t>
            </w:r>
            <w:r w:rsidR="00267892" w:rsidRPr="00EF0F13">
              <w:rPr>
                <w:b w:val="0"/>
                <w:bCs w:val="0"/>
                <w:sz w:val="20"/>
                <w:szCs w:val="20"/>
              </w:rPr>
              <w:t>, providing certainty about the future use and enjoyment by the community of these areas.</w:t>
            </w:r>
          </w:p>
          <w:p w14:paraId="1B594BA4" w14:textId="7EA23880" w:rsidR="00B5280E" w:rsidRPr="00EF0F13" w:rsidRDefault="00FD0605" w:rsidP="00EB6696">
            <w:pPr>
              <w:pStyle w:val="ListParagraph"/>
              <w:numPr>
                <w:ilvl w:val="0"/>
                <w:numId w:val="22"/>
              </w:numPr>
              <w:spacing w:before="60" w:after="60"/>
              <w:ind w:left="357" w:hanging="357"/>
              <w:contextualSpacing w:val="0"/>
              <w:jc w:val="both"/>
              <w:rPr>
                <w:b w:val="0"/>
                <w:bCs w:val="0"/>
                <w:sz w:val="20"/>
                <w:szCs w:val="20"/>
              </w:rPr>
            </w:pPr>
            <w:r w:rsidRPr="00EF0F13">
              <w:rPr>
                <w:b w:val="0"/>
                <w:bCs w:val="0"/>
                <w:sz w:val="20"/>
                <w:szCs w:val="20"/>
              </w:rPr>
              <w:t>Natural features and landscapes can be an important component of recreational activities such as tramping</w:t>
            </w:r>
            <w:r w:rsidR="00963370" w:rsidRPr="00EF0F13">
              <w:rPr>
                <w:b w:val="0"/>
                <w:bCs w:val="0"/>
                <w:sz w:val="20"/>
                <w:szCs w:val="20"/>
              </w:rPr>
              <w:t xml:space="preserve">, </w:t>
            </w:r>
          </w:p>
        </w:tc>
        <w:tc>
          <w:tcPr>
            <w:tcW w:w="4508" w:type="dxa"/>
          </w:tcPr>
          <w:p w14:paraId="4BB78049" w14:textId="66FC71DB" w:rsidR="00E9552F" w:rsidRPr="00EF0F13" w:rsidRDefault="00965A74" w:rsidP="00EB6696">
            <w:pPr>
              <w:pStyle w:val="ListParagraph"/>
              <w:numPr>
                <w:ilvl w:val="0"/>
                <w:numId w:val="22"/>
              </w:numPr>
              <w:spacing w:before="60" w:after="60"/>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EF0F13">
              <w:rPr>
                <w:sz w:val="20"/>
                <w:szCs w:val="20"/>
              </w:rPr>
              <w:t xml:space="preserve">There </w:t>
            </w:r>
            <w:r w:rsidR="00135373" w:rsidRPr="00EF0F13">
              <w:rPr>
                <w:sz w:val="20"/>
                <w:szCs w:val="20"/>
              </w:rPr>
              <w:t>will</w:t>
            </w:r>
            <w:r w:rsidRPr="00EF0F13">
              <w:rPr>
                <w:sz w:val="20"/>
                <w:szCs w:val="20"/>
              </w:rPr>
              <w:t xml:space="preserve"> be restrictions on </w:t>
            </w:r>
            <w:r w:rsidR="00D5634C" w:rsidRPr="00EF0F13">
              <w:rPr>
                <w:sz w:val="20"/>
                <w:szCs w:val="20"/>
              </w:rPr>
              <w:t xml:space="preserve">use and development within </w:t>
            </w:r>
            <w:r w:rsidR="00132A4F" w:rsidRPr="00EF0F13">
              <w:rPr>
                <w:sz w:val="20"/>
                <w:szCs w:val="20"/>
              </w:rPr>
              <w:t xml:space="preserve">protected areas, which may affect </w:t>
            </w:r>
            <w:r w:rsidR="00336989" w:rsidRPr="00EF0F13">
              <w:rPr>
                <w:sz w:val="20"/>
                <w:szCs w:val="20"/>
              </w:rPr>
              <w:t>the potential for land to be used for purposes that support social well-being, for example for housing or recreational purposes.</w:t>
            </w:r>
          </w:p>
        </w:tc>
      </w:tr>
      <w:tr w:rsidR="00E9552F" w:rsidRPr="00AE42AF" w14:paraId="5913AA42"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6294A48" w14:textId="77777777" w:rsidR="00E9552F" w:rsidRPr="00AE42AF" w:rsidRDefault="00E9552F" w:rsidP="00424DBB">
            <w:pPr>
              <w:jc w:val="center"/>
              <w:rPr>
                <w:sz w:val="20"/>
              </w:rPr>
            </w:pPr>
            <w:r>
              <w:rPr>
                <w:sz w:val="20"/>
              </w:rPr>
              <w:t>Economic</w:t>
            </w:r>
          </w:p>
        </w:tc>
      </w:tr>
      <w:tr w:rsidR="00E9552F" w:rsidRPr="000136C1" w14:paraId="75B2B3B7"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4EF1C5C9" w14:textId="76569FAE" w:rsidR="00E9552F" w:rsidRPr="005E3DE2" w:rsidRDefault="005C5F29"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 xml:space="preserve">The methodology for identification </w:t>
            </w:r>
            <w:r w:rsidR="00B520F0" w:rsidRPr="005E3DE2">
              <w:rPr>
                <w:b w:val="0"/>
                <w:bCs w:val="0"/>
                <w:sz w:val="20"/>
                <w:szCs w:val="20"/>
              </w:rPr>
              <w:t xml:space="preserve">is not changed, meaning </w:t>
            </w:r>
            <w:r w:rsidR="005F0FFC" w:rsidRPr="005E3DE2">
              <w:rPr>
                <w:b w:val="0"/>
                <w:bCs w:val="0"/>
                <w:sz w:val="20"/>
                <w:szCs w:val="20"/>
              </w:rPr>
              <w:t>current work to implement the PORPS 201</w:t>
            </w:r>
            <w:r w:rsidR="0034136D" w:rsidRPr="005E3DE2">
              <w:rPr>
                <w:b w:val="0"/>
                <w:bCs w:val="0"/>
                <w:sz w:val="20"/>
                <w:szCs w:val="20"/>
              </w:rPr>
              <w:t>9</w:t>
            </w:r>
            <w:r w:rsidR="005F0FFC" w:rsidRPr="005E3DE2">
              <w:rPr>
                <w:b w:val="0"/>
                <w:bCs w:val="0"/>
                <w:sz w:val="20"/>
                <w:szCs w:val="20"/>
              </w:rPr>
              <w:t xml:space="preserve"> </w:t>
            </w:r>
            <w:r w:rsidR="007F671E" w:rsidRPr="005E3DE2">
              <w:rPr>
                <w:b w:val="0"/>
                <w:bCs w:val="0"/>
                <w:sz w:val="20"/>
                <w:szCs w:val="20"/>
              </w:rPr>
              <w:t>does not need to be redone.</w:t>
            </w:r>
          </w:p>
          <w:p w14:paraId="2EB56EA4" w14:textId="74858E2D" w:rsidR="00971FBF" w:rsidRPr="005E3DE2" w:rsidRDefault="00CB39E4"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C</w:t>
            </w:r>
            <w:r w:rsidR="00971FBF" w:rsidRPr="005E3DE2">
              <w:rPr>
                <w:b w:val="0"/>
                <w:bCs w:val="0"/>
                <w:sz w:val="20"/>
                <w:szCs w:val="20"/>
              </w:rPr>
              <w:t>onsistent criteria across the region will reduce administrative costs and provide greater certainty for communities.</w:t>
            </w:r>
          </w:p>
          <w:p w14:paraId="2E7FEB13" w14:textId="16CDB5EE" w:rsidR="00971FBF" w:rsidRPr="005E3DE2" w:rsidRDefault="007A78EB"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Mapp</w:t>
            </w:r>
            <w:r w:rsidR="00CB39E4" w:rsidRPr="005E3DE2">
              <w:rPr>
                <w:b w:val="0"/>
                <w:bCs w:val="0"/>
                <w:sz w:val="20"/>
                <w:szCs w:val="20"/>
              </w:rPr>
              <w:t>ing</w:t>
            </w:r>
            <w:r w:rsidRPr="005E3DE2">
              <w:rPr>
                <w:b w:val="0"/>
                <w:bCs w:val="0"/>
                <w:sz w:val="20"/>
                <w:szCs w:val="20"/>
              </w:rPr>
              <w:t xml:space="preserve"> areas</w:t>
            </w:r>
            <w:r w:rsidR="002C6FDA" w:rsidRPr="005E3DE2">
              <w:rPr>
                <w:b w:val="0"/>
                <w:bCs w:val="0"/>
                <w:sz w:val="20"/>
                <w:szCs w:val="20"/>
              </w:rPr>
              <w:t xml:space="preserve"> provide</w:t>
            </w:r>
            <w:r w:rsidR="00CB39E4" w:rsidRPr="005E3DE2">
              <w:rPr>
                <w:b w:val="0"/>
                <w:bCs w:val="0"/>
                <w:sz w:val="20"/>
                <w:szCs w:val="20"/>
              </w:rPr>
              <w:t>s</w:t>
            </w:r>
            <w:r w:rsidR="002C6FDA" w:rsidRPr="005E3DE2">
              <w:rPr>
                <w:b w:val="0"/>
                <w:bCs w:val="0"/>
                <w:sz w:val="20"/>
                <w:szCs w:val="20"/>
              </w:rPr>
              <w:t xml:space="preserve"> certainty about where management approaches apply, potentially reducing the costs of processing and deciding on resource consent applications.</w:t>
            </w:r>
          </w:p>
          <w:p w14:paraId="398936C2" w14:textId="77777777" w:rsidR="002C6FDA" w:rsidRPr="005E3DE2" w:rsidRDefault="00804B38"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 xml:space="preserve">Protecting Otago’s outstanding and highly valued natural features and landscapes will support industries that rely on their values (for example, </w:t>
            </w:r>
            <w:r w:rsidR="00591740" w:rsidRPr="005E3DE2">
              <w:rPr>
                <w:b w:val="0"/>
                <w:bCs w:val="0"/>
                <w:sz w:val="20"/>
                <w:szCs w:val="20"/>
              </w:rPr>
              <w:t>tourism)</w:t>
            </w:r>
            <w:r w:rsidR="00DB5711" w:rsidRPr="005E3DE2">
              <w:rPr>
                <w:b w:val="0"/>
                <w:bCs w:val="0"/>
                <w:sz w:val="20"/>
                <w:szCs w:val="20"/>
              </w:rPr>
              <w:t xml:space="preserve"> and related employment opportunities.</w:t>
            </w:r>
            <w:r w:rsidR="00A66C5D" w:rsidRPr="005E3DE2">
              <w:rPr>
                <w:rStyle w:val="FootnoteReference"/>
                <w:b w:val="0"/>
                <w:bCs w:val="0"/>
                <w:sz w:val="20"/>
                <w:szCs w:val="20"/>
              </w:rPr>
              <w:footnoteReference w:id="44"/>
            </w:r>
          </w:p>
          <w:p w14:paraId="08B154D0" w14:textId="77777777" w:rsidR="00965197" w:rsidRPr="005E3DE2" w:rsidRDefault="00965197"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 xml:space="preserve">Local authorities have more clarity over the actions they are required to take </w:t>
            </w:r>
            <w:proofErr w:type="gramStart"/>
            <w:r w:rsidRPr="005E3DE2">
              <w:rPr>
                <w:b w:val="0"/>
                <w:bCs w:val="0"/>
                <w:sz w:val="20"/>
                <w:szCs w:val="20"/>
              </w:rPr>
              <w:t>in order to</w:t>
            </w:r>
            <w:proofErr w:type="gramEnd"/>
            <w:r w:rsidRPr="005E3DE2">
              <w:rPr>
                <w:b w:val="0"/>
                <w:bCs w:val="0"/>
                <w:sz w:val="20"/>
                <w:szCs w:val="20"/>
              </w:rPr>
              <w:t xml:space="preserve"> protect outstanding and highly valued natural features and landscapes, improving implementation of the provisions.</w:t>
            </w:r>
          </w:p>
          <w:p w14:paraId="62779AB7" w14:textId="37C084E4" w:rsidR="000F00E1" w:rsidRPr="005E3DE2" w:rsidRDefault="000F00E1" w:rsidP="00EB6696">
            <w:pPr>
              <w:pStyle w:val="ListParagraph"/>
              <w:numPr>
                <w:ilvl w:val="0"/>
                <w:numId w:val="22"/>
              </w:numPr>
              <w:spacing w:before="60" w:after="60"/>
              <w:ind w:left="357" w:hanging="357"/>
              <w:contextualSpacing w:val="0"/>
              <w:jc w:val="both"/>
              <w:rPr>
                <w:b w:val="0"/>
                <w:bCs w:val="0"/>
                <w:sz w:val="20"/>
                <w:szCs w:val="20"/>
              </w:rPr>
            </w:pPr>
            <w:r w:rsidRPr="005E3DE2">
              <w:rPr>
                <w:b w:val="0"/>
                <w:bCs w:val="0"/>
                <w:sz w:val="20"/>
                <w:szCs w:val="20"/>
              </w:rPr>
              <w:t xml:space="preserve">A more permissive management approach to highly valued natural </w:t>
            </w:r>
            <w:r w:rsidR="009401F2" w:rsidRPr="005E3DE2">
              <w:rPr>
                <w:b w:val="0"/>
                <w:bCs w:val="0"/>
                <w:sz w:val="20"/>
                <w:szCs w:val="20"/>
              </w:rPr>
              <w:t>f</w:t>
            </w:r>
            <w:r w:rsidRPr="005E3DE2">
              <w:rPr>
                <w:b w:val="0"/>
                <w:bCs w:val="0"/>
                <w:sz w:val="20"/>
                <w:szCs w:val="20"/>
              </w:rPr>
              <w:t>eatures</w:t>
            </w:r>
            <w:r w:rsidR="00873BBA" w:rsidRPr="005E3DE2">
              <w:rPr>
                <w:b w:val="0"/>
                <w:bCs w:val="0"/>
                <w:sz w:val="20"/>
                <w:szCs w:val="20"/>
              </w:rPr>
              <w:t xml:space="preserve"> and</w:t>
            </w:r>
            <w:r w:rsidRPr="005E3DE2">
              <w:rPr>
                <w:b w:val="0"/>
                <w:bCs w:val="0"/>
                <w:sz w:val="20"/>
                <w:szCs w:val="20"/>
              </w:rPr>
              <w:t xml:space="preserve"> landscape provides some opportunity for </w:t>
            </w:r>
            <w:r w:rsidR="001066D4" w:rsidRPr="005E3DE2">
              <w:rPr>
                <w:b w:val="0"/>
                <w:bCs w:val="0"/>
                <w:sz w:val="20"/>
                <w:szCs w:val="20"/>
              </w:rPr>
              <w:t>a wider range of uses of those areas compared with outstanding areas.</w:t>
            </w:r>
          </w:p>
        </w:tc>
        <w:tc>
          <w:tcPr>
            <w:tcW w:w="4508" w:type="dxa"/>
          </w:tcPr>
          <w:p w14:paraId="4E342A7C" w14:textId="4458C318" w:rsidR="00E9552F" w:rsidRPr="005E3DE2" w:rsidRDefault="00E920D3"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E3DE2">
              <w:rPr>
                <w:sz w:val="20"/>
                <w:szCs w:val="20"/>
              </w:rPr>
              <w:t xml:space="preserve">Identifying outstanding and highly valued natural features and landscapes will come at a cost for ORC and the </w:t>
            </w:r>
            <w:r w:rsidR="005E3DE2">
              <w:rPr>
                <w:sz w:val="20"/>
                <w:szCs w:val="20"/>
              </w:rPr>
              <w:t>territorial authorities</w:t>
            </w:r>
            <w:r w:rsidR="001070F1" w:rsidRPr="005E3DE2">
              <w:rPr>
                <w:sz w:val="20"/>
                <w:szCs w:val="20"/>
              </w:rPr>
              <w:t>. This is potentially increased from the PORPS 2019 due to the clarification that highly valued areas also need to be identified (a point that is unclear in the PORPS 2019).</w:t>
            </w:r>
          </w:p>
          <w:p w14:paraId="1BE2D214" w14:textId="77777777" w:rsidR="00940788" w:rsidRPr="005E3DE2" w:rsidRDefault="00940788"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E3DE2">
              <w:rPr>
                <w:sz w:val="20"/>
                <w:szCs w:val="20"/>
              </w:rPr>
              <w:t xml:space="preserve">Increased specification </w:t>
            </w:r>
            <w:r w:rsidR="00702AF0" w:rsidRPr="005E3DE2">
              <w:rPr>
                <w:sz w:val="20"/>
                <w:szCs w:val="20"/>
              </w:rPr>
              <w:t xml:space="preserve">about how these areas </w:t>
            </w:r>
            <w:proofErr w:type="gramStart"/>
            <w:r w:rsidR="00702AF0" w:rsidRPr="005E3DE2">
              <w:rPr>
                <w:sz w:val="20"/>
                <w:szCs w:val="20"/>
              </w:rPr>
              <w:t>are</w:t>
            </w:r>
            <w:proofErr w:type="gramEnd"/>
            <w:r w:rsidR="00702AF0" w:rsidRPr="005E3DE2">
              <w:rPr>
                <w:sz w:val="20"/>
                <w:szCs w:val="20"/>
              </w:rPr>
              <w:t xml:space="preserve"> to be managed and the roles and responsibilities of the local authorities </w:t>
            </w:r>
            <w:r w:rsidR="00AD0670" w:rsidRPr="005E3DE2">
              <w:rPr>
                <w:sz w:val="20"/>
                <w:szCs w:val="20"/>
              </w:rPr>
              <w:t xml:space="preserve">may change (and potentially increase) </w:t>
            </w:r>
            <w:r w:rsidR="0039218D" w:rsidRPr="005E3DE2">
              <w:rPr>
                <w:sz w:val="20"/>
                <w:szCs w:val="20"/>
              </w:rPr>
              <w:t>the workload for local authorities in implementing the provisions, compared to the status quo.</w:t>
            </w:r>
          </w:p>
          <w:p w14:paraId="1F5A4532" w14:textId="77777777" w:rsidR="0039218D" w:rsidRPr="005E3DE2" w:rsidRDefault="00F01C6F" w:rsidP="00EB6696">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E3DE2">
              <w:rPr>
                <w:sz w:val="20"/>
                <w:szCs w:val="20"/>
              </w:rPr>
              <w:t xml:space="preserve">Owners of land within outstanding and highly valued natural features and landscapes will be restricted in the </w:t>
            </w:r>
            <w:r w:rsidR="00E30E46" w:rsidRPr="005E3DE2">
              <w:rPr>
                <w:sz w:val="20"/>
                <w:szCs w:val="20"/>
              </w:rPr>
              <w:t>ways they can use and develop their land.</w:t>
            </w:r>
          </w:p>
          <w:p w14:paraId="2177382C" w14:textId="2D8BAFFB" w:rsidR="007A78EB" w:rsidRPr="005E3DE2" w:rsidRDefault="00971FBF" w:rsidP="005E3DE2">
            <w:pPr>
              <w:pStyle w:val="ListParagraph"/>
              <w:numPr>
                <w:ilvl w:val="0"/>
                <w:numId w:val="22"/>
              </w:numPr>
              <w:spacing w:before="60"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5E3DE2">
              <w:rPr>
                <w:sz w:val="20"/>
                <w:szCs w:val="20"/>
              </w:rPr>
              <w:t>Reduced flexibility in the range of possible land uses may negatively affect land values.</w:t>
            </w:r>
          </w:p>
        </w:tc>
      </w:tr>
    </w:tbl>
    <w:p w14:paraId="415DBEB2" w14:textId="77777777" w:rsidR="00C6757D" w:rsidRDefault="00C6757D" w:rsidP="00E9552F"/>
    <w:p w14:paraId="5E7EC4DF" w14:textId="39863618" w:rsidR="00E9552F" w:rsidRDefault="009B10AF" w:rsidP="00E9552F">
      <w:r>
        <w:fldChar w:fldCharType="begin"/>
      </w:r>
      <w:r>
        <w:instrText xml:space="preserve"> REF _Ref48139884 \h </w:instrText>
      </w:r>
      <w:r>
        <w:fldChar w:fldCharType="separate"/>
      </w:r>
      <w:r w:rsidR="002A7A16">
        <w:t xml:space="preserve">Table </w:t>
      </w:r>
      <w:r w:rsidR="002A7A16">
        <w:rPr>
          <w:noProof/>
        </w:rPr>
        <w:t>64</w:t>
      </w:r>
      <w:r>
        <w:fldChar w:fldCharType="end"/>
      </w:r>
      <w:r w:rsidR="00E9552F">
        <w:t xml:space="preserve"> below assesses the effectiveness and efficiency of the proposed provisions in achieving the objectives.</w:t>
      </w:r>
    </w:p>
    <w:p w14:paraId="405378C7" w14:textId="23B9A368" w:rsidR="00E9552F" w:rsidRDefault="00E9552F" w:rsidP="00E9552F">
      <w:pPr>
        <w:pStyle w:val="Caption"/>
        <w:keepNext/>
      </w:pPr>
      <w:bookmarkStart w:id="149" w:name="_Ref48139884"/>
      <w:r>
        <w:lastRenderedPageBreak/>
        <w:t xml:space="preserve">Table </w:t>
      </w:r>
      <w:r>
        <w:fldChar w:fldCharType="begin"/>
      </w:r>
      <w:r>
        <w:instrText>SEQ Table \* ARABIC</w:instrText>
      </w:r>
      <w:r>
        <w:fldChar w:fldCharType="separate"/>
      </w:r>
      <w:r w:rsidR="002A7A16">
        <w:rPr>
          <w:noProof/>
        </w:rPr>
        <w:t>64</w:t>
      </w:r>
      <w:r>
        <w:fldChar w:fldCharType="end"/>
      </w:r>
      <w:bookmarkEnd w:id="149"/>
      <w:r>
        <w:t xml:space="preserve">: Efficiency and effectiveness evaluation for </w:t>
      </w:r>
      <w:r w:rsidR="00424DBB">
        <w:t>natural features and landscapes</w:t>
      </w:r>
    </w:p>
    <w:tbl>
      <w:tblPr>
        <w:tblW w:w="0" w:type="auto"/>
        <w:tblLook w:val="04A0" w:firstRow="1" w:lastRow="0" w:firstColumn="1" w:lastColumn="0" w:noHBand="0" w:noVBand="1"/>
      </w:tblPr>
      <w:tblGrid>
        <w:gridCol w:w="1413"/>
        <w:gridCol w:w="7603"/>
      </w:tblGrid>
      <w:tr w:rsidR="00E9552F" w:rsidRPr="00C767B5" w14:paraId="1E9A97A8"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5D4D34FF" w14:textId="77777777" w:rsidR="00E9552F" w:rsidRPr="00C767B5" w:rsidRDefault="00E9552F" w:rsidP="00424DBB">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75F6F825" w14:textId="6839A114" w:rsidR="00E9552F" w:rsidRPr="00C767B5" w:rsidRDefault="00D816F7" w:rsidP="002539A9">
            <w:pPr>
              <w:pStyle w:val="Table1"/>
            </w:pPr>
            <w:r>
              <w:t>Identifying the values and mapping the areas of outstanding and highly valued natural features</w:t>
            </w:r>
            <w:r w:rsidR="00905486">
              <w:t xml:space="preserve"> and</w:t>
            </w:r>
            <w:r w:rsidR="009401F2">
              <w:t xml:space="preserve"> </w:t>
            </w:r>
            <w:r>
              <w:t xml:space="preserve">landscapes </w:t>
            </w:r>
            <w:r w:rsidR="00080721">
              <w:t>is costly but provides certainty</w:t>
            </w:r>
            <w:r w:rsidR="000F2460">
              <w:t xml:space="preserve"> </w:t>
            </w:r>
            <w:r w:rsidR="002A6A11">
              <w:t>about the extent of these areas, the values they have, and where and how protection will occur</w:t>
            </w:r>
            <w:r w:rsidR="006A3144">
              <w:t xml:space="preserve">. </w:t>
            </w:r>
            <w:r w:rsidR="0050476E">
              <w:t xml:space="preserve">The </w:t>
            </w:r>
            <w:r w:rsidR="00B44178">
              <w:t>benefits in providing certainty</w:t>
            </w:r>
            <w:r w:rsidR="006738D1">
              <w:t xml:space="preserve"> </w:t>
            </w:r>
            <w:r w:rsidR="009507C6">
              <w:t>about what is being managed, where and how is considered to outweigh the costs associated with identif</w:t>
            </w:r>
            <w:r w:rsidR="00A72816">
              <w:t xml:space="preserve">ication in regional and district plans. Option </w:t>
            </w:r>
            <w:r w:rsidR="00750D46">
              <w:t>4</w:t>
            </w:r>
            <w:r w:rsidR="00A72816">
              <w:t xml:space="preserve"> is more efficient than option</w:t>
            </w:r>
            <w:r w:rsidR="00750D46">
              <w:t>s 1, 2 and 3</w:t>
            </w:r>
            <w:r w:rsidR="00A72816">
              <w:t xml:space="preserve"> as it clarifies the actions to be undertaken and by whom, avoiding potential uncertainties</w:t>
            </w:r>
            <w:r w:rsidR="0037263D">
              <w:t xml:space="preserve"> and inconsistency </w:t>
            </w:r>
            <w:r w:rsidR="00FC1B77">
              <w:t>during implementation</w:t>
            </w:r>
            <w:r w:rsidR="00F7607B">
              <w:t>, reducing the costs of achieving the objectives</w:t>
            </w:r>
            <w:r w:rsidR="00F83B3D">
              <w:t xml:space="preserve"> without significantly altering the pathway to achieving the objective.</w:t>
            </w:r>
          </w:p>
        </w:tc>
      </w:tr>
      <w:tr w:rsidR="00E9552F" w:rsidRPr="00C767B5" w14:paraId="3A9E9F46"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2BB8D762" w14:textId="77777777" w:rsidR="00E9552F" w:rsidRPr="00C767B5" w:rsidRDefault="00E9552F" w:rsidP="00424DBB">
            <w:pPr>
              <w:jc w:val="both"/>
              <w:rPr>
                <w:b/>
                <w:sz w:val="20"/>
              </w:rPr>
            </w:pPr>
            <w:r w:rsidRPr="00C767B5">
              <w:rPr>
                <w:b/>
                <w:sz w:val="20"/>
              </w:rPr>
              <w:t>Effectiveness</w:t>
            </w:r>
          </w:p>
        </w:tc>
        <w:tc>
          <w:tcPr>
            <w:tcW w:w="7603" w:type="dxa"/>
            <w:tcBorders>
              <w:top w:val="single" w:sz="4" w:space="0" w:color="C9C9C9" w:themeColor="accent3" w:themeTint="99"/>
              <w:bottom w:val="single" w:sz="4" w:space="0" w:color="C9C9C9" w:themeColor="accent3" w:themeTint="99"/>
            </w:tcBorders>
          </w:tcPr>
          <w:p w14:paraId="6D2B8BC9" w14:textId="4CA05EE6" w:rsidR="00E9552F" w:rsidRPr="00C767B5" w:rsidRDefault="00DB6129" w:rsidP="002539A9">
            <w:pPr>
              <w:pStyle w:val="Table1"/>
            </w:pPr>
            <w:r>
              <w:t xml:space="preserve">Mapping the extent of outstanding </w:t>
            </w:r>
            <w:r w:rsidR="001A490D">
              <w:t xml:space="preserve">and highly </w:t>
            </w:r>
            <w:r>
              <w:t xml:space="preserve">natural features and landscapes will </w:t>
            </w:r>
            <w:r w:rsidR="007926C3">
              <w:t>improve the certainty about their location and the management approach</w:t>
            </w:r>
            <w:r w:rsidR="00E47E8A">
              <w:t xml:space="preserve"> </w:t>
            </w:r>
            <w:r w:rsidR="005971C9">
              <w:t xml:space="preserve">to be applied, increasing the certainty that the objectives will be met. </w:t>
            </w:r>
            <w:r w:rsidR="00E76183">
              <w:t>Clear direction on avoiding some types of adverse effects provides certainty</w:t>
            </w:r>
            <w:r w:rsidR="00677134">
              <w:t xml:space="preserve"> </w:t>
            </w:r>
            <w:r w:rsidR="00A46FCD">
              <w:t xml:space="preserve">for potential </w:t>
            </w:r>
            <w:r w:rsidR="00E76183">
              <w:t>resource</w:t>
            </w:r>
            <w:r w:rsidR="00A46FCD">
              <w:t xml:space="preserve"> users</w:t>
            </w:r>
            <w:r w:rsidR="00015A71">
              <w:t xml:space="preserve"> while still ensuring that the protection and maintenance required by Objective NFL</w:t>
            </w:r>
            <w:r w:rsidR="00750D46">
              <w:t>–</w:t>
            </w:r>
            <w:r w:rsidR="00015A71">
              <w:t xml:space="preserve">O1 </w:t>
            </w:r>
            <w:r w:rsidR="00E76183">
              <w:t>is</w:t>
            </w:r>
            <w:r w:rsidR="00015A71">
              <w:t xml:space="preserve"> achieved. </w:t>
            </w:r>
            <w:r w:rsidR="008A140B">
              <w:t xml:space="preserve">Clarifying the specific roles and responsibilities of Otago’s local authorities </w:t>
            </w:r>
            <w:r w:rsidR="00B537C4">
              <w:t xml:space="preserve">will improve </w:t>
            </w:r>
            <w:r w:rsidR="00AC327E">
              <w:t>the implementation of the policies, which in turn improves th</w:t>
            </w:r>
            <w:r w:rsidR="00384DB0">
              <w:t>e achievement of the objectives.</w:t>
            </w:r>
          </w:p>
        </w:tc>
      </w:tr>
    </w:tbl>
    <w:p w14:paraId="289286F8" w14:textId="285D8714" w:rsidR="00E9552F" w:rsidRDefault="00E9552F" w:rsidP="0082271A">
      <w:pPr>
        <w:pStyle w:val="Heading3"/>
      </w:pPr>
      <w:r>
        <w:t>Risk of acting or not acting</w:t>
      </w:r>
    </w:p>
    <w:p w14:paraId="1850A772" w14:textId="375ECF35" w:rsidR="00E9552F" w:rsidRDefault="00E9552F"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725AAE">
        <w:t xml:space="preserve"> In this case, there is uncertainty about the full extent of Otago’s outstanding and highly valued natural features </w:t>
      </w:r>
      <w:r w:rsidR="00AB0491">
        <w:t xml:space="preserve">as these have not been </w:t>
      </w:r>
      <w:r w:rsidR="00F16F1D">
        <w:t xml:space="preserve">identified across the </w:t>
      </w:r>
      <w:r w:rsidR="00E71173">
        <w:t xml:space="preserve">whole </w:t>
      </w:r>
      <w:r w:rsidR="00F16F1D">
        <w:t xml:space="preserve">region. This means there is uncertainty about the </w:t>
      </w:r>
      <w:r w:rsidR="00F42E5A">
        <w:t>geographic areas these provisions will apply to</w:t>
      </w:r>
      <w:r w:rsidR="00777F50">
        <w:t xml:space="preserve"> and therefore the level of restriction on subdivision, use or development. </w:t>
      </w:r>
    </w:p>
    <w:p w14:paraId="4DD392FC" w14:textId="20992E84" w:rsidR="00D90C9E" w:rsidRDefault="00183692" w:rsidP="00A247C5">
      <w:pPr>
        <w:pStyle w:val="Normal2"/>
      </w:pPr>
      <w:r>
        <w:t xml:space="preserve">The risk of acting or not acting </w:t>
      </w:r>
      <w:proofErr w:type="gramStart"/>
      <w:r>
        <w:t>is considered to be</w:t>
      </w:r>
      <w:proofErr w:type="gramEnd"/>
      <w:r>
        <w:t xml:space="preserve"> the same, given that the PORPS 201</w:t>
      </w:r>
      <w:r w:rsidR="0034136D">
        <w:t>9</w:t>
      </w:r>
      <w:r>
        <w:t xml:space="preserve"> (status quo) still requires identification of these areas based on </w:t>
      </w:r>
      <w:r w:rsidR="0034362E">
        <w:t xml:space="preserve">the same amount of information. As </w:t>
      </w:r>
      <w:r w:rsidR="006A3A1C">
        <w:t xml:space="preserve">the provisions in </w:t>
      </w:r>
      <w:r w:rsidR="0034362E">
        <w:t xml:space="preserve">option 2 </w:t>
      </w:r>
      <w:proofErr w:type="gramStart"/>
      <w:r w:rsidR="006A3A1C">
        <w:t>are considered to be</w:t>
      </w:r>
      <w:proofErr w:type="gramEnd"/>
      <w:r w:rsidR="0034362E">
        <w:t xml:space="preserve"> more efficient and effective </w:t>
      </w:r>
      <w:r w:rsidR="006A3A1C">
        <w:t xml:space="preserve">in achieving the objectives, </w:t>
      </w:r>
      <w:r w:rsidR="00C6757D">
        <w:t xml:space="preserve">as well as result in better alignment across the region, </w:t>
      </w:r>
      <w:r w:rsidR="006A3A1C">
        <w:t>it is appropriate to act in this case.</w:t>
      </w:r>
    </w:p>
    <w:p w14:paraId="69348199" w14:textId="23F58193" w:rsidR="00E9552F" w:rsidRDefault="00E9552F" w:rsidP="0082271A">
      <w:pPr>
        <w:pStyle w:val="Heading3"/>
      </w:pPr>
      <w:r>
        <w:t>Conclusion</w:t>
      </w:r>
    </w:p>
    <w:p w14:paraId="1E5CCBD6" w14:textId="20E51F77" w:rsidR="00E9552F" w:rsidRPr="00005F72" w:rsidRDefault="00D96CD2" w:rsidP="00A247C5">
      <w:pPr>
        <w:pStyle w:val="Normal2"/>
      </w:pPr>
      <w:r>
        <w:t xml:space="preserve">The cost-benefit and effectiveness and efficiency assessments have shown that overall, the </w:t>
      </w:r>
      <w:r w:rsidR="00E81F7F">
        <w:t>PORPS 2021</w:t>
      </w:r>
      <w:r>
        <w:t xml:space="preserve"> provisions are generally more efficient than the status quo and more effective at achieving the objectives of the </w:t>
      </w:r>
      <w:r w:rsidR="00E81F7F">
        <w:t>PORPS 2021</w:t>
      </w:r>
      <w:r>
        <w:t xml:space="preserve">. </w:t>
      </w:r>
      <w:r w:rsidR="004464E5">
        <w:t xml:space="preserve">The provisions will assist ORC and the territorial authorities to fulfil their obligations under sections </w:t>
      </w:r>
      <w:r w:rsidR="0086376F">
        <w:t>6</w:t>
      </w:r>
      <w:r w:rsidR="00E42089">
        <w:t xml:space="preserve"> and 7 of the RMA </w:t>
      </w:r>
      <w:r w:rsidR="00A2699F">
        <w:t>in a regionally consistent manner.</w:t>
      </w:r>
    </w:p>
    <w:p w14:paraId="66D0EE20" w14:textId="77777777" w:rsidR="003C5947" w:rsidRDefault="003C5947">
      <w:pPr>
        <w:rPr>
          <w:rFonts w:asciiTheme="majorHAnsi" w:eastAsiaTheme="majorEastAsia" w:hAnsiTheme="majorHAnsi" w:cstheme="majorBidi"/>
          <w:color w:val="2F5496" w:themeColor="accent1" w:themeShade="BF"/>
          <w:sz w:val="26"/>
          <w:szCs w:val="26"/>
        </w:rPr>
      </w:pPr>
      <w:r>
        <w:br w:type="page"/>
      </w:r>
    </w:p>
    <w:p w14:paraId="1D04E799" w14:textId="1A95907D" w:rsidR="00424DBB" w:rsidRDefault="00A97861" w:rsidP="00CB405E">
      <w:pPr>
        <w:pStyle w:val="Heading2"/>
      </w:pPr>
      <w:bookmarkStart w:id="150" w:name="_Toc72507646"/>
      <w:bookmarkStart w:id="151" w:name="_Ref72748306"/>
      <w:r>
        <w:lastRenderedPageBreak/>
        <w:t xml:space="preserve">UFD – </w:t>
      </w:r>
      <w:r w:rsidR="00424DBB">
        <w:t>Urban form and development</w:t>
      </w:r>
      <w:bookmarkEnd w:id="150"/>
      <w:bookmarkEnd w:id="151"/>
    </w:p>
    <w:p w14:paraId="603588C2" w14:textId="77777777" w:rsidR="00424DBB" w:rsidRDefault="00424DBB" w:rsidP="0082271A">
      <w:pPr>
        <w:pStyle w:val="Heading3"/>
      </w:pPr>
      <w:r>
        <w:t>Introduction</w:t>
      </w:r>
    </w:p>
    <w:p w14:paraId="00CC72D1" w14:textId="2A07BD35" w:rsidR="00424DBB" w:rsidRDefault="003E3F18" w:rsidP="00A247C5">
      <w:pPr>
        <w:pStyle w:val="Normal2"/>
      </w:pPr>
      <w:r>
        <w:t xml:space="preserve">This section of the report assesses the provisions proposed in the </w:t>
      </w:r>
      <w:r w:rsidR="00E81F7F">
        <w:t>PORPS 2021</w:t>
      </w:r>
      <w:r>
        <w:t xml:space="preserve"> relating to urban form and development. </w:t>
      </w:r>
      <w:r w:rsidR="00945095">
        <w:t>U</w:t>
      </w:r>
      <w:r w:rsidR="00E34966">
        <w:t>rban areas</w:t>
      </w:r>
      <w:r w:rsidR="005F6E4F">
        <w:t xml:space="preserve"> are important for</w:t>
      </w:r>
      <w:r w:rsidR="001C22B1">
        <w:t xml:space="preserve"> community we</w:t>
      </w:r>
      <w:r w:rsidR="00945095">
        <w:t>l</w:t>
      </w:r>
      <w:r w:rsidR="001C22B1">
        <w:t>lbeing</w:t>
      </w:r>
      <w:r w:rsidR="005F6E4F">
        <w:t xml:space="preserve">. </w:t>
      </w:r>
      <w:r w:rsidR="003A7D65">
        <w:t xml:space="preserve">Well-functioning urban areas enable social interactions and provide a wide variety of housing, </w:t>
      </w:r>
      <w:proofErr w:type="gramStart"/>
      <w:r w:rsidR="003A7D65">
        <w:t>employment</w:t>
      </w:r>
      <w:proofErr w:type="gramEnd"/>
      <w:r w:rsidR="003A7D65">
        <w:t xml:space="preserve"> and recreational opportunities to meet </w:t>
      </w:r>
      <w:r w:rsidR="00B80F35">
        <w:t>the</w:t>
      </w:r>
      <w:r w:rsidR="003A7D65">
        <w:t xml:space="preserve"> needs and preferences of communities, in a way that maximises the wellbeing of its present and future inhabitants, and respects its history, setting and the environment. </w:t>
      </w:r>
      <w:r w:rsidR="00FE4746">
        <w:t xml:space="preserve">The combination of population growth and demographic change, two key drivers which vary across Otago, will result in changes in the quantity and qualities demanded of housing, employment, business, infrastructure, social </w:t>
      </w:r>
      <w:proofErr w:type="gramStart"/>
      <w:r w:rsidR="00FE4746">
        <w:t>facilities</w:t>
      </w:r>
      <w:proofErr w:type="gramEnd"/>
      <w:r w:rsidR="00FE4746">
        <w:t xml:space="preserve"> and services</w:t>
      </w:r>
      <w:r w:rsidR="00100A4F">
        <w:t xml:space="preserve">. </w:t>
      </w:r>
      <w:r w:rsidR="00785984">
        <w:t>Managing</w:t>
      </w:r>
      <w:r w:rsidR="00100A4F">
        <w:t xml:space="preserve"> the form, growth and development of urban areas</w:t>
      </w:r>
      <w:r w:rsidR="00785984">
        <w:t xml:space="preserve"> appropriately is therefore </w:t>
      </w:r>
      <w:r w:rsidR="00AC2E37">
        <w:t>key to providing for the community’s wellbeing</w:t>
      </w:r>
      <w:r w:rsidR="00E60B1E">
        <w:t xml:space="preserve"> now and into the future</w:t>
      </w:r>
      <w:r w:rsidR="00AC2E37">
        <w:t>.</w:t>
      </w:r>
    </w:p>
    <w:p w14:paraId="187AD89D" w14:textId="31A0EAB9" w:rsidR="004A1F73" w:rsidRDefault="008335FD" w:rsidP="00A247C5">
      <w:pPr>
        <w:pStyle w:val="Normal2"/>
      </w:pPr>
      <w:r>
        <w:t xml:space="preserve">While </w:t>
      </w:r>
      <w:r w:rsidR="00EE274D">
        <w:t xml:space="preserve">99% of </w:t>
      </w:r>
      <w:r>
        <w:t>Otago</w:t>
      </w:r>
      <w:r w:rsidR="00EE274D">
        <w:t xml:space="preserve">’s </w:t>
      </w:r>
      <w:r w:rsidR="00743FBF">
        <w:t>land</w:t>
      </w:r>
      <w:r w:rsidR="00EE274D">
        <w:t xml:space="preserve"> area</w:t>
      </w:r>
      <w:r>
        <w:t xml:space="preserve"> is predominantly non-urban</w:t>
      </w:r>
      <w:r w:rsidRPr="29589E8D">
        <w:rPr>
          <w:i/>
          <w:iCs/>
        </w:rPr>
        <w:t xml:space="preserve">, </w:t>
      </w:r>
      <w:r>
        <w:t xml:space="preserve">approximately 87% of the Otago Region’s </w:t>
      </w:r>
      <w:r w:rsidR="00C40D27" w:rsidRPr="00A73BBD">
        <w:t>usually</w:t>
      </w:r>
      <w:r w:rsidR="00C40D27">
        <w:t xml:space="preserve"> </w:t>
      </w:r>
      <w:r w:rsidR="00B01893">
        <w:t xml:space="preserve">resident </w:t>
      </w:r>
      <w:r w:rsidRPr="00C40D27">
        <w:t>population</w:t>
      </w:r>
      <w:r w:rsidRPr="29589E8D">
        <w:rPr>
          <w:i/>
          <w:iCs/>
        </w:rPr>
        <w:t xml:space="preserve"> </w:t>
      </w:r>
      <w:r w:rsidR="00B01893">
        <w:t>lives</w:t>
      </w:r>
      <w:r>
        <w:t xml:space="preserve"> in urban areas.</w:t>
      </w:r>
      <w:r w:rsidR="002C5923">
        <w:rPr>
          <w:rStyle w:val="FootnoteReference"/>
        </w:rPr>
        <w:footnoteReference w:id="45"/>
      </w:r>
      <w:r>
        <w:t xml:space="preserve"> </w:t>
      </w:r>
      <w:r w:rsidR="00B0457A">
        <w:t xml:space="preserve">Urban areas </w:t>
      </w:r>
      <w:r w:rsidR="008E35F3">
        <w:t xml:space="preserve">are </w:t>
      </w:r>
      <w:r w:rsidR="00B0457A">
        <w:t xml:space="preserve">also where </w:t>
      </w:r>
      <w:r w:rsidR="00B0457A" w:rsidRPr="00DA6ADC">
        <w:t>most</w:t>
      </w:r>
      <w:r w:rsidR="00B0457A">
        <w:t xml:space="preserve"> social facilities, employment, </w:t>
      </w:r>
      <w:proofErr w:type="gramStart"/>
      <w:r w:rsidR="00B0457A">
        <w:t>shops</w:t>
      </w:r>
      <w:proofErr w:type="gramEnd"/>
      <w:r w:rsidR="00B0457A">
        <w:t xml:space="preserve"> and services are located</w:t>
      </w:r>
      <w:r w:rsidR="00606832">
        <w:t xml:space="preserve">, providing access </w:t>
      </w:r>
      <w:r w:rsidR="00406999">
        <w:t xml:space="preserve">to a variety of other people, </w:t>
      </w:r>
      <w:r w:rsidR="007A26B6">
        <w:t>experiences, goods and services</w:t>
      </w:r>
      <w:r w:rsidR="00855CAE">
        <w:t xml:space="preserve">. </w:t>
      </w:r>
      <w:r w:rsidR="007A26B6">
        <w:t>Urban areas with greater populations tend to have greater benefits</w:t>
      </w:r>
      <w:r w:rsidR="00406999">
        <w:t xml:space="preserve">, with </w:t>
      </w:r>
      <w:r w:rsidR="007A26B6">
        <w:t>more variety of services, employment options, access to labour</w:t>
      </w:r>
      <w:r w:rsidR="00406999">
        <w:t xml:space="preserve"> and</w:t>
      </w:r>
      <w:r w:rsidR="007A26B6">
        <w:t xml:space="preserve"> people, and are also more efficiently able to provide and maintain the necessary infrastructure and facilities.</w:t>
      </w:r>
      <w:r w:rsidR="00855CAE">
        <w:t xml:space="preserve"> However, the congregation of </w:t>
      </w:r>
      <w:proofErr w:type="gramStart"/>
      <w:r w:rsidR="004D559B">
        <w:t>all</w:t>
      </w:r>
      <w:r w:rsidR="00855CAE">
        <w:t xml:space="preserve"> of</w:t>
      </w:r>
      <w:proofErr w:type="gramEnd"/>
      <w:r w:rsidR="00855CAE">
        <w:t xml:space="preserve"> these activities can result in a range of adverse effects including congestion, pollution and noise.</w:t>
      </w:r>
      <w:r w:rsidR="004D559B">
        <w:t xml:space="preserve"> </w:t>
      </w:r>
    </w:p>
    <w:p w14:paraId="6AF65011" w14:textId="33208EBC" w:rsidR="004A1F73" w:rsidRDefault="00B5654D" w:rsidP="00A247C5">
      <w:pPr>
        <w:pStyle w:val="Normal2"/>
      </w:pPr>
      <w:r>
        <w:t>Increasing c</w:t>
      </w:r>
      <w:r w:rsidR="004D559B">
        <w:t xml:space="preserve">ompetition for land and space </w:t>
      </w:r>
      <w:r w:rsidR="00081B02">
        <w:t xml:space="preserve">for urban activities </w:t>
      </w:r>
      <w:r w:rsidR="004D559B">
        <w:t xml:space="preserve">and </w:t>
      </w:r>
      <w:r w:rsidR="00081B02">
        <w:t xml:space="preserve">the </w:t>
      </w:r>
      <w:r w:rsidR="004D559B">
        <w:t xml:space="preserve">proximity </w:t>
      </w:r>
      <w:r w:rsidR="00081B02">
        <w:t>of</w:t>
      </w:r>
      <w:r w:rsidR="004D559B">
        <w:t xml:space="preserve"> </w:t>
      </w:r>
      <w:r>
        <w:t xml:space="preserve">land </w:t>
      </w:r>
      <w:r w:rsidR="004D559B">
        <w:t>uses</w:t>
      </w:r>
      <w:r>
        <w:t xml:space="preserve"> </w:t>
      </w:r>
      <w:r w:rsidR="00081B02">
        <w:t>within urban areas</w:t>
      </w:r>
      <w:r w:rsidR="004D559B">
        <w:t xml:space="preserve"> also means that urban places</w:t>
      </w:r>
      <w:r w:rsidR="004E08C8">
        <w:t xml:space="preserve">, including the planning and provision of the necessary infrastructure and other supporting </w:t>
      </w:r>
      <w:r w:rsidR="006E14B4">
        <w:t xml:space="preserve">requirements </w:t>
      </w:r>
      <w:r w:rsidR="007D669B">
        <w:t>need</w:t>
      </w:r>
      <w:r w:rsidR="009323D5">
        <w:t>s</w:t>
      </w:r>
      <w:r w:rsidR="007D669B">
        <w:t xml:space="preserve"> careful management</w:t>
      </w:r>
      <w:r w:rsidR="009323D5">
        <w:t xml:space="preserve"> and integration</w:t>
      </w:r>
      <w:r w:rsidR="00871006">
        <w:t xml:space="preserve">. Infrastructure is both a prerequisite for urban development </w:t>
      </w:r>
      <w:r w:rsidR="00C44BC3">
        <w:t xml:space="preserve">to </w:t>
      </w:r>
      <w:r w:rsidR="00131625">
        <w:t>occur and</w:t>
      </w:r>
      <w:r w:rsidR="00C44BC3">
        <w:t xml:space="preserve"> </w:t>
      </w:r>
      <w:r w:rsidR="00DB2FF8">
        <w:t xml:space="preserve">can strongly influence </w:t>
      </w:r>
      <w:r w:rsidR="00131625">
        <w:t>and</w:t>
      </w:r>
      <w:r w:rsidR="00DB2FF8">
        <w:t xml:space="preserve"> be influenced by </w:t>
      </w:r>
      <w:r w:rsidR="00131625">
        <w:t xml:space="preserve">urban development. </w:t>
      </w:r>
    </w:p>
    <w:p w14:paraId="36440549" w14:textId="1499B3E3" w:rsidR="00F46FBE" w:rsidRDefault="005D0A21" w:rsidP="00A247C5">
      <w:pPr>
        <w:pStyle w:val="Normal2"/>
      </w:pPr>
      <w:r>
        <w:t xml:space="preserve">The growth of </w:t>
      </w:r>
      <w:r w:rsidR="00045558">
        <w:t xml:space="preserve">urban areas </w:t>
      </w:r>
      <w:r w:rsidR="009C14F1">
        <w:t xml:space="preserve">can </w:t>
      </w:r>
      <w:r w:rsidR="00280FC5">
        <w:t xml:space="preserve">result in irreversible changes, such as the loss of </w:t>
      </w:r>
      <w:r w:rsidR="003D6251">
        <w:t>versatile</w:t>
      </w:r>
      <w:r w:rsidR="00280FC5">
        <w:t xml:space="preserve"> soils or productive capacity, </w:t>
      </w:r>
      <w:r w:rsidR="00E54E88">
        <w:t xml:space="preserve">changes to the </w:t>
      </w:r>
      <w:r w:rsidR="00280FC5">
        <w:t xml:space="preserve">landscape and </w:t>
      </w:r>
      <w:r w:rsidR="00E54E88">
        <w:t>reduction of indigenous</w:t>
      </w:r>
      <w:r w:rsidR="00280FC5">
        <w:t xml:space="preserve"> biodiversity</w:t>
      </w:r>
      <w:r w:rsidR="00836920">
        <w:t>.</w:t>
      </w:r>
      <w:r w:rsidR="00DE16C2">
        <w:t xml:space="preserve"> </w:t>
      </w:r>
      <w:r w:rsidR="00E54E88">
        <w:t>Urban growth</w:t>
      </w:r>
      <w:r w:rsidR="005B1605">
        <w:t xml:space="preserve"> also </w:t>
      </w:r>
      <w:r w:rsidR="00216BEF">
        <w:t xml:space="preserve">brings more </w:t>
      </w:r>
      <w:r w:rsidR="006C2784">
        <w:t>residents into area</w:t>
      </w:r>
      <w:r w:rsidR="002D78AB">
        <w:t>s</w:t>
      </w:r>
      <w:r w:rsidR="005A3E2B">
        <w:t>,</w:t>
      </w:r>
      <w:r w:rsidR="002D78AB">
        <w:t xml:space="preserve"> </w:t>
      </w:r>
      <w:r w:rsidR="005A3E2B">
        <w:t>resulting in</w:t>
      </w:r>
      <w:r w:rsidR="002D78AB">
        <w:t xml:space="preserve"> </w:t>
      </w:r>
      <w:r w:rsidR="007A4FD0">
        <w:t>changes in demand for services, infrastructure</w:t>
      </w:r>
      <w:r w:rsidR="005A3E2B">
        <w:t>,</w:t>
      </w:r>
      <w:r w:rsidR="007A4FD0">
        <w:t xml:space="preserve"> </w:t>
      </w:r>
      <w:proofErr w:type="gramStart"/>
      <w:r w:rsidR="007A4FD0">
        <w:t>transport</w:t>
      </w:r>
      <w:proofErr w:type="gramEnd"/>
      <w:r w:rsidR="005A3E2B">
        <w:t xml:space="preserve"> and publicly accessible areas for recreation</w:t>
      </w:r>
      <w:r w:rsidR="005C3A31">
        <w:t xml:space="preserve">. </w:t>
      </w:r>
      <w:r w:rsidR="00E54E88">
        <w:t xml:space="preserve"> </w:t>
      </w:r>
      <w:r w:rsidR="005A3E2B">
        <w:t>T</w:t>
      </w:r>
      <w:r w:rsidR="00E54E88">
        <w:t xml:space="preserve">he impact of urban activities on the surrounding environment can induce changes in </w:t>
      </w:r>
      <w:proofErr w:type="gramStart"/>
      <w:r w:rsidR="00E54E88">
        <w:t>land owner</w:t>
      </w:r>
      <w:proofErr w:type="gramEnd"/>
      <w:r w:rsidR="00E54E88">
        <w:t xml:space="preserve"> expectations and behaviours (for example reduced investment in productive uses in anticipation of future rezoning or as a result of reverse sensitivity impacts from sensitive uses)</w:t>
      </w:r>
      <w:r w:rsidR="009E2A3F">
        <w:t>.</w:t>
      </w:r>
      <w:r w:rsidR="00E54E88">
        <w:t xml:space="preserve"> </w:t>
      </w:r>
      <w:r w:rsidR="00496A1C">
        <w:t>T</w:t>
      </w:r>
      <w:r w:rsidR="005A3E4D">
        <w:t>hese changes are</w:t>
      </w:r>
      <w:r w:rsidR="001235D3">
        <w:t xml:space="preserve"> not</w:t>
      </w:r>
      <w:r w:rsidR="005A3E4D">
        <w:t xml:space="preserve"> </w:t>
      </w:r>
      <w:r w:rsidR="001411FE">
        <w:t xml:space="preserve">necessarily </w:t>
      </w:r>
      <w:r w:rsidR="001D0ACD">
        <w:t xml:space="preserve">adverse, </w:t>
      </w:r>
      <w:r w:rsidR="00496A1C">
        <w:t xml:space="preserve">but it is </w:t>
      </w:r>
      <w:r w:rsidR="00571F10">
        <w:t>important that they are reasonably anticipated and managed</w:t>
      </w:r>
      <w:r w:rsidR="000141A8">
        <w:t xml:space="preserve"> accordingly.</w:t>
      </w:r>
      <w:r w:rsidR="007A4FD0">
        <w:t xml:space="preserve"> </w:t>
      </w:r>
    </w:p>
    <w:p w14:paraId="3361DA29" w14:textId="79D51966" w:rsidR="005D0FA3" w:rsidRDefault="00631598" w:rsidP="00A247C5">
      <w:pPr>
        <w:pStyle w:val="Normal2"/>
      </w:pPr>
      <w:r>
        <w:t>The</w:t>
      </w:r>
      <w:r w:rsidR="00F55E68">
        <w:t>re are aspects of the</w:t>
      </w:r>
      <w:r>
        <w:t xml:space="preserve"> management of urban areas and their </w:t>
      </w:r>
      <w:r w:rsidR="00EA6D41">
        <w:t xml:space="preserve">growth, change and </w:t>
      </w:r>
      <w:r>
        <w:t xml:space="preserve">development </w:t>
      </w:r>
      <w:r w:rsidR="00C83998">
        <w:t xml:space="preserve">that is relevant to both </w:t>
      </w:r>
      <w:r w:rsidR="00C101B5">
        <w:t xml:space="preserve">regional and territorial authorities. </w:t>
      </w:r>
      <w:r w:rsidR="00BE7E06">
        <w:t xml:space="preserve">How urban areas </w:t>
      </w:r>
      <w:r w:rsidR="000F66EF">
        <w:t>develop in one territorial authority jurisdiction can also have effects for wider parts of the region</w:t>
      </w:r>
      <w:r w:rsidR="00102DA7">
        <w:t>, a</w:t>
      </w:r>
      <w:r w:rsidR="009B6C19">
        <w:t>s</w:t>
      </w:r>
      <w:r w:rsidR="00102DA7">
        <w:t xml:space="preserve"> housing and labour markets </w:t>
      </w:r>
      <w:r w:rsidR="00927ECD">
        <w:t>may extend beyond</w:t>
      </w:r>
      <w:r w:rsidR="00A45A6D">
        <w:t xml:space="preserve"> </w:t>
      </w:r>
      <w:r w:rsidR="009B6C19">
        <w:t>local authority</w:t>
      </w:r>
      <w:r w:rsidR="00A45A6D">
        <w:t xml:space="preserve"> boundaries</w:t>
      </w:r>
      <w:r w:rsidR="000F66EF">
        <w:t xml:space="preserve">. </w:t>
      </w:r>
    </w:p>
    <w:p w14:paraId="0BA1A42A" w14:textId="100B231E" w:rsidR="00631598" w:rsidRDefault="00012880" w:rsidP="00A247C5">
      <w:pPr>
        <w:pStyle w:val="Normal2"/>
      </w:pPr>
      <w:r>
        <w:t>T</w:t>
      </w:r>
      <w:r w:rsidR="007F736D">
        <w:t xml:space="preserve">he </w:t>
      </w:r>
      <w:r w:rsidR="00ED4D65">
        <w:t>N</w:t>
      </w:r>
      <w:r w:rsidR="00F8339D">
        <w:t>PSUD</w:t>
      </w:r>
      <w:r>
        <w:t xml:space="preserve"> is particularly important to this topic, as it</w:t>
      </w:r>
      <w:r w:rsidR="00735E68">
        <w:t xml:space="preserve"> provides explicit </w:t>
      </w:r>
      <w:r w:rsidR="00853ED5">
        <w:t>direction</w:t>
      </w:r>
      <w:r w:rsidR="00735E68">
        <w:t xml:space="preserve"> on </w:t>
      </w:r>
      <w:r w:rsidR="007048D8">
        <w:t xml:space="preserve">the form and </w:t>
      </w:r>
      <w:r w:rsidR="00735E68">
        <w:t>development of ur</w:t>
      </w:r>
      <w:r w:rsidR="00853ED5">
        <w:t>ban areas</w:t>
      </w:r>
      <w:r w:rsidR="00291D04">
        <w:t xml:space="preserve"> and </w:t>
      </w:r>
      <w:r w:rsidR="001C1824">
        <w:t xml:space="preserve">imposes </w:t>
      </w:r>
      <w:r w:rsidR="00407092">
        <w:t xml:space="preserve">requirements on ORC and all local </w:t>
      </w:r>
      <w:r w:rsidR="003B0A03">
        <w:t>authorities</w:t>
      </w:r>
      <w:r w:rsidR="00853ED5">
        <w:t>.</w:t>
      </w:r>
      <w:r w:rsidR="0022612E">
        <w:t xml:space="preserve"> </w:t>
      </w:r>
      <w:r w:rsidR="00735E68">
        <w:lastRenderedPageBreak/>
        <w:t>In</w:t>
      </w:r>
      <w:r w:rsidR="003D1765">
        <w:t xml:space="preserve"> </w:t>
      </w:r>
      <w:r w:rsidR="00853ED5">
        <w:t>urban</w:t>
      </w:r>
      <w:r w:rsidR="00735E68">
        <w:t xml:space="preserve"> areas within the coastal environment, </w:t>
      </w:r>
      <w:r w:rsidR="00853ED5">
        <w:t>t</w:t>
      </w:r>
      <w:r w:rsidR="00735E68">
        <w:t xml:space="preserve">he </w:t>
      </w:r>
      <w:r w:rsidR="0070413D">
        <w:t>NZCPS</w:t>
      </w:r>
      <w:r w:rsidR="00735E68">
        <w:t xml:space="preserve"> is also relevant. </w:t>
      </w:r>
      <w:r w:rsidR="002463DA">
        <w:t>Urban form and de</w:t>
      </w:r>
      <w:r w:rsidR="005942FD">
        <w:t>vel</w:t>
      </w:r>
      <w:r w:rsidR="002463DA">
        <w:t>o</w:t>
      </w:r>
      <w:r w:rsidR="005942FD">
        <w:t>p</w:t>
      </w:r>
      <w:r w:rsidR="002463DA">
        <w:t xml:space="preserve">ment also </w:t>
      </w:r>
      <w:proofErr w:type="gramStart"/>
      <w:r w:rsidR="005942FD">
        <w:t>i</w:t>
      </w:r>
      <w:r w:rsidR="002463DA">
        <w:t>ntersects</w:t>
      </w:r>
      <w:proofErr w:type="gramEnd"/>
      <w:r w:rsidR="002463DA">
        <w:t xml:space="preserve"> with </w:t>
      </w:r>
      <w:r w:rsidR="00F31AAD">
        <w:t xml:space="preserve">many </w:t>
      </w:r>
      <w:r w:rsidR="002463DA">
        <w:t>other topics, including natural hazard risk, air quality</w:t>
      </w:r>
      <w:r w:rsidR="005942FD">
        <w:t xml:space="preserve">, landscapes </w:t>
      </w:r>
      <w:r w:rsidR="002463DA">
        <w:t xml:space="preserve">and </w:t>
      </w:r>
      <w:r w:rsidR="00265341">
        <w:t>infrastructure.</w:t>
      </w:r>
      <w:r w:rsidR="009811AE">
        <w:t xml:space="preserve"> </w:t>
      </w:r>
    </w:p>
    <w:p w14:paraId="522D37D6" w14:textId="77777777" w:rsidR="00367D1D" w:rsidRDefault="004B67E0" w:rsidP="00A247C5">
      <w:pPr>
        <w:pStyle w:val="Normal2"/>
      </w:pPr>
      <w:r>
        <w:t>The relevant provisions for this section are</w:t>
      </w:r>
      <w:r w:rsidR="00EB43FD">
        <w:t xml:space="preserve">: </w:t>
      </w:r>
    </w:p>
    <w:p w14:paraId="2BC3EBAE" w14:textId="1F8A4254" w:rsidR="00367D1D" w:rsidRPr="00F8339D" w:rsidRDefault="009B6E05" w:rsidP="00A247C5">
      <w:pPr>
        <w:pStyle w:val="Normal3"/>
      </w:pPr>
      <w:r>
        <w:t>UF</w:t>
      </w:r>
      <w:r w:rsidR="00F0371D">
        <w:t>D</w:t>
      </w:r>
      <w:r w:rsidR="00750D46">
        <w:t>–</w:t>
      </w:r>
      <w:r w:rsidR="00367D1D">
        <w:t>O</w:t>
      </w:r>
      <w:r>
        <w:t>1</w:t>
      </w:r>
      <w:r w:rsidR="00367D1D">
        <w:t xml:space="preserve"> </w:t>
      </w:r>
      <w:r w:rsidR="00DD15AB">
        <w:t xml:space="preserve">– </w:t>
      </w:r>
      <w:r w:rsidR="00D16C22">
        <w:t xml:space="preserve">Form and Function of urban </w:t>
      </w:r>
      <w:r w:rsidR="00DD15AB">
        <w:t>areas</w:t>
      </w:r>
    </w:p>
    <w:p w14:paraId="01BB180A" w14:textId="7961ECEC" w:rsidR="00AD436E" w:rsidRPr="00F8339D" w:rsidRDefault="00AD436E" w:rsidP="00A247C5">
      <w:pPr>
        <w:pStyle w:val="Normal3"/>
      </w:pPr>
      <w:r>
        <w:t>UFD</w:t>
      </w:r>
      <w:r w:rsidR="00750D46">
        <w:t>–</w:t>
      </w:r>
      <w:r>
        <w:t xml:space="preserve">O2 </w:t>
      </w:r>
      <w:r w:rsidR="00D16C22">
        <w:t>- Development of urban areas</w:t>
      </w:r>
    </w:p>
    <w:p w14:paraId="14A429E1" w14:textId="0A3D2F07" w:rsidR="007F7553" w:rsidRPr="00F8339D" w:rsidRDefault="007F7553" w:rsidP="00A247C5">
      <w:pPr>
        <w:pStyle w:val="Normal3"/>
      </w:pPr>
      <w:r>
        <w:t>U</w:t>
      </w:r>
      <w:r w:rsidR="00F0371D">
        <w:t>FD</w:t>
      </w:r>
      <w:r w:rsidR="00750D46">
        <w:t>–</w:t>
      </w:r>
      <w:r w:rsidR="00AD436E">
        <w:t xml:space="preserve">O3 </w:t>
      </w:r>
      <w:r w:rsidR="00DD15AB">
        <w:t>– Strategic planning</w:t>
      </w:r>
    </w:p>
    <w:p w14:paraId="0A7A09CC" w14:textId="4950C03F" w:rsidR="007F7553" w:rsidRPr="00F8339D" w:rsidRDefault="007F7553" w:rsidP="00A247C5">
      <w:pPr>
        <w:pStyle w:val="Normal3"/>
      </w:pPr>
      <w:r>
        <w:t>U</w:t>
      </w:r>
      <w:r w:rsidR="00F0371D">
        <w:t>FD</w:t>
      </w:r>
      <w:r w:rsidR="00750D46">
        <w:t>–</w:t>
      </w:r>
      <w:r w:rsidR="00AD436E">
        <w:t xml:space="preserve">O4 </w:t>
      </w:r>
      <w:r w:rsidR="00DD15AB">
        <w:t xml:space="preserve">– </w:t>
      </w:r>
      <w:r w:rsidR="00FE6C0D">
        <w:t>Development in rural areas</w:t>
      </w:r>
      <w:r w:rsidR="00DA4766">
        <w:t xml:space="preserve">  </w:t>
      </w:r>
      <w:r>
        <w:t xml:space="preserve"> </w:t>
      </w:r>
    </w:p>
    <w:p w14:paraId="65299CCF" w14:textId="0D396A2C" w:rsidR="00E85EEA" w:rsidRPr="00F8339D" w:rsidRDefault="000C78FE" w:rsidP="00A247C5">
      <w:pPr>
        <w:pStyle w:val="Normal3"/>
      </w:pPr>
      <w:r>
        <w:t>UFD</w:t>
      </w:r>
      <w:r w:rsidR="00750D46">
        <w:t>–O</w:t>
      </w:r>
      <w:r>
        <w:t xml:space="preserve">5 </w:t>
      </w:r>
      <w:r w:rsidR="00750D46">
        <w:t>–</w:t>
      </w:r>
      <w:r w:rsidR="00FE6C0D">
        <w:t xml:space="preserve"> </w:t>
      </w:r>
      <w:r w:rsidR="00481D5F">
        <w:t>Urban Development and climate change</w:t>
      </w:r>
    </w:p>
    <w:p w14:paraId="23E12EE1" w14:textId="43BB45DF" w:rsidR="00B851AB" w:rsidRPr="00F8339D" w:rsidRDefault="00DA4766" w:rsidP="00A247C5">
      <w:pPr>
        <w:pStyle w:val="Normal3"/>
      </w:pPr>
      <w:r>
        <w:t>U</w:t>
      </w:r>
      <w:r w:rsidR="00F0371D">
        <w:t>FD</w:t>
      </w:r>
      <w:r w:rsidR="00750D46">
        <w:t>–</w:t>
      </w:r>
      <w:r w:rsidR="00367D1D">
        <w:t>P</w:t>
      </w:r>
      <w:r>
        <w:t>1</w:t>
      </w:r>
      <w:r w:rsidR="00367D1D">
        <w:t xml:space="preserve"> </w:t>
      </w:r>
      <w:r w:rsidR="00DD15AB">
        <w:t>– Strategic planning</w:t>
      </w:r>
      <w:r w:rsidR="00B851AB">
        <w:t xml:space="preserve"> </w:t>
      </w:r>
    </w:p>
    <w:p w14:paraId="1A5DA33D" w14:textId="1D6796BA" w:rsidR="00750A86" w:rsidRPr="00F8339D" w:rsidRDefault="00750A86" w:rsidP="00A247C5">
      <w:pPr>
        <w:pStyle w:val="Normal3"/>
      </w:pPr>
      <w:r>
        <w:t>UFD</w:t>
      </w:r>
      <w:r w:rsidR="003A5B8C">
        <w:t>–</w:t>
      </w:r>
      <w:r>
        <w:t xml:space="preserve">P2 </w:t>
      </w:r>
      <w:r w:rsidR="003A5B8C">
        <w:t>–</w:t>
      </w:r>
      <w:r>
        <w:t xml:space="preserve"> </w:t>
      </w:r>
      <w:r w:rsidR="004E50EB">
        <w:t>Sufficiency</w:t>
      </w:r>
      <w:r w:rsidR="00481D5F">
        <w:t xml:space="preserve"> of development capacity</w:t>
      </w:r>
    </w:p>
    <w:p w14:paraId="10BFB96E" w14:textId="44FE97E1" w:rsidR="00367D1D" w:rsidRPr="00F8339D" w:rsidRDefault="00B851AB" w:rsidP="00A247C5">
      <w:pPr>
        <w:pStyle w:val="Normal3"/>
      </w:pPr>
      <w:r>
        <w:t>U</w:t>
      </w:r>
      <w:r w:rsidR="00F0371D">
        <w:t>FD</w:t>
      </w:r>
      <w:r w:rsidR="003A5B8C">
        <w:t>–</w:t>
      </w:r>
      <w:r w:rsidR="004E50EB">
        <w:t xml:space="preserve">P3 </w:t>
      </w:r>
      <w:r w:rsidR="00DD15AB">
        <w:t>– Urban intensification</w:t>
      </w:r>
    </w:p>
    <w:p w14:paraId="5BC189CF" w14:textId="3FBB99CA" w:rsidR="00E12DF0" w:rsidRPr="00F8339D" w:rsidRDefault="00E12DF0" w:rsidP="00A247C5">
      <w:pPr>
        <w:pStyle w:val="Normal3"/>
      </w:pPr>
      <w:r>
        <w:t>U</w:t>
      </w:r>
      <w:r w:rsidR="00F0371D">
        <w:t>FD</w:t>
      </w:r>
      <w:r w:rsidR="003A5B8C">
        <w:t>–</w:t>
      </w:r>
      <w:r w:rsidR="004E50EB">
        <w:t xml:space="preserve">P4 </w:t>
      </w:r>
      <w:r w:rsidR="00747615">
        <w:t>– Urban expansion</w:t>
      </w:r>
    </w:p>
    <w:p w14:paraId="6216E6D1" w14:textId="4B3433AA" w:rsidR="00367D98" w:rsidRPr="00F8339D" w:rsidRDefault="00367D98" w:rsidP="00A247C5">
      <w:pPr>
        <w:pStyle w:val="Normal3"/>
      </w:pPr>
      <w:r>
        <w:t>U</w:t>
      </w:r>
      <w:r w:rsidR="00F0371D">
        <w:t>FD</w:t>
      </w:r>
      <w:r w:rsidR="003A5B8C">
        <w:t>–</w:t>
      </w:r>
      <w:r w:rsidR="00B74CF7">
        <w:t xml:space="preserve">P5 </w:t>
      </w:r>
      <w:r w:rsidR="00747615">
        <w:t>– Commercial activities</w:t>
      </w:r>
    </w:p>
    <w:p w14:paraId="7E4DF292" w14:textId="04FE06EF" w:rsidR="005C2201" w:rsidRPr="00F8339D" w:rsidRDefault="005C2201" w:rsidP="00A247C5">
      <w:pPr>
        <w:pStyle w:val="Normal3"/>
      </w:pPr>
      <w:r>
        <w:t>U</w:t>
      </w:r>
      <w:r w:rsidR="00F0371D">
        <w:t>FD</w:t>
      </w:r>
      <w:r w:rsidR="003A5B8C">
        <w:t>–</w:t>
      </w:r>
      <w:r w:rsidR="00351BD7">
        <w:t xml:space="preserve">P6 </w:t>
      </w:r>
      <w:r w:rsidR="009731BA">
        <w:t xml:space="preserve">– Industrial </w:t>
      </w:r>
      <w:r w:rsidR="00481D5F">
        <w:t>activities</w:t>
      </w:r>
    </w:p>
    <w:p w14:paraId="57410EED" w14:textId="1B1331B9" w:rsidR="005C2201" w:rsidRPr="00F8339D" w:rsidRDefault="005C2201" w:rsidP="00A247C5">
      <w:pPr>
        <w:pStyle w:val="Normal3"/>
      </w:pPr>
      <w:r>
        <w:t>U</w:t>
      </w:r>
      <w:r w:rsidR="00F0371D">
        <w:t>FD</w:t>
      </w:r>
      <w:r w:rsidR="003A5B8C">
        <w:t>–</w:t>
      </w:r>
      <w:r w:rsidR="00351BD7">
        <w:t xml:space="preserve">P7 </w:t>
      </w:r>
      <w:r w:rsidR="009731BA">
        <w:t>–</w:t>
      </w:r>
      <w:r w:rsidR="00481D5F">
        <w:t xml:space="preserve">Rural </w:t>
      </w:r>
      <w:r w:rsidR="00290D00">
        <w:t>a</w:t>
      </w:r>
      <w:r w:rsidR="009731BA">
        <w:t>reas</w:t>
      </w:r>
    </w:p>
    <w:p w14:paraId="55677DB2" w14:textId="3E05FBDF" w:rsidR="005C2201" w:rsidRPr="00F8339D" w:rsidRDefault="004C729D" w:rsidP="00A247C5">
      <w:pPr>
        <w:pStyle w:val="Normal3"/>
      </w:pPr>
      <w:r>
        <w:t>UFD</w:t>
      </w:r>
      <w:r w:rsidR="003A5B8C">
        <w:t>–</w:t>
      </w:r>
      <w:r w:rsidR="00351BD7">
        <w:t xml:space="preserve">P8 </w:t>
      </w:r>
      <w:r w:rsidR="009731BA">
        <w:t>– Rural lifestyle and rural residential zones</w:t>
      </w:r>
    </w:p>
    <w:p w14:paraId="14607909" w14:textId="736D671E" w:rsidR="004C729D" w:rsidRDefault="00086C25" w:rsidP="00A247C5">
      <w:pPr>
        <w:pStyle w:val="Normal3"/>
      </w:pPr>
      <w:r>
        <w:t>UFD</w:t>
      </w:r>
      <w:r w:rsidR="00F62190">
        <w:t>–</w:t>
      </w:r>
      <w:r w:rsidR="00351BD7">
        <w:t xml:space="preserve">P9 </w:t>
      </w:r>
      <w:r w:rsidR="009731BA">
        <w:t xml:space="preserve">– Iwi, </w:t>
      </w:r>
      <w:proofErr w:type="spellStart"/>
      <w:r w:rsidR="009731BA">
        <w:t>hapū</w:t>
      </w:r>
      <w:proofErr w:type="spellEnd"/>
      <w:r w:rsidR="009731BA">
        <w:t xml:space="preserve"> and </w:t>
      </w:r>
      <w:proofErr w:type="spellStart"/>
      <w:r w:rsidR="009731BA">
        <w:t>whānau</w:t>
      </w:r>
      <w:proofErr w:type="spellEnd"/>
    </w:p>
    <w:p w14:paraId="2EDA6625" w14:textId="0154F7BF" w:rsidR="009731BA" w:rsidRPr="00F8339D" w:rsidRDefault="009731BA" w:rsidP="00A247C5">
      <w:pPr>
        <w:pStyle w:val="Normal3"/>
      </w:pPr>
      <w:r>
        <w:t>UFD</w:t>
      </w:r>
      <w:r w:rsidR="00F62190">
        <w:t>–</w:t>
      </w:r>
      <w:r w:rsidR="00351BD7">
        <w:t xml:space="preserve">P10 </w:t>
      </w:r>
      <w:r w:rsidR="001A633E">
        <w:t>–</w:t>
      </w:r>
      <w:r>
        <w:t xml:space="preserve"> </w:t>
      </w:r>
      <w:r w:rsidR="001A633E">
        <w:t>Criteria for significant development capacity</w:t>
      </w:r>
    </w:p>
    <w:p w14:paraId="087D9E96" w14:textId="1CD5F059" w:rsidR="00367D1D" w:rsidRPr="00F8339D" w:rsidRDefault="00086C25" w:rsidP="00A247C5">
      <w:pPr>
        <w:pStyle w:val="Normal3"/>
      </w:pPr>
      <w:r>
        <w:t>UFD</w:t>
      </w:r>
      <w:r w:rsidR="00F62190">
        <w:t>–</w:t>
      </w:r>
      <w:r w:rsidR="00367D1D">
        <w:t>M</w:t>
      </w:r>
      <w:r w:rsidR="00284EE0">
        <w:t>1</w:t>
      </w:r>
      <w:r w:rsidR="00367D1D">
        <w:t xml:space="preserve"> </w:t>
      </w:r>
      <w:r w:rsidR="00F5654E">
        <w:t>– Strategic planning</w:t>
      </w:r>
    </w:p>
    <w:p w14:paraId="0A5EE3C4" w14:textId="79FCD9B6" w:rsidR="00906ABF" w:rsidRPr="00F8339D" w:rsidRDefault="002164DB" w:rsidP="00A247C5">
      <w:pPr>
        <w:pStyle w:val="Normal3"/>
      </w:pPr>
      <w:r>
        <w:t>UFD</w:t>
      </w:r>
      <w:r w:rsidR="00F62190">
        <w:t>–</w:t>
      </w:r>
      <w:r>
        <w:t xml:space="preserve">M2 </w:t>
      </w:r>
      <w:r w:rsidR="00F5654E">
        <w:t xml:space="preserve">– </w:t>
      </w:r>
      <w:r w:rsidR="00367D1D">
        <w:t>District Plans</w:t>
      </w:r>
    </w:p>
    <w:p w14:paraId="45585F39" w14:textId="30727BB5" w:rsidR="00906ABF" w:rsidRPr="00F8339D" w:rsidRDefault="00906ABF" w:rsidP="00A247C5">
      <w:pPr>
        <w:pStyle w:val="Normal3"/>
      </w:pPr>
      <w:r>
        <w:t>UFD</w:t>
      </w:r>
      <w:r w:rsidR="00F62190">
        <w:t>–</w:t>
      </w:r>
      <w:r>
        <w:t xml:space="preserve">M3 </w:t>
      </w:r>
      <w:r w:rsidR="00F5654E">
        <w:t xml:space="preserve">– </w:t>
      </w:r>
      <w:r>
        <w:t>Design of public spaces</w:t>
      </w:r>
      <w:r w:rsidR="000308E9">
        <w:t xml:space="preserve"> and surrounds</w:t>
      </w:r>
    </w:p>
    <w:p w14:paraId="4178DAE8" w14:textId="500456A9" w:rsidR="001B3DD5" w:rsidRPr="00F8339D" w:rsidRDefault="00BE7C35" w:rsidP="00A247C5">
      <w:pPr>
        <w:pStyle w:val="Normal3"/>
      </w:pPr>
      <w:r>
        <w:t xml:space="preserve">APP10 </w:t>
      </w:r>
      <w:r w:rsidR="00204093">
        <w:t>–</w:t>
      </w:r>
      <w:r w:rsidR="001B3DD5">
        <w:t xml:space="preserve"> Bottom </w:t>
      </w:r>
      <w:r w:rsidR="00204093">
        <w:t>l</w:t>
      </w:r>
      <w:r w:rsidR="001B3DD5">
        <w:t xml:space="preserve">ines for </w:t>
      </w:r>
      <w:r w:rsidR="00204093">
        <w:t>d</w:t>
      </w:r>
      <w:r w:rsidR="001B3DD5">
        <w:t xml:space="preserve">evelopment </w:t>
      </w:r>
      <w:r w:rsidR="00204093">
        <w:t>c</w:t>
      </w:r>
      <w:r w:rsidR="001B3DD5">
        <w:t>apacity</w:t>
      </w:r>
    </w:p>
    <w:p w14:paraId="3E5D6476" w14:textId="433041FF" w:rsidR="00424DBB" w:rsidRDefault="00424DBB" w:rsidP="0082271A">
      <w:pPr>
        <w:pStyle w:val="Heading3"/>
      </w:pPr>
      <w:bookmarkStart w:id="152" w:name="_Ref53995888"/>
      <w:r>
        <w:t>Current issues</w:t>
      </w:r>
      <w:bookmarkEnd w:id="152"/>
    </w:p>
    <w:p w14:paraId="11DA1528" w14:textId="77777777" w:rsidR="008E0774" w:rsidRDefault="00F66500" w:rsidP="005133F7">
      <w:pPr>
        <w:pStyle w:val="Normal2"/>
      </w:pPr>
      <w:r>
        <w:t>H</w:t>
      </w:r>
      <w:r w:rsidR="00293094">
        <w:t>igh quality urban environments maximise the positive aspects of urban areas</w:t>
      </w:r>
      <w:r w:rsidR="002A3ACF">
        <w:t xml:space="preserve"> </w:t>
      </w:r>
      <w:r w:rsidR="00293094">
        <w:t>while minimising as far as possible its negative impacts</w:t>
      </w:r>
      <w:r w:rsidR="00C0119A">
        <w:t xml:space="preserve">. </w:t>
      </w:r>
      <w:r w:rsidR="002A3ACF">
        <w:t>Conversely</w:t>
      </w:r>
      <w:r w:rsidR="00C0119A">
        <w:t>,</w:t>
      </w:r>
      <w:r w:rsidR="00293094">
        <w:t xml:space="preserve"> </w:t>
      </w:r>
      <w:proofErr w:type="gramStart"/>
      <w:r w:rsidR="00293094">
        <w:t>inefficient</w:t>
      </w:r>
      <w:proofErr w:type="gramEnd"/>
      <w:r w:rsidR="00293094">
        <w:t xml:space="preserve"> or poorly planned urban development can adversely affect individual and community wellbeing</w:t>
      </w:r>
      <w:r w:rsidR="00B01DC4">
        <w:t>, and result in adverse environmental and economic outcomes</w:t>
      </w:r>
      <w:r w:rsidR="00293094">
        <w:t xml:space="preserve">. </w:t>
      </w:r>
    </w:p>
    <w:p w14:paraId="2AFA1BFF" w14:textId="3A4921BD" w:rsidR="00ED5D79" w:rsidRDefault="0076553D" w:rsidP="00A247C5">
      <w:pPr>
        <w:pStyle w:val="Normal2"/>
      </w:pPr>
      <w:r>
        <w:t xml:space="preserve">The concentration of activities into urban areas can </w:t>
      </w:r>
      <w:r w:rsidR="00A769EE">
        <w:t xml:space="preserve">also </w:t>
      </w:r>
      <w:r>
        <w:t xml:space="preserve">generate a range of adverse impacts on the natural environment, including by land consumption, waterway and vegetation modification, increased water demand, and increased discharges to air, land and water, all of which can also impact mana whenua values. </w:t>
      </w:r>
    </w:p>
    <w:p w14:paraId="73C29E92" w14:textId="594F6AE3" w:rsidR="0076553D" w:rsidRDefault="0076553D" w:rsidP="00A247C5">
      <w:pPr>
        <w:pStyle w:val="Normal2"/>
      </w:pPr>
      <w:r>
        <w:t xml:space="preserve">Transportation of goods and people between and within urban areas </w:t>
      </w:r>
      <w:r w:rsidR="00BF1A92">
        <w:t xml:space="preserve">is necessary and important </w:t>
      </w:r>
      <w:r w:rsidR="004F7C03">
        <w:t xml:space="preserve">for </w:t>
      </w:r>
      <w:r w:rsidR="00E06A07">
        <w:t xml:space="preserve">community </w:t>
      </w:r>
      <w:r w:rsidR="006B3466">
        <w:t>wellbeing but</w:t>
      </w:r>
      <w:r w:rsidR="00E06A07">
        <w:t xml:space="preserve"> </w:t>
      </w:r>
      <w:r>
        <w:t xml:space="preserve">can also generate adverse effects. Development or expansion of urban areas can also result in a loss or degradation of important resources including highly productive land, significant </w:t>
      </w:r>
      <w:proofErr w:type="gramStart"/>
      <w:r>
        <w:t>biodiversity</w:t>
      </w:r>
      <w:proofErr w:type="gramEnd"/>
      <w:r>
        <w:t xml:space="preserve"> or landscapes, cultural or heritage features.</w:t>
      </w:r>
      <w:r w:rsidR="003705F4">
        <w:t xml:space="preserve"> Poorly planned or timed development can also result in an inefficient use of resources, such as vacant or underutilised urban areas, or increased capital and operational costs for infrastructure.</w:t>
      </w:r>
    </w:p>
    <w:p w14:paraId="74D7C9E2" w14:textId="56C469BE" w:rsidR="0092379D" w:rsidRDefault="00A769EE" w:rsidP="00A247C5">
      <w:pPr>
        <w:pStyle w:val="Normal2"/>
      </w:pPr>
      <w:r>
        <w:t xml:space="preserve">How urban areas function and grow can directly affect a significant proportion of the current and future urban population. Urban growth and the performance of urban areas, as well as affecting residents of those areas, also has wider impacts including on those who reside or work in rural areas, as a range of goods and services supplying rural areas are provided from urban areas, while rural land often provides for food, water and waste disposal needs </w:t>
      </w:r>
      <w:r w:rsidR="005133F7">
        <w:t>f</w:t>
      </w:r>
      <w:r>
        <w:t xml:space="preserve">or </w:t>
      </w:r>
      <w:r>
        <w:lastRenderedPageBreak/>
        <w:t>urban areas.</w:t>
      </w:r>
      <w:r w:rsidR="002A3ACF">
        <w:t xml:space="preserve"> </w:t>
      </w:r>
      <w:r w:rsidR="00C53D96">
        <w:t xml:space="preserve">For mana whenua, development of </w:t>
      </w:r>
      <w:proofErr w:type="spellStart"/>
      <w:r w:rsidR="00C53D96">
        <w:t>papakainga</w:t>
      </w:r>
      <w:proofErr w:type="spellEnd"/>
      <w:r w:rsidR="00C53D96">
        <w:t>/</w:t>
      </w:r>
      <w:proofErr w:type="spellStart"/>
      <w:r w:rsidR="00C53D96">
        <w:t>kaika</w:t>
      </w:r>
      <w:proofErr w:type="spellEnd"/>
      <w:r w:rsidR="00C53D96">
        <w:t xml:space="preserve"> </w:t>
      </w:r>
      <w:proofErr w:type="spellStart"/>
      <w:r w:rsidR="00C53D96">
        <w:t>nohoaka</w:t>
      </w:r>
      <w:proofErr w:type="spellEnd"/>
      <w:r w:rsidR="00C53D96">
        <w:t xml:space="preserve"> would enable them </w:t>
      </w:r>
      <w:r w:rsidR="00CC04C3">
        <w:t xml:space="preserve">to support themselves on ancestral </w:t>
      </w:r>
      <w:r w:rsidR="00503386">
        <w:t xml:space="preserve">or </w:t>
      </w:r>
      <w:r w:rsidR="00B80C47">
        <w:t xml:space="preserve">communally owned </w:t>
      </w:r>
      <w:r w:rsidR="00CC04C3">
        <w:t>lands</w:t>
      </w:r>
      <w:r w:rsidR="00C53D96">
        <w:t>.</w:t>
      </w:r>
    </w:p>
    <w:p w14:paraId="54B64303" w14:textId="637F1F20" w:rsidR="001176C0" w:rsidRDefault="009F7F45" w:rsidP="00A247C5">
      <w:pPr>
        <w:pStyle w:val="Normal2"/>
      </w:pPr>
      <w:r>
        <w:t>Rural lifestyle development is a popular living choice in the region, driven by a combination of Otago’s landscapes and natural features, and relatively low time/distance costs</w:t>
      </w:r>
      <w:r w:rsidR="00747A17">
        <w:t xml:space="preserve"> </w:t>
      </w:r>
      <w:r w:rsidR="009A55B4">
        <w:t xml:space="preserve">of commuting </w:t>
      </w:r>
      <w:r w:rsidR="0028391F">
        <w:t>to</w:t>
      </w:r>
      <w:r w:rsidR="00747A17">
        <w:t xml:space="preserve"> the region</w:t>
      </w:r>
      <w:r w:rsidR="00773DEA">
        <w:t>’</w:t>
      </w:r>
      <w:r w:rsidR="00747A17">
        <w:t>s towns and settlements</w:t>
      </w:r>
      <w:r>
        <w:t xml:space="preserve">. Rural lifestyle development is primarily a non-rural activity that seeks to establish in rural areas due to </w:t>
      </w:r>
      <w:r w:rsidR="00B46018">
        <w:t xml:space="preserve">a </w:t>
      </w:r>
      <w:r>
        <w:t xml:space="preserve">combination of </w:t>
      </w:r>
      <w:r w:rsidR="00B46018">
        <w:t>the</w:t>
      </w:r>
      <w:r>
        <w:t xml:space="preserve"> amenity </w:t>
      </w:r>
      <w:r w:rsidR="00B46018">
        <w:t>associated with these areas</w:t>
      </w:r>
      <w:r>
        <w:t xml:space="preserve"> (views, privacy, space) and preferences</w:t>
      </w:r>
      <w:r w:rsidR="00C54F23">
        <w:t xml:space="preserve"> for space, </w:t>
      </w:r>
      <w:proofErr w:type="gramStart"/>
      <w:r w:rsidR="00C54F23">
        <w:t>views</w:t>
      </w:r>
      <w:proofErr w:type="gramEnd"/>
      <w:r w:rsidR="00C54F23">
        <w:t xml:space="preserve"> or </w:t>
      </w:r>
      <w:r w:rsidR="00AD7E41">
        <w:t>dwelling</w:t>
      </w:r>
      <w:r>
        <w:t xml:space="preserve">. As a predominantly residential activity, most rural lifestyle development is concentrated </w:t>
      </w:r>
      <w:r w:rsidR="006A0928">
        <w:t xml:space="preserve">in proximity </w:t>
      </w:r>
      <w:r>
        <w:t xml:space="preserve">to existing settlements to enable residents to access the services and facilities </w:t>
      </w:r>
      <w:r w:rsidR="006A0928">
        <w:t xml:space="preserve">they </w:t>
      </w:r>
      <w:r>
        <w:t>need</w:t>
      </w:r>
      <w:r w:rsidR="00016186">
        <w:t xml:space="preserve">, including </w:t>
      </w:r>
      <w:r>
        <w:t xml:space="preserve">employment. </w:t>
      </w:r>
      <w:r w:rsidR="00B93F72">
        <w:t>This form of development</w:t>
      </w:r>
      <w:r>
        <w:t xml:space="preserve"> has traditionally occurred in a relatively ad hoc manner, resulting in </w:t>
      </w:r>
      <w:r w:rsidR="00C60097">
        <w:t xml:space="preserve">reverse sensitivity </w:t>
      </w:r>
      <w:r w:rsidR="00721787">
        <w:t>effects</w:t>
      </w:r>
      <w:r w:rsidR="00C60097">
        <w:t xml:space="preserve"> </w:t>
      </w:r>
      <w:r w:rsidR="00721787">
        <w:t xml:space="preserve">and </w:t>
      </w:r>
      <w:r>
        <w:t xml:space="preserve">loss of productive rural potential </w:t>
      </w:r>
      <w:r w:rsidR="00C3254C">
        <w:t>th</w:t>
      </w:r>
      <w:r w:rsidR="00C60097">
        <w:t>r</w:t>
      </w:r>
      <w:r w:rsidR="00C3254C">
        <w:t>ough fragmentation</w:t>
      </w:r>
      <w:r w:rsidR="00721787">
        <w:t>, which</w:t>
      </w:r>
      <w:r w:rsidR="00C3254C">
        <w:t xml:space="preserve"> </w:t>
      </w:r>
      <w:r w:rsidR="00E03752">
        <w:t xml:space="preserve">has or can </w:t>
      </w:r>
      <w:r>
        <w:t xml:space="preserve">affect the very landscape, natural, and other values that </w:t>
      </w:r>
      <w:r w:rsidR="002E3CC8">
        <w:t xml:space="preserve">drove </w:t>
      </w:r>
      <w:r>
        <w:t xml:space="preserve">that </w:t>
      </w:r>
      <w:r w:rsidR="008A5395">
        <w:t>initial</w:t>
      </w:r>
      <w:r>
        <w:t xml:space="preserve"> demand. In some locations the cumulative impacts of concentrated </w:t>
      </w:r>
      <w:r w:rsidR="000D0CBC">
        <w:t>rural-</w:t>
      </w:r>
      <w:r>
        <w:t xml:space="preserve">residential activities, which are </w:t>
      </w:r>
      <w:r w:rsidR="006704AF">
        <w:t xml:space="preserve">often </w:t>
      </w:r>
      <w:r w:rsidR="00216774">
        <w:t xml:space="preserve">individually </w:t>
      </w:r>
      <w:r>
        <w:t>servic</w:t>
      </w:r>
      <w:r w:rsidR="00216774">
        <w:t>ed</w:t>
      </w:r>
      <w:r>
        <w:t xml:space="preserve"> for </w:t>
      </w:r>
      <w:r w:rsidR="00994FAE">
        <w:t xml:space="preserve">either or both </w:t>
      </w:r>
      <w:r>
        <w:t xml:space="preserve">water-supply and wastewater </w:t>
      </w:r>
      <w:r w:rsidR="00994FAE">
        <w:t xml:space="preserve">disposal </w:t>
      </w:r>
      <w:r>
        <w:t>has or is nearing thresholds for environmental concern</w:t>
      </w:r>
      <w:r w:rsidR="00AA0C41">
        <w:rPr>
          <w:rStyle w:val="FootnoteReference"/>
        </w:rPr>
        <w:footnoteReference w:id="46"/>
      </w:r>
      <w:r>
        <w:t>.</w:t>
      </w:r>
      <w:r w:rsidR="00C65FF1">
        <w:t xml:space="preserve"> </w:t>
      </w:r>
    </w:p>
    <w:p w14:paraId="5ABB09C2" w14:textId="287B421E" w:rsidR="000D1BA6" w:rsidRDefault="000D1BA6" w:rsidP="005133F7">
      <w:pPr>
        <w:pStyle w:val="Normal2"/>
      </w:pPr>
      <w:r>
        <w:t xml:space="preserve">The responsiveness of urban planning systems to quickly respond to demand or supply changes or even reasonably expected demand and supply needs has increasingly been identified as </w:t>
      </w:r>
      <w:r w:rsidR="005133F7">
        <w:t xml:space="preserve">an </w:t>
      </w:r>
      <w:r>
        <w:t xml:space="preserve">area for significant improvement, with notable central government interest in </w:t>
      </w:r>
      <w:proofErr w:type="gramStart"/>
      <w:r>
        <w:t>this areas</w:t>
      </w:r>
      <w:proofErr w:type="gramEnd"/>
      <w:r>
        <w:t>, including the NPSUD, as well as a wide range of other complementary structural, regulatory and funding changes</w:t>
      </w:r>
      <w:r w:rsidR="001F1CE9">
        <w:rPr>
          <w:rStyle w:val="FootnoteReference"/>
        </w:rPr>
        <w:footnoteReference w:id="47"/>
      </w:r>
      <w:r>
        <w:t xml:space="preserve">. </w:t>
      </w:r>
    </w:p>
    <w:p w14:paraId="66415F83" w14:textId="6FF1D23E" w:rsidR="009F7F45" w:rsidRDefault="00C65FF1" w:rsidP="00A247C5">
      <w:pPr>
        <w:pStyle w:val="Normal2"/>
      </w:pPr>
      <w:r>
        <w:t xml:space="preserve">Due to </w:t>
      </w:r>
      <w:r w:rsidR="0003330B">
        <w:t xml:space="preserve">the </w:t>
      </w:r>
      <w:r>
        <w:t xml:space="preserve">dispersed nature </w:t>
      </w:r>
      <w:r w:rsidR="0003330B">
        <w:t>of</w:t>
      </w:r>
      <w:r>
        <w:t xml:space="preserve"> </w:t>
      </w:r>
      <w:r w:rsidR="003B1C3F">
        <w:t xml:space="preserve">rural lifestyle development, the </w:t>
      </w:r>
      <w:r>
        <w:t xml:space="preserve">provision </w:t>
      </w:r>
      <w:r w:rsidR="00D626B2">
        <w:t xml:space="preserve">and maintenance </w:t>
      </w:r>
      <w:r>
        <w:t xml:space="preserve">of </w:t>
      </w:r>
      <w:r w:rsidR="00CE791A">
        <w:t xml:space="preserve">most forms of </w:t>
      </w:r>
      <w:r>
        <w:t xml:space="preserve">infrastructure </w:t>
      </w:r>
      <w:r w:rsidR="00AA4B39">
        <w:t xml:space="preserve">is </w:t>
      </w:r>
      <w:r w:rsidR="000D4ABC">
        <w:t xml:space="preserve">relatively </w:t>
      </w:r>
      <w:r w:rsidR="00304392">
        <w:t>expensive</w:t>
      </w:r>
      <w:r w:rsidR="00CE791A">
        <w:t xml:space="preserve"> on a per dwelling basis</w:t>
      </w:r>
      <w:r w:rsidR="00304392">
        <w:t xml:space="preserve">, and </w:t>
      </w:r>
      <w:r w:rsidR="003B1C3F">
        <w:t>this type of development results in</w:t>
      </w:r>
      <w:r w:rsidR="00304392">
        <w:t xml:space="preserve"> </w:t>
      </w:r>
      <w:r w:rsidR="00CE791A">
        <w:t>increase</w:t>
      </w:r>
      <w:r w:rsidR="003B1C3F">
        <w:t>d</w:t>
      </w:r>
      <w:r w:rsidR="00CE791A">
        <w:t xml:space="preserve"> average distance travelled relative to more concentrated settlement patterns. The </w:t>
      </w:r>
      <w:r w:rsidR="008907F4">
        <w:t xml:space="preserve">investment in larger </w:t>
      </w:r>
      <w:r w:rsidR="00DE532E">
        <w:t xml:space="preserve">dwellings, </w:t>
      </w:r>
      <w:r w:rsidR="008907F4">
        <w:t xml:space="preserve">buildings, </w:t>
      </w:r>
      <w:proofErr w:type="gramStart"/>
      <w:r w:rsidR="008907F4">
        <w:t>landscap</w:t>
      </w:r>
      <w:r w:rsidR="00675E9E">
        <w:t>ing</w:t>
      </w:r>
      <w:proofErr w:type="gramEnd"/>
      <w:r w:rsidR="00675E9E">
        <w:t xml:space="preserve"> and </w:t>
      </w:r>
      <w:r w:rsidR="00133FF4">
        <w:t xml:space="preserve">cadastral layout can also make it </w:t>
      </w:r>
      <w:r w:rsidR="001368B9">
        <w:t xml:space="preserve">inefficient </w:t>
      </w:r>
      <w:r w:rsidR="0060674B">
        <w:t xml:space="preserve">or difficult </w:t>
      </w:r>
      <w:r w:rsidR="001368B9">
        <w:t xml:space="preserve">to </w:t>
      </w:r>
      <w:r w:rsidR="00C166B5">
        <w:t xml:space="preserve">further intensify </w:t>
      </w:r>
      <w:r w:rsidR="00BC6F4C">
        <w:t xml:space="preserve">to more </w:t>
      </w:r>
      <w:r w:rsidR="00FE3AE9">
        <w:t xml:space="preserve">urban </w:t>
      </w:r>
      <w:r w:rsidR="0082633D">
        <w:t>forms</w:t>
      </w:r>
      <w:r w:rsidR="004A5A8F">
        <w:t>.</w:t>
      </w:r>
      <w:r w:rsidR="00B8700D">
        <w:t xml:space="preserve"> However, well designed and located rural residential development</w:t>
      </w:r>
      <w:r w:rsidR="009D0358">
        <w:t xml:space="preserve"> </w:t>
      </w:r>
      <w:r w:rsidR="00DE3B57">
        <w:t>and</w:t>
      </w:r>
      <w:r w:rsidR="009D0358">
        <w:t xml:space="preserve"> subdivision </w:t>
      </w:r>
      <w:r w:rsidR="00B8700D">
        <w:t>c</w:t>
      </w:r>
      <w:r w:rsidR="0022476A">
        <w:t xml:space="preserve">an be leveraged to deliver </w:t>
      </w:r>
      <w:r w:rsidR="00201B3E">
        <w:t>some environmental or social benefits</w:t>
      </w:r>
      <w:r w:rsidR="009B6682">
        <w:t xml:space="preserve">, including </w:t>
      </w:r>
      <w:r w:rsidR="00DE3B57">
        <w:t>restoration</w:t>
      </w:r>
      <w:r w:rsidR="00DD62AE">
        <w:t xml:space="preserve"> and protection</w:t>
      </w:r>
      <w:r w:rsidR="009D0358">
        <w:t>, access to rivers and lakes</w:t>
      </w:r>
      <w:r w:rsidR="00DD62AE">
        <w:t xml:space="preserve">, or suitable uses for </w:t>
      </w:r>
      <w:r w:rsidR="00415954">
        <w:t xml:space="preserve">land unsuitable for </w:t>
      </w:r>
      <w:r w:rsidR="00AB7296">
        <w:t xml:space="preserve">productive </w:t>
      </w:r>
      <w:r w:rsidR="00415954">
        <w:t xml:space="preserve">rural or </w:t>
      </w:r>
      <w:r w:rsidR="00AB7296">
        <w:t xml:space="preserve">future </w:t>
      </w:r>
      <w:r w:rsidR="00415954">
        <w:t>urban development</w:t>
      </w:r>
      <w:r w:rsidR="00AB7296">
        <w:t xml:space="preserve">. </w:t>
      </w:r>
      <w:r w:rsidR="00A4286C">
        <w:t>The issue of rural lifestyle development</w:t>
      </w:r>
      <w:r w:rsidR="00A50467">
        <w:t xml:space="preserve"> is also quite separate from the </w:t>
      </w:r>
      <w:r w:rsidR="00FB7EF8">
        <w:t>functional</w:t>
      </w:r>
      <w:r w:rsidR="00A50467">
        <w:t xml:space="preserve"> needs of rural communities </w:t>
      </w:r>
      <w:r w:rsidR="000D41AE">
        <w:t xml:space="preserve">to provide </w:t>
      </w:r>
      <w:r w:rsidR="00FB7EF8">
        <w:t xml:space="preserve">living </w:t>
      </w:r>
      <w:r w:rsidR="000D41AE">
        <w:t xml:space="preserve">space for </w:t>
      </w:r>
      <w:r w:rsidR="0050443F">
        <w:t>residents</w:t>
      </w:r>
      <w:r w:rsidR="00FB7EF8">
        <w:t>, visitors</w:t>
      </w:r>
      <w:r w:rsidR="0050443F">
        <w:t xml:space="preserve"> and </w:t>
      </w:r>
      <w:r w:rsidR="00FB7EF8">
        <w:t>seasonal workers</w:t>
      </w:r>
      <w:r w:rsidR="00676770">
        <w:t xml:space="preserve">, and </w:t>
      </w:r>
      <w:r w:rsidR="00B269B3">
        <w:t xml:space="preserve">space for </w:t>
      </w:r>
      <w:r w:rsidR="00A52E98">
        <w:t xml:space="preserve">rural production </w:t>
      </w:r>
      <w:r w:rsidR="00676770">
        <w:t>supporting businesses.</w:t>
      </w:r>
    </w:p>
    <w:p w14:paraId="7D2330E2" w14:textId="28445FD6" w:rsidR="00D91B6B" w:rsidRDefault="001B1890" w:rsidP="00A247C5">
      <w:pPr>
        <w:pStyle w:val="Normal2"/>
      </w:pPr>
      <w:r>
        <w:t>During</w:t>
      </w:r>
      <w:r w:rsidR="003D58E6">
        <w:t xml:space="preserve"> </w:t>
      </w:r>
      <w:r w:rsidR="00A67D43">
        <w:t>consultation undertaken in February and March 2020</w:t>
      </w:r>
      <w:r w:rsidR="00C50D73">
        <w:t xml:space="preserve">, urban growth was identified as a </w:t>
      </w:r>
      <w:r w:rsidR="00160A3E">
        <w:t>significant</w:t>
      </w:r>
      <w:r w:rsidR="00C50D73">
        <w:t xml:space="preserve"> </w:t>
      </w:r>
      <w:r w:rsidR="00C00D08">
        <w:t>issue</w:t>
      </w:r>
      <w:r w:rsidR="00C50D73">
        <w:t xml:space="preserve"> </w:t>
      </w:r>
      <w:r w:rsidR="00992A2B">
        <w:t xml:space="preserve">by the majority of respondents, including </w:t>
      </w:r>
      <w:r w:rsidR="00924F44">
        <w:t xml:space="preserve">the effects of urban development on </w:t>
      </w:r>
      <w:r w:rsidR="00160A3E">
        <w:t>productive soil</w:t>
      </w:r>
      <w:r w:rsidR="001C5928">
        <w:t xml:space="preserve"> and </w:t>
      </w:r>
      <w:proofErr w:type="gramStart"/>
      <w:r w:rsidR="00CB5A4F">
        <w:t>long term</w:t>
      </w:r>
      <w:proofErr w:type="gramEnd"/>
      <w:r w:rsidR="00CB5A4F">
        <w:t xml:space="preserve"> food security</w:t>
      </w:r>
      <w:r w:rsidR="00160A3E">
        <w:t xml:space="preserve">, </w:t>
      </w:r>
      <w:r w:rsidR="00CB5A4F">
        <w:t xml:space="preserve">transport, </w:t>
      </w:r>
      <w:r w:rsidR="00160A3E">
        <w:t xml:space="preserve">infrastructure, resource availability, </w:t>
      </w:r>
      <w:r w:rsidR="00970DA7">
        <w:t xml:space="preserve">environmental values and features, </w:t>
      </w:r>
      <w:r w:rsidR="00160A3E">
        <w:t>and landscapes.</w:t>
      </w:r>
      <w:r w:rsidR="00992A2B">
        <w:t xml:space="preserve"> </w:t>
      </w:r>
      <w:r w:rsidR="00A0779F">
        <w:t xml:space="preserve">There was support for long term urban development strategies, along with planning and investment into residential waste and water infrastructure, improved public transport, walking and cycling, and minimising loss of productive land as possible means to better manage </w:t>
      </w:r>
      <w:r w:rsidR="003F1A93">
        <w:t xml:space="preserve">(rather than preclude) </w:t>
      </w:r>
      <w:r w:rsidR="00A0779F">
        <w:t>urban growth</w:t>
      </w:r>
      <w:r w:rsidR="003F1A93">
        <w:t xml:space="preserve"> and th</w:t>
      </w:r>
      <w:r w:rsidR="005762B9">
        <w:t>r</w:t>
      </w:r>
      <w:r w:rsidR="003F1A93">
        <w:t>ough this process minimise the impacts of growth on other important values and features</w:t>
      </w:r>
      <w:r w:rsidR="00A52C67">
        <w:t>.</w:t>
      </w:r>
      <w:r w:rsidR="00124010">
        <w:t xml:space="preserve"> This feedback informed the development of the PORPS issues, including </w:t>
      </w:r>
      <w:proofErr w:type="gramStart"/>
      <w:r w:rsidR="00124010">
        <w:t>in particular SRMR</w:t>
      </w:r>
      <w:r w:rsidR="00EB6696">
        <w:t>-I</w:t>
      </w:r>
      <w:r w:rsidR="00CE3B82">
        <w:t>4</w:t>
      </w:r>
      <w:proofErr w:type="gramEnd"/>
      <w:r w:rsidR="00CE3B82">
        <w:t xml:space="preserve"> </w:t>
      </w:r>
      <w:r w:rsidR="00CE3B82">
        <w:lastRenderedPageBreak/>
        <w:t>(poorly managed urban and residential growth affects productive land, treasured natural assets, infrastructure and community wellbeing).</w:t>
      </w:r>
      <w:r w:rsidR="00822823">
        <w:t xml:space="preserve"> </w:t>
      </w:r>
      <w:r w:rsidR="00616CF9">
        <w:t xml:space="preserve">Urban land uses have also been identified as issues of significance to iwi, including </w:t>
      </w:r>
      <w:proofErr w:type="gramStart"/>
      <w:r w:rsidR="00616CF9">
        <w:t>due to the effects</w:t>
      </w:r>
      <w:proofErr w:type="gramEnd"/>
      <w:r w:rsidR="00616CF9">
        <w:t xml:space="preserve"> on freshwater habitats (RMIA-WAI</w:t>
      </w:r>
      <w:r w:rsidR="00EB6696">
        <w:t>-I</w:t>
      </w:r>
      <w:r w:rsidR="00616CF9">
        <w:t>3)</w:t>
      </w:r>
      <w:r w:rsidR="0012579B">
        <w:t xml:space="preserve">, </w:t>
      </w:r>
      <w:r w:rsidR="00822823">
        <w:t>indigenous species (RMIA-MKB</w:t>
      </w:r>
      <w:r w:rsidR="00EB6696">
        <w:t>-I</w:t>
      </w:r>
      <w:r w:rsidR="00822823">
        <w:t xml:space="preserve">1), </w:t>
      </w:r>
      <w:proofErr w:type="spellStart"/>
      <w:r w:rsidR="00822823">
        <w:t>wāhi</w:t>
      </w:r>
      <w:proofErr w:type="spellEnd"/>
      <w:r w:rsidR="00822823">
        <w:t xml:space="preserve"> </w:t>
      </w:r>
      <w:proofErr w:type="spellStart"/>
      <w:r w:rsidR="00822823">
        <w:t>tapu</w:t>
      </w:r>
      <w:proofErr w:type="spellEnd"/>
      <w:r w:rsidR="00822823">
        <w:t xml:space="preserve"> (RMIA-WTA</w:t>
      </w:r>
      <w:r w:rsidR="00EB6696">
        <w:t>-I</w:t>
      </w:r>
      <w:r w:rsidR="00822823">
        <w:t>1) and coastal systems (RMIA-CE</w:t>
      </w:r>
      <w:r w:rsidR="00EB6696">
        <w:t>-I</w:t>
      </w:r>
      <w:r w:rsidR="00822823">
        <w:t>1).</w:t>
      </w:r>
      <w:r w:rsidR="00616CF9">
        <w:t xml:space="preserve"> </w:t>
      </w:r>
    </w:p>
    <w:p w14:paraId="3F778BAD" w14:textId="4EFC5DEB" w:rsidR="00A83616" w:rsidRDefault="00ED5D79" w:rsidP="00A247C5">
      <w:pPr>
        <w:pStyle w:val="Normal2"/>
      </w:pPr>
      <w:r>
        <w:t xml:space="preserve">The PORPS 2019 was developed to give effect to the </w:t>
      </w:r>
      <w:r w:rsidR="00B00D23">
        <w:t xml:space="preserve">NPSUDC </w:t>
      </w:r>
      <w:r>
        <w:t>2016 which has been superseded by the NPSUD</w:t>
      </w:r>
      <w:r w:rsidR="00B00D23">
        <w:t xml:space="preserve"> 2020</w:t>
      </w:r>
      <w:r>
        <w:t>. Experience in implementing the urban development components of the PORPS</w:t>
      </w:r>
      <w:r w:rsidR="006B3C2E">
        <w:t xml:space="preserve"> </w:t>
      </w:r>
      <w:r>
        <w:t xml:space="preserve">2019 highlighted the difficulties of achieving </w:t>
      </w:r>
      <w:r w:rsidRPr="00930E27">
        <w:rPr>
          <w:i/>
        </w:rPr>
        <w:t>well-functioning urban environments</w:t>
      </w:r>
      <w:r>
        <w:t xml:space="preserve"> in the face of large numbers of significant private plan changes and resource consents for a wide range of urban and lifestyle driven developments often in sensitive environments.</w:t>
      </w:r>
      <w:r w:rsidR="006539E3">
        <w:t xml:space="preserve"> </w:t>
      </w:r>
    </w:p>
    <w:p w14:paraId="1D2CF0CC" w14:textId="30DF4511" w:rsidR="00403253" w:rsidRPr="008E1F18" w:rsidRDefault="00403253" w:rsidP="00A247C5">
      <w:pPr>
        <w:pStyle w:val="Normal2"/>
      </w:pPr>
      <w:r>
        <w:t xml:space="preserve">The key challenge for the </w:t>
      </w:r>
      <w:r w:rsidR="00EB6734">
        <w:t>PO</w:t>
      </w:r>
      <w:r>
        <w:t xml:space="preserve">RPS </w:t>
      </w:r>
      <w:r w:rsidR="00D24605">
        <w:t xml:space="preserve">in integrating management </w:t>
      </w:r>
      <w:r w:rsidR="007F06DA">
        <w:t>and delivering solutions to the issues</w:t>
      </w:r>
      <w:r w:rsidR="00B3614E">
        <w:t>,</w:t>
      </w:r>
      <w:r>
        <w:t xml:space="preserve"> is providing for sufficient urban development opportunities that result in quality urban environments, well-functioning </w:t>
      </w:r>
      <w:proofErr w:type="gramStart"/>
      <w:r>
        <w:t>settlements</w:t>
      </w:r>
      <w:proofErr w:type="gramEnd"/>
      <w:r>
        <w:t xml:space="preserve"> and rural areas,</w:t>
      </w:r>
      <w:r w:rsidR="00217A46">
        <w:t xml:space="preserve"> </w:t>
      </w:r>
      <w:r w:rsidR="00AD32CD">
        <w:t xml:space="preserve">that </w:t>
      </w:r>
      <w:r w:rsidR="00320864">
        <w:t xml:space="preserve">are </w:t>
      </w:r>
      <w:r w:rsidR="00217A46">
        <w:t>well-integrate</w:t>
      </w:r>
      <w:r w:rsidR="00CA1A9D">
        <w:t>d</w:t>
      </w:r>
      <w:r w:rsidR="00217A46">
        <w:t xml:space="preserve"> with infrastructure</w:t>
      </w:r>
      <w:r>
        <w:t xml:space="preserve"> </w:t>
      </w:r>
      <w:r w:rsidR="00CA1A9D">
        <w:t xml:space="preserve">and other facilities, </w:t>
      </w:r>
      <w:r>
        <w:t xml:space="preserve">while also ensuring </w:t>
      </w:r>
      <w:r w:rsidR="006603E5">
        <w:t xml:space="preserve">the adverse effects of </w:t>
      </w:r>
      <w:r w:rsidR="00CA1A9D">
        <w:t>such development</w:t>
      </w:r>
      <w:r w:rsidR="006603E5">
        <w:t xml:space="preserve"> are</w:t>
      </w:r>
      <w:r w:rsidR="00CA1A9D">
        <w:t xml:space="preserve"> appropriately </w:t>
      </w:r>
      <w:r w:rsidR="00AD32CD">
        <w:t>managed</w:t>
      </w:r>
      <w:r>
        <w:t xml:space="preserve">. </w:t>
      </w:r>
    </w:p>
    <w:p w14:paraId="0520B72D" w14:textId="15CAFC04" w:rsidR="00424DBB" w:rsidRDefault="00424DBB" w:rsidP="0082271A">
      <w:pPr>
        <w:pStyle w:val="Heading3"/>
      </w:pPr>
      <w:r>
        <w:t>Objectives</w:t>
      </w:r>
    </w:p>
    <w:p w14:paraId="543CBCE0" w14:textId="2FD10842" w:rsidR="005D0BD7" w:rsidRDefault="005D0BD7" w:rsidP="00A247C5">
      <w:pPr>
        <w:pStyle w:val="Normal2"/>
      </w:pPr>
      <w:r>
        <w:t>Section 32(1)(b) requires examining whether the provisions in the proposal are the most appropriate way of achieving the objectives. The relevant objectives for this topic are</w:t>
      </w:r>
      <w:r w:rsidR="003C5947">
        <w:t xml:space="preserve"> included in </w:t>
      </w:r>
      <w:r>
        <w:fldChar w:fldCharType="begin"/>
      </w:r>
      <w:r>
        <w:instrText xml:space="preserve"> REF _Ref54002973 \h </w:instrText>
      </w:r>
      <w:r>
        <w:fldChar w:fldCharType="separate"/>
      </w:r>
      <w:r w:rsidR="002A7A16">
        <w:t xml:space="preserve">Table </w:t>
      </w:r>
      <w:r w:rsidR="002A7A16">
        <w:rPr>
          <w:noProof/>
        </w:rPr>
        <w:t>65</w:t>
      </w:r>
      <w:r>
        <w:fldChar w:fldCharType="end"/>
      </w:r>
      <w:r w:rsidR="003C5947">
        <w:t xml:space="preserve"> below.</w:t>
      </w:r>
    </w:p>
    <w:p w14:paraId="69883976" w14:textId="52518B3A" w:rsidR="00277B2D" w:rsidRDefault="00277B2D" w:rsidP="00ED5D79">
      <w:pPr>
        <w:pStyle w:val="Caption"/>
        <w:keepNext/>
        <w:ind w:left="709"/>
      </w:pPr>
      <w:bookmarkStart w:id="153" w:name="_Ref54002973"/>
      <w:r>
        <w:t xml:space="preserve">Table </w:t>
      </w:r>
      <w:r>
        <w:fldChar w:fldCharType="begin"/>
      </w:r>
      <w:r>
        <w:instrText>SEQ Table \* ARABIC</w:instrText>
      </w:r>
      <w:r>
        <w:fldChar w:fldCharType="separate"/>
      </w:r>
      <w:r w:rsidR="002A7A16">
        <w:rPr>
          <w:noProof/>
        </w:rPr>
        <w:t>65</w:t>
      </w:r>
      <w:r>
        <w:fldChar w:fldCharType="end"/>
      </w:r>
      <w:bookmarkEnd w:id="153"/>
      <w:r>
        <w:t xml:space="preserve">: Urban form and development </w:t>
      </w:r>
      <w:r w:rsidR="000220E2">
        <w:t>objectives</w:t>
      </w:r>
    </w:p>
    <w:tbl>
      <w:tblPr>
        <w:tblStyle w:val="TableGrid"/>
        <w:tblW w:w="0" w:type="auto"/>
        <w:tblInd w:w="720" w:type="dxa"/>
        <w:tblLook w:val="04A0" w:firstRow="1" w:lastRow="0" w:firstColumn="1" w:lastColumn="0" w:noHBand="0" w:noVBand="1"/>
      </w:tblPr>
      <w:tblGrid>
        <w:gridCol w:w="2677"/>
        <w:gridCol w:w="5619"/>
      </w:tblGrid>
      <w:tr w:rsidR="00277B2D" w:rsidRPr="005133F7" w14:paraId="71912D6A" w14:textId="77777777" w:rsidTr="00E77177">
        <w:tc>
          <w:tcPr>
            <w:tcW w:w="2677" w:type="dxa"/>
          </w:tcPr>
          <w:p w14:paraId="43E2186E" w14:textId="08DEC77E" w:rsidR="00277B2D" w:rsidRPr="005133F7" w:rsidRDefault="001941F7" w:rsidP="00A247C5">
            <w:pPr>
              <w:pStyle w:val="Table1"/>
            </w:pPr>
            <w:r w:rsidRPr="005133F7">
              <w:t xml:space="preserve">UFD-O1 </w:t>
            </w:r>
            <w:r w:rsidR="008A1A7D" w:rsidRPr="005133F7">
              <w:t xml:space="preserve">– </w:t>
            </w:r>
            <w:r w:rsidR="00A9080A" w:rsidRPr="005133F7">
              <w:t xml:space="preserve">Form and function of urban </w:t>
            </w:r>
            <w:r w:rsidRPr="005133F7">
              <w:t>areas</w:t>
            </w:r>
          </w:p>
        </w:tc>
        <w:tc>
          <w:tcPr>
            <w:tcW w:w="5619" w:type="dxa"/>
          </w:tcPr>
          <w:p w14:paraId="565C549C" w14:textId="77777777" w:rsidR="00405F49" w:rsidRPr="005133F7" w:rsidRDefault="00405F49" w:rsidP="00405F49">
            <w:pPr>
              <w:ind w:left="555" w:hanging="555"/>
              <w:jc w:val="both"/>
              <w:textAlignment w:val="baseline"/>
              <w:rPr>
                <w:sz w:val="20"/>
                <w:szCs w:val="20"/>
              </w:rPr>
            </w:pPr>
            <w:r w:rsidRPr="005133F7">
              <w:rPr>
                <w:sz w:val="20"/>
                <w:szCs w:val="20"/>
              </w:rPr>
              <w:t>The form and functioning of Otago’s urban areas:</w:t>
            </w:r>
          </w:p>
          <w:p w14:paraId="2F26BD17" w14:textId="77777777" w:rsidR="00405F49" w:rsidRPr="005133F7" w:rsidRDefault="00405F49" w:rsidP="00405F49">
            <w:pPr>
              <w:ind w:left="555" w:hanging="555"/>
              <w:jc w:val="both"/>
              <w:textAlignment w:val="baseline"/>
              <w:rPr>
                <w:sz w:val="20"/>
                <w:szCs w:val="20"/>
              </w:rPr>
            </w:pPr>
            <w:r w:rsidRPr="005133F7">
              <w:rPr>
                <w:sz w:val="20"/>
                <w:szCs w:val="20"/>
              </w:rPr>
              <w:t>(1)</w:t>
            </w:r>
            <w:r w:rsidRPr="005133F7">
              <w:rPr>
                <w:sz w:val="20"/>
                <w:szCs w:val="20"/>
              </w:rPr>
              <w:tab/>
              <w:t>reflects the diverse and changing needs and preferences of Otago’s people and communities, now and in the future, and</w:t>
            </w:r>
          </w:p>
          <w:p w14:paraId="53D01A63" w14:textId="77108A96" w:rsidR="00277B2D" w:rsidRPr="005133F7" w:rsidRDefault="00405F49" w:rsidP="001A6424">
            <w:pPr>
              <w:ind w:left="555" w:hanging="555"/>
              <w:jc w:val="both"/>
              <w:textAlignment w:val="baseline"/>
            </w:pPr>
            <w:r w:rsidRPr="005133F7">
              <w:rPr>
                <w:sz w:val="20"/>
                <w:szCs w:val="20"/>
              </w:rPr>
              <w:t>(2)</w:t>
            </w:r>
            <w:r w:rsidRPr="005133F7">
              <w:rPr>
                <w:sz w:val="20"/>
                <w:szCs w:val="20"/>
              </w:rPr>
              <w:tab/>
              <w:t>maintains or enhances the significant values and features identified in the RPS, and the character and resources of each urban area.</w:t>
            </w:r>
          </w:p>
        </w:tc>
      </w:tr>
      <w:tr w:rsidR="00CE2600" w:rsidRPr="005133F7" w14:paraId="7DE95128" w14:textId="77777777" w:rsidTr="00E77177">
        <w:tc>
          <w:tcPr>
            <w:tcW w:w="2677" w:type="dxa"/>
          </w:tcPr>
          <w:p w14:paraId="428E7498" w14:textId="77777777" w:rsidR="009D0D66" w:rsidRPr="005133F7" w:rsidRDefault="009D0D66" w:rsidP="00A247C5">
            <w:pPr>
              <w:pStyle w:val="Table1"/>
            </w:pPr>
            <w:r w:rsidRPr="005133F7">
              <w:t>UFD–O2 – Development of urban areas</w:t>
            </w:r>
          </w:p>
          <w:p w14:paraId="4149B0E7" w14:textId="77777777" w:rsidR="00CE2600" w:rsidRPr="005133F7" w:rsidRDefault="00CE2600" w:rsidP="00A247C5">
            <w:pPr>
              <w:pStyle w:val="Table1"/>
            </w:pPr>
          </w:p>
        </w:tc>
        <w:tc>
          <w:tcPr>
            <w:tcW w:w="5619" w:type="dxa"/>
          </w:tcPr>
          <w:p w14:paraId="22676548" w14:textId="77777777" w:rsidR="007A06D0" w:rsidRPr="005133F7" w:rsidRDefault="007A06D0" w:rsidP="007A06D0">
            <w:pPr>
              <w:jc w:val="both"/>
              <w:rPr>
                <w:rFonts w:cstheme="minorHAnsi"/>
                <w:sz w:val="20"/>
                <w:szCs w:val="20"/>
                <w:lang w:eastAsia="en-NZ"/>
              </w:rPr>
            </w:pPr>
            <w:r w:rsidRPr="005133F7">
              <w:rPr>
                <w:rFonts w:cstheme="minorHAnsi"/>
                <w:sz w:val="20"/>
                <w:szCs w:val="20"/>
                <w:lang w:eastAsia="en-NZ"/>
              </w:rPr>
              <w:t xml:space="preserve">The development and change of Otago’s urban areas: </w:t>
            </w:r>
          </w:p>
          <w:p w14:paraId="73A5481B" w14:textId="77777777" w:rsidR="007A06D0" w:rsidRPr="005133F7" w:rsidRDefault="007A06D0" w:rsidP="007A06D0">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(1)</w:t>
            </w:r>
            <w:r w:rsidRPr="005133F7">
              <w:rPr>
                <w:rFonts w:asciiTheme="minorHAnsi" w:eastAsia="Times New Roman" w:hAnsiTheme="minorHAnsi" w:cstheme="minorHAnsi"/>
                <w:sz w:val="20"/>
                <w:szCs w:val="20"/>
                <w:lang w:eastAsia="en-NZ"/>
              </w:rPr>
              <w:tab/>
              <w:t>improves housing choice, quality, and affordability,</w:t>
            </w:r>
          </w:p>
          <w:p w14:paraId="26CC228E" w14:textId="77777777" w:rsidR="007A06D0" w:rsidRPr="005133F7" w:rsidRDefault="007A06D0" w:rsidP="007A06D0">
            <w:pPr>
              <w:pStyle w:val="JustifiedSpacing"/>
              <w:ind w:left="567" w:hanging="567"/>
              <w:rPr>
                <w:rFonts w:asciiTheme="minorHAnsi" w:hAnsiTheme="minorHAnsi" w:cstheme="minorHAnsi"/>
                <w:sz w:val="20"/>
                <w:szCs w:val="20"/>
              </w:rPr>
            </w:pPr>
            <w:r w:rsidRPr="005133F7">
              <w:rPr>
                <w:rFonts w:asciiTheme="minorHAnsi" w:hAnsiTheme="minorHAnsi" w:cstheme="minorHAnsi"/>
                <w:sz w:val="20"/>
                <w:szCs w:val="20"/>
              </w:rPr>
              <w:t xml:space="preserve">(2) </w:t>
            </w:r>
            <w:r w:rsidRPr="005133F7">
              <w:rPr>
                <w:rFonts w:asciiTheme="minorHAnsi" w:hAnsiTheme="minorHAnsi" w:cstheme="minorHAnsi"/>
                <w:sz w:val="20"/>
                <w:szCs w:val="20"/>
              </w:rPr>
              <w:tab/>
              <w:t xml:space="preserve">allows business and other non-residential activities to meet the needs of communities in appropriate locations, </w:t>
            </w:r>
          </w:p>
          <w:p w14:paraId="6013E3ED" w14:textId="77777777"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(3)</w:t>
            </w:r>
            <w:r w:rsidRPr="005133F7">
              <w:rPr>
                <w:rFonts w:asciiTheme="minorHAnsi" w:eastAsia="Times New Roman" w:hAnsiTheme="minorHAnsi" w:cstheme="minorHAnsi"/>
                <w:sz w:val="20"/>
                <w:szCs w:val="20"/>
                <w:lang w:eastAsia="en-NZ"/>
              </w:rPr>
              <w:tab/>
              <w:t>respects and wherever possible enhances the area’s history, setting, and natural and built environment,</w:t>
            </w:r>
          </w:p>
          <w:p w14:paraId="761BEF29" w14:textId="77777777"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 xml:space="preserve">(4) </w:t>
            </w:r>
            <w:r w:rsidRPr="005133F7">
              <w:rPr>
                <w:rFonts w:asciiTheme="minorHAnsi" w:eastAsia="Times New Roman" w:hAnsiTheme="minorHAnsi" w:cstheme="minorHAnsi"/>
                <w:sz w:val="20"/>
                <w:szCs w:val="20"/>
                <w:lang w:eastAsia="en-NZ"/>
              </w:rPr>
              <w:tab/>
              <w:t>delivers good urban design outcomes, and improves liveability,</w:t>
            </w:r>
          </w:p>
          <w:p w14:paraId="28B2DF99" w14:textId="77777777"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 xml:space="preserve">(5) </w:t>
            </w:r>
            <w:r w:rsidRPr="005133F7">
              <w:rPr>
                <w:rFonts w:asciiTheme="minorHAnsi" w:eastAsia="Times New Roman" w:hAnsiTheme="minorHAnsi" w:cstheme="minorHAnsi"/>
                <w:sz w:val="20"/>
                <w:szCs w:val="20"/>
                <w:lang w:eastAsia="en-NZ"/>
              </w:rPr>
              <w:tab/>
              <w:t xml:space="preserve">improves connectivity within urban areas, particularly by active transport and public transport, </w:t>
            </w:r>
          </w:p>
          <w:p w14:paraId="7138B30A" w14:textId="77777777"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(6)</w:t>
            </w:r>
            <w:r w:rsidRPr="005133F7">
              <w:rPr>
                <w:rFonts w:asciiTheme="minorHAnsi" w:eastAsia="Times New Roman" w:hAnsiTheme="minorHAnsi" w:cstheme="minorHAnsi"/>
                <w:sz w:val="20"/>
                <w:szCs w:val="20"/>
                <w:lang w:eastAsia="en-NZ"/>
              </w:rPr>
              <w:tab/>
              <w:t xml:space="preserve">minimises conflict between incompatible activities, </w:t>
            </w:r>
          </w:p>
          <w:p w14:paraId="27398B42" w14:textId="374E1334"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(7)</w:t>
            </w:r>
            <w:r w:rsidRPr="005133F7">
              <w:rPr>
                <w:rFonts w:asciiTheme="minorHAnsi" w:eastAsia="Times New Roman" w:hAnsiTheme="minorHAnsi" w:cstheme="minorHAnsi"/>
                <w:sz w:val="20"/>
                <w:szCs w:val="20"/>
                <w:lang w:eastAsia="en-NZ"/>
              </w:rPr>
              <w:tab/>
            </w:r>
            <w:r w:rsidR="00491730" w:rsidRPr="005133F7">
              <w:rPr>
                <w:rFonts w:asciiTheme="minorHAnsi" w:eastAsia="Times New Roman" w:hAnsiTheme="minorHAnsi" w:cstheme="minorHAnsi"/>
                <w:sz w:val="20"/>
                <w:szCs w:val="20"/>
                <w:lang w:eastAsia="en-NZ"/>
              </w:rPr>
              <w:t>manage</w:t>
            </w:r>
            <w:r w:rsidR="00A76C70" w:rsidRPr="005133F7">
              <w:rPr>
                <w:rFonts w:asciiTheme="minorHAnsi" w:eastAsia="Times New Roman" w:hAnsiTheme="minorHAnsi" w:cstheme="minorHAnsi"/>
                <w:sz w:val="20"/>
                <w:szCs w:val="20"/>
                <w:lang w:eastAsia="en-NZ"/>
              </w:rPr>
              <w:t xml:space="preserve"> the exposure of risk from natural hazards in accordance with the HAZ-NH-Natural hazards section of this RPS</w:t>
            </w:r>
            <w:r w:rsidR="000A10EE" w:rsidRPr="005133F7">
              <w:rPr>
                <w:rFonts w:asciiTheme="minorHAnsi" w:eastAsia="Times New Roman" w:hAnsiTheme="minorHAnsi" w:cstheme="minorHAnsi"/>
                <w:sz w:val="20"/>
                <w:szCs w:val="20"/>
                <w:lang w:eastAsia="en-NZ"/>
              </w:rPr>
              <w:t>,</w:t>
            </w:r>
            <w:r w:rsidRPr="005133F7">
              <w:rPr>
                <w:rFonts w:asciiTheme="minorHAnsi" w:eastAsia="Times New Roman" w:hAnsiTheme="minorHAnsi" w:cstheme="minorHAnsi"/>
                <w:sz w:val="20"/>
                <w:szCs w:val="20"/>
                <w:lang w:eastAsia="en-NZ"/>
              </w:rPr>
              <w:t xml:space="preserve"> </w:t>
            </w:r>
          </w:p>
          <w:p w14:paraId="65A029EF" w14:textId="77777777"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 xml:space="preserve">(8) </w:t>
            </w:r>
            <w:r w:rsidRPr="005133F7">
              <w:rPr>
                <w:rFonts w:asciiTheme="minorHAnsi" w:eastAsia="Times New Roman" w:hAnsiTheme="minorHAnsi" w:cstheme="minorHAnsi"/>
                <w:sz w:val="20"/>
                <w:szCs w:val="20"/>
                <w:lang w:eastAsia="en-NZ"/>
              </w:rPr>
              <w:tab/>
              <w:t xml:space="preserve">results in sustainable and efficient use of water, energy, land, and infrastructure, </w:t>
            </w:r>
          </w:p>
          <w:p w14:paraId="4C759030" w14:textId="5D4E144D"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(9)</w:t>
            </w:r>
            <w:r w:rsidRPr="005133F7">
              <w:rPr>
                <w:rFonts w:asciiTheme="minorHAnsi" w:eastAsia="Times New Roman" w:hAnsiTheme="minorHAnsi" w:cstheme="minorHAnsi"/>
                <w:sz w:val="20"/>
                <w:szCs w:val="20"/>
                <w:lang w:eastAsia="en-NZ"/>
              </w:rPr>
              <w:tab/>
              <w:t xml:space="preserve">achieves integration of land use with existing and planned development infrastructure and additional infrastructure and facilitates the safe and efficient ongoing use of regionally significant infrastructure, </w:t>
            </w:r>
          </w:p>
          <w:p w14:paraId="2EF5C096" w14:textId="6D8AA490" w:rsidR="005D59C9"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 xml:space="preserve">(10) </w:t>
            </w:r>
            <w:r w:rsidRPr="005133F7">
              <w:rPr>
                <w:rFonts w:asciiTheme="minorHAnsi" w:eastAsia="Times New Roman" w:hAnsiTheme="minorHAnsi" w:cstheme="minorHAnsi"/>
                <w:sz w:val="20"/>
                <w:szCs w:val="20"/>
                <w:lang w:eastAsia="en-NZ"/>
              </w:rPr>
              <w:tab/>
              <w:t xml:space="preserve">achieve consolidated, well </w:t>
            </w:r>
            <w:proofErr w:type="gramStart"/>
            <w:r w:rsidRPr="005133F7">
              <w:rPr>
                <w:rFonts w:asciiTheme="minorHAnsi" w:eastAsia="Times New Roman" w:hAnsiTheme="minorHAnsi" w:cstheme="minorHAnsi"/>
                <w:sz w:val="20"/>
                <w:szCs w:val="20"/>
                <w:lang w:eastAsia="en-NZ"/>
              </w:rPr>
              <w:t>designed</w:t>
            </w:r>
            <w:proofErr w:type="gramEnd"/>
            <w:r w:rsidRPr="005133F7">
              <w:rPr>
                <w:rFonts w:asciiTheme="minorHAnsi" w:eastAsia="Times New Roman" w:hAnsiTheme="minorHAnsi" w:cstheme="minorHAnsi"/>
                <w:sz w:val="20"/>
                <w:szCs w:val="20"/>
                <w:lang w:eastAsia="en-NZ"/>
              </w:rPr>
              <w:t xml:space="preserve"> and located, and sustainable development in and around existing urban areas </w:t>
            </w:r>
            <w:r w:rsidRPr="005133F7">
              <w:rPr>
                <w:rFonts w:asciiTheme="minorHAnsi" w:eastAsia="Times New Roman" w:hAnsiTheme="minorHAnsi" w:cstheme="minorHAnsi"/>
                <w:sz w:val="20"/>
                <w:szCs w:val="20"/>
                <w:lang w:eastAsia="en-NZ"/>
              </w:rPr>
              <w:lastRenderedPageBreak/>
              <w:t>as the primary focus for accommodating the region’s urban growth and change, and</w:t>
            </w:r>
          </w:p>
          <w:p w14:paraId="03F3E8C1" w14:textId="24EA0B57" w:rsidR="00C9164C" w:rsidRPr="005133F7" w:rsidRDefault="005D59C9" w:rsidP="005D59C9">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(11)</w:t>
            </w:r>
            <w:r w:rsidRPr="005133F7">
              <w:rPr>
                <w:rFonts w:asciiTheme="minorHAnsi" w:eastAsia="Times New Roman" w:hAnsiTheme="minorHAnsi" w:cstheme="minorHAnsi"/>
                <w:sz w:val="20"/>
                <w:szCs w:val="20"/>
                <w:lang w:eastAsia="en-NZ"/>
              </w:rPr>
              <w:tab/>
              <w:t>is guided by the input and involvement of mana whenua.</w:t>
            </w:r>
          </w:p>
          <w:p w14:paraId="4314540D" w14:textId="71D05245" w:rsidR="00CE2600" w:rsidRPr="005133F7" w:rsidRDefault="00CE2600" w:rsidP="007A06D0">
            <w:pPr>
              <w:pStyle w:val="JustifiedSpacing"/>
              <w:rPr>
                <w:rFonts w:asciiTheme="minorHAnsi" w:hAnsiTheme="minorHAnsi" w:cstheme="minorHAnsi"/>
                <w:sz w:val="18"/>
                <w:szCs w:val="18"/>
              </w:rPr>
            </w:pPr>
          </w:p>
        </w:tc>
      </w:tr>
      <w:tr w:rsidR="00892435" w:rsidRPr="005133F7" w14:paraId="5F062078" w14:textId="77777777" w:rsidTr="00E77177">
        <w:tc>
          <w:tcPr>
            <w:tcW w:w="2677" w:type="dxa"/>
          </w:tcPr>
          <w:p w14:paraId="55343345" w14:textId="2409CB36" w:rsidR="00892435" w:rsidRPr="005133F7" w:rsidRDefault="00BB028F" w:rsidP="00A247C5">
            <w:pPr>
              <w:pStyle w:val="Table1"/>
            </w:pPr>
            <w:r w:rsidRPr="005133F7">
              <w:lastRenderedPageBreak/>
              <w:t>UFD-O</w:t>
            </w:r>
            <w:r w:rsidR="00085BE3" w:rsidRPr="005133F7">
              <w:t>3</w:t>
            </w:r>
            <w:r w:rsidRPr="005133F7">
              <w:t xml:space="preserve"> </w:t>
            </w:r>
            <w:r w:rsidR="008A1A7D" w:rsidRPr="005133F7">
              <w:t>– Strategic planning</w:t>
            </w:r>
          </w:p>
        </w:tc>
        <w:tc>
          <w:tcPr>
            <w:tcW w:w="5619" w:type="dxa"/>
          </w:tcPr>
          <w:p w14:paraId="7AAD7836" w14:textId="77777777" w:rsidR="002D5711" w:rsidRPr="005133F7" w:rsidRDefault="002D5711" w:rsidP="00A247C5">
            <w:pPr>
              <w:pStyle w:val="Table1"/>
            </w:pPr>
            <w:r w:rsidRPr="005133F7">
              <w:t xml:space="preserve">Strategic planning is undertaken in advance of significant development, </w:t>
            </w:r>
            <w:proofErr w:type="gramStart"/>
            <w:r w:rsidRPr="005133F7">
              <w:t>expansion</w:t>
            </w:r>
            <w:proofErr w:type="gramEnd"/>
            <w:r w:rsidRPr="005133F7">
              <w:t xml:space="preserve"> or redevelopment of urban areas to ensure that </w:t>
            </w:r>
          </w:p>
          <w:p w14:paraId="6BE9B7D6" w14:textId="77777777" w:rsidR="002D5711" w:rsidRPr="005133F7" w:rsidRDefault="002D5711" w:rsidP="005133F7">
            <w:pPr>
              <w:pStyle w:val="JustifiedSpacing"/>
              <w:ind w:left="567" w:hanging="567"/>
              <w:rPr>
                <w:rFonts w:asciiTheme="minorHAnsi" w:eastAsia="Times New Roman" w:hAnsiTheme="minorHAnsi" w:cstheme="minorHAnsi"/>
                <w:sz w:val="20"/>
                <w:szCs w:val="20"/>
                <w:lang w:eastAsia="en-NZ"/>
              </w:rPr>
            </w:pPr>
            <w:r w:rsidRPr="005133F7">
              <w:t>(1)</w:t>
            </w:r>
            <w:r w:rsidRPr="005133F7">
              <w:tab/>
            </w:r>
            <w:r w:rsidRPr="005133F7">
              <w:rPr>
                <w:rFonts w:asciiTheme="minorHAnsi" w:eastAsia="Times New Roman" w:hAnsiTheme="minorHAnsi" w:cstheme="minorHAnsi"/>
                <w:sz w:val="20"/>
                <w:szCs w:val="20"/>
                <w:lang w:eastAsia="en-NZ"/>
              </w:rPr>
              <w:t xml:space="preserve">there is sufficient development capacity supported by integrated infrastructure provision for Otago’s housing and business needs in the short, </w:t>
            </w:r>
            <w:proofErr w:type="gramStart"/>
            <w:r w:rsidRPr="005133F7">
              <w:rPr>
                <w:rFonts w:asciiTheme="minorHAnsi" w:eastAsia="Times New Roman" w:hAnsiTheme="minorHAnsi" w:cstheme="minorHAnsi"/>
                <w:sz w:val="20"/>
                <w:szCs w:val="20"/>
                <w:lang w:eastAsia="en-NZ"/>
              </w:rPr>
              <w:t>medium</w:t>
            </w:r>
            <w:proofErr w:type="gramEnd"/>
            <w:r w:rsidRPr="005133F7">
              <w:rPr>
                <w:rFonts w:asciiTheme="minorHAnsi" w:eastAsia="Times New Roman" w:hAnsiTheme="minorHAnsi" w:cstheme="minorHAnsi"/>
                <w:sz w:val="20"/>
                <w:szCs w:val="20"/>
                <w:lang w:eastAsia="en-NZ"/>
              </w:rPr>
              <w:t xml:space="preserve"> and long term, </w:t>
            </w:r>
          </w:p>
          <w:p w14:paraId="003E6F47" w14:textId="77777777" w:rsidR="002D5711" w:rsidRPr="005133F7" w:rsidRDefault="002D5711" w:rsidP="005133F7">
            <w:pPr>
              <w:pStyle w:val="JustifiedSpacing"/>
              <w:ind w:left="567" w:hanging="567"/>
              <w:rPr>
                <w:rFonts w:asciiTheme="minorHAnsi" w:eastAsia="Times New Roman" w:hAnsiTheme="minorHAnsi" w:cstheme="minorHAnsi"/>
                <w:sz w:val="20"/>
                <w:szCs w:val="20"/>
                <w:lang w:eastAsia="en-NZ"/>
              </w:rPr>
            </w:pPr>
            <w:r w:rsidRPr="005133F7">
              <w:rPr>
                <w:rFonts w:asciiTheme="minorHAnsi" w:eastAsia="Times New Roman" w:hAnsiTheme="minorHAnsi" w:cstheme="minorHAnsi"/>
                <w:sz w:val="20"/>
                <w:szCs w:val="20"/>
                <w:lang w:eastAsia="en-NZ"/>
              </w:rPr>
              <w:t>(2)</w:t>
            </w:r>
            <w:r w:rsidRPr="005133F7">
              <w:rPr>
                <w:rFonts w:asciiTheme="minorHAnsi" w:eastAsia="Times New Roman" w:hAnsiTheme="minorHAnsi" w:cstheme="minorHAnsi"/>
                <w:sz w:val="20"/>
                <w:szCs w:val="20"/>
                <w:lang w:eastAsia="en-NZ"/>
              </w:rPr>
              <w:tab/>
              <w:t xml:space="preserve">development is located, </w:t>
            </w:r>
            <w:proofErr w:type="gramStart"/>
            <w:r w:rsidRPr="005133F7">
              <w:rPr>
                <w:rFonts w:asciiTheme="minorHAnsi" w:eastAsia="Times New Roman" w:hAnsiTheme="minorHAnsi" w:cstheme="minorHAnsi"/>
                <w:sz w:val="20"/>
                <w:szCs w:val="20"/>
                <w:lang w:eastAsia="en-NZ"/>
              </w:rPr>
              <w:t>designed</w:t>
            </w:r>
            <w:proofErr w:type="gramEnd"/>
            <w:r w:rsidRPr="005133F7">
              <w:rPr>
                <w:rFonts w:asciiTheme="minorHAnsi" w:eastAsia="Times New Roman" w:hAnsiTheme="minorHAnsi" w:cstheme="minorHAnsi"/>
                <w:sz w:val="20"/>
                <w:szCs w:val="20"/>
                <w:lang w:eastAsia="en-NZ"/>
              </w:rPr>
              <w:t xml:space="preserve"> and delivered in a way and at a rate that recognises and provides for locationally relevant regionally significant features and values identified by this RPS, and </w:t>
            </w:r>
          </w:p>
          <w:p w14:paraId="4E9FAEEA" w14:textId="2534BEAC" w:rsidR="00892435" w:rsidRPr="005133F7" w:rsidRDefault="002D5711" w:rsidP="005133F7">
            <w:pPr>
              <w:pStyle w:val="JustifiedSpacing"/>
              <w:ind w:left="567" w:hanging="567"/>
            </w:pPr>
            <w:r w:rsidRPr="005133F7">
              <w:rPr>
                <w:rFonts w:asciiTheme="minorHAnsi" w:eastAsia="Times New Roman" w:hAnsiTheme="minorHAnsi" w:cstheme="minorHAnsi"/>
                <w:sz w:val="20"/>
                <w:szCs w:val="20"/>
                <w:lang w:eastAsia="en-NZ"/>
              </w:rPr>
              <w:t>(3)</w:t>
            </w:r>
            <w:r w:rsidRPr="005133F7">
              <w:rPr>
                <w:rFonts w:asciiTheme="minorHAnsi" w:eastAsia="Times New Roman" w:hAnsiTheme="minorHAnsi" w:cstheme="minorHAnsi"/>
                <w:sz w:val="20"/>
                <w:szCs w:val="20"/>
                <w:lang w:eastAsia="en-NZ"/>
              </w:rPr>
              <w:tab/>
              <w:t>the involvement of mana whenua is facilitated, and their values and</w:t>
            </w:r>
            <w:r w:rsidRPr="005133F7">
              <w:t xml:space="preserve"> aspirations are provided for.</w:t>
            </w:r>
          </w:p>
        </w:tc>
      </w:tr>
      <w:tr w:rsidR="00892435" w:rsidRPr="005133F7" w14:paraId="58A66B5E" w14:textId="77777777" w:rsidTr="00E77177">
        <w:tc>
          <w:tcPr>
            <w:tcW w:w="2677" w:type="dxa"/>
          </w:tcPr>
          <w:p w14:paraId="2952D6D4" w14:textId="1D701C68" w:rsidR="00892435" w:rsidRPr="005133F7" w:rsidRDefault="00071BA5" w:rsidP="00A247C5">
            <w:pPr>
              <w:pStyle w:val="Table1"/>
            </w:pPr>
            <w:r w:rsidRPr="005133F7">
              <w:t>UFD-</w:t>
            </w:r>
            <w:r w:rsidR="00085BE3" w:rsidRPr="005133F7">
              <w:t xml:space="preserve">O4 </w:t>
            </w:r>
            <w:r w:rsidR="008C0367" w:rsidRPr="005133F7">
              <w:t xml:space="preserve">– </w:t>
            </w:r>
            <w:r w:rsidR="0073259D" w:rsidRPr="005133F7">
              <w:t xml:space="preserve">Development in </w:t>
            </w:r>
            <w:r w:rsidR="008C0367" w:rsidRPr="005133F7">
              <w:t xml:space="preserve">Rural </w:t>
            </w:r>
            <w:r w:rsidR="0073259D" w:rsidRPr="005133F7">
              <w:t xml:space="preserve">areas  </w:t>
            </w:r>
          </w:p>
        </w:tc>
        <w:tc>
          <w:tcPr>
            <w:tcW w:w="5619" w:type="dxa"/>
          </w:tcPr>
          <w:p w14:paraId="0EDC6642" w14:textId="77777777" w:rsidR="00516A92" w:rsidRPr="005133F7" w:rsidRDefault="00516A92" w:rsidP="00516A92">
            <w:pPr>
              <w:jc w:val="both"/>
              <w:rPr>
                <w:rFonts w:cstheme="minorHAnsi"/>
                <w:sz w:val="20"/>
                <w:szCs w:val="20"/>
                <w:lang w:eastAsia="en-NZ"/>
              </w:rPr>
            </w:pPr>
            <w:r w:rsidRPr="005133F7">
              <w:rPr>
                <w:rFonts w:cstheme="minorHAnsi"/>
                <w:sz w:val="20"/>
                <w:szCs w:val="20"/>
                <w:lang w:eastAsia="en-NZ"/>
              </w:rPr>
              <w:t>Development in Otago’s rural areas occurs in a way that:</w:t>
            </w:r>
          </w:p>
          <w:p w14:paraId="384BA634" w14:textId="77777777" w:rsidR="00516A92" w:rsidRPr="005133F7" w:rsidRDefault="00516A92" w:rsidP="00E246B7">
            <w:pPr>
              <w:ind w:left="602" w:hanging="602"/>
              <w:jc w:val="both"/>
              <w:rPr>
                <w:rFonts w:cstheme="minorHAnsi"/>
                <w:sz w:val="20"/>
                <w:szCs w:val="20"/>
                <w:lang w:eastAsia="en-NZ"/>
              </w:rPr>
            </w:pPr>
            <w:r w:rsidRPr="005133F7">
              <w:rPr>
                <w:rFonts w:cstheme="minorHAnsi"/>
                <w:sz w:val="20"/>
                <w:szCs w:val="20"/>
                <w:lang w:eastAsia="en-NZ"/>
              </w:rPr>
              <w:t xml:space="preserve">(1) </w:t>
            </w:r>
            <w:r w:rsidRPr="005133F7">
              <w:rPr>
                <w:rFonts w:cstheme="minorHAnsi"/>
                <w:sz w:val="20"/>
                <w:szCs w:val="20"/>
                <w:lang w:eastAsia="en-NZ"/>
              </w:rPr>
              <w:tab/>
              <w:t xml:space="preserve">avoids impacts on significant values and features identified in this </w:t>
            </w:r>
            <w:proofErr w:type="gramStart"/>
            <w:r w:rsidRPr="005133F7">
              <w:rPr>
                <w:rFonts w:cstheme="minorHAnsi"/>
                <w:sz w:val="20"/>
                <w:szCs w:val="20"/>
                <w:lang w:eastAsia="en-NZ"/>
              </w:rPr>
              <w:t>RPS;</w:t>
            </w:r>
            <w:proofErr w:type="gramEnd"/>
          </w:p>
          <w:p w14:paraId="4933E385" w14:textId="77777777" w:rsidR="00516A92" w:rsidRPr="005133F7" w:rsidRDefault="00516A92" w:rsidP="00E246B7">
            <w:pPr>
              <w:ind w:left="602" w:hanging="602"/>
              <w:jc w:val="both"/>
              <w:rPr>
                <w:rFonts w:cstheme="minorHAnsi"/>
                <w:sz w:val="20"/>
                <w:szCs w:val="20"/>
                <w:lang w:eastAsia="en-NZ"/>
              </w:rPr>
            </w:pPr>
            <w:r w:rsidRPr="005133F7">
              <w:rPr>
                <w:rFonts w:cstheme="minorHAnsi"/>
                <w:sz w:val="20"/>
                <w:szCs w:val="20"/>
                <w:lang w:eastAsia="en-NZ"/>
              </w:rPr>
              <w:t xml:space="preserve">(2) </w:t>
            </w:r>
            <w:r w:rsidRPr="005133F7">
              <w:rPr>
                <w:rFonts w:cstheme="minorHAnsi"/>
                <w:sz w:val="20"/>
                <w:szCs w:val="20"/>
                <w:lang w:eastAsia="en-NZ"/>
              </w:rPr>
              <w:tab/>
              <w:t xml:space="preserve">avoids as the first priority, land and soils identified as highly productive by LF–LS–P16 unless there is an operational need for the development to be located in rural </w:t>
            </w:r>
            <w:proofErr w:type="gramStart"/>
            <w:r w:rsidRPr="005133F7">
              <w:rPr>
                <w:rFonts w:cstheme="minorHAnsi"/>
                <w:sz w:val="20"/>
                <w:szCs w:val="20"/>
                <w:lang w:eastAsia="en-NZ"/>
              </w:rPr>
              <w:t>areas;</w:t>
            </w:r>
            <w:proofErr w:type="gramEnd"/>
          </w:p>
          <w:p w14:paraId="66AC3BDB" w14:textId="4F554058" w:rsidR="00516A92" w:rsidRPr="005133F7" w:rsidRDefault="00516A92" w:rsidP="00E246B7">
            <w:pPr>
              <w:ind w:left="602" w:hanging="602"/>
              <w:jc w:val="both"/>
              <w:rPr>
                <w:rFonts w:cstheme="minorHAnsi"/>
                <w:sz w:val="20"/>
                <w:szCs w:val="20"/>
                <w:lang w:eastAsia="en-NZ"/>
              </w:rPr>
            </w:pPr>
            <w:r w:rsidRPr="005133F7">
              <w:rPr>
                <w:rFonts w:cstheme="minorHAnsi"/>
                <w:sz w:val="20"/>
                <w:szCs w:val="20"/>
                <w:lang w:eastAsia="en-NZ"/>
              </w:rPr>
              <w:t>(3)</w:t>
            </w:r>
            <w:r w:rsidRPr="005133F7">
              <w:rPr>
                <w:rFonts w:cstheme="minorHAnsi"/>
                <w:sz w:val="20"/>
                <w:szCs w:val="20"/>
                <w:lang w:eastAsia="en-NZ"/>
              </w:rPr>
              <w:tab/>
              <w:t>only provides for urban expansion, rural lifestyle and rural residential development and the establishment of sensitive activities, in locations identified through strategic planning or zoned within district plans as suitable for such development;</w:t>
            </w:r>
            <w:r w:rsidR="00843994" w:rsidRPr="005133F7">
              <w:rPr>
                <w:rFonts w:cstheme="minorHAnsi"/>
                <w:sz w:val="20"/>
                <w:szCs w:val="20"/>
                <w:lang w:eastAsia="en-NZ"/>
              </w:rPr>
              <w:t xml:space="preserve"> and </w:t>
            </w:r>
          </w:p>
          <w:p w14:paraId="6A083A03" w14:textId="0F447CAE" w:rsidR="00892435" w:rsidRPr="005133F7" w:rsidRDefault="00516A92" w:rsidP="005133F7">
            <w:pPr>
              <w:ind w:left="602" w:hanging="602"/>
              <w:jc w:val="both"/>
              <w:rPr>
                <w:rFonts w:cstheme="minorHAnsi"/>
                <w:sz w:val="20"/>
                <w:szCs w:val="20"/>
                <w:lang w:eastAsia="en-NZ"/>
              </w:rPr>
            </w:pPr>
            <w:r w:rsidRPr="005133F7">
              <w:rPr>
                <w:rFonts w:cstheme="minorHAnsi"/>
                <w:sz w:val="20"/>
                <w:szCs w:val="20"/>
                <w:lang w:eastAsia="en-NZ"/>
              </w:rPr>
              <w:t xml:space="preserve">(4) </w:t>
            </w:r>
            <w:r w:rsidRPr="005133F7">
              <w:rPr>
                <w:rFonts w:cstheme="minorHAnsi"/>
                <w:sz w:val="20"/>
                <w:szCs w:val="20"/>
                <w:lang w:eastAsia="en-NZ"/>
              </w:rPr>
              <w:tab/>
              <w:t xml:space="preserve">outside of areas identified in (3), </w:t>
            </w:r>
            <w:proofErr w:type="gramStart"/>
            <w:r w:rsidRPr="005133F7">
              <w:rPr>
                <w:rFonts w:cstheme="minorHAnsi"/>
                <w:sz w:val="20"/>
                <w:szCs w:val="20"/>
                <w:lang w:eastAsia="en-NZ"/>
              </w:rPr>
              <w:t>maintains</w:t>
            </w:r>
            <w:proofErr w:type="gramEnd"/>
            <w:r w:rsidRPr="005133F7">
              <w:rPr>
                <w:rFonts w:cstheme="minorHAnsi"/>
                <w:sz w:val="20"/>
                <w:szCs w:val="20"/>
                <w:lang w:eastAsia="en-NZ"/>
              </w:rPr>
              <w:t xml:space="preserve"> and enhances the natural and physical resources that support the productive capacity, rural character, and long-term viability of the rural sector and rural communities</w:t>
            </w:r>
            <w:r w:rsidR="00E246B7" w:rsidRPr="005133F7">
              <w:rPr>
                <w:rFonts w:cstheme="minorHAnsi"/>
                <w:sz w:val="20"/>
                <w:szCs w:val="20"/>
                <w:lang w:eastAsia="en-NZ"/>
              </w:rPr>
              <w:t>.</w:t>
            </w:r>
          </w:p>
        </w:tc>
      </w:tr>
      <w:tr w:rsidR="005268CC" w:rsidRPr="005133F7" w14:paraId="30C33D78" w14:textId="77777777" w:rsidTr="00E77177">
        <w:tc>
          <w:tcPr>
            <w:tcW w:w="2677" w:type="dxa"/>
          </w:tcPr>
          <w:p w14:paraId="668D75A0" w14:textId="2C71D9A6" w:rsidR="005268CC" w:rsidRPr="005133F7" w:rsidRDefault="00A470E5" w:rsidP="00A247C5">
            <w:pPr>
              <w:pStyle w:val="Table1"/>
            </w:pPr>
            <w:r w:rsidRPr="005133F7">
              <w:t>UFD–O5 – Urban development and Climate Change</w:t>
            </w:r>
          </w:p>
        </w:tc>
        <w:tc>
          <w:tcPr>
            <w:tcW w:w="5619" w:type="dxa"/>
          </w:tcPr>
          <w:p w14:paraId="4AB652C5" w14:textId="77777777" w:rsidR="0059531E" w:rsidRPr="005133F7" w:rsidRDefault="0059531E" w:rsidP="0059531E">
            <w:pPr>
              <w:jc w:val="both"/>
              <w:rPr>
                <w:rFonts w:cstheme="minorHAnsi"/>
                <w:sz w:val="20"/>
                <w:szCs w:val="20"/>
                <w:lang w:eastAsia="en-NZ"/>
              </w:rPr>
            </w:pPr>
            <w:r w:rsidRPr="005133F7">
              <w:rPr>
                <w:rFonts w:cstheme="minorHAnsi"/>
                <w:sz w:val="20"/>
                <w:szCs w:val="20"/>
                <w:lang w:eastAsia="en-NZ"/>
              </w:rPr>
              <w:t xml:space="preserve">The impacts of climate change are responded to in the development and change of Otago’s urban areas so that: </w:t>
            </w:r>
          </w:p>
          <w:p w14:paraId="4F922642" w14:textId="34C12223" w:rsidR="0059531E" w:rsidRPr="005133F7" w:rsidRDefault="0059531E" w:rsidP="005133F7">
            <w:pPr>
              <w:ind w:left="602" w:hanging="602"/>
              <w:jc w:val="both"/>
              <w:rPr>
                <w:rFonts w:cstheme="minorHAnsi"/>
                <w:sz w:val="20"/>
                <w:szCs w:val="20"/>
                <w:lang w:eastAsia="en-NZ"/>
              </w:rPr>
            </w:pPr>
            <w:r w:rsidRPr="005133F7">
              <w:rPr>
                <w:rFonts w:cstheme="minorHAnsi"/>
                <w:sz w:val="20"/>
                <w:szCs w:val="20"/>
                <w:lang w:eastAsia="en-NZ"/>
              </w:rPr>
              <w:t>(1)</w:t>
            </w:r>
            <w:r w:rsidRPr="005133F7">
              <w:rPr>
                <w:rFonts w:cstheme="minorHAnsi"/>
                <w:sz w:val="20"/>
                <w:szCs w:val="20"/>
                <w:lang w:eastAsia="en-NZ"/>
              </w:rPr>
              <w:tab/>
              <w:t xml:space="preserve">current communities’ and future generations’ contribution to climate change impacts are reduced, </w:t>
            </w:r>
          </w:p>
          <w:p w14:paraId="34D291E3" w14:textId="77777777" w:rsidR="0059531E" w:rsidRPr="005133F7" w:rsidRDefault="0059531E" w:rsidP="005133F7">
            <w:pPr>
              <w:ind w:left="602" w:hanging="602"/>
              <w:jc w:val="both"/>
              <w:rPr>
                <w:rFonts w:cstheme="minorHAnsi"/>
                <w:sz w:val="20"/>
                <w:szCs w:val="20"/>
                <w:lang w:eastAsia="en-NZ"/>
              </w:rPr>
            </w:pPr>
            <w:r w:rsidRPr="005133F7">
              <w:rPr>
                <w:rFonts w:cstheme="minorHAnsi"/>
                <w:sz w:val="20"/>
                <w:szCs w:val="20"/>
                <w:lang w:eastAsia="en-NZ"/>
              </w:rPr>
              <w:t xml:space="preserve">(2) </w:t>
            </w:r>
            <w:r w:rsidRPr="005133F7">
              <w:rPr>
                <w:rFonts w:cstheme="minorHAnsi"/>
                <w:sz w:val="20"/>
                <w:szCs w:val="20"/>
                <w:lang w:eastAsia="en-NZ"/>
              </w:rPr>
              <w:tab/>
              <w:t>community resilience increases,</w:t>
            </w:r>
          </w:p>
          <w:p w14:paraId="0D337820" w14:textId="77777777" w:rsidR="0059531E" w:rsidRPr="005133F7" w:rsidRDefault="0059531E" w:rsidP="005133F7">
            <w:pPr>
              <w:ind w:left="602" w:hanging="602"/>
              <w:jc w:val="both"/>
              <w:rPr>
                <w:rFonts w:cstheme="minorHAnsi"/>
                <w:sz w:val="20"/>
                <w:szCs w:val="20"/>
                <w:lang w:eastAsia="en-NZ"/>
              </w:rPr>
            </w:pPr>
            <w:r w:rsidRPr="005133F7">
              <w:rPr>
                <w:rFonts w:cstheme="minorHAnsi"/>
                <w:sz w:val="20"/>
                <w:szCs w:val="20"/>
                <w:lang w:eastAsia="en-NZ"/>
              </w:rPr>
              <w:t xml:space="preserve">(3) </w:t>
            </w:r>
            <w:r w:rsidRPr="005133F7">
              <w:rPr>
                <w:rFonts w:cstheme="minorHAnsi"/>
                <w:sz w:val="20"/>
                <w:szCs w:val="20"/>
                <w:lang w:eastAsia="en-NZ"/>
              </w:rPr>
              <w:tab/>
              <w:t>adaptation to the effects of climate change is facilitated,</w:t>
            </w:r>
          </w:p>
          <w:p w14:paraId="0A94221E" w14:textId="5A4F0A88" w:rsidR="0059531E" w:rsidRPr="005133F7" w:rsidRDefault="0059531E" w:rsidP="005133F7">
            <w:pPr>
              <w:ind w:left="602" w:hanging="602"/>
              <w:jc w:val="both"/>
              <w:rPr>
                <w:rFonts w:cstheme="minorHAnsi"/>
                <w:sz w:val="20"/>
                <w:szCs w:val="20"/>
                <w:lang w:eastAsia="en-NZ"/>
              </w:rPr>
            </w:pPr>
            <w:r w:rsidRPr="005133F7">
              <w:rPr>
                <w:rFonts w:cstheme="minorHAnsi"/>
                <w:sz w:val="20"/>
                <w:szCs w:val="20"/>
                <w:lang w:eastAsia="en-NZ"/>
              </w:rPr>
              <w:t>(</w:t>
            </w:r>
            <w:r w:rsidR="005133F7">
              <w:rPr>
                <w:rFonts w:cstheme="minorHAnsi"/>
                <w:sz w:val="20"/>
                <w:szCs w:val="20"/>
                <w:lang w:eastAsia="en-NZ"/>
              </w:rPr>
              <w:t>4</w:t>
            </w:r>
            <w:r w:rsidRPr="005133F7">
              <w:rPr>
                <w:rFonts w:cstheme="minorHAnsi"/>
                <w:sz w:val="20"/>
                <w:szCs w:val="20"/>
                <w:lang w:eastAsia="en-NZ"/>
              </w:rPr>
              <w:t xml:space="preserve">) </w:t>
            </w:r>
            <w:r w:rsidRPr="005133F7">
              <w:rPr>
                <w:rFonts w:cstheme="minorHAnsi"/>
                <w:sz w:val="20"/>
                <w:szCs w:val="20"/>
                <w:lang w:eastAsia="en-NZ"/>
              </w:rPr>
              <w:tab/>
              <w:t xml:space="preserve">energy use is minimised, and energy efficiency improves, and </w:t>
            </w:r>
          </w:p>
          <w:p w14:paraId="5BE66526" w14:textId="1D41ACBA" w:rsidR="005268CC" w:rsidRPr="005133F7" w:rsidRDefault="0059531E" w:rsidP="005133F7">
            <w:pPr>
              <w:ind w:left="602" w:hanging="602"/>
              <w:jc w:val="both"/>
              <w:rPr>
                <w:rFonts w:cstheme="minorHAnsi"/>
                <w:sz w:val="18"/>
                <w:szCs w:val="18"/>
                <w:lang w:eastAsia="en-NZ"/>
              </w:rPr>
            </w:pPr>
            <w:r w:rsidRPr="005133F7">
              <w:rPr>
                <w:rFonts w:cstheme="minorHAnsi"/>
                <w:sz w:val="20"/>
                <w:szCs w:val="20"/>
                <w:lang w:eastAsia="en-NZ"/>
              </w:rPr>
              <w:t>(</w:t>
            </w:r>
            <w:r w:rsidR="005133F7">
              <w:rPr>
                <w:rFonts w:cstheme="minorHAnsi"/>
                <w:sz w:val="20"/>
                <w:szCs w:val="20"/>
                <w:lang w:eastAsia="en-NZ"/>
              </w:rPr>
              <w:t>5</w:t>
            </w:r>
            <w:r w:rsidRPr="005133F7">
              <w:rPr>
                <w:rFonts w:cstheme="minorHAnsi"/>
                <w:sz w:val="20"/>
                <w:szCs w:val="20"/>
                <w:lang w:eastAsia="en-NZ"/>
              </w:rPr>
              <w:t xml:space="preserve">) </w:t>
            </w:r>
            <w:r w:rsidRPr="005133F7">
              <w:rPr>
                <w:rFonts w:cstheme="minorHAnsi"/>
                <w:sz w:val="20"/>
                <w:szCs w:val="20"/>
                <w:lang w:eastAsia="en-NZ"/>
              </w:rPr>
              <w:tab/>
              <w:t>establishment and use of small and community-scale distributed electricity generation is enabled.</w:t>
            </w:r>
          </w:p>
        </w:tc>
      </w:tr>
    </w:tbl>
    <w:p w14:paraId="0B292830" w14:textId="207CD63B" w:rsidR="00424DBB" w:rsidRDefault="00424DBB" w:rsidP="0082271A">
      <w:pPr>
        <w:pStyle w:val="Heading3"/>
      </w:pPr>
      <w:r>
        <w:t>Reasonably practicable options</w:t>
      </w:r>
    </w:p>
    <w:p w14:paraId="44F7820B" w14:textId="340C6B19" w:rsidR="00424DBB" w:rsidRDefault="00647AD0" w:rsidP="00A247C5">
      <w:pPr>
        <w:pStyle w:val="Normal2"/>
      </w:pPr>
      <w:r>
        <w:t>Three</w:t>
      </w:r>
      <w:r w:rsidR="000D3EAA">
        <w:t xml:space="preserve"> reasonably practicable options were identified to achieve the objectives:</w:t>
      </w:r>
    </w:p>
    <w:p w14:paraId="4A0E1EB4" w14:textId="375D901E" w:rsidR="000258D8" w:rsidRPr="00ED5D79" w:rsidRDefault="000258D8" w:rsidP="005133F7">
      <w:pPr>
        <w:pStyle w:val="Normal3"/>
      </w:pPr>
      <w:r w:rsidRPr="00A247C5">
        <w:rPr>
          <w:b/>
          <w:bCs/>
        </w:rPr>
        <w:t>Option 1:</w:t>
      </w:r>
      <w:r>
        <w:t xml:space="preserve"> </w:t>
      </w:r>
      <w:r w:rsidRPr="00ED5D79">
        <w:t>Status quo (PORPS 2019)</w:t>
      </w:r>
    </w:p>
    <w:p w14:paraId="7A617923" w14:textId="5AB02A59" w:rsidR="00C14BCF" w:rsidRDefault="000258D8" w:rsidP="00A247C5">
      <w:pPr>
        <w:pStyle w:val="Normal3"/>
      </w:pPr>
      <w:r w:rsidRPr="29589E8D">
        <w:rPr>
          <w:b/>
          <w:bCs/>
        </w:rPr>
        <w:t>Option 2:</w:t>
      </w:r>
      <w:r>
        <w:t xml:space="preserve"> </w:t>
      </w:r>
      <w:r w:rsidR="00C14BCF">
        <w:t>Only compulsory requirements from NPSUD</w:t>
      </w:r>
    </w:p>
    <w:p w14:paraId="2AC39D9B" w14:textId="4EE5BA80" w:rsidR="0024324B" w:rsidRDefault="000258D8" w:rsidP="00A247C5">
      <w:pPr>
        <w:pStyle w:val="Normal3"/>
      </w:pPr>
      <w:r w:rsidRPr="29589E8D">
        <w:rPr>
          <w:b/>
          <w:bCs/>
        </w:rPr>
        <w:t xml:space="preserve">Option </w:t>
      </w:r>
      <w:r w:rsidR="00C14BCF" w:rsidRPr="29589E8D">
        <w:rPr>
          <w:b/>
          <w:bCs/>
        </w:rPr>
        <w:t>3</w:t>
      </w:r>
      <w:r w:rsidRPr="29589E8D">
        <w:rPr>
          <w:b/>
          <w:bCs/>
        </w:rPr>
        <w:t>:</w:t>
      </w:r>
      <w:r>
        <w:t xml:space="preserve"> </w:t>
      </w:r>
      <w:r w:rsidR="00ED5D79">
        <w:t>PORPS 2021</w:t>
      </w:r>
      <w:r w:rsidR="005133F7">
        <w:t xml:space="preserve"> – </w:t>
      </w:r>
      <w:r w:rsidR="005133F7">
        <w:rPr>
          <w:i/>
          <w:iCs/>
        </w:rPr>
        <w:t xml:space="preserve">preferred </w:t>
      </w:r>
    </w:p>
    <w:p w14:paraId="6644BA35" w14:textId="77777777" w:rsidR="00424DBB" w:rsidRDefault="00424DBB" w:rsidP="00DE069C">
      <w:pPr>
        <w:pStyle w:val="Heading4"/>
      </w:pPr>
      <w:r>
        <w:t>Option 1: Status quo</w:t>
      </w:r>
    </w:p>
    <w:p w14:paraId="4563D053" w14:textId="19387FC0" w:rsidR="00317817" w:rsidRDefault="00317817" w:rsidP="00A247C5">
      <w:pPr>
        <w:pStyle w:val="Normal2"/>
      </w:pPr>
      <w:r>
        <w:t xml:space="preserve">The status quo and associated issues are outlined in section </w:t>
      </w:r>
      <w:r>
        <w:fldChar w:fldCharType="begin"/>
      </w:r>
      <w:r>
        <w:instrText xml:space="preserve"> REF _Ref53995888 \r \h </w:instrText>
      </w:r>
      <w:r>
        <w:fldChar w:fldCharType="separate"/>
      </w:r>
      <w:r w:rsidR="002A7A16">
        <w:t>5.13.2</w:t>
      </w:r>
      <w:r>
        <w:fldChar w:fldCharType="end"/>
      </w:r>
      <w:r>
        <w:t>. As outlined in that section, the status quo is not considered to be effective or efficient.</w:t>
      </w:r>
    </w:p>
    <w:p w14:paraId="1FDE948D" w14:textId="1899CA94" w:rsidR="00046DD9" w:rsidRDefault="00424DBB" w:rsidP="00DE069C">
      <w:pPr>
        <w:pStyle w:val="Heading4"/>
      </w:pPr>
      <w:r>
        <w:lastRenderedPageBreak/>
        <w:t xml:space="preserve">Option 2: </w:t>
      </w:r>
      <w:r w:rsidR="00046DD9">
        <w:t>Only compulsory requirements from NPSUD</w:t>
      </w:r>
    </w:p>
    <w:p w14:paraId="20BF7C08" w14:textId="0BD413CE" w:rsidR="00B60727" w:rsidRDefault="00B60727" w:rsidP="00A247C5">
      <w:pPr>
        <w:pStyle w:val="Normal2"/>
      </w:pPr>
      <w:r>
        <w:t xml:space="preserve">This option would be limited to </w:t>
      </w:r>
      <w:r w:rsidR="005959F8">
        <w:t>inclusion of</w:t>
      </w:r>
      <w:r w:rsidR="006C2254">
        <w:t xml:space="preserve"> the specific </w:t>
      </w:r>
      <w:r w:rsidR="00C841FF">
        <w:t>compulsory requirements for RPSs as articulated in the NPSUD. This would be</w:t>
      </w:r>
      <w:r w:rsidR="005959F8">
        <w:t xml:space="preserve"> a </w:t>
      </w:r>
      <w:r w:rsidR="009824CB">
        <w:t xml:space="preserve">Table containing the housing bottom lines for Tier 2 </w:t>
      </w:r>
      <w:r w:rsidR="00FA21B5">
        <w:t xml:space="preserve">Urban Environments </w:t>
      </w:r>
      <w:r w:rsidR="001A0878">
        <w:t>(</w:t>
      </w:r>
      <w:r w:rsidR="00C841FF">
        <w:t>Clause</w:t>
      </w:r>
      <w:r w:rsidR="008C1B64">
        <w:t xml:space="preserve"> 3.6(2)(a) </w:t>
      </w:r>
      <w:r w:rsidR="009C3300">
        <w:t>given effect to by</w:t>
      </w:r>
      <w:r w:rsidR="00C841FF">
        <w:t xml:space="preserve"> </w:t>
      </w:r>
      <w:r w:rsidR="001A0878">
        <w:t xml:space="preserve">APP8) </w:t>
      </w:r>
      <w:r w:rsidR="00015789">
        <w:t xml:space="preserve">and a policy outlining the criteria for where </w:t>
      </w:r>
      <w:r w:rsidR="00094B14">
        <w:t xml:space="preserve">local </w:t>
      </w:r>
      <w:r w:rsidR="00D9212A">
        <w:t>authorities</w:t>
      </w:r>
      <w:r w:rsidR="00094B14">
        <w:t xml:space="preserve"> must be responsive to</w:t>
      </w:r>
      <w:r w:rsidR="00D9212A">
        <w:t xml:space="preserve"> plan changes </w:t>
      </w:r>
      <w:r w:rsidR="001A0878">
        <w:t>(</w:t>
      </w:r>
      <w:r w:rsidR="009C3300">
        <w:t xml:space="preserve">Clause </w:t>
      </w:r>
      <w:r w:rsidR="00366262">
        <w:t xml:space="preserve">3.8(3) given effect to by </w:t>
      </w:r>
      <w:r w:rsidR="001A0878">
        <w:t>UFD - P</w:t>
      </w:r>
      <w:r w:rsidR="0036262D">
        <w:t>9)</w:t>
      </w:r>
      <w:r>
        <w:t>.</w:t>
      </w:r>
      <w:r w:rsidR="00763259">
        <w:t xml:space="preserve"> </w:t>
      </w:r>
    </w:p>
    <w:p w14:paraId="15A8917E" w14:textId="7DAA2E7B" w:rsidR="00763259" w:rsidRDefault="00763259" w:rsidP="00A247C5">
      <w:pPr>
        <w:pStyle w:val="Normal2"/>
      </w:pPr>
      <w:r>
        <w:t xml:space="preserve">Policies of the NPSUD identify that </w:t>
      </w:r>
      <w:r w:rsidR="00C505A0">
        <w:t xml:space="preserve">the planning system </w:t>
      </w:r>
      <w:proofErr w:type="gramStart"/>
      <w:r w:rsidR="000E7466">
        <w:t>as a whole must</w:t>
      </w:r>
      <w:proofErr w:type="gramEnd"/>
      <w:r w:rsidR="000E7466">
        <w:t xml:space="preserve"> enable certain outcomes, in</w:t>
      </w:r>
      <w:r w:rsidR="00AD616F">
        <w:t xml:space="preserve"> </w:t>
      </w:r>
      <w:r w:rsidR="000E7466">
        <w:t>particular, P</w:t>
      </w:r>
      <w:r w:rsidR="00AD616F">
        <w:t>o</w:t>
      </w:r>
      <w:r w:rsidR="000E7466">
        <w:t>l</w:t>
      </w:r>
      <w:r w:rsidR="00AD616F">
        <w:t>i</w:t>
      </w:r>
      <w:r w:rsidR="000E7466">
        <w:t xml:space="preserve">cies </w:t>
      </w:r>
      <w:r w:rsidR="00AD616F">
        <w:t xml:space="preserve">3, 4, and 5 mention regional policy statements </w:t>
      </w:r>
      <w:r w:rsidR="00970B99">
        <w:t>alongside district plans as being required to ‘enable’</w:t>
      </w:r>
      <w:r w:rsidR="0026657D">
        <w:t xml:space="preserve"> certain </w:t>
      </w:r>
      <w:r w:rsidR="0025043D">
        <w:t xml:space="preserve">density and height </w:t>
      </w:r>
      <w:r w:rsidR="0026657D">
        <w:t>outcomes</w:t>
      </w:r>
      <w:r w:rsidR="008F7A68">
        <w:t>. This option could also include explicit direction</w:t>
      </w:r>
      <w:r w:rsidR="003868E4">
        <w:t xml:space="preserve"> </w:t>
      </w:r>
      <w:r w:rsidR="00BB5E0A">
        <w:t>in relation to density and height to give effect to these policies.</w:t>
      </w:r>
    </w:p>
    <w:p w14:paraId="6DDB7EB1" w14:textId="6A2357FF" w:rsidR="00B60727" w:rsidRPr="00B60727" w:rsidRDefault="006309E2" w:rsidP="008C1C8B">
      <w:pPr>
        <w:pStyle w:val="Normal2"/>
      </w:pPr>
      <w:r>
        <w:t xml:space="preserve">This approach </w:t>
      </w:r>
      <w:proofErr w:type="gramStart"/>
      <w:r w:rsidR="006B6959">
        <w:t>is considered to be</w:t>
      </w:r>
      <w:proofErr w:type="gramEnd"/>
      <w:r w:rsidR="006B6959">
        <w:t xml:space="preserve"> ineffective given the strong links </w:t>
      </w:r>
      <w:r w:rsidR="005A71B3">
        <w:t>and interdependencies</w:t>
      </w:r>
      <w:r w:rsidR="006B6959">
        <w:t xml:space="preserve"> between </w:t>
      </w:r>
      <w:r w:rsidR="007574EF">
        <w:t>issues relating to urban form and development and the other regionally significant issues</w:t>
      </w:r>
      <w:r w:rsidR="001B20B7">
        <w:t xml:space="preserve">. It is also considered to be relatively inefficient </w:t>
      </w:r>
      <w:r w:rsidR="00DC548F">
        <w:t xml:space="preserve">as the two </w:t>
      </w:r>
      <w:r w:rsidR="00C24091">
        <w:t xml:space="preserve">compulsory inclusions would </w:t>
      </w:r>
      <w:r w:rsidR="00E530FF">
        <w:t xml:space="preserve">have limited </w:t>
      </w:r>
      <w:r w:rsidR="002477DC">
        <w:t>contextual objective and policy frameworks</w:t>
      </w:r>
      <w:r w:rsidR="00465923">
        <w:t xml:space="preserve">, and the management of </w:t>
      </w:r>
      <w:r w:rsidR="00B72960">
        <w:t xml:space="preserve">plan development and plan changes would also proceed with very limited higher order direction potentially resulting in poor </w:t>
      </w:r>
      <w:r w:rsidR="00077E49">
        <w:t xml:space="preserve">outcomes and limited </w:t>
      </w:r>
      <w:r w:rsidR="00B72960">
        <w:t>integration.</w:t>
      </w:r>
      <w:r w:rsidR="00B71335">
        <w:t xml:space="preserve"> </w:t>
      </w:r>
    </w:p>
    <w:p w14:paraId="6C904311" w14:textId="24AF8E47" w:rsidR="00424DBB" w:rsidRDefault="00424DBB" w:rsidP="00DE069C">
      <w:pPr>
        <w:pStyle w:val="Heading4"/>
      </w:pPr>
      <w:r>
        <w:t xml:space="preserve">Option </w:t>
      </w:r>
      <w:r w:rsidR="00046DD9">
        <w:t>3</w:t>
      </w:r>
      <w:r>
        <w:t xml:space="preserve">: </w:t>
      </w:r>
      <w:r w:rsidR="00E81F7F">
        <w:t>PORPS 2021</w:t>
      </w:r>
      <w:r w:rsidR="00CF7910">
        <w:t xml:space="preserve"> – </w:t>
      </w:r>
      <w:r w:rsidR="00CF7910">
        <w:rPr>
          <w:i/>
          <w:iCs/>
        </w:rPr>
        <w:t xml:space="preserve">preferred </w:t>
      </w:r>
    </w:p>
    <w:p w14:paraId="567380DB" w14:textId="458947B5" w:rsidR="00F9701F" w:rsidRDefault="00401199" w:rsidP="00A247C5">
      <w:pPr>
        <w:pStyle w:val="Normal2"/>
      </w:pPr>
      <w:r>
        <w:t xml:space="preserve">The policies and methods </w:t>
      </w:r>
      <w:r w:rsidR="00796AB1">
        <w:t>under this option</w:t>
      </w:r>
      <w:r>
        <w:t xml:space="preserve"> are intended to work as an integrated package, and in conjunction with the other chapters of the RPS where there are aspects of detail about specific regionally significant issues that are better located in those other chapters.</w:t>
      </w:r>
      <w:r w:rsidR="002C5569">
        <w:t xml:space="preserve"> For example, while the direction in the </w:t>
      </w:r>
      <w:r w:rsidR="00C84476">
        <w:t>UFD</w:t>
      </w:r>
      <w:r w:rsidR="002C5569">
        <w:t xml:space="preserve"> chapter </w:t>
      </w:r>
      <w:r w:rsidR="000F66F9">
        <w:t>provides general direction for</w:t>
      </w:r>
      <w:r w:rsidR="00CF6821">
        <w:t xml:space="preserve"> urban expansion and intensification, </w:t>
      </w:r>
      <w:r w:rsidR="00251D8C">
        <w:t xml:space="preserve">any expansion or </w:t>
      </w:r>
      <w:r w:rsidR="00A61DC7">
        <w:t>intensification</w:t>
      </w:r>
      <w:r w:rsidR="00251D8C">
        <w:t xml:space="preserve"> will also need </w:t>
      </w:r>
      <w:r w:rsidR="00A61DC7">
        <w:t>to</w:t>
      </w:r>
      <w:r w:rsidR="00251D8C">
        <w:t xml:space="preserve"> meet relevant direction </w:t>
      </w:r>
      <w:r w:rsidR="00D10EDC">
        <w:t xml:space="preserve">in other </w:t>
      </w:r>
      <w:r w:rsidR="00A61DC7">
        <w:t>chapters</w:t>
      </w:r>
      <w:r w:rsidR="00D10EDC">
        <w:t xml:space="preserve">, </w:t>
      </w:r>
      <w:r w:rsidR="00F942E1">
        <w:t xml:space="preserve">including </w:t>
      </w:r>
      <w:r w:rsidR="00207E57">
        <w:t>those</w:t>
      </w:r>
      <w:r w:rsidR="00C84476">
        <w:t xml:space="preserve"> regarding </w:t>
      </w:r>
      <w:r w:rsidR="002C64BA">
        <w:t>mana whenua values,</w:t>
      </w:r>
      <w:r w:rsidR="00C84476">
        <w:t xml:space="preserve"> indigenous biodiversity</w:t>
      </w:r>
      <w:r w:rsidR="00B8700D">
        <w:t>, soils</w:t>
      </w:r>
      <w:r w:rsidR="000D20DB">
        <w:t xml:space="preserve">, </w:t>
      </w:r>
      <w:r w:rsidR="007D6F26">
        <w:t xml:space="preserve">air, </w:t>
      </w:r>
      <w:r w:rsidR="000D20DB">
        <w:t>hazards, coastal environment</w:t>
      </w:r>
      <w:r w:rsidR="002C64BA">
        <w:t>,</w:t>
      </w:r>
      <w:r w:rsidR="00C84476">
        <w:t xml:space="preserve"> natural features and landscapes</w:t>
      </w:r>
      <w:r w:rsidR="00810D79">
        <w:t>,</w:t>
      </w:r>
      <w:r w:rsidR="002C64BA">
        <w:t xml:space="preserve"> and </w:t>
      </w:r>
      <w:r w:rsidR="007D6F26">
        <w:t xml:space="preserve">energy transport and </w:t>
      </w:r>
      <w:r w:rsidR="00810D79">
        <w:t>infrastructure</w:t>
      </w:r>
      <w:r w:rsidR="00C84476">
        <w:t>.</w:t>
      </w:r>
    </w:p>
    <w:p w14:paraId="5E3A622D" w14:textId="66B51488" w:rsidR="00401199" w:rsidRDefault="00FE1537" w:rsidP="00A247C5">
      <w:pPr>
        <w:pStyle w:val="Normal2"/>
      </w:pPr>
      <w:r>
        <w:t xml:space="preserve">The approach taken in the proposed provisions is to enable </w:t>
      </w:r>
      <w:r w:rsidR="00CC10FF">
        <w:t>existing</w:t>
      </w:r>
      <w:r>
        <w:t xml:space="preserve"> urban areas to grow and change in response to the changing needs and preferences of the people who live, work, visit and recreate in them, </w:t>
      </w:r>
      <w:proofErr w:type="gramStart"/>
      <w:r>
        <w:t>so as to</w:t>
      </w:r>
      <w:proofErr w:type="gramEnd"/>
      <w:r>
        <w:t xml:space="preserve"> maximise the positive aspects of urban areas, and ensure they are as well-functioning as possible.</w:t>
      </w:r>
      <w:r w:rsidR="00A12DD2">
        <w:t xml:space="preserve"> However, this is tempered within </w:t>
      </w:r>
      <w:r w:rsidR="00C76AA9">
        <w:t>a framework that requires</w:t>
      </w:r>
      <w:r w:rsidR="00BE272F">
        <w:t xml:space="preserve"> careful planning to be undertaken in advance of development occurring, which can define and articulate limits and opportunities, </w:t>
      </w:r>
      <w:r w:rsidR="000E2B50">
        <w:t xml:space="preserve">ensure integration with the development of </w:t>
      </w:r>
      <w:r w:rsidR="00BE272F">
        <w:t>infrastructure</w:t>
      </w:r>
      <w:r w:rsidR="009C5EBA">
        <w:t xml:space="preserve">, and maintain those values </w:t>
      </w:r>
      <w:r w:rsidR="00ED5FA6">
        <w:t xml:space="preserve">and characteristics </w:t>
      </w:r>
      <w:r w:rsidR="009C5EBA">
        <w:t xml:space="preserve">that make </w:t>
      </w:r>
      <w:r w:rsidR="00ED5FA6">
        <w:t>each urban environment</w:t>
      </w:r>
      <w:r w:rsidR="009C5EBA">
        <w:t xml:space="preserve"> special</w:t>
      </w:r>
      <w:r w:rsidR="000E2B50">
        <w:t>.</w:t>
      </w:r>
      <w:r w:rsidR="00A65F13">
        <w:t xml:space="preserve"> The provisions </w:t>
      </w:r>
      <w:r w:rsidR="00970DBF">
        <w:t xml:space="preserve">also seek to ensure that different </w:t>
      </w:r>
      <w:r w:rsidR="00FB71E9">
        <w:t>components</w:t>
      </w:r>
      <w:r w:rsidR="00970DBF">
        <w:t xml:space="preserve"> of the urban </w:t>
      </w:r>
      <w:r w:rsidR="008A621F">
        <w:t>environment</w:t>
      </w:r>
      <w:r w:rsidR="00970DBF">
        <w:t xml:space="preserve"> function well</w:t>
      </w:r>
      <w:r w:rsidR="00A01A6E">
        <w:t xml:space="preserve">, </w:t>
      </w:r>
      <w:r w:rsidR="005868AB">
        <w:t xml:space="preserve">covering commercial activities, industrial activities and development infrastructure and other </w:t>
      </w:r>
      <w:r w:rsidR="002409B9">
        <w:t xml:space="preserve">infrastructure as well as residential </w:t>
      </w:r>
      <w:proofErr w:type="gramStart"/>
      <w:r w:rsidR="002409B9">
        <w:t>activities,</w:t>
      </w:r>
      <w:r w:rsidR="005868AB">
        <w:t xml:space="preserve"> </w:t>
      </w:r>
      <w:r w:rsidR="00A01A6E">
        <w:t xml:space="preserve"> </w:t>
      </w:r>
      <w:r w:rsidR="008E58E0">
        <w:t>and</w:t>
      </w:r>
      <w:proofErr w:type="gramEnd"/>
      <w:r w:rsidR="008E58E0">
        <w:t xml:space="preserve"> the degree to which </w:t>
      </w:r>
      <w:r w:rsidR="00071605">
        <w:t xml:space="preserve">this </w:t>
      </w:r>
      <w:r w:rsidR="002409B9">
        <w:t>appl</w:t>
      </w:r>
      <w:r w:rsidR="00874DC6">
        <w:t>ies will</w:t>
      </w:r>
      <w:r w:rsidR="002409B9">
        <w:t xml:space="preserve"> </w:t>
      </w:r>
      <w:r w:rsidR="00071605">
        <w:t>var</w:t>
      </w:r>
      <w:r w:rsidR="00874DC6">
        <w:t>y</w:t>
      </w:r>
      <w:r w:rsidR="00071605">
        <w:t xml:space="preserve"> </w:t>
      </w:r>
      <w:r w:rsidR="00A01A6E">
        <w:t>according to their role</w:t>
      </w:r>
      <w:r w:rsidR="00071605">
        <w:t xml:space="preserve">, size, scale and </w:t>
      </w:r>
      <w:r w:rsidR="005A55B6">
        <w:t>function</w:t>
      </w:r>
      <w:r w:rsidR="00DE3B20">
        <w:t xml:space="preserve">. </w:t>
      </w:r>
    </w:p>
    <w:p w14:paraId="3BBFB81D" w14:textId="711DC18B" w:rsidR="0053485F" w:rsidRDefault="001F46D1" w:rsidP="00A247C5">
      <w:pPr>
        <w:pStyle w:val="Normal2"/>
      </w:pPr>
      <w:r>
        <w:t xml:space="preserve">The approach outlined in the provisions requires </w:t>
      </w:r>
      <w:r w:rsidR="00AD5644">
        <w:t>local</w:t>
      </w:r>
      <w:r>
        <w:t xml:space="preserve"> authorities t</w:t>
      </w:r>
      <w:r w:rsidR="00525D5A">
        <w:t xml:space="preserve">o achieve at least sufficient urban area housing and business development capacity in the short, medium and long terms by identifying areas for intensification and </w:t>
      </w:r>
      <w:proofErr w:type="gramStart"/>
      <w:r w:rsidR="00525D5A">
        <w:t>expansion, and</w:t>
      </w:r>
      <w:proofErr w:type="gramEnd"/>
      <w:r w:rsidR="00525D5A">
        <w:t xml:space="preserve"> responding to any demonstrated insufficiency by enabling more development capacity or provid</w:t>
      </w:r>
      <w:r w:rsidR="005133F7">
        <w:t>ing</w:t>
      </w:r>
      <w:r w:rsidR="00525D5A">
        <w:t xml:space="preserve"> more development infrastructure where that is integrated with adjoining urban environments and the provisions of infrastructure (Policy UDF</w:t>
      </w:r>
      <w:r w:rsidR="005133F7">
        <w:t>–</w:t>
      </w:r>
      <w:r w:rsidR="00525D5A">
        <w:t>P</w:t>
      </w:r>
      <w:r w:rsidR="001608C5">
        <w:t>2</w:t>
      </w:r>
      <w:r w:rsidR="00525D5A">
        <w:t xml:space="preserve">). </w:t>
      </w:r>
      <w:r w:rsidR="00F43C0C">
        <w:t xml:space="preserve">This provides some certainty to developers, the community and infrastructure providers </w:t>
      </w:r>
      <w:r w:rsidR="00E97C36">
        <w:t xml:space="preserve">(including those controlled or funded by council, central </w:t>
      </w:r>
      <w:r w:rsidR="00E97C36">
        <w:lastRenderedPageBreak/>
        <w:t>government and other third parties</w:t>
      </w:r>
      <w:r w:rsidR="007C0747">
        <w:rPr>
          <w:rStyle w:val="FootnoteReference"/>
        </w:rPr>
        <w:footnoteReference w:id="48"/>
      </w:r>
      <w:r w:rsidR="00E97C36">
        <w:t xml:space="preserve">) </w:t>
      </w:r>
      <w:r w:rsidR="00F43C0C">
        <w:t xml:space="preserve">about where and potentially when development will, can or might occur and ensures there are clear frameworks for enabling development that aligns with these approved strategies and plans. </w:t>
      </w:r>
    </w:p>
    <w:p w14:paraId="158ADEE0" w14:textId="5696995D" w:rsidR="00AF30C2" w:rsidRDefault="00F43C0C" w:rsidP="00A247C5">
      <w:pPr>
        <w:pStyle w:val="Normal2"/>
      </w:pPr>
      <w:r>
        <w:t xml:space="preserve">Balancing this certainty, </w:t>
      </w:r>
      <w:r w:rsidR="00BC5876">
        <w:t>flexibility is provided for</w:t>
      </w:r>
      <w:r>
        <w:t xml:space="preserve"> developments that are not anticipated </w:t>
      </w:r>
      <w:r w:rsidR="00C411BF">
        <w:t>(or are out of sequence)</w:t>
      </w:r>
      <w:r w:rsidR="00031399">
        <w:t>.</w:t>
      </w:r>
      <w:r w:rsidR="00C411BF">
        <w:t xml:space="preserve"> </w:t>
      </w:r>
      <w:r w:rsidR="00031399">
        <w:t>T</w:t>
      </w:r>
      <w:r w:rsidR="00B6380F">
        <w:t xml:space="preserve">he relevant local authority </w:t>
      </w:r>
      <w:r w:rsidR="004D3B87">
        <w:t>must</w:t>
      </w:r>
      <w:r w:rsidR="009F21C7">
        <w:t xml:space="preserve"> h</w:t>
      </w:r>
      <w:r w:rsidR="007A72D5">
        <w:t xml:space="preserve">ave </w:t>
      </w:r>
      <w:proofErr w:type="gramStart"/>
      <w:r w:rsidR="007A72D5">
        <w:t>particular regard</w:t>
      </w:r>
      <w:proofErr w:type="gramEnd"/>
      <w:r w:rsidR="007A72D5">
        <w:t xml:space="preserve"> to </w:t>
      </w:r>
      <w:r w:rsidR="00F27598">
        <w:t xml:space="preserve">the development capacity </w:t>
      </w:r>
      <w:r w:rsidR="00B6380F">
        <w:t>provided</w:t>
      </w:r>
      <w:r>
        <w:t xml:space="preserve">, if they provide </w:t>
      </w:r>
      <w:r w:rsidR="00C411BF">
        <w:t>‘</w:t>
      </w:r>
      <w:r>
        <w:t>significant development capacity</w:t>
      </w:r>
      <w:r w:rsidR="00C411BF">
        <w:t>’</w:t>
      </w:r>
      <w:r>
        <w:t xml:space="preserve">, as defined by criteria set out </w:t>
      </w:r>
      <w:r w:rsidR="00570BCA">
        <w:t xml:space="preserve">by </w:t>
      </w:r>
      <w:r w:rsidR="00FD18B6">
        <w:t>Poli</w:t>
      </w:r>
      <w:r w:rsidR="000638D6">
        <w:t>cy UFD</w:t>
      </w:r>
      <w:r w:rsidR="005133F7">
        <w:t>–</w:t>
      </w:r>
      <w:r w:rsidR="000638D6">
        <w:t>P</w:t>
      </w:r>
      <w:r w:rsidR="007C4A0B">
        <w:t>10</w:t>
      </w:r>
      <w:r w:rsidR="008E631E">
        <w:t>.</w:t>
      </w:r>
      <w:r w:rsidR="00EB4D74">
        <w:t xml:space="preserve"> </w:t>
      </w:r>
      <w:r w:rsidR="001B6AB1">
        <w:t xml:space="preserve">This provision </w:t>
      </w:r>
      <w:r w:rsidR="001A662E">
        <w:t>gives effect</w:t>
      </w:r>
      <w:r w:rsidR="001B6AB1">
        <w:t xml:space="preserve"> to NPSUD </w:t>
      </w:r>
      <w:r w:rsidR="001A662E">
        <w:t>Clause 3.8</w:t>
      </w:r>
      <w:r w:rsidR="009C0B16">
        <w:t>,</w:t>
      </w:r>
      <w:r w:rsidR="00CE2087">
        <w:t xml:space="preserve"> </w:t>
      </w:r>
      <w:proofErr w:type="gramStart"/>
      <w:r w:rsidR="00611016">
        <w:t xml:space="preserve">in particular </w:t>
      </w:r>
      <w:r w:rsidR="00E73790">
        <w:t>subclause</w:t>
      </w:r>
      <w:proofErr w:type="gramEnd"/>
      <w:r w:rsidR="00E73790">
        <w:t xml:space="preserve"> </w:t>
      </w:r>
      <w:r w:rsidR="001D6C0A">
        <w:t>(3)</w:t>
      </w:r>
      <w:r w:rsidR="00277223">
        <w:t>.</w:t>
      </w:r>
      <w:r w:rsidR="00405C76">
        <w:t xml:space="preserve"> </w:t>
      </w:r>
      <w:r>
        <w:t xml:space="preserve">The provisions recognise that urban development occurs in two main ways; through intensification of existing urban areas; and through urban expansion. The provisions reflect that the issues </w:t>
      </w:r>
      <w:r w:rsidR="4073984F">
        <w:t xml:space="preserve">and challenges </w:t>
      </w:r>
      <w:r>
        <w:t xml:space="preserve">associated with each </w:t>
      </w:r>
      <w:r w:rsidR="007D719F">
        <w:t xml:space="preserve">type of development </w:t>
      </w:r>
      <w:r>
        <w:t xml:space="preserve">are </w:t>
      </w:r>
      <w:proofErr w:type="gramStart"/>
      <w:r>
        <w:t>different, and</w:t>
      </w:r>
      <w:proofErr w:type="gramEnd"/>
      <w:r>
        <w:t xml:space="preserve"> provide direction on whe</w:t>
      </w:r>
      <w:r w:rsidR="03C14F42">
        <w:t>re</w:t>
      </w:r>
      <w:r>
        <w:t xml:space="preserve"> each is </w:t>
      </w:r>
      <w:r w:rsidR="1D725C13">
        <w:t xml:space="preserve">most </w:t>
      </w:r>
      <w:r>
        <w:t xml:space="preserve">suitable. </w:t>
      </w:r>
      <w:r w:rsidR="00525D5A">
        <w:t xml:space="preserve">Policies UFD-P2 and UFD-P3 </w:t>
      </w:r>
      <w:r w:rsidR="072F851E">
        <w:t xml:space="preserve">provide direction to TAs to enable intensification and </w:t>
      </w:r>
      <w:r w:rsidR="005B733F">
        <w:t>facilitate</w:t>
      </w:r>
      <w:r w:rsidR="072F851E">
        <w:t xml:space="preserve"> expansion where </w:t>
      </w:r>
      <w:r w:rsidR="00277325">
        <w:t xml:space="preserve">specified </w:t>
      </w:r>
      <w:r w:rsidR="072F851E">
        <w:t xml:space="preserve">criteria </w:t>
      </w:r>
      <w:r w:rsidR="0B4E83A0">
        <w:t>are met. This approach sup</w:t>
      </w:r>
      <w:r w:rsidR="4AE7730A">
        <w:t>p</w:t>
      </w:r>
      <w:r w:rsidR="0B4E83A0">
        <w:t xml:space="preserve">orts the objective of more efficiently utilising existing resources, </w:t>
      </w:r>
      <w:proofErr w:type="gramStart"/>
      <w:r w:rsidR="0B4E83A0">
        <w:t>infrastructure</w:t>
      </w:r>
      <w:proofErr w:type="gramEnd"/>
      <w:r w:rsidR="0B4E83A0">
        <w:t xml:space="preserve"> and facilitie</w:t>
      </w:r>
      <w:r w:rsidR="25D7F05F">
        <w:t>s, while also allowing for expansion</w:t>
      </w:r>
      <w:r w:rsidR="243DFC21">
        <w:t xml:space="preserve"> </w:t>
      </w:r>
      <w:r w:rsidR="0912DAD6">
        <w:t>that can also support wider objectives</w:t>
      </w:r>
      <w:r w:rsidR="00525D5A">
        <w:t xml:space="preserve">. </w:t>
      </w:r>
    </w:p>
    <w:p w14:paraId="710D1B79" w14:textId="6EA2AC2E" w:rsidR="00971266" w:rsidRDefault="00B56138" w:rsidP="00A247C5">
      <w:pPr>
        <w:pStyle w:val="Normal2"/>
      </w:pPr>
      <w:r>
        <w:t>Policies UFD-P</w:t>
      </w:r>
      <w:r w:rsidR="003D1655">
        <w:t>5</w:t>
      </w:r>
      <w:r>
        <w:t xml:space="preserve"> and UFD-P</w:t>
      </w:r>
      <w:r w:rsidR="003D1655">
        <w:t>6</w:t>
      </w:r>
      <w:r>
        <w:t xml:space="preserve"> seek to provide for commercial activities and industrial </w:t>
      </w:r>
      <w:r w:rsidR="00287591">
        <w:t xml:space="preserve">activities </w:t>
      </w:r>
      <w:proofErr w:type="gramStart"/>
      <w:r w:rsidR="00287591">
        <w:t xml:space="preserve">respectively </w:t>
      </w:r>
      <w:r>
        <w:t>,</w:t>
      </w:r>
      <w:proofErr w:type="gramEnd"/>
      <w:r>
        <w:t xml:space="preserve"> </w:t>
      </w:r>
      <w:r w:rsidR="00C55272">
        <w:t xml:space="preserve">primarily by identifying areas that are appropriate for these activities, managing them appropriately </w:t>
      </w:r>
      <w:r w:rsidR="00F60790">
        <w:t xml:space="preserve">to allow for growth and change, </w:t>
      </w:r>
      <w:r w:rsidR="00C55272">
        <w:t xml:space="preserve">and for industrial land, avoiding the establishment of activities likely to result in reverse sensitivity effects or an </w:t>
      </w:r>
      <w:r w:rsidR="00971266">
        <w:t>inefficient use of industrial land.</w:t>
      </w:r>
      <w:r w:rsidR="00D879E7">
        <w:t xml:space="preserve"> </w:t>
      </w:r>
      <w:r w:rsidR="00C1590D">
        <w:t>P</w:t>
      </w:r>
      <w:r w:rsidR="00DB50FB">
        <w:t>olicies</w:t>
      </w:r>
      <w:r w:rsidR="00C1590D">
        <w:t xml:space="preserve"> UF</w:t>
      </w:r>
      <w:r w:rsidR="006F1B67">
        <w:t>D-P5 and UFD-P6</w:t>
      </w:r>
      <w:r w:rsidR="00DB50FB">
        <w:t xml:space="preserve"> </w:t>
      </w:r>
      <w:r w:rsidR="00B51150">
        <w:t xml:space="preserve">support the location focussed policies of UFD-P2 and UFD-P3 and add form and function </w:t>
      </w:r>
      <w:r w:rsidR="00A82822">
        <w:t>considerations</w:t>
      </w:r>
      <w:r w:rsidR="005556AB">
        <w:t>.</w:t>
      </w:r>
      <w:r w:rsidR="009A3BD1" w:rsidDel="0098488E">
        <w:t xml:space="preserve"> </w:t>
      </w:r>
    </w:p>
    <w:p w14:paraId="03F282CE" w14:textId="78ECF234" w:rsidR="00971266" w:rsidRDefault="00971266" w:rsidP="00A247C5">
      <w:pPr>
        <w:pStyle w:val="Normal2"/>
      </w:pPr>
      <w:r>
        <w:t>Policies UFD-P</w:t>
      </w:r>
      <w:r w:rsidR="000A7DC4">
        <w:t>7</w:t>
      </w:r>
      <w:r>
        <w:t xml:space="preserve"> and UFD-P</w:t>
      </w:r>
      <w:r w:rsidR="000A7DC4">
        <w:t>8</w:t>
      </w:r>
      <w:r>
        <w:t xml:space="preserve"> set out how </w:t>
      </w:r>
      <w:r w:rsidR="007D4AB5">
        <w:t xml:space="preserve">to provide for growth and development in rural areas, including rural lifestyle and rural residential zones. </w:t>
      </w:r>
      <w:r w:rsidR="000D20DB">
        <w:t xml:space="preserve">The distinction is made in the Policies to require </w:t>
      </w:r>
      <w:r w:rsidR="000D20DB" w:rsidRPr="00A333B6">
        <w:rPr>
          <w:i/>
        </w:rPr>
        <w:t>urban</w:t>
      </w:r>
      <w:r w:rsidR="000D20DB">
        <w:t xml:space="preserve"> demand to be anticipated and provided for in accordance with the NPSUD</w:t>
      </w:r>
      <w:r w:rsidR="0017361A">
        <w:t xml:space="preserve">. </w:t>
      </w:r>
      <w:r w:rsidR="00416280">
        <w:t xml:space="preserve">If </w:t>
      </w:r>
      <w:r w:rsidR="00EF6F5A">
        <w:t>r</w:t>
      </w:r>
      <w:r w:rsidR="000D20DB">
        <w:t xml:space="preserve">ural residential and rural lifestyle demand exists and the </w:t>
      </w:r>
      <w:r w:rsidR="00EF6F5A">
        <w:t>territorial authority</w:t>
      </w:r>
      <w:r w:rsidR="000D20DB">
        <w:t xml:space="preserve"> decides that that demand is to be provided for, </w:t>
      </w:r>
      <w:r w:rsidR="00416280">
        <w:t xml:space="preserve">the policy requires this to be </w:t>
      </w:r>
      <w:r w:rsidR="0044336C">
        <w:t>done</w:t>
      </w:r>
      <w:r w:rsidR="000D20DB">
        <w:t xml:space="preserve"> in a particular way. For the avoidance of doubt, rural residential and rural lifestyle development is to be </w:t>
      </w:r>
      <w:r w:rsidR="000D20DB" w:rsidRPr="00A333B6">
        <w:rPr>
          <w:i/>
        </w:rPr>
        <w:t>managed</w:t>
      </w:r>
      <w:r w:rsidR="000D20DB">
        <w:t xml:space="preserve">, but </w:t>
      </w:r>
      <w:r w:rsidR="00A44F74">
        <w:t>does not require this demand to be</w:t>
      </w:r>
      <w:r w:rsidR="000D20DB">
        <w:t xml:space="preserve"> met</w:t>
      </w:r>
      <w:r w:rsidR="00A44F74">
        <w:t>,</w:t>
      </w:r>
      <w:r w:rsidR="000D20DB">
        <w:t xml:space="preserve"> unless it is </w:t>
      </w:r>
      <w:r w:rsidR="0044336C">
        <w:t xml:space="preserve">demonstrably </w:t>
      </w:r>
      <w:r w:rsidR="000D20DB">
        <w:t>appropriate to do so.</w:t>
      </w:r>
      <w:r w:rsidR="00A44F74">
        <w:t xml:space="preserve"> </w:t>
      </w:r>
      <w:r w:rsidR="00300FBF">
        <w:t>Policy UFD-P</w:t>
      </w:r>
      <w:r w:rsidR="000A7DC4">
        <w:t>7</w:t>
      </w:r>
      <w:r w:rsidR="00300FBF">
        <w:t xml:space="preserve"> focuses on maintaining the productive capacity, </w:t>
      </w:r>
      <w:proofErr w:type="gramStart"/>
      <w:r w:rsidR="00300FBF">
        <w:t>amenity</w:t>
      </w:r>
      <w:proofErr w:type="gramEnd"/>
      <w:r w:rsidR="00300FBF">
        <w:t xml:space="preserve"> and character of rural areas, recognising that </w:t>
      </w:r>
      <w:r w:rsidR="006C6860">
        <w:t xml:space="preserve">these areas </w:t>
      </w:r>
      <w:r w:rsidR="00300FBF">
        <w:t xml:space="preserve">play an important role in </w:t>
      </w:r>
      <w:r w:rsidR="00410377">
        <w:t xml:space="preserve">environmental, cultural and </w:t>
      </w:r>
      <w:r w:rsidR="00300FBF">
        <w:t>social wellbeing and the economy of Otago. UFD-P</w:t>
      </w:r>
      <w:r w:rsidR="00415A04">
        <w:t>8</w:t>
      </w:r>
      <w:r w:rsidR="00300FBF">
        <w:t xml:space="preserve"> provides for </w:t>
      </w:r>
      <w:r w:rsidR="00D177F9">
        <w:t xml:space="preserve">the </w:t>
      </w:r>
      <w:r w:rsidR="00410377">
        <w:t>establishment</w:t>
      </w:r>
      <w:r w:rsidR="00415A04">
        <w:t>,</w:t>
      </w:r>
      <w:r w:rsidR="00D177F9">
        <w:t xml:space="preserve"> development or expansion or rural lifestyle and rural residential zones where it meets certain criteria, including avoiding land identified for future urban development or where </w:t>
      </w:r>
      <w:r w:rsidR="00DC2D77">
        <w:t xml:space="preserve">development would foreclose or reduce efficient realisation of that urban development potential. </w:t>
      </w:r>
      <w:r w:rsidR="00C25E08">
        <w:t>Unlike</w:t>
      </w:r>
      <w:r w:rsidR="00EB7999">
        <w:t xml:space="preserve"> the requirement to </w:t>
      </w:r>
      <w:r w:rsidR="00564154">
        <w:t>anticipate</w:t>
      </w:r>
      <w:r w:rsidR="00EB7999">
        <w:t xml:space="preserve"> and </w:t>
      </w:r>
      <w:r w:rsidR="00F65122">
        <w:t xml:space="preserve">demonstrably </w:t>
      </w:r>
      <w:r w:rsidR="00EB7999">
        <w:t xml:space="preserve">meet projected demand in urban areas for housing, the approach </w:t>
      </w:r>
      <w:r w:rsidR="00AB6FA5">
        <w:t xml:space="preserve">proposed </w:t>
      </w:r>
      <w:r w:rsidR="00EB7999">
        <w:t xml:space="preserve">to rural lifestyle development is to manage </w:t>
      </w:r>
      <w:proofErr w:type="gramStart"/>
      <w:r w:rsidR="00EB7999">
        <w:t>demand, and</w:t>
      </w:r>
      <w:proofErr w:type="gramEnd"/>
      <w:r w:rsidR="00EB7999">
        <w:t xml:space="preserve"> provide for opportunities only where it is appropriate. In particular, rural lifestyle development should avoid </w:t>
      </w:r>
      <w:r w:rsidR="00622C91">
        <w:t xml:space="preserve">highly </w:t>
      </w:r>
      <w:r w:rsidR="00EB7999">
        <w:t xml:space="preserve">productive </w:t>
      </w:r>
      <w:r w:rsidR="00622C91">
        <w:t xml:space="preserve">land </w:t>
      </w:r>
      <w:r w:rsidR="00EB7999">
        <w:t xml:space="preserve">and </w:t>
      </w:r>
      <w:r w:rsidR="00B21AF8">
        <w:t xml:space="preserve">land identified for </w:t>
      </w:r>
      <w:r w:rsidR="00EB7999">
        <w:t xml:space="preserve">future urban expansion, but </w:t>
      </w:r>
      <w:r w:rsidR="00B21AF8">
        <w:t xml:space="preserve">should </w:t>
      </w:r>
      <w:r w:rsidR="00EB7999">
        <w:t xml:space="preserve">be located close to urban areas </w:t>
      </w:r>
      <w:r w:rsidR="00E778BD">
        <w:t xml:space="preserve">and accessible </w:t>
      </w:r>
      <w:proofErr w:type="gramStart"/>
      <w:r w:rsidR="00E778BD">
        <w:t>to</w:t>
      </w:r>
      <w:r w:rsidR="000D24AC">
        <w:t xml:space="preserve"> </w:t>
      </w:r>
      <w:r w:rsidR="00EB7999">
        <w:t xml:space="preserve"> employment</w:t>
      </w:r>
      <w:proofErr w:type="gramEnd"/>
      <w:r w:rsidR="00EB7999">
        <w:t xml:space="preserve"> and services</w:t>
      </w:r>
      <w:r w:rsidR="00751F3A">
        <w:t xml:space="preserve">. </w:t>
      </w:r>
    </w:p>
    <w:p w14:paraId="2DD54D58" w14:textId="40945EAB" w:rsidR="00F43C0C" w:rsidRDefault="00D163F4" w:rsidP="005133F7">
      <w:pPr>
        <w:pStyle w:val="Normal2"/>
      </w:pPr>
      <w:r>
        <w:t>Policy UFD-P</w:t>
      </w:r>
      <w:r w:rsidR="00751F3A">
        <w:t>9</w:t>
      </w:r>
      <w:r>
        <w:t xml:space="preserve"> carries over the existing direction from the PORPS 2019 regarding the development of land by Kāi </w:t>
      </w:r>
      <w:proofErr w:type="spellStart"/>
      <w:r>
        <w:t>Tahu</w:t>
      </w:r>
      <w:proofErr w:type="spellEnd"/>
      <w:r>
        <w:t xml:space="preserve">, including providing for </w:t>
      </w:r>
      <w:proofErr w:type="spellStart"/>
      <w:r>
        <w:t>papakāika</w:t>
      </w:r>
      <w:proofErr w:type="spellEnd"/>
      <w:r>
        <w:t xml:space="preserve">, </w:t>
      </w:r>
      <w:proofErr w:type="spellStart"/>
      <w:r w:rsidR="00C3102F">
        <w:t>kāika</w:t>
      </w:r>
      <w:proofErr w:type="spellEnd"/>
      <w:r w:rsidR="00C3102F">
        <w:t xml:space="preserve"> and marae</w:t>
      </w:r>
      <w:r w:rsidR="005133F7">
        <w:t xml:space="preserve">. </w:t>
      </w:r>
      <w:r w:rsidR="00F43C0C">
        <w:t xml:space="preserve">In </w:t>
      </w:r>
      <w:r w:rsidR="00F43C0C">
        <w:lastRenderedPageBreak/>
        <w:t>accordance with the NPSUD</w:t>
      </w:r>
      <w:r w:rsidR="005A55B6">
        <w:t xml:space="preserve"> (Clause 3.6(2)(a))</w:t>
      </w:r>
      <w:r w:rsidR="00774DC5">
        <w:rPr>
          <w:rStyle w:val="FootnoteReference"/>
        </w:rPr>
        <w:footnoteReference w:id="49"/>
      </w:r>
      <w:r w:rsidR="00F43C0C">
        <w:t>, Policy UFD-P</w:t>
      </w:r>
      <w:r w:rsidR="00B85146">
        <w:t>10</w:t>
      </w:r>
      <w:r w:rsidR="00F43C0C">
        <w:t xml:space="preserve"> sets out the criteria for determining whether a proposed plan change provides </w:t>
      </w:r>
      <w:r w:rsidR="00290B9A">
        <w:t>‘</w:t>
      </w:r>
      <w:r w:rsidR="00F43C0C">
        <w:t>significant development capacity</w:t>
      </w:r>
      <w:r w:rsidR="00290B9A">
        <w:t>’</w:t>
      </w:r>
      <w:r w:rsidR="00F43C0C">
        <w:t xml:space="preserve">. The criteria were </w:t>
      </w:r>
      <w:r w:rsidR="0048021C">
        <w:t xml:space="preserve">initially </w:t>
      </w:r>
      <w:r w:rsidR="00F43C0C">
        <w:t xml:space="preserve">developed in collaboration with </w:t>
      </w:r>
      <w:r w:rsidR="00816969">
        <w:t xml:space="preserve">the </w:t>
      </w:r>
      <w:r w:rsidR="0048021C">
        <w:t xml:space="preserve">Tier 2 </w:t>
      </w:r>
      <w:r w:rsidR="00F43C0C">
        <w:t>local authorities in Otago</w:t>
      </w:r>
      <w:r w:rsidR="00C70228">
        <w:t>.</w:t>
      </w:r>
      <w:r w:rsidR="00E602AC">
        <w:t xml:space="preserve"> </w:t>
      </w:r>
    </w:p>
    <w:p w14:paraId="47E7D850" w14:textId="0EF4074F" w:rsidR="00866F08" w:rsidRDefault="001B59E1" w:rsidP="00A247C5">
      <w:pPr>
        <w:pStyle w:val="Normal2"/>
      </w:pPr>
      <w:r>
        <w:t>Method UFD-M1</w:t>
      </w:r>
      <w:r w:rsidR="006F06E4">
        <w:t xml:space="preserve"> requires Otago’s </w:t>
      </w:r>
      <w:r w:rsidR="00E11985">
        <w:t>relevant</w:t>
      </w:r>
      <w:r w:rsidR="006F06E4">
        <w:t xml:space="preserve"> local authorities </w:t>
      </w:r>
      <w:r w:rsidR="003116E1">
        <w:t xml:space="preserve">to jointly determine housing development capacity for </w:t>
      </w:r>
      <w:r w:rsidR="00244080">
        <w:t>Tier 2 local authorities</w:t>
      </w:r>
      <w:r w:rsidR="003116E1">
        <w:t xml:space="preserve"> using the process set out in the NPSUD and for other areas </w:t>
      </w:r>
      <w:r w:rsidR="00244080">
        <w:t xml:space="preserve">(Tier 3 and other local </w:t>
      </w:r>
      <w:r w:rsidR="001729D5">
        <w:t>authorities</w:t>
      </w:r>
      <w:r w:rsidR="00244080">
        <w:t>)</w:t>
      </w:r>
      <w:r w:rsidR="003116E1" w:rsidDel="00106CCE">
        <w:t xml:space="preserve"> </w:t>
      </w:r>
      <w:r w:rsidR="00106CCE">
        <w:t xml:space="preserve">using </w:t>
      </w:r>
      <w:r w:rsidR="003116E1">
        <w:t>a similar but appropriately scaled process. It also requires the local authorities to monitor and regularly assess and report on the supply of</w:t>
      </w:r>
      <w:r w:rsidR="005133F7">
        <w:t>,</w:t>
      </w:r>
      <w:r w:rsidR="003116E1">
        <w:t xml:space="preserve"> and demand for</w:t>
      </w:r>
      <w:r w:rsidR="005133F7">
        <w:t>,</w:t>
      </w:r>
      <w:r w:rsidR="003116E1">
        <w:t xml:space="preserve"> land development capacity, coordinate the redevelopment and intensification or expansion of urban areas using Future Development Strategies and/or Structure Planning, and develop housing bottom lines in accordance with the NPSUD. Th</w:t>
      </w:r>
      <w:r w:rsidR="00772167">
        <w:t xml:space="preserve">ere is a blank </w:t>
      </w:r>
      <w:r w:rsidR="007F5AF8">
        <w:t>table</w:t>
      </w:r>
      <w:r w:rsidR="00772167">
        <w:t xml:space="preserve"> in</w:t>
      </w:r>
      <w:r w:rsidR="00772167" w:rsidDel="007A7993">
        <w:t xml:space="preserve"> </w:t>
      </w:r>
      <w:r w:rsidR="007A7993">
        <w:t>APP10</w:t>
      </w:r>
      <w:r w:rsidR="00772167">
        <w:t xml:space="preserve"> which will be amended in the future to include these bottom lines</w:t>
      </w:r>
      <w:r w:rsidR="007F5AF8">
        <w:t xml:space="preserve"> as soon as practicable </w:t>
      </w:r>
      <w:r w:rsidR="000626E0">
        <w:t xml:space="preserve">following the </w:t>
      </w:r>
      <w:r w:rsidR="001F2B1B">
        <w:t xml:space="preserve">publication of the </w:t>
      </w:r>
      <w:r w:rsidR="007A7993">
        <w:t xml:space="preserve">relevant </w:t>
      </w:r>
      <w:r w:rsidR="001F2B1B">
        <w:t>HBA</w:t>
      </w:r>
      <w:r w:rsidR="00772167">
        <w:t>.</w:t>
      </w:r>
      <w:r w:rsidR="00ED6484">
        <w:t xml:space="preserve"> The method provides a staggered approach </w:t>
      </w:r>
      <w:r w:rsidR="009D5692">
        <w:t>recognising</w:t>
      </w:r>
      <w:r w:rsidR="00ED6484">
        <w:t xml:space="preserve"> the directive nature of the NPSUD for Tier 2 </w:t>
      </w:r>
      <w:r w:rsidR="009D5692">
        <w:t>authorities</w:t>
      </w:r>
      <w:r w:rsidR="00725C14">
        <w:t xml:space="preserve">, </w:t>
      </w:r>
      <w:r w:rsidR="009D5692">
        <w:t>over and above</w:t>
      </w:r>
      <w:r w:rsidR="00725C14">
        <w:t xml:space="preserve"> </w:t>
      </w:r>
      <w:r w:rsidR="005A348C">
        <w:t xml:space="preserve">other </w:t>
      </w:r>
      <w:r w:rsidR="0025112E">
        <w:t>territorial authorities</w:t>
      </w:r>
      <w:r w:rsidR="005A348C">
        <w:t xml:space="preserve"> </w:t>
      </w:r>
      <w:proofErr w:type="gramStart"/>
      <w:r w:rsidR="00725C14">
        <w:t>and also</w:t>
      </w:r>
      <w:proofErr w:type="gramEnd"/>
      <w:r w:rsidR="00725C14">
        <w:t xml:space="preserve"> the </w:t>
      </w:r>
      <w:r w:rsidR="009D5692">
        <w:t xml:space="preserve">‘strong suggestion’ that other </w:t>
      </w:r>
      <w:r w:rsidR="0025112E">
        <w:t>territorial authorities</w:t>
      </w:r>
      <w:r w:rsidR="009D5692">
        <w:t xml:space="preserve"> undertake </w:t>
      </w:r>
      <w:r w:rsidR="00553A13">
        <w:t xml:space="preserve">similar processes using </w:t>
      </w:r>
      <w:r w:rsidR="009D5692">
        <w:t>suitably scale</w:t>
      </w:r>
      <w:r w:rsidR="005A348C">
        <w:t>d</w:t>
      </w:r>
      <w:r w:rsidR="009D5692">
        <w:t xml:space="preserve"> processes</w:t>
      </w:r>
      <w:r w:rsidR="005A348C">
        <w:t>.</w:t>
      </w:r>
      <w:r w:rsidR="00553A13">
        <w:t xml:space="preserve"> </w:t>
      </w:r>
    </w:p>
    <w:p w14:paraId="1158AF44" w14:textId="42C917F3" w:rsidR="001F2B1B" w:rsidRDefault="00772167" w:rsidP="00A247C5">
      <w:pPr>
        <w:pStyle w:val="Normal2"/>
      </w:pPr>
      <w:r>
        <w:t>Method UFD-M2 sets out the requirements for district plans</w:t>
      </w:r>
      <w:r w:rsidR="00927B8D">
        <w:t xml:space="preserve">, to </w:t>
      </w:r>
      <w:r w:rsidR="00995037">
        <w:t xml:space="preserve">allow </w:t>
      </w:r>
      <w:r w:rsidR="00A53BA2">
        <w:t xml:space="preserve">for </w:t>
      </w:r>
      <w:r w:rsidR="00995037">
        <w:t>the delivery of outcomes identified via strategic planning processes</w:t>
      </w:r>
      <w:r>
        <w:t xml:space="preserve">. </w:t>
      </w:r>
      <w:r w:rsidR="00483DDA">
        <w:t>This requirement also gives effect to the NPSUD direction</w:t>
      </w:r>
      <w:r w:rsidR="001A6F80">
        <w:t xml:space="preserve"> to</w:t>
      </w:r>
      <w:r w:rsidR="00A53BA2">
        <w:t xml:space="preserve"> ensur</w:t>
      </w:r>
      <w:r w:rsidR="001A6F80">
        <w:t>e</w:t>
      </w:r>
      <w:r w:rsidR="00A53BA2">
        <w:t xml:space="preserve"> sufficient development capacity</w:t>
      </w:r>
      <w:r w:rsidR="00DD0E19">
        <w:t xml:space="preserve"> (Clause 3.17).</w:t>
      </w:r>
      <w:r>
        <w:t xml:space="preserve"> There are many specific actions required that must be undertaken </w:t>
      </w:r>
      <w:r w:rsidR="00CA7817">
        <w:t>as soon as practicable</w:t>
      </w:r>
      <w:r w:rsidR="00580022">
        <w:t xml:space="preserve">, mostly </w:t>
      </w:r>
      <w:proofErr w:type="gramStart"/>
      <w:r w:rsidR="00580022">
        <w:t>subsequent to</w:t>
      </w:r>
      <w:proofErr w:type="gramEnd"/>
      <w:r w:rsidR="00580022">
        <w:t xml:space="preserve"> the </w:t>
      </w:r>
      <w:r w:rsidR="003B1461">
        <w:t>strategic planning processes they will be significantly informed by</w:t>
      </w:r>
      <w:r w:rsidR="00740AC0">
        <w:t xml:space="preserve"> and </w:t>
      </w:r>
      <w:r w:rsidR="00A60900">
        <w:t>designed to</w:t>
      </w:r>
      <w:r w:rsidR="00740AC0">
        <w:t xml:space="preserve"> </w:t>
      </w:r>
      <w:r w:rsidR="00A60900">
        <w:t>implement</w:t>
      </w:r>
      <w:r>
        <w:t xml:space="preserve">. </w:t>
      </w:r>
    </w:p>
    <w:p w14:paraId="2CFDF40E" w14:textId="0038017C" w:rsidR="00772167" w:rsidRDefault="00772167" w:rsidP="00A247C5">
      <w:pPr>
        <w:pStyle w:val="Normal2"/>
      </w:pPr>
      <w:r>
        <w:t xml:space="preserve">Supporting this, Policy UFD-M3 sets out the requirements for </w:t>
      </w:r>
      <w:r w:rsidR="00032B32">
        <w:t>the design and maintenance of public spaces</w:t>
      </w:r>
      <w:r w:rsidR="00C378D2">
        <w:t xml:space="preserve">, reflecting that as </w:t>
      </w:r>
      <w:r w:rsidR="006D4FF6">
        <w:t>urban areas become more intensively utilised, the value of public space increases</w:t>
      </w:r>
      <w:r w:rsidR="00032B32">
        <w:t>.</w:t>
      </w:r>
      <w:r w:rsidR="008B40DE">
        <w:t xml:space="preserve"> </w:t>
      </w:r>
    </w:p>
    <w:p w14:paraId="390D29DC" w14:textId="77777777" w:rsidR="00822823" w:rsidRDefault="00822823" w:rsidP="0082271A">
      <w:pPr>
        <w:pStyle w:val="Heading3"/>
      </w:pPr>
      <w:r>
        <w:t>Consultation summary</w:t>
      </w:r>
    </w:p>
    <w:p w14:paraId="0CA7F87D" w14:textId="192694D1" w:rsidR="006F562C" w:rsidRDefault="00822823" w:rsidP="00DE069C">
      <w:pPr>
        <w:pStyle w:val="Heading4"/>
      </w:pPr>
      <w:r w:rsidRPr="00C73848">
        <w:t>Clause 3</w:t>
      </w:r>
      <w:r w:rsidR="00C73848" w:rsidRPr="00C73848">
        <w:t xml:space="preserve"> consultation</w:t>
      </w:r>
    </w:p>
    <w:p w14:paraId="1A9C9BFE" w14:textId="6615A4E9" w:rsidR="006F562C" w:rsidRDefault="00985EFA" w:rsidP="00A247C5">
      <w:pPr>
        <w:pStyle w:val="Normal2"/>
      </w:pPr>
      <w:r>
        <w:t xml:space="preserve">As discussed in </w:t>
      </w:r>
      <w:r w:rsidR="005133F7">
        <w:fldChar w:fldCharType="begin"/>
      </w:r>
      <w:r w:rsidR="005133F7">
        <w:instrText xml:space="preserve"> REF _Ref68867783 \r \h </w:instrText>
      </w:r>
      <w:r w:rsidR="005133F7">
        <w:fldChar w:fldCharType="separate"/>
      </w:r>
      <w:r w:rsidR="002A7A16">
        <w:t>2.5.1</w:t>
      </w:r>
      <w:r w:rsidR="005133F7">
        <w:fldChar w:fldCharType="end"/>
      </w:r>
      <w:r w:rsidR="007D5737">
        <w:t xml:space="preserve">, Clause 3 consultation involved comment from </w:t>
      </w:r>
      <w:r w:rsidR="00E71067">
        <w:t xml:space="preserve">a range of parties, and </w:t>
      </w:r>
      <w:r w:rsidR="00FE04E2">
        <w:t xml:space="preserve">further discussion with </w:t>
      </w:r>
      <w:r w:rsidR="009B2FAB">
        <w:t xml:space="preserve">the </w:t>
      </w:r>
      <w:r w:rsidR="00FE04E2">
        <w:t xml:space="preserve">Reference </w:t>
      </w:r>
      <w:r w:rsidR="009B2FAB">
        <w:t>Group (Urban form and development)</w:t>
      </w:r>
      <w:r w:rsidR="00162FA2">
        <w:t>. A wide range</w:t>
      </w:r>
      <w:r w:rsidR="00EF37DB">
        <w:t xml:space="preserve"> </w:t>
      </w:r>
      <w:r w:rsidR="00162FA2">
        <w:t xml:space="preserve">of </w:t>
      </w:r>
      <w:r w:rsidR="00EF37DB">
        <w:t xml:space="preserve">commentary was received, with the majority </w:t>
      </w:r>
      <w:r w:rsidR="00B52D44">
        <w:t xml:space="preserve">being from </w:t>
      </w:r>
      <w:r w:rsidR="007B1FFC">
        <w:t>territorial authoritie</w:t>
      </w:r>
      <w:r w:rsidR="00B52D44">
        <w:t xml:space="preserve">s who will be responsible for implementing </w:t>
      </w:r>
      <w:r w:rsidR="0078049A">
        <w:t xml:space="preserve">the provisions </w:t>
      </w:r>
      <w:r w:rsidR="00002DF5">
        <w:t>via their district plans and strategic planning processes</w:t>
      </w:r>
      <w:r w:rsidR="002672E4">
        <w:t xml:space="preserve">. </w:t>
      </w:r>
    </w:p>
    <w:p w14:paraId="356D7E2E" w14:textId="0FED0B4F" w:rsidR="00CD448D" w:rsidRDefault="00CD448D" w:rsidP="002A7A16">
      <w:pPr>
        <w:pStyle w:val="Normal2"/>
      </w:pPr>
      <w:r>
        <w:t xml:space="preserve">Comments from the </w:t>
      </w:r>
      <w:r w:rsidR="00DB496F">
        <w:t>territorial authoritie</w:t>
      </w:r>
      <w:r>
        <w:t xml:space="preserve">s focussed on highlighting areas where the policy direction was </w:t>
      </w:r>
      <w:r w:rsidR="00F718FE">
        <w:t xml:space="preserve">either </w:t>
      </w:r>
      <w:r>
        <w:t xml:space="preserve">unclear or </w:t>
      </w:r>
      <w:r w:rsidR="00F718FE">
        <w:t>potentially inconsistent with the NPSUD</w:t>
      </w:r>
      <w:r w:rsidR="00BD1CE0">
        <w:t xml:space="preserve">. </w:t>
      </w:r>
      <w:proofErr w:type="gramStart"/>
      <w:r w:rsidR="00BD1CE0">
        <w:t>A number of</w:t>
      </w:r>
      <w:proofErr w:type="gramEnd"/>
      <w:r w:rsidR="00F27CF1">
        <w:t xml:space="preserve"> </w:t>
      </w:r>
      <w:r w:rsidR="00613F0F">
        <w:t xml:space="preserve">minor </w:t>
      </w:r>
      <w:r w:rsidR="00BD1CE0">
        <w:t xml:space="preserve">changes were made to the key </w:t>
      </w:r>
      <w:r w:rsidR="00F27CF1">
        <w:t xml:space="preserve">urban form </w:t>
      </w:r>
      <w:r w:rsidR="00BD1CE0">
        <w:t xml:space="preserve">policies to clarify intent. </w:t>
      </w:r>
      <w:r w:rsidR="004F7973">
        <w:t>The</w:t>
      </w:r>
      <w:r w:rsidR="007F6239">
        <w:t xml:space="preserve"> </w:t>
      </w:r>
      <w:r w:rsidR="002672E4">
        <w:t>primary sector</w:t>
      </w:r>
      <w:r w:rsidR="005E3F8D">
        <w:t xml:space="preserve"> </w:t>
      </w:r>
      <w:r w:rsidR="002672E4">
        <w:t>respondents</w:t>
      </w:r>
      <w:r w:rsidR="005E3F8D">
        <w:t xml:space="preserve"> </w:t>
      </w:r>
      <w:r w:rsidR="004F7973">
        <w:t xml:space="preserve">supported </w:t>
      </w:r>
      <w:r w:rsidR="004A0636">
        <w:t xml:space="preserve">for </w:t>
      </w:r>
      <w:r w:rsidR="007E2EDE">
        <w:t>the approach to rural growth</w:t>
      </w:r>
      <w:r w:rsidR="00493411">
        <w:t xml:space="preserve"> </w:t>
      </w:r>
      <w:r w:rsidR="005440D3">
        <w:t xml:space="preserve">and </w:t>
      </w:r>
      <w:r w:rsidR="00493411">
        <w:t>considered</w:t>
      </w:r>
      <w:r w:rsidR="00732368">
        <w:t xml:space="preserve"> </w:t>
      </w:r>
      <w:r w:rsidR="00FD0CE9">
        <w:t xml:space="preserve">that rural areas </w:t>
      </w:r>
      <w:r w:rsidR="00732368">
        <w:t>should be</w:t>
      </w:r>
      <w:r w:rsidR="00B751CD">
        <w:t xml:space="preserve"> predominantly for rural activities</w:t>
      </w:r>
      <w:r w:rsidR="005F276A">
        <w:t>, and activities without a functional need</w:t>
      </w:r>
      <w:r w:rsidR="00304395">
        <w:t xml:space="preserve">, especially where they impact on productive potential should be </w:t>
      </w:r>
      <w:r w:rsidR="00726FDA">
        <w:t xml:space="preserve">restricted. </w:t>
      </w:r>
    </w:p>
    <w:p w14:paraId="1487AF39" w14:textId="6B6ADECC" w:rsidR="00002DF5" w:rsidRDefault="00C61280" w:rsidP="00A247C5">
      <w:pPr>
        <w:pStyle w:val="Normal2"/>
      </w:pPr>
      <w:r>
        <w:t>Commentary from the</w:t>
      </w:r>
      <w:r w:rsidR="0056334E">
        <w:t xml:space="preserve"> Reference Group</w:t>
      </w:r>
      <w:r>
        <w:t xml:space="preserve"> </w:t>
      </w:r>
      <w:r w:rsidR="0056334E">
        <w:t>(</w:t>
      </w:r>
      <w:r>
        <w:t xml:space="preserve">Urban </w:t>
      </w:r>
      <w:r w:rsidR="0056334E">
        <w:t>f</w:t>
      </w:r>
      <w:r>
        <w:t xml:space="preserve">orm and </w:t>
      </w:r>
      <w:r w:rsidR="0056334E">
        <w:t>d</w:t>
      </w:r>
      <w:r>
        <w:t>evelopment</w:t>
      </w:r>
      <w:r w:rsidR="0056334E">
        <w:t>)</w:t>
      </w:r>
      <w:r>
        <w:t xml:space="preserve"> </w:t>
      </w:r>
      <w:r w:rsidR="00AC0C1F">
        <w:t>covered</w:t>
      </w:r>
      <w:r>
        <w:t xml:space="preserve"> </w:t>
      </w:r>
      <w:r w:rsidR="00AB3C3B">
        <w:t xml:space="preserve">a range of matters </w:t>
      </w:r>
      <w:r w:rsidR="009F43B8">
        <w:t xml:space="preserve">but primarily energy efficiency in all </w:t>
      </w:r>
      <w:r w:rsidR="00A52E74">
        <w:t>its forms</w:t>
      </w:r>
      <w:r w:rsidR="00AC0C1F">
        <w:t>,</w:t>
      </w:r>
      <w:r w:rsidR="00A52E74">
        <w:t xml:space="preserve"> including transport </w:t>
      </w:r>
      <w:r w:rsidR="002E47C8">
        <w:t xml:space="preserve">efficiency (encouraging </w:t>
      </w:r>
      <w:r w:rsidR="00E00D72">
        <w:t xml:space="preserve">urban forms that reduce need for trips and enable trips by more active modes), building efficiency </w:t>
      </w:r>
      <w:r w:rsidR="00960D78">
        <w:t>(warmer</w:t>
      </w:r>
      <w:r w:rsidR="00BD465A">
        <w:t>,</w:t>
      </w:r>
      <w:r w:rsidR="00960D78">
        <w:t xml:space="preserve"> dryer homes</w:t>
      </w:r>
      <w:r w:rsidR="003921B6">
        <w:t xml:space="preserve"> requiring less energy input to run and less emissions </w:t>
      </w:r>
      <w:r w:rsidR="003921B6">
        <w:lastRenderedPageBreak/>
        <w:t xml:space="preserve">to build </w:t>
      </w:r>
      <w:r w:rsidR="00B01D5D">
        <w:t xml:space="preserve">- with a side effect of reduced need to </w:t>
      </w:r>
      <w:r w:rsidR="00CB2969">
        <w:t>burn for heat)</w:t>
      </w:r>
      <w:r w:rsidR="001D1561">
        <w:t xml:space="preserve">, and food efficiency, enabling more productive </w:t>
      </w:r>
      <w:r w:rsidR="00C92F07">
        <w:t xml:space="preserve">use of </w:t>
      </w:r>
      <w:r w:rsidR="001D1561">
        <w:t xml:space="preserve">rural environments </w:t>
      </w:r>
      <w:r w:rsidR="002D1FC5">
        <w:t>close to urban areas</w:t>
      </w:r>
      <w:r w:rsidR="00E03A68">
        <w:t xml:space="preserve"> for food energy and </w:t>
      </w:r>
      <w:r w:rsidR="009E1B0E">
        <w:t>fibre, as well as recognising that rural areas are not solely productive</w:t>
      </w:r>
      <w:r w:rsidR="00B06A02">
        <w:t>.</w:t>
      </w:r>
    </w:p>
    <w:p w14:paraId="041EBFF7" w14:textId="34CCF6E0" w:rsidR="005D08CF" w:rsidRDefault="0041788F" w:rsidP="00A247C5">
      <w:pPr>
        <w:pStyle w:val="Normal2"/>
      </w:pPr>
      <w:r>
        <w:t>I</w:t>
      </w:r>
      <w:r w:rsidR="005957FB">
        <w:t>n</w:t>
      </w:r>
      <w:r>
        <w:t xml:space="preserve"> response to the </w:t>
      </w:r>
      <w:r w:rsidR="00081C1F">
        <w:t>Reference Group</w:t>
      </w:r>
      <w:r w:rsidR="005957FB">
        <w:t xml:space="preserve">, some </w:t>
      </w:r>
      <w:r w:rsidR="00F4381C">
        <w:t xml:space="preserve">refinement of the </w:t>
      </w:r>
      <w:r w:rsidR="009E7B0A">
        <w:t>polic</w:t>
      </w:r>
      <w:r w:rsidR="00245111">
        <w:t>ies</w:t>
      </w:r>
      <w:r w:rsidR="009E7B0A">
        <w:t xml:space="preserve"> ha</w:t>
      </w:r>
      <w:r w:rsidR="00AC0C1F">
        <w:t>s</w:t>
      </w:r>
      <w:r w:rsidR="009E7B0A">
        <w:t xml:space="preserve"> been made</w:t>
      </w:r>
      <w:r w:rsidR="00245111">
        <w:t xml:space="preserve"> to clarify the </w:t>
      </w:r>
      <w:r w:rsidR="00B32DEF">
        <w:t>potential for these outcomes</w:t>
      </w:r>
      <w:r w:rsidR="000E060B">
        <w:t xml:space="preserve">, noting that the </w:t>
      </w:r>
      <w:r w:rsidR="00AC0C1F">
        <w:t>B</w:t>
      </w:r>
      <w:r w:rsidR="000E060B">
        <w:t xml:space="preserve">uilding </w:t>
      </w:r>
      <w:r w:rsidR="00AC0C1F">
        <w:t>C</w:t>
      </w:r>
      <w:r w:rsidR="000E060B">
        <w:t xml:space="preserve">ode </w:t>
      </w:r>
      <w:r w:rsidR="008F6640">
        <w:t xml:space="preserve">is the more appropriate </w:t>
      </w:r>
      <w:r w:rsidR="0008173B">
        <w:t>legislative means for some of the detail</w:t>
      </w:r>
      <w:r w:rsidR="00446396">
        <w:t>, including l</w:t>
      </w:r>
      <w:r w:rsidR="00AA4F4C">
        <w:t>ayout and arrangement in terms of potential for energy efficiency</w:t>
      </w:r>
      <w:r w:rsidR="00363B0F">
        <w:t xml:space="preserve">. These refinements also included </w:t>
      </w:r>
      <w:r w:rsidR="00434536">
        <w:t>strengthening of the rural policies to recognise th</w:t>
      </w:r>
      <w:r w:rsidR="003F055A">
        <w:t>e range of values that non-urban areas contain</w:t>
      </w:r>
      <w:r w:rsidR="00A005B3">
        <w:t xml:space="preserve">. </w:t>
      </w:r>
    </w:p>
    <w:p w14:paraId="00D23428" w14:textId="315EBBCF" w:rsidR="0041788F" w:rsidRDefault="005D08CF" w:rsidP="00A247C5">
      <w:pPr>
        <w:pStyle w:val="Normal2"/>
      </w:pPr>
      <w:r>
        <w:t xml:space="preserve">Both groups noted the potential overlap </w:t>
      </w:r>
      <w:r w:rsidR="00614B52">
        <w:t xml:space="preserve">between </w:t>
      </w:r>
      <w:r w:rsidR="00444C95">
        <w:t xml:space="preserve">the issues in this chapter and a range of other topics and domains. </w:t>
      </w:r>
      <w:r w:rsidR="00E37DAD">
        <w:t xml:space="preserve">The </w:t>
      </w:r>
      <w:proofErr w:type="spellStart"/>
      <w:r w:rsidR="008637AB">
        <w:t>p</w:t>
      </w:r>
      <w:r w:rsidR="00E37DAD">
        <w:t>NPSIB</w:t>
      </w:r>
      <w:proofErr w:type="spellEnd"/>
      <w:r w:rsidR="00E37DAD">
        <w:t xml:space="preserve"> </w:t>
      </w:r>
      <w:r w:rsidR="00046226">
        <w:t xml:space="preserve">and </w:t>
      </w:r>
      <w:proofErr w:type="spellStart"/>
      <w:r w:rsidR="008637AB">
        <w:t>p</w:t>
      </w:r>
      <w:r w:rsidR="00046226">
        <w:t>NPS</w:t>
      </w:r>
      <w:r w:rsidR="00D434A0">
        <w:t>HPL</w:t>
      </w:r>
      <w:proofErr w:type="spellEnd"/>
      <w:r w:rsidR="00D434A0">
        <w:t xml:space="preserve"> </w:t>
      </w:r>
      <w:r w:rsidR="00E37DAD">
        <w:t>w</w:t>
      </w:r>
      <w:r w:rsidR="00D434A0">
        <w:t>ere both</w:t>
      </w:r>
      <w:r w:rsidR="00E37DAD">
        <w:t xml:space="preserve"> noted </w:t>
      </w:r>
      <w:r w:rsidR="009C3DBF">
        <w:t xml:space="preserve">as a key potential area for future change </w:t>
      </w:r>
      <w:r w:rsidR="002A5E5A">
        <w:t xml:space="preserve">or refinement </w:t>
      </w:r>
      <w:r w:rsidR="009C3DBF">
        <w:t xml:space="preserve">in </w:t>
      </w:r>
      <w:r w:rsidR="006B7D59">
        <w:t xml:space="preserve">the </w:t>
      </w:r>
      <w:r w:rsidR="00835F16">
        <w:t>approach to urban and non-urban development</w:t>
      </w:r>
      <w:r w:rsidR="006B7D59">
        <w:t xml:space="preserve"> </w:t>
      </w:r>
      <w:r w:rsidR="00D434A0">
        <w:t xml:space="preserve">and outcomes </w:t>
      </w:r>
      <w:r w:rsidR="006B7D59">
        <w:t xml:space="preserve">but </w:t>
      </w:r>
      <w:r w:rsidR="00D434A0">
        <w:t>the</w:t>
      </w:r>
      <w:r w:rsidR="00046226">
        <w:t xml:space="preserve"> form and direction </w:t>
      </w:r>
      <w:r w:rsidR="00D434A0">
        <w:t xml:space="preserve">of </w:t>
      </w:r>
      <w:proofErr w:type="gramStart"/>
      <w:r w:rsidR="00D434A0">
        <w:t>both of these</w:t>
      </w:r>
      <w:proofErr w:type="gramEnd"/>
      <w:r w:rsidR="00D434A0">
        <w:t xml:space="preserve"> </w:t>
      </w:r>
      <w:r w:rsidR="008637AB">
        <w:t>is currently uncertain</w:t>
      </w:r>
      <w:r w:rsidR="009C3DBF">
        <w:t>.</w:t>
      </w:r>
      <w:r w:rsidR="002A5E5A">
        <w:t xml:space="preserve"> </w:t>
      </w:r>
    </w:p>
    <w:p w14:paraId="62EBF2AA" w14:textId="2E428692" w:rsidR="003513A1" w:rsidRPr="006F562C" w:rsidRDefault="00C73848" w:rsidP="00DE069C">
      <w:pPr>
        <w:pStyle w:val="Heading4"/>
      </w:pPr>
      <w:r>
        <w:t>Clause 4A consultation</w:t>
      </w:r>
    </w:p>
    <w:p w14:paraId="490BBC9B" w14:textId="62300E67" w:rsidR="00822823" w:rsidRDefault="00EF1F21" w:rsidP="00A247C5">
      <w:pPr>
        <w:pStyle w:val="Normal2"/>
      </w:pPr>
      <w:r w:rsidRPr="00951451">
        <w:t xml:space="preserve">Feedback via Clause 4A consultation </w:t>
      </w:r>
      <w:r w:rsidR="00FD281D" w:rsidRPr="00951451">
        <w:t xml:space="preserve">was generally supportive of the </w:t>
      </w:r>
      <w:r w:rsidR="009A5B9E">
        <w:t xml:space="preserve">objectives, </w:t>
      </w:r>
      <w:proofErr w:type="gramStart"/>
      <w:r w:rsidR="009A5B9E">
        <w:t>policies</w:t>
      </w:r>
      <w:proofErr w:type="gramEnd"/>
      <w:r w:rsidR="009A5B9E">
        <w:t xml:space="preserve"> and methods</w:t>
      </w:r>
      <w:r w:rsidR="007635C5">
        <w:t xml:space="preserve"> of the U</w:t>
      </w:r>
      <w:r w:rsidR="00A448D7">
        <w:t>FD</w:t>
      </w:r>
      <w:r w:rsidR="007635C5">
        <w:t xml:space="preserve"> chapter, with a range of suggested minor improvements.</w:t>
      </w:r>
      <w:r w:rsidR="00012C02">
        <w:t xml:space="preserve"> These have all been implemented.</w:t>
      </w:r>
    </w:p>
    <w:p w14:paraId="42319B50" w14:textId="0C692BBE" w:rsidR="00766B29" w:rsidRDefault="007635C5" w:rsidP="00A247C5">
      <w:pPr>
        <w:pStyle w:val="Normal2"/>
      </w:pPr>
      <w:r>
        <w:t>The main area</w:t>
      </w:r>
      <w:r w:rsidR="00766B29">
        <w:t>s</w:t>
      </w:r>
      <w:r>
        <w:t xml:space="preserve"> of</w:t>
      </w:r>
      <w:r w:rsidR="00766B29">
        <w:t xml:space="preserve"> substantive</w:t>
      </w:r>
      <w:r w:rsidR="00012C02">
        <w:t xml:space="preserve"> </w:t>
      </w:r>
      <w:r>
        <w:t>feedback related to</w:t>
      </w:r>
      <w:r w:rsidR="00951451">
        <w:t>:</w:t>
      </w:r>
      <w:r>
        <w:t xml:space="preserve"> </w:t>
      </w:r>
    </w:p>
    <w:p w14:paraId="48185351" w14:textId="3939C2C9" w:rsidR="007635C5" w:rsidRDefault="007635C5" w:rsidP="00A247C5">
      <w:pPr>
        <w:pStyle w:val="Normal3"/>
      </w:pPr>
      <w:r>
        <w:t xml:space="preserve">the involvement </w:t>
      </w:r>
      <w:r w:rsidR="00012C02">
        <w:t xml:space="preserve">and input </w:t>
      </w:r>
      <w:r>
        <w:t xml:space="preserve">of </w:t>
      </w:r>
      <w:r w:rsidRPr="00BB7DED">
        <w:t>mana whenua</w:t>
      </w:r>
      <w:r>
        <w:t xml:space="preserve"> in urban decision making generally </w:t>
      </w:r>
      <w:r w:rsidR="00012C02">
        <w:t xml:space="preserve">could be strengthened to better reflect RMIA and MW chapters direction. Specific additions to </w:t>
      </w:r>
      <w:r w:rsidR="00274E83">
        <w:t xml:space="preserve">identified </w:t>
      </w:r>
      <w:r w:rsidR="00012C02">
        <w:t xml:space="preserve">polices and methods have been made to reflect this. </w:t>
      </w:r>
    </w:p>
    <w:p w14:paraId="69174D98" w14:textId="5CA75DB2" w:rsidR="00766B29" w:rsidRPr="008D0921" w:rsidRDefault="00766B29" w:rsidP="00A247C5">
      <w:pPr>
        <w:pStyle w:val="Normal3"/>
      </w:pPr>
      <w:r>
        <w:t xml:space="preserve">Commentary on UFD-P8 also noted that the terminology used could be confusing and that the PORPS included a schedule or list of statutory acknowledgement areas </w:t>
      </w:r>
      <w:r w:rsidR="00BA2C47">
        <w:t xml:space="preserve">and </w:t>
      </w:r>
      <w:r w:rsidR="00BA2C47">
        <w:rPr>
          <w:i/>
          <w:iCs/>
        </w:rPr>
        <w:t xml:space="preserve">Te Ture </w:t>
      </w:r>
      <w:proofErr w:type="gramStart"/>
      <w:r w:rsidR="00BA2C47">
        <w:rPr>
          <w:i/>
          <w:iCs/>
        </w:rPr>
        <w:t xml:space="preserve">Whenua </w:t>
      </w:r>
      <w:r w:rsidR="00BA2C47">
        <w:t xml:space="preserve"> that</w:t>
      </w:r>
      <w:proofErr w:type="gramEnd"/>
      <w:r w:rsidR="00BA2C47">
        <w:t xml:space="preserve"> has been useful and that its inclusion in </w:t>
      </w:r>
      <w:r w:rsidR="00686079">
        <w:t xml:space="preserve">this RPS could reduce confusion and </w:t>
      </w:r>
      <w:r w:rsidR="00EF6057">
        <w:t>improve implementation</w:t>
      </w:r>
      <w:r w:rsidR="000811F4">
        <w:t>. T</w:t>
      </w:r>
      <w:r w:rsidR="00EF6057">
        <w:t xml:space="preserve">his </w:t>
      </w:r>
      <w:r w:rsidR="00F81EF1">
        <w:t xml:space="preserve">list has been included and the policy amended to make clear that the directive </w:t>
      </w:r>
      <w:r w:rsidR="00914FF7">
        <w:t xml:space="preserve">to facilitate the use of this land for the purposes </w:t>
      </w:r>
      <w:r w:rsidR="00CF70E8">
        <w:t xml:space="preserve">listed is required. </w:t>
      </w:r>
      <w:r w:rsidR="00E41419">
        <w:t>S</w:t>
      </w:r>
      <w:r w:rsidR="005648BF">
        <w:t>trengthening the role and</w:t>
      </w:r>
      <w:r w:rsidR="00FE0D4C">
        <w:t xml:space="preserve"> involvement of </w:t>
      </w:r>
      <w:r w:rsidR="005648BF">
        <w:rPr>
          <w:i/>
          <w:iCs/>
        </w:rPr>
        <w:t xml:space="preserve">mana whenua </w:t>
      </w:r>
      <w:r w:rsidR="005648BF">
        <w:t xml:space="preserve">in the urban development </w:t>
      </w:r>
      <w:r w:rsidR="00274E83">
        <w:t xml:space="preserve">process as noted above will </w:t>
      </w:r>
      <w:proofErr w:type="gramStart"/>
      <w:r w:rsidR="00274E83">
        <w:t>also  facilitate</w:t>
      </w:r>
      <w:proofErr w:type="gramEnd"/>
      <w:r w:rsidR="00274E83">
        <w:t xml:space="preserve"> this.</w:t>
      </w:r>
    </w:p>
    <w:p w14:paraId="2863FA53" w14:textId="4CE9CE13" w:rsidR="00766B29" w:rsidRDefault="00274E83" w:rsidP="00A247C5">
      <w:pPr>
        <w:pStyle w:val="Normal3"/>
      </w:pPr>
      <w:r>
        <w:t xml:space="preserve">Comments on the potential conflict between </w:t>
      </w:r>
      <w:r w:rsidR="00AC02F1">
        <w:t>UFD</w:t>
      </w:r>
      <w:r w:rsidR="00BB7DED">
        <w:t>–</w:t>
      </w:r>
      <w:r w:rsidR="00AC02F1">
        <w:t>04</w:t>
      </w:r>
      <w:r w:rsidR="00A765EF">
        <w:t xml:space="preserve">/P7 and </w:t>
      </w:r>
      <w:r w:rsidR="00BD1DB5">
        <w:t>UFD</w:t>
      </w:r>
      <w:r w:rsidR="00BB7DED">
        <w:t>–</w:t>
      </w:r>
      <w:r w:rsidR="00BD1DB5">
        <w:t>P8</w:t>
      </w:r>
      <w:r w:rsidR="002839D1">
        <w:t xml:space="preserve">, </w:t>
      </w:r>
      <w:r w:rsidR="00BB7DED">
        <w:t>with</w:t>
      </w:r>
      <w:r w:rsidR="00AC0C36">
        <w:t xml:space="preserve"> </w:t>
      </w:r>
      <w:r w:rsidR="006164B7">
        <w:t>respect</w:t>
      </w:r>
      <w:r w:rsidR="00AC0C36">
        <w:t xml:space="preserve"> </w:t>
      </w:r>
      <w:r w:rsidR="00BB7DED">
        <w:t xml:space="preserve">to </w:t>
      </w:r>
      <w:r w:rsidR="00AC0C36">
        <w:t>the potential constraint on the development of</w:t>
      </w:r>
      <w:r w:rsidR="00CB7B1B">
        <w:t xml:space="preserve"> </w:t>
      </w:r>
      <w:r w:rsidR="00AA399B">
        <w:t>ancestral land in rural areas was noted</w:t>
      </w:r>
      <w:r w:rsidR="00FB52B7">
        <w:t xml:space="preserve">. </w:t>
      </w:r>
      <w:r w:rsidR="00D95C6F">
        <w:t>On consideration</w:t>
      </w:r>
      <w:r w:rsidR="007C5EF4">
        <w:t xml:space="preserve">, the development of ancestral land in rural areas would be </w:t>
      </w:r>
      <w:proofErr w:type="gramStart"/>
      <w:r w:rsidR="007F0924">
        <w:t xml:space="preserve">by definition </w:t>
      </w:r>
      <w:r w:rsidR="007C5EF4">
        <w:t>an</w:t>
      </w:r>
      <w:proofErr w:type="gramEnd"/>
      <w:r w:rsidR="007C5EF4">
        <w:t xml:space="preserve"> </w:t>
      </w:r>
      <w:r w:rsidR="007F0924">
        <w:t>‘</w:t>
      </w:r>
      <w:r w:rsidR="007C5EF4">
        <w:t>operational need</w:t>
      </w:r>
      <w:r w:rsidR="007F0924">
        <w:t>’</w:t>
      </w:r>
      <w:r w:rsidR="007C5EF4">
        <w:t xml:space="preserve"> </w:t>
      </w:r>
      <w:r w:rsidR="005C4A00">
        <w:t>and the</w:t>
      </w:r>
      <w:r w:rsidR="00D47454">
        <w:t xml:space="preserve"> specific</w:t>
      </w:r>
      <w:r w:rsidR="005C4A00">
        <w:t xml:space="preserve"> support of UFD</w:t>
      </w:r>
      <w:r w:rsidR="00D47454">
        <w:t>-P8 is considered to override the more general</w:t>
      </w:r>
      <w:r w:rsidR="007F0924">
        <w:t xml:space="preserve"> provisions of UFD</w:t>
      </w:r>
      <w:r w:rsidR="005565A5">
        <w:t>–</w:t>
      </w:r>
      <w:r w:rsidR="007F0924">
        <w:t>P7</w:t>
      </w:r>
      <w:r w:rsidR="005565A5">
        <w:t>,</w:t>
      </w:r>
      <w:r w:rsidR="006164B7">
        <w:t xml:space="preserve"> without adding to </w:t>
      </w:r>
      <w:r w:rsidR="006A2B30">
        <w:t xml:space="preserve">the direction of </w:t>
      </w:r>
      <w:r w:rsidR="006164B7">
        <w:t>UFD</w:t>
      </w:r>
      <w:r w:rsidR="005565A5">
        <w:t>–</w:t>
      </w:r>
      <w:r w:rsidR="006164B7">
        <w:t>P</w:t>
      </w:r>
      <w:r w:rsidR="006A2B30">
        <w:t>8</w:t>
      </w:r>
      <w:r w:rsidR="006164B7">
        <w:t xml:space="preserve"> with a carveout</w:t>
      </w:r>
      <w:r w:rsidR="000B5609">
        <w:t xml:space="preserve">. The extensive discussion in RMIA and </w:t>
      </w:r>
      <w:r w:rsidR="00B00A7B">
        <w:t xml:space="preserve">the </w:t>
      </w:r>
      <w:r w:rsidR="006164B7">
        <w:t xml:space="preserve">MW chapter is also considered to </w:t>
      </w:r>
      <w:r w:rsidR="00B00A7B">
        <w:t xml:space="preserve">give clear guidance to the </w:t>
      </w:r>
      <w:r w:rsidR="00AC1076">
        <w:t xml:space="preserve">interpretation of </w:t>
      </w:r>
      <w:r w:rsidR="00FB0E55">
        <w:t>UFD</w:t>
      </w:r>
      <w:r w:rsidR="005565A5">
        <w:t>–O</w:t>
      </w:r>
      <w:r w:rsidR="00FB0E55">
        <w:t xml:space="preserve">4 in relation to </w:t>
      </w:r>
      <w:r w:rsidR="00DF288B">
        <w:t xml:space="preserve">development of </w:t>
      </w:r>
      <w:r w:rsidR="00B24D2B">
        <w:t>ancestral</w:t>
      </w:r>
      <w:r w:rsidR="00DF288B">
        <w:t xml:space="preserve"> lands where they are in rural areas (which is where many are located)</w:t>
      </w:r>
      <w:r w:rsidR="00B24D2B">
        <w:t>.</w:t>
      </w:r>
      <w:r w:rsidR="002C0279">
        <w:t xml:space="preserve"> </w:t>
      </w:r>
    </w:p>
    <w:p w14:paraId="1C1F14FF" w14:textId="40230208" w:rsidR="00424DBB" w:rsidRDefault="00424DBB" w:rsidP="0082271A">
      <w:pPr>
        <w:pStyle w:val="Heading3"/>
      </w:pPr>
      <w:r>
        <w:t>Efficiency and effectiveness evaluation</w:t>
      </w:r>
    </w:p>
    <w:p w14:paraId="6F754A6F" w14:textId="125A2960" w:rsidR="00424DBB" w:rsidRDefault="006E7210" w:rsidP="00A247C5">
      <w:pPr>
        <w:pStyle w:val="Normal2"/>
      </w:pPr>
      <w:r>
        <w:fldChar w:fldCharType="begin"/>
      </w:r>
      <w:r>
        <w:instrText xml:space="preserve"> REF _Ref53996220 \h </w:instrText>
      </w:r>
      <w:r>
        <w:fldChar w:fldCharType="separate"/>
      </w:r>
      <w:r w:rsidR="002A7A16">
        <w:t xml:space="preserve">Table </w:t>
      </w:r>
      <w:r w:rsidR="002A7A16">
        <w:rPr>
          <w:noProof/>
        </w:rPr>
        <w:t>66</w:t>
      </w:r>
      <w:r>
        <w:fldChar w:fldCharType="end"/>
      </w:r>
      <w:r>
        <w:t xml:space="preserve"> </w:t>
      </w:r>
      <w:r w:rsidR="00424DBB">
        <w:t xml:space="preserve">below identifies and assesses the benefits and costs of the environmental, cultural, </w:t>
      </w:r>
      <w:proofErr w:type="gramStart"/>
      <w:r w:rsidR="00424DBB">
        <w:t>social</w:t>
      </w:r>
      <w:proofErr w:type="gramEnd"/>
      <w:r w:rsidR="00424DBB">
        <w:t xml:space="preserve"> and economic effects that are anticipated from the implementation of the provisions proposed under Option </w:t>
      </w:r>
      <w:r w:rsidR="00840CF5">
        <w:t>3</w:t>
      </w:r>
      <w:r w:rsidR="00424DBB">
        <w:t xml:space="preserve"> above.</w:t>
      </w:r>
    </w:p>
    <w:p w14:paraId="01B56F53" w14:textId="6E440B96" w:rsidR="00424DBB" w:rsidRDefault="00424DBB" w:rsidP="00424DBB">
      <w:pPr>
        <w:pStyle w:val="Caption"/>
        <w:keepNext/>
      </w:pPr>
      <w:bookmarkStart w:id="154" w:name="_Ref53996220"/>
      <w:r>
        <w:t xml:space="preserve">Table </w:t>
      </w:r>
      <w:r>
        <w:fldChar w:fldCharType="begin"/>
      </w:r>
      <w:r>
        <w:instrText>SEQ Table \* ARABIC</w:instrText>
      </w:r>
      <w:r>
        <w:fldChar w:fldCharType="separate"/>
      </w:r>
      <w:r w:rsidR="002A7A16">
        <w:rPr>
          <w:noProof/>
        </w:rPr>
        <w:t>66</w:t>
      </w:r>
      <w:r>
        <w:fldChar w:fldCharType="end"/>
      </w:r>
      <w:bookmarkEnd w:id="154"/>
      <w:r>
        <w:t>:</w:t>
      </w:r>
      <w:r w:rsidRPr="00005F72">
        <w:t xml:space="preserve"> </w:t>
      </w:r>
      <w:r>
        <w:t>Benefits and costs for urban form and development</w:t>
      </w:r>
    </w:p>
    <w:tbl>
      <w:tblPr>
        <w:tblStyle w:val="ListTable1Light-Accent1"/>
        <w:tblW w:w="0" w:type="auto"/>
        <w:tblLook w:val="04A0" w:firstRow="1" w:lastRow="0" w:firstColumn="1" w:lastColumn="0" w:noHBand="0" w:noVBand="1"/>
      </w:tblPr>
      <w:tblGrid>
        <w:gridCol w:w="4508"/>
        <w:gridCol w:w="4508"/>
      </w:tblGrid>
      <w:tr w:rsidR="00424DBB" w:rsidRPr="00AE42AF" w14:paraId="182AB7DC" w14:textId="77777777" w:rsidTr="00424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7C8551" w14:textId="77777777" w:rsidR="00424DBB" w:rsidRPr="00AE42AF" w:rsidRDefault="00424DBB" w:rsidP="00424DBB">
            <w:pPr>
              <w:jc w:val="center"/>
              <w:rPr>
                <w:sz w:val="20"/>
              </w:rPr>
            </w:pPr>
            <w:r w:rsidRPr="00AE42AF">
              <w:rPr>
                <w:sz w:val="20"/>
              </w:rPr>
              <w:t>BENEFITS</w:t>
            </w:r>
          </w:p>
        </w:tc>
        <w:tc>
          <w:tcPr>
            <w:tcW w:w="4508" w:type="dxa"/>
          </w:tcPr>
          <w:p w14:paraId="4C1336D0" w14:textId="77777777" w:rsidR="00424DBB" w:rsidRPr="00AE42AF" w:rsidRDefault="00424DBB" w:rsidP="00424DBB">
            <w:pPr>
              <w:jc w:val="center"/>
              <w:cnfStyle w:val="100000000000" w:firstRow="1" w:lastRow="0" w:firstColumn="0" w:lastColumn="0" w:oddVBand="0" w:evenVBand="0" w:oddHBand="0" w:evenHBand="0" w:firstRowFirstColumn="0" w:firstRowLastColumn="0" w:lastRowFirstColumn="0" w:lastRowLastColumn="0"/>
              <w:rPr>
                <w:b w:val="0"/>
                <w:sz w:val="20"/>
              </w:rPr>
            </w:pPr>
            <w:r w:rsidRPr="00AE42AF">
              <w:rPr>
                <w:sz w:val="20"/>
              </w:rPr>
              <w:t>COSTS</w:t>
            </w:r>
          </w:p>
        </w:tc>
      </w:tr>
      <w:tr w:rsidR="00424DBB" w:rsidRPr="00AE42AF" w14:paraId="4FE1CFE5"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9DC34C9" w14:textId="77777777" w:rsidR="00424DBB" w:rsidRPr="00AE42AF" w:rsidRDefault="00424DBB" w:rsidP="00424DBB">
            <w:pPr>
              <w:jc w:val="center"/>
              <w:rPr>
                <w:sz w:val="20"/>
              </w:rPr>
            </w:pPr>
            <w:r w:rsidRPr="00AE42AF">
              <w:rPr>
                <w:sz w:val="20"/>
              </w:rPr>
              <w:lastRenderedPageBreak/>
              <w:t>Environmental</w:t>
            </w:r>
          </w:p>
        </w:tc>
      </w:tr>
      <w:tr w:rsidR="00424DBB" w:rsidRPr="000136C1" w14:paraId="78E438D1"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13477163" w14:textId="6EA9952F" w:rsidR="00424DBB" w:rsidRPr="00002771" w:rsidRDefault="004114B8" w:rsidP="00551192">
            <w:pPr>
              <w:pStyle w:val="ListParagraph"/>
              <w:numPr>
                <w:ilvl w:val="0"/>
                <w:numId w:val="22"/>
              </w:numPr>
              <w:spacing w:after="60"/>
              <w:ind w:left="357" w:hanging="357"/>
              <w:contextualSpacing w:val="0"/>
              <w:jc w:val="both"/>
              <w:rPr>
                <w:b w:val="0"/>
                <w:sz w:val="20"/>
                <w:szCs w:val="20"/>
              </w:rPr>
            </w:pPr>
            <w:r w:rsidRPr="00002771">
              <w:rPr>
                <w:b w:val="0"/>
                <w:sz w:val="20"/>
                <w:szCs w:val="20"/>
              </w:rPr>
              <w:t>Integ</w:t>
            </w:r>
            <w:r w:rsidR="006612A8" w:rsidRPr="00002771">
              <w:rPr>
                <w:b w:val="0"/>
                <w:sz w:val="20"/>
                <w:szCs w:val="20"/>
              </w:rPr>
              <w:t xml:space="preserve">rated land use and infrastructure planning </w:t>
            </w:r>
            <w:r w:rsidR="009F39A1" w:rsidRPr="00002771">
              <w:rPr>
                <w:b w:val="0"/>
                <w:sz w:val="20"/>
                <w:szCs w:val="20"/>
              </w:rPr>
              <w:t>will ensure capacity exists to support new development</w:t>
            </w:r>
            <w:r w:rsidR="001406BB" w:rsidRPr="00002771">
              <w:rPr>
                <w:b w:val="0"/>
                <w:sz w:val="20"/>
                <w:szCs w:val="20"/>
              </w:rPr>
              <w:t>, reducing the potential for adverse effects on the environment.</w:t>
            </w:r>
          </w:p>
          <w:p w14:paraId="76C75FC6" w14:textId="77777777" w:rsidR="00E04CC6" w:rsidRPr="00002771" w:rsidRDefault="00E04CC6" w:rsidP="00551192">
            <w:pPr>
              <w:pStyle w:val="ListParagraph"/>
              <w:numPr>
                <w:ilvl w:val="0"/>
                <w:numId w:val="22"/>
              </w:numPr>
              <w:spacing w:after="60"/>
              <w:ind w:left="357" w:hanging="357"/>
              <w:contextualSpacing w:val="0"/>
              <w:jc w:val="both"/>
              <w:rPr>
                <w:b w:val="0"/>
                <w:sz w:val="20"/>
                <w:szCs w:val="20"/>
              </w:rPr>
            </w:pPr>
            <w:r w:rsidRPr="00002771">
              <w:rPr>
                <w:b w:val="0"/>
                <w:sz w:val="20"/>
                <w:szCs w:val="20"/>
              </w:rPr>
              <w:t xml:space="preserve">Clear parameters on urban form and development are </w:t>
            </w:r>
            <w:r w:rsidR="00B4649A" w:rsidRPr="00002771">
              <w:rPr>
                <w:b w:val="0"/>
                <w:sz w:val="20"/>
                <w:szCs w:val="20"/>
              </w:rPr>
              <w:t>expected to appropriately manage adverse effects, including avoidance</w:t>
            </w:r>
            <w:r w:rsidR="002B5985" w:rsidRPr="00002771">
              <w:rPr>
                <w:b w:val="0"/>
                <w:sz w:val="20"/>
                <w:szCs w:val="20"/>
              </w:rPr>
              <w:t xml:space="preserve">, where that is directed in relation to specific </w:t>
            </w:r>
            <w:r w:rsidR="00521FC7" w:rsidRPr="00002771">
              <w:rPr>
                <w:b w:val="0"/>
                <w:sz w:val="20"/>
                <w:szCs w:val="20"/>
              </w:rPr>
              <w:t>effects</w:t>
            </w:r>
            <w:r w:rsidR="009A3B8C" w:rsidRPr="00002771">
              <w:rPr>
                <w:b w:val="0"/>
                <w:sz w:val="20"/>
                <w:szCs w:val="20"/>
              </w:rPr>
              <w:t xml:space="preserve">, </w:t>
            </w:r>
            <w:proofErr w:type="gramStart"/>
            <w:r w:rsidR="002B5985" w:rsidRPr="00002771">
              <w:rPr>
                <w:b w:val="0"/>
                <w:sz w:val="20"/>
                <w:szCs w:val="20"/>
              </w:rPr>
              <w:t>features</w:t>
            </w:r>
            <w:proofErr w:type="gramEnd"/>
            <w:r w:rsidR="002B5985" w:rsidRPr="00002771">
              <w:rPr>
                <w:b w:val="0"/>
                <w:sz w:val="20"/>
                <w:szCs w:val="20"/>
              </w:rPr>
              <w:t xml:space="preserve"> or areas</w:t>
            </w:r>
            <w:r w:rsidR="00B4649A" w:rsidRPr="00002771">
              <w:rPr>
                <w:b w:val="0"/>
                <w:sz w:val="20"/>
                <w:szCs w:val="20"/>
              </w:rPr>
              <w:t>.</w:t>
            </w:r>
          </w:p>
          <w:p w14:paraId="612DE8FB" w14:textId="77777777" w:rsidR="000A66F0" w:rsidRPr="00002771" w:rsidRDefault="000A66F0" w:rsidP="00551192">
            <w:pPr>
              <w:pStyle w:val="ListParagraph"/>
              <w:numPr>
                <w:ilvl w:val="0"/>
                <w:numId w:val="22"/>
              </w:numPr>
              <w:jc w:val="both"/>
              <w:rPr>
                <w:b w:val="0"/>
                <w:sz w:val="20"/>
                <w:szCs w:val="20"/>
              </w:rPr>
            </w:pPr>
            <w:r w:rsidRPr="00002771">
              <w:rPr>
                <w:b w:val="0"/>
                <w:sz w:val="20"/>
                <w:szCs w:val="20"/>
              </w:rPr>
              <w:t xml:space="preserve">The environmental effects of ad hoc or sporadic </w:t>
            </w:r>
            <w:r w:rsidR="009303C9" w:rsidRPr="00002771">
              <w:rPr>
                <w:b w:val="0"/>
                <w:sz w:val="20"/>
                <w:szCs w:val="20"/>
              </w:rPr>
              <w:t>development are avoided.</w:t>
            </w:r>
          </w:p>
          <w:p w14:paraId="280BF862" w14:textId="6823EE60" w:rsidR="006B56A6" w:rsidRPr="00002771" w:rsidRDefault="006B56A6" w:rsidP="00551192">
            <w:pPr>
              <w:pStyle w:val="ListParagraph"/>
              <w:numPr>
                <w:ilvl w:val="0"/>
                <w:numId w:val="22"/>
              </w:numPr>
              <w:jc w:val="both"/>
              <w:rPr>
                <w:b w:val="0"/>
                <w:sz w:val="20"/>
                <w:szCs w:val="20"/>
              </w:rPr>
            </w:pPr>
            <w:r w:rsidRPr="00002771">
              <w:rPr>
                <w:b w:val="0"/>
                <w:sz w:val="20"/>
                <w:szCs w:val="20"/>
              </w:rPr>
              <w:t>Support reduction in contributions to climate cha</w:t>
            </w:r>
            <w:r w:rsidR="00F60966" w:rsidRPr="00002771">
              <w:rPr>
                <w:b w:val="0"/>
                <w:sz w:val="20"/>
                <w:szCs w:val="20"/>
              </w:rPr>
              <w:t xml:space="preserve">nge including from transport, </w:t>
            </w:r>
            <w:proofErr w:type="gramStart"/>
            <w:r w:rsidR="00F60966" w:rsidRPr="00002771">
              <w:rPr>
                <w:b w:val="0"/>
                <w:sz w:val="20"/>
                <w:szCs w:val="20"/>
              </w:rPr>
              <w:t>energy</w:t>
            </w:r>
            <w:proofErr w:type="gramEnd"/>
            <w:r w:rsidR="00F60966" w:rsidRPr="00002771">
              <w:rPr>
                <w:b w:val="0"/>
                <w:sz w:val="20"/>
                <w:szCs w:val="20"/>
              </w:rPr>
              <w:t xml:space="preserve"> and </w:t>
            </w:r>
            <w:r w:rsidR="00122161" w:rsidRPr="00002771">
              <w:rPr>
                <w:b w:val="0"/>
                <w:sz w:val="20"/>
                <w:szCs w:val="20"/>
              </w:rPr>
              <w:t>heating</w:t>
            </w:r>
          </w:p>
          <w:p w14:paraId="24F16BF8" w14:textId="67CDB85B" w:rsidR="00424DBB" w:rsidRPr="004C6102" w:rsidRDefault="00424DBB" w:rsidP="00551192">
            <w:pPr>
              <w:jc w:val="both"/>
              <w:rPr>
                <w:sz w:val="20"/>
              </w:rPr>
            </w:pPr>
          </w:p>
        </w:tc>
        <w:tc>
          <w:tcPr>
            <w:tcW w:w="4508" w:type="dxa"/>
          </w:tcPr>
          <w:p w14:paraId="22D2A144" w14:textId="088E8978" w:rsidR="00F20929" w:rsidRDefault="00F20929" w:rsidP="00551192">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Urban development can have adverse effects on the environment. </w:t>
            </w:r>
            <w:r w:rsidR="00A3029E" w:rsidRPr="634A1E48">
              <w:rPr>
                <w:sz w:val="20"/>
                <w:szCs w:val="20"/>
              </w:rPr>
              <w:t>However,</w:t>
            </w:r>
            <w:r w:rsidRPr="634A1E48">
              <w:rPr>
                <w:sz w:val="20"/>
                <w:szCs w:val="20"/>
              </w:rPr>
              <w:t xml:space="preserve"> the provisions seek to ensure they are </w:t>
            </w:r>
            <w:r w:rsidR="00E04CC6" w:rsidRPr="634A1E48">
              <w:rPr>
                <w:sz w:val="20"/>
                <w:szCs w:val="20"/>
              </w:rPr>
              <w:t>appropriately</w:t>
            </w:r>
            <w:r w:rsidRPr="634A1E48">
              <w:rPr>
                <w:sz w:val="20"/>
                <w:szCs w:val="20"/>
              </w:rPr>
              <w:t xml:space="preserve"> managed</w:t>
            </w:r>
            <w:r w:rsidR="000C37B4">
              <w:rPr>
                <w:sz w:val="20"/>
                <w:szCs w:val="20"/>
              </w:rPr>
              <w:t xml:space="preserve"> including by </w:t>
            </w:r>
            <w:r w:rsidR="000C07BA">
              <w:rPr>
                <w:sz w:val="20"/>
                <w:szCs w:val="20"/>
              </w:rPr>
              <w:t xml:space="preserve">enabling urban intensification can reduce the need </w:t>
            </w:r>
            <w:r w:rsidR="0045460E">
              <w:rPr>
                <w:sz w:val="20"/>
                <w:szCs w:val="20"/>
              </w:rPr>
              <w:t>or pressure</w:t>
            </w:r>
            <w:r w:rsidR="000C07BA">
              <w:rPr>
                <w:sz w:val="20"/>
                <w:szCs w:val="20"/>
              </w:rPr>
              <w:t xml:space="preserve"> for urban expansion</w:t>
            </w:r>
            <w:r w:rsidR="0045460E">
              <w:rPr>
                <w:sz w:val="20"/>
                <w:szCs w:val="20"/>
              </w:rPr>
              <w:t xml:space="preserve"> and the associated loss of valued resources including by more efficient use of existing or upgraded infrastructure</w:t>
            </w:r>
            <w:r w:rsidR="00E04CC6" w:rsidRPr="634A1E48">
              <w:rPr>
                <w:sz w:val="20"/>
                <w:szCs w:val="20"/>
              </w:rPr>
              <w:t xml:space="preserve">. </w:t>
            </w:r>
          </w:p>
          <w:p w14:paraId="69E0038A" w14:textId="57B95136" w:rsidR="00424DBB" w:rsidRDefault="00006CA2" w:rsidP="00551192">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Urban development </w:t>
            </w:r>
            <w:r w:rsidR="00912A29" w:rsidRPr="634A1E48">
              <w:rPr>
                <w:sz w:val="20"/>
                <w:szCs w:val="20"/>
              </w:rPr>
              <w:t xml:space="preserve">can result in a change to the amenity values currently associated with an area. </w:t>
            </w:r>
            <w:r w:rsidR="00974E49" w:rsidRPr="634A1E48">
              <w:rPr>
                <w:sz w:val="20"/>
                <w:szCs w:val="20"/>
              </w:rPr>
              <w:t>For some, this will be perceived as a negative change</w:t>
            </w:r>
            <w:r w:rsidR="00201AD0">
              <w:rPr>
                <w:sz w:val="20"/>
                <w:szCs w:val="20"/>
              </w:rPr>
              <w:t>.</w:t>
            </w:r>
            <w:r w:rsidR="00DD588C" w:rsidRPr="634A1E48">
              <w:rPr>
                <w:sz w:val="20"/>
                <w:szCs w:val="20"/>
              </w:rPr>
              <w:t xml:space="preserve"> </w:t>
            </w:r>
            <w:proofErr w:type="gramStart"/>
            <w:r w:rsidR="00DD588C" w:rsidRPr="634A1E48">
              <w:rPr>
                <w:sz w:val="20"/>
                <w:szCs w:val="20"/>
              </w:rPr>
              <w:t>However</w:t>
            </w:r>
            <w:proofErr w:type="gramEnd"/>
            <w:r w:rsidR="00DD588C" w:rsidRPr="634A1E48">
              <w:rPr>
                <w:sz w:val="20"/>
                <w:szCs w:val="20"/>
              </w:rPr>
              <w:t xml:space="preserve"> the provisions seek to manage development to maintain the character and </w:t>
            </w:r>
            <w:r w:rsidR="00091CED">
              <w:rPr>
                <w:sz w:val="20"/>
                <w:szCs w:val="20"/>
              </w:rPr>
              <w:t xml:space="preserve">identified </w:t>
            </w:r>
            <w:r w:rsidR="00DD588C" w:rsidRPr="634A1E48">
              <w:rPr>
                <w:sz w:val="20"/>
                <w:szCs w:val="20"/>
              </w:rPr>
              <w:t xml:space="preserve">qualities of </w:t>
            </w:r>
            <w:r w:rsidR="00904181" w:rsidRPr="634A1E48">
              <w:rPr>
                <w:sz w:val="20"/>
                <w:szCs w:val="20"/>
              </w:rPr>
              <w:t>existing urban areas.</w:t>
            </w:r>
          </w:p>
          <w:p w14:paraId="5CC7D286" w14:textId="6AD0A8B1" w:rsidR="00424DBB" w:rsidRPr="000136C1" w:rsidRDefault="004C6102" w:rsidP="00BE2509">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Urban expansion, including rural residential and rural lifestyle development can adversely affect </w:t>
            </w:r>
            <w:r w:rsidR="00977F1A" w:rsidRPr="634A1E48">
              <w:rPr>
                <w:sz w:val="20"/>
                <w:szCs w:val="20"/>
              </w:rPr>
              <w:t>productive capacity of rural areas.</w:t>
            </w:r>
            <w:r w:rsidR="002D1EC1" w:rsidRPr="634A1E48">
              <w:rPr>
                <w:sz w:val="20"/>
                <w:szCs w:val="20"/>
              </w:rPr>
              <w:t xml:space="preserve"> </w:t>
            </w:r>
            <w:proofErr w:type="gramStart"/>
            <w:r w:rsidR="002D1EC1" w:rsidRPr="634A1E48">
              <w:rPr>
                <w:sz w:val="20"/>
                <w:szCs w:val="20"/>
              </w:rPr>
              <w:t>However</w:t>
            </w:r>
            <w:proofErr w:type="gramEnd"/>
            <w:r w:rsidR="002D1EC1" w:rsidRPr="634A1E48">
              <w:rPr>
                <w:sz w:val="20"/>
                <w:szCs w:val="20"/>
              </w:rPr>
              <w:t xml:space="preserve"> the provisions seek to appropriately manage this.</w:t>
            </w:r>
            <w:r w:rsidR="00977F1A" w:rsidRPr="634A1E48">
              <w:rPr>
                <w:sz w:val="20"/>
                <w:szCs w:val="20"/>
              </w:rPr>
              <w:t xml:space="preserve"> </w:t>
            </w:r>
          </w:p>
        </w:tc>
      </w:tr>
      <w:tr w:rsidR="00424DBB" w:rsidRPr="00AE42AF" w14:paraId="3C13C603"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6649778" w14:textId="77777777" w:rsidR="00424DBB" w:rsidRPr="00AE42AF" w:rsidRDefault="00424DBB" w:rsidP="00424DBB">
            <w:pPr>
              <w:jc w:val="center"/>
              <w:rPr>
                <w:sz w:val="20"/>
              </w:rPr>
            </w:pPr>
            <w:r>
              <w:rPr>
                <w:sz w:val="20"/>
              </w:rPr>
              <w:t>Cultural</w:t>
            </w:r>
          </w:p>
        </w:tc>
      </w:tr>
      <w:tr w:rsidR="00424DBB" w:rsidRPr="000E2E23" w14:paraId="39BDA02A"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4C323339" w14:textId="570FF060" w:rsidR="00862C1B" w:rsidRPr="007A1541" w:rsidRDefault="007564F5" w:rsidP="00551192">
            <w:pPr>
              <w:pStyle w:val="ListParagraph"/>
              <w:numPr>
                <w:ilvl w:val="0"/>
                <w:numId w:val="22"/>
              </w:numPr>
              <w:spacing w:after="60"/>
              <w:ind w:left="357" w:hanging="357"/>
              <w:contextualSpacing w:val="0"/>
              <w:jc w:val="both"/>
              <w:rPr>
                <w:b w:val="0"/>
                <w:sz w:val="20"/>
                <w:szCs w:val="20"/>
              </w:rPr>
            </w:pPr>
            <w:r w:rsidRPr="007A1541">
              <w:rPr>
                <w:b w:val="0"/>
                <w:sz w:val="20"/>
                <w:szCs w:val="20"/>
              </w:rPr>
              <w:t xml:space="preserve">Provides for iwi and </w:t>
            </w:r>
            <w:proofErr w:type="spellStart"/>
            <w:r w:rsidRPr="007A1541">
              <w:rPr>
                <w:b w:val="0"/>
                <w:sz w:val="20"/>
                <w:szCs w:val="20"/>
              </w:rPr>
              <w:t>hapu</w:t>
            </w:r>
            <w:proofErr w:type="spellEnd"/>
            <w:r w:rsidRPr="007A1541">
              <w:rPr>
                <w:b w:val="0"/>
                <w:sz w:val="20"/>
                <w:szCs w:val="20"/>
              </w:rPr>
              <w:t xml:space="preserve"> </w:t>
            </w:r>
            <w:r w:rsidR="00D24403" w:rsidRPr="007A1541">
              <w:rPr>
                <w:b w:val="0"/>
                <w:sz w:val="20"/>
                <w:szCs w:val="20"/>
              </w:rPr>
              <w:t>input</w:t>
            </w:r>
            <w:r w:rsidRPr="007A1541">
              <w:rPr>
                <w:b w:val="0"/>
                <w:sz w:val="20"/>
                <w:szCs w:val="20"/>
              </w:rPr>
              <w:t xml:space="preserve"> into urban</w:t>
            </w:r>
            <w:r w:rsidR="00D24403" w:rsidRPr="007A1541">
              <w:rPr>
                <w:b w:val="0"/>
                <w:sz w:val="20"/>
                <w:szCs w:val="20"/>
              </w:rPr>
              <w:t xml:space="preserve"> planning and decision making. </w:t>
            </w:r>
            <w:r w:rsidR="0090169F" w:rsidRPr="007A1541">
              <w:rPr>
                <w:b w:val="0"/>
                <w:sz w:val="20"/>
                <w:szCs w:val="20"/>
              </w:rPr>
              <w:t xml:space="preserve">This better </w:t>
            </w:r>
            <w:r w:rsidR="00862C1B" w:rsidRPr="007A1541">
              <w:rPr>
                <w:b w:val="0"/>
                <w:sz w:val="20"/>
                <w:szCs w:val="20"/>
              </w:rPr>
              <w:t>facilitates</w:t>
            </w:r>
            <w:r w:rsidR="0090169F" w:rsidRPr="007A1541">
              <w:rPr>
                <w:b w:val="0"/>
                <w:sz w:val="20"/>
                <w:szCs w:val="20"/>
              </w:rPr>
              <w:t xml:space="preserve"> the exercise of </w:t>
            </w:r>
            <w:proofErr w:type="spellStart"/>
            <w:r w:rsidR="00862C1B" w:rsidRPr="007A1541">
              <w:rPr>
                <w:b w:val="0"/>
                <w:sz w:val="20"/>
                <w:szCs w:val="20"/>
              </w:rPr>
              <w:t>tino</w:t>
            </w:r>
            <w:proofErr w:type="spellEnd"/>
            <w:r w:rsidR="00862C1B" w:rsidRPr="007A1541">
              <w:rPr>
                <w:b w:val="0"/>
                <w:sz w:val="20"/>
                <w:szCs w:val="20"/>
              </w:rPr>
              <w:t xml:space="preserve"> rangatiratanga and is more likely result in culturally appropriate approaches to urban form and development.</w:t>
            </w:r>
          </w:p>
          <w:p w14:paraId="1AC94127" w14:textId="753CD8DE" w:rsidR="004273BB" w:rsidRPr="007A1541" w:rsidRDefault="004273BB" w:rsidP="00551192">
            <w:pPr>
              <w:pStyle w:val="ListParagraph"/>
              <w:numPr>
                <w:ilvl w:val="0"/>
                <w:numId w:val="22"/>
              </w:numPr>
              <w:spacing w:after="60"/>
              <w:ind w:left="357" w:hanging="357"/>
              <w:contextualSpacing w:val="0"/>
              <w:jc w:val="both"/>
              <w:rPr>
                <w:b w:val="0"/>
                <w:sz w:val="20"/>
                <w:szCs w:val="20"/>
              </w:rPr>
            </w:pPr>
            <w:r w:rsidRPr="007A1541">
              <w:rPr>
                <w:b w:val="0"/>
                <w:sz w:val="20"/>
                <w:szCs w:val="20"/>
              </w:rPr>
              <w:t xml:space="preserve">Allows for developments that meet the needs and aspirations of tangata whenua, </w:t>
            </w:r>
            <w:r w:rsidR="003023B6" w:rsidRPr="007A1541">
              <w:rPr>
                <w:b w:val="0"/>
                <w:sz w:val="20"/>
                <w:szCs w:val="20"/>
              </w:rPr>
              <w:t xml:space="preserve">including explicit provisions for development of Te Ture Whenua </w:t>
            </w:r>
            <w:proofErr w:type="spellStart"/>
            <w:r w:rsidR="003023B6" w:rsidRPr="007A1541">
              <w:rPr>
                <w:b w:val="0"/>
                <w:sz w:val="20"/>
                <w:szCs w:val="20"/>
              </w:rPr>
              <w:t>Maori</w:t>
            </w:r>
            <w:proofErr w:type="spellEnd"/>
            <w:r w:rsidR="003023B6" w:rsidRPr="007A1541">
              <w:rPr>
                <w:b w:val="0"/>
                <w:sz w:val="20"/>
                <w:szCs w:val="20"/>
              </w:rPr>
              <w:t xml:space="preserve"> land and other customary or jointly owned land, where appropriate infrastructure </w:t>
            </w:r>
            <w:r w:rsidR="003023B6" w:rsidRPr="007A1541">
              <w:rPr>
                <w:b w:val="0"/>
                <w:bCs w:val="0"/>
                <w:sz w:val="20"/>
                <w:szCs w:val="20"/>
              </w:rPr>
              <w:t>is provided</w:t>
            </w:r>
            <w:r w:rsidR="009858F0" w:rsidRPr="007A1541">
              <w:rPr>
                <w:b w:val="0"/>
                <w:bCs w:val="0"/>
                <w:sz w:val="20"/>
                <w:szCs w:val="20"/>
              </w:rPr>
              <w:t>.</w:t>
            </w:r>
          </w:p>
          <w:p w14:paraId="5B3F44FD" w14:textId="77777777" w:rsidR="00424DBB" w:rsidRPr="007A1541" w:rsidRDefault="00247C30" w:rsidP="00551192">
            <w:pPr>
              <w:pStyle w:val="ListParagraph"/>
              <w:numPr>
                <w:ilvl w:val="0"/>
                <w:numId w:val="22"/>
              </w:numPr>
              <w:jc w:val="both"/>
              <w:rPr>
                <w:b w:val="0"/>
                <w:sz w:val="20"/>
                <w:szCs w:val="20"/>
              </w:rPr>
            </w:pPr>
            <w:r w:rsidRPr="007A1541">
              <w:rPr>
                <w:b w:val="0"/>
                <w:sz w:val="20"/>
                <w:szCs w:val="20"/>
              </w:rPr>
              <w:t>Improving protection of environmental values from the impacts of new and existing urban development will increase the mauri of these resources and improve the mana of tangata whenua</w:t>
            </w:r>
            <w:r w:rsidR="008F5E40" w:rsidRPr="007A1541">
              <w:rPr>
                <w:b w:val="0"/>
                <w:sz w:val="20"/>
                <w:szCs w:val="20"/>
              </w:rPr>
              <w:t xml:space="preserve">. </w:t>
            </w:r>
          </w:p>
          <w:p w14:paraId="5DA03EC0" w14:textId="35F5C53B" w:rsidR="00424DBB" w:rsidRPr="00501014" w:rsidRDefault="00424DBB" w:rsidP="00956AB1">
            <w:pPr>
              <w:pStyle w:val="ListParagraph"/>
              <w:ind w:left="360"/>
              <w:jc w:val="both"/>
              <w:rPr>
                <w:sz w:val="20"/>
                <w:szCs w:val="20"/>
              </w:rPr>
            </w:pPr>
          </w:p>
        </w:tc>
        <w:tc>
          <w:tcPr>
            <w:tcW w:w="4508" w:type="dxa"/>
          </w:tcPr>
          <w:p w14:paraId="68E5AEFA" w14:textId="22684867" w:rsidR="00424DBB" w:rsidRDefault="000D7682" w:rsidP="0055119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Urban development can have adverse effects on cultural values. However, the provisions seek to ensure they are </w:t>
            </w:r>
            <w:r w:rsidR="00D9217B">
              <w:rPr>
                <w:sz w:val="20"/>
                <w:szCs w:val="20"/>
              </w:rPr>
              <w:t xml:space="preserve">identified and </w:t>
            </w:r>
            <w:r w:rsidRPr="634A1E48">
              <w:rPr>
                <w:sz w:val="20"/>
                <w:szCs w:val="20"/>
              </w:rPr>
              <w:t xml:space="preserve">appropriately managed, with input from iwi and </w:t>
            </w:r>
            <w:proofErr w:type="spellStart"/>
            <w:r w:rsidRPr="634A1E48">
              <w:rPr>
                <w:sz w:val="20"/>
                <w:szCs w:val="20"/>
              </w:rPr>
              <w:t>hapu</w:t>
            </w:r>
            <w:proofErr w:type="spellEnd"/>
            <w:r w:rsidR="00D9217B">
              <w:rPr>
                <w:sz w:val="20"/>
                <w:szCs w:val="20"/>
              </w:rPr>
              <w:t>, and involvement in decision making processes</w:t>
            </w:r>
            <w:r w:rsidRPr="634A1E48">
              <w:rPr>
                <w:sz w:val="20"/>
                <w:szCs w:val="20"/>
              </w:rPr>
              <w:t>.</w:t>
            </w:r>
          </w:p>
          <w:p w14:paraId="67942789" w14:textId="777BF151" w:rsidR="00424DBB" w:rsidRPr="00BA5702" w:rsidRDefault="00424DBB" w:rsidP="004B52B3">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424DBB" w:rsidRPr="00AE42AF" w14:paraId="7EA514D1"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AB64C97" w14:textId="77777777" w:rsidR="00424DBB" w:rsidRPr="00AE42AF" w:rsidRDefault="00424DBB" w:rsidP="00424DBB">
            <w:pPr>
              <w:jc w:val="center"/>
              <w:rPr>
                <w:sz w:val="20"/>
              </w:rPr>
            </w:pPr>
            <w:r w:rsidRPr="00AE42AF">
              <w:rPr>
                <w:sz w:val="20"/>
              </w:rPr>
              <w:t>Social</w:t>
            </w:r>
          </w:p>
        </w:tc>
      </w:tr>
      <w:tr w:rsidR="00424DBB" w:rsidRPr="00FC5CD5" w14:paraId="0366C7E2"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51217A6C" w14:textId="4C0636CD" w:rsidR="00C73D42" w:rsidRPr="004B52B3" w:rsidRDefault="001D020B" w:rsidP="00551192">
            <w:pPr>
              <w:pStyle w:val="ListParagraph"/>
              <w:numPr>
                <w:ilvl w:val="0"/>
                <w:numId w:val="22"/>
              </w:numPr>
              <w:spacing w:after="60"/>
              <w:ind w:left="357" w:hanging="357"/>
              <w:contextualSpacing w:val="0"/>
              <w:jc w:val="both"/>
              <w:rPr>
                <w:b w:val="0"/>
                <w:sz w:val="20"/>
                <w:szCs w:val="20"/>
              </w:rPr>
            </w:pPr>
            <w:r w:rsidRPr="004B52B3">
              <w:rPr>
                <w:b w:val="0"/>
                <w:sz w:val="20"/>
                <w:szCs w:val="20"/>
              </w:rPr>
              <w:t xml:space="preserve">Well-functioning urban </w:t>
            </w:r>
            <w:r w:rsidR="00994700" w:rsidRPr="004B52B3">
              <w:rPr>
                <w:b w:val="0"/>
                <w:sz w:val="20"/>
                <w:szCs w:val="20"/>
              </w:rPr>
              <w:t>environments</w:t>
            </w:r>
            <w:r w:rsidRPr="004B52B3">
              <w:rPr>
                <w:b w:val="0"/>
                <w:sz w:val="20"/>
                <w:szCs w:val="20"/>
              </w:rPr>
              <w:t xml:space="preserve"> will increase social well-being</w:t>
            </w:r>
            <w:r w:rsidR="00474086" w:rsidRPr="004B52B3">
              <w:rPr>
                <w:b w:val="0"/>
                <w:sz w:val="20"/>
                <w:szCs w:val="20"/>
              </w:rPr>
              <w:t xml:space="preserve"> including by improving accessibility </w:t>
            </w:r>
            <w:r w:rsidR="001923E3" w:rsidRPr="004B52B3">
              <w:rPr>
                <w:b w:val="0"/>
                <w:sz w:val="20"/>
                <w:szCs w:val="20"/>
              </w:rPr>
              <w:t>for all people between housing, employment, social interaction opportunities</w:t>
            </w:r>
            <w:r w:rsidR="008535A5" w:rsidRPr="004B52B3">
              <w:rPr>
                <w:b w:val="0"/>
                <w:sz w:val="20"/>
                <w:szCs w:val="20"/>
              </w:rPr>
              <w:t xml:space="preserve">, </w:t>
            </w:r>
            <w:proofErr w:type="gramStart"/>
            <w:r w:rsidR="008535A5" w:rsidRPr="004B52B3">
              <w:rPr>
                <w:b w:val="0"/>
                <w:sz w:val="20"/>
                <w:szCs w:val="20"/>
              </w:rPr>
              <w:t>services</w:t>
            </w:r>
            <w:proofErr w:type="gramEnd"/>
            <w:r w:rsidR="008535A5" w:rsidRPr="004B52B3">
              <w:rPr>
                <w:b w:val="0"/>
                <w:sz w:val="20"/>
                <w:szCs w:val="20"/>
              </w:rPr>
              <w:t xml:space="preserve"> and public open space</w:t>
            </w:r>
            <w:r w:rsidR="00842918" w:rsidRPr="004B52B3">
              <w:rPr>
                <w:b w:val="0"/>
                <w:sz w:val="20"/>
                <w:szCs w:val="20"/>
              </w:rPr>
              <w:t>, by active and public transport</w:t>
            </w:r>
            <w:r w:rsidR="00C73D42" w:rsidRPr="004B52B3" w:rsidDel="0091307C">
              <w:rPr>
                <w:b w:val="0"/>
                <w:sz w:val="20"/>
                <w:szCs w:val="20"/>
              </w:rPr>
              <w:t>.</w:t>
            </w:r>
          </w:p>
          <w:p w14:paraId="759609E0" w14:textId="77777777" w:rsidR="00424DBB" w:rsidRPr="004B52B3" w:rsidRDefault="00C73D42" w:rsidP="00551192">
            <w:pPr>
              <w:pStyle w:val="ListParagraph"/>
              <w:numPr>
                <w:ilvl w:val="0"/>
                <w:numId w:val="22"/>
              </w:numPr>
              <w:jc w:val="both"/>
              <w:rPr>
                <w:b w:val="0"/>
                <w:sz w:val="20"/>
                <w:szCs w:val="20"/>
              </w:rPr>
            </w:pPr>
            <w:r w:rsidRPr="004B52B3">
              <w:rPr>
                <w:b w:val="0"/>
                <w:sz w:val="20"/>
                <w:szCs w:val="20"/>
              </w:rPr>
              <w:t xml:space="preserve">Well-planned urban expansion and intensification will provide </w:t>
            </w:r>
            <w:r w:rsidR="00E20CAC" w:rsidRPr="004B52B3">
              <w:rPr>
                <w:b w:val="0"/>
                <w:sz w:val="20"/>
                <w:szCs w:val="20"/>
              </w:rPr>
              <w:t xml:space="preserve">attractive and well-functioning </w:t>
            </w:r>
            <w:r w:rsidR="00317CC2" w:rsidRPr="004B52B3">
              <w:rPr>
                <w:b w:val="0"/>
                <w:sz w:val="20"/>
                <w:szCs w:val="20"/>
              </w:rPr>
              <w:t xml:space="preserve">environments for people to live, work and play in. </w:t>
            </w:r>
            <w:r w:rsidR="001D020B" w:rsidRPr="004B52B3">
              <w:rPr>
                <w:b w:val="0"/>
                <w:sz w:val="20"/>
                <w:szCs w:val="20"/>
              </w:rPr>
              <w:t xml:space="preserve"> </w:t>
            </w:r>
            <w:r w:rsidR="008208D6" w:rsidRPr="004B52B3">
              <w:rPr>
                <w:b w:val="0"/>
                <w:sz w:val="20"/>
                <w:szCs w:val="20"/>
              </w:rPr>
              <w:t xml:space="preserve"> </w:t>
            </w:r>
          </w:p>
          <w:p w14:paraId="0018254E" w14:textId="77777777" w:rsidR="00D362E2" w:rsidRPr="004B52B3" w:rsidRDefault="00D362E2" w:rsidP="00551192">
            <w:pPr>
              <w:pStyle w:val="ListParagraph"/>
              <w:numPr>
                <w:ilvl w:val="0"/>
                <w:numId w:val="22"/>
              </w:numPr>
              <w:jc w:val="both"/>
              <w:rPr>
                <w:b w:val="0"/>
                <w:sz w:val="20"/>
                <w:szCs w:val="20"/>
              </w:rPr>
            </w:pPr>
            <w:r w:rsidRPr="004B52B3">
              <w:rPr>
                <w:b w:val="0"/>
                <w:sz w:val="20"/>
                <w:szCs w:val="20"/>
              </w:rPr>
              <w:t>Enabling greater urban land use flexibility has been identified</w:t>
            </w:r>
            <w:r w:rsidRPr="004B52B3">
              <w:rPr>
                <w:rStyle w:val="FootnoteReference"/>
                <w:b w:val="0"/>
                <w:sz w:val="20"/>
                <w:szCs w:val="20"/>
              </w:rPr>
              <w:footnoteReference w:id="50"/>
            </w:r>
            <w:r w:rsidRPr="004B52B3">
              <w:rPr>
                <w:b w:val="0"/>
                <w:sz w:val="20"/>
                <w:szCs w:val="20"/>
              </w:rPr>
              <w:t xml:space="preserve"> as benefitting lower socio-economic groups and future generations most</w:t>
            </w:r>
            <w:r w:rsidR="00370945" w:rsidRPr="004B52B3">
              <w:rPr>
                <w:b w:val="0"/>
                <w:sz w:val="20"/>
                <w:szCs w:val="20"/>
              </w:rPr>
              <w:t>.</w:t>
            </w:r>
          </w:p>
          <w:p w14:paraId="1E1C9F92" w14:textId="145B7E37" w:rsidR="00424DBB" w:rsidRPr="000136C1" w:rsidRDefault="00D23158" w:rsidP="00551192">
            <w:pPr>
              <w:pStyle w:val="ListParagraph"/>
              <w:numPr>
                <w:ilvl w:val="0"/>
                <w:numId w:val="22"/>
              </w:numPr>
              <w:jc w:val="both"/>
              <w:rPr>
                <w:sz w:val="20"/>
                <w:szCs w:val="20"/>
              </w:rPr>
            </w:pPr>
            <w:r w:rsidRPr="00045EB9">
              <w:rPr>
                <w:b w:val="0"/>
                <w:sz w:val="20"/>
                <w:szCs w:val="20"/>
              </w:rPr>
              <w:lastRenderedPageBreak/>
              <w:t>Urban areas in Otago will be better equipped to respond to many urban problems, such as changing patterns of wealth inequality, housing unaffordability and climate change</w:t>
            </w:r>
            <w:r w:rsidR="00045EB9">
              <w:rPr>
                <w:b w:val="0"/>
                <w:bCs w:val="0"/>
                <w:sz w:val="20"/>
                <w:szCs w:val="20"/>
              </w:rPr>
              <w:t>.</w:t>
            </w:r>
          </w:p>
        </w:tc>
        <w:tc>
          <w:tcPr>
            <w:tcW w:w="4508" w:type="dxa"/>
          </w:tcPr>
          <w:p w14:paraId="134D42DE" w14:textId="20E25C47" w:rsidR="00424DBB" w:rsidRDefault="0061585C" w:rsidP="00551192">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lastRenderedPageBreak/>
              <w:t xml:space="preserve">Increased development within, or near rural areas can </w:t>
            </w:r>
            <w:r w:rsidR="0060551A" w:rsidRPr="634A1E48">
              <w:rPr>
                <w:sz w:val="20"/>
                <w:szCs w:val="20"/>
              </w:rPr>
              <w:t>increase the potential for re</w:t>
            </w:r>
            <w:r w:rsidR="00045EB9">
              <w:rPr>
                <w:sz w:val="20"/>
                <w:szCs w:val="20"/>
              </w:rPr>
              <w:t>verse</w:t>
            </w:r>
            <w:r w:rsidR="0060551A" w:rsidRPr="634A1E48">
              <w:rPr>
                <w:sz w:val="20"/>
                <w:szCs w:val="20"/>
              </w:rPr>
              <w:t xml:space="preserve"> sensitivity effects to arise</w:t>
            </w:r>
            <w:r w:rsidR="00BE2608">
              <w:rPr>
                <w:sz w:val="20"/>
                <w:szCs w:val="20"/>
              </w:rPr>
              <w:t xml:space="preserve"> as new activities are impacted by existing ones</w:t>
            </w:r>
            <w:r w:rsidR="00BD5AB0">
              <w:rPr>
                <w:sz w:val="20"/>
                <w:szCs w:val="20"/>
              </w:rPr>
              <w:t xml:space="preserve"> resulting in </w:t>
            </w:r>
            <w:r w:rsidR="00A25470">
              <w:rPr>
                <w:sz w:val="20"/>
                <w:szCs w:val="20"/>
              </w:rPr>
              <w:t xml:space="preserve">community </w:t>
            </w:r>
            <w:r w:rsidR="00BD5AB0">
              <w:rPr>
                <w:sz w:val="20"/>
                <w:szCs w:val="20"/>
              </w:rPr>
              <w:t>tension</w:t>
            </w:r>
            <w:r w:rsidR="00EC45FC">
              <w:rPr>
                <w:sz w:val="20"/>
                <w:szCs w:val="20"/>
              </w:rPr>
              <w:t xml:space="preserve">, uncertainty </w:t>
            </w:r>
            <w:r w:rsidR="00BD5AB0">
              <w:rPr>
                <w:sz w:val="20"/>
                <w:szCs w:val="20"/>
              </w:rPr>
              <w:t>an</w:t>
            </w:r>
            <w:r w:rsidR="00A25470">
              <w:rPr>
                <w:sz w:val="20"/>
                <w:szCs w:val="20"/>
              </w:rPr>
              <w:t>d individual stress</w:t>
            </w:r>
            <w:r w:rsidR="00EC45FC">
              <w:rPr>
                <w:sz w:val="20"/>
                <w:szCs w:val="20"/>
              </w:rPr>
              <w:t xml:space="preserve"> for both complainants and affected activities</w:t>
            </w:r>
            <w:r w:rsidR="0060551A" w:rsidRPr="634A1E48">
              <w:rPr>
                <w:sz w:val="20"/>
                <w:szCs w:val="20"/>
              </w:rPr>
              <w:t>.</w:t>
            </w:r>
            <w:r w:rsidR="00173F84" w:rsidRPr="634A1E48">
              <w:rPr>
                <w:sz w:val="20"/>
                <w:szCs w:val="20"/>
              </w:rPr>
              <w:t xml:space="preserve"> </w:t>
            </w:r>
            <w:r w:rsidR="003B00E7" w:rsidRPr="634A1E48">
              <w:rPr>
                <w:sz w:val="20"/>
                <w:szCs w:val="20"/>
              </w:rPr>
              <w:t>Th</w:t>
            </w:r>
            <w:r w:rsidR="003B00E7">
              <w:rPr>
                <w:sz w:val="20"/>
                <w:szCs w:val="20"/>
              </w:rPr>
              <w:t>ese</w:t>
            </w:r>
            <w:r w:rsidR="003B00E7" w:rsidRPr="634A1E48">
              <w:rPr>
                <w:sz w:val="20"/>
                <w:szCs w:val="20"/>
              </w:rPr>
              <w:t xml:space="preserve"> </w:t>
            </w:r>
            <w:r w:rsidR="00173F84" w:rsidRPr="634A1E48">
              <w:rPr>
                <w:sz w:val="20"/>
                <w:szCs w:val="20"/>
              </w:rPr>
              <w:t xml:space="preserve">provisions however seek to </w:t>
            </w:r>
            <w:r w:rsidR="00EC45FC">
              <w:rPr>
                <w:sz w:val="20"/>
                <w:szCs w:val="20"/>
              </w:rPr>
              <w:t>minimise</w:t>
            </w:r>
            <w:r w:rsidR="00EC45FC" w:rsidRPr="634A1E48">
              <w:rPr>
                <w:sz w:val="20"/>
                <w:szCs w:val="20"/>
              </w:rPr>
              <w:t xml:space="preserve"> </w:t>
            </w:r>
            <w:r w:rsidR="00173F84" w:rsidRPr="634A1E48">
              <w:rPr>
                <w:sz w:val="20"/>
                <w:szCs w:val="20"/>
              </w:rPr>
              <w:t>this potential</w:t>
            </w:r>
            <w:r w:rsidR="00EC45FC">
              <w:rPr>
                <w:sz w:val="20"/>
                <w:szCs w:val="20"/>
              </w:rPr>
              <w:t xml:space="preserve"> by directing </w:t>
            </w:r>
            <w:r w:rsidR="008A61A7">
              <w:rPr>
                <w:sz w:val="20"/>
                <w:szCs w:val="20"/>
              </w:rPr>
              <w:t>rural</w:t>
            </w:r>
            <w:r w:rsidR="0026650D">
              <w:rPr>
                <w:sz w:val="20"/>
                <w:szCs w:val="20"/>
              </w:rPr>
              <w:t xml:space="preserve"> residential demand to locations demonstrated to be appropriate</w:t>
            </w:r>
            <w:r w:rsidR="003E6499">
              <w:rPr>
                <w:sz w:val="20"/>
                <w:szCs w:val="20"/>
              </w:rPr>
              <w:t>.</w:t>
            </w:r>
          </w:p>
          <w:p w14:paraId="091AD58A" w14:textId="349B2778" w:rsidR="006853E8" w:rsidRPr="00DC05C1" w:rsidRDefault="006853E8" w:rsidP="00551192">
            <w:pPr>
              <w:pStyle w:val="ListParagraph"/>
              <w:numPr>
                <w:ilvl w:val="0"/>
                <w:numId w:val="22"/>
              </w:numPr>
              <w:spacing w:after="60"/>
              <w:ind w:left="35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634A1E48">
              <w:rPr>
                <w:sz w:val="20"/>
                <w:szCs w:val="20"/>
              </w:rPr>
              <w:t xml:space="preserve">Changes to existing areas or growth of </w:t>
            </w:r>
            <w:r w:rsidR="00463AD2" w:rsidRPr="634A1E48">
              <w:rPr>
                <w:sz w:val="20"/>
                <w:szCs w:val="20"/>
              </w:rPr>
              <w:t>u</w:t>
            </w:r>
            <w:r w:rsidRPr="634A1E48">
              <w:rPr>
                <w:sz w:val="20"/>
                <w:szCs w:val="20"/>
              </w:rPr>
              <w:t xml:space="preserve">rban </w:t>
            </w:r>
            <w:r w:rsidR="00463AD2" w:rsidRPr="634A1E48">
              <w:rPr>
                <w:sz w:val="20"/>
                <w:szCs w:val="20"/>
              </w:rPr>
              <w:t>areas</w:t>
            </w:r>
            <w:r w:rsidRPr="634A1E48">
              <w:rPr>
                <w:sz w:val="20"/>
                <w:szCs w:val="20"/>
              </w:rPr>
              <w:t xml:space="preserve"> </w:t>
            </w:r>
            <w:r w:rsidR="00463AD2" w:rsidRPr="634A1E48">
              <w:rPr>
                <w:sz w:val="20"/>
                <w:szCs w:val="20"/>
              </w:rPr>
              <w:t>that</w:t>
            </w:r>
            <w:r w:rsidRPr="634A1E48">
              <w:rPr>
                <w:sz w:val="20"/>
                <w:szCs w:val="20"/>
              </w:rPr>
              <w:t xml:space="preserve"> result in a change to the amenity values currently associated with an area</w:t>
            </w:r>
            <w:r w:rsidR="00463AD2" w:rsidRPr="634A1E48">
              <w:rPr>
                <w:sz w:val="20"/>
                <w:szCs w:val="20"/>
              </w:rPr>
              <w:t xml:space="preserve"> can have negative social impact</w:t>
            </w:r>
            <w:r w:rsidRPr="634A1E48">
              <w:rPr>
                <w:sz w:val="20"/>
                <w:szCs w:val="20"/>
              </w:rPr>
              <w:t>.</w:t>
            </w:r>
            <w:r w:rsidR="00C70448" w:rsidRPr="634A1E48">
              <w:rPr>
                <w:sz w:val="20"/>
                <w:szCs w:val="20"/>
              </w:rPr>
              <w:t xml:space="preserve"> However</w:t>
            </w:r>
            <w:r w:rsidR="00271B7E">
              <w:rPr>
                <w:sz w:val="20"/>
                <w:szCs w:val="20"/>
              </w:rPr>
              <w:t>,</w:t>
            </w:r>
            <w:r w:rsidR="00C70448" w:rsidRPr="634A1E48">
              <w:rPr>
                <w:sz w:val="20"/>
                <w:szCs w:val="20"/>
              </w:rPr>
              <w:t xml:space="preserve"> the </w:t>
            </w:r>
            <w:r w:rsidR="00C70448" w:rsidRPr="634A1E48">
              <w:rPr>
                <w:sz w:val="20"/>
                <w:szCs w:val="20"/>
              </w:rPr>
              <w:lastRenderedPageBreak/>
              <w:t xml:space="preserve">provisions seek to manage development to maintain the character and </w:t>
            </w:r>
            <w:r w:rsidR="00271B7E">
              <w:rPr>
                <w:sz w:val="20"/>
                <w:szCs w:val="20"/>
              </w:rPr>
              <w:t xml:space="preserve">special </w:t>
            </w:r>
            <w:r w:rsidR="00C70448" w:rsidRPr="634A1E48">
              <w:rPr>
                <w:sz w:val="20"/>
                <w:szCs w:val="20"/>
              </w:rPr>
              <w:t>qualities of existing urban areas</w:t>
            </w:r>
            <w:r w:rsidR="00271B7E">
              <w:rPr>
                <w:sz w:val="20"/>
                <w:szCs w:val="20"/>
              </w:rPr>
              <w:t xml:space="preserve"> as these </w:t>
            </w:r>
            <w:r w:rsidR="002C42BA">
              <w:rPr>
                <w:sz w:val="20"/>
                <w:szCs w:val="20"/>
              </w:rPr>
              <w:t>qualities both drive demand and can facilitate supply</w:t>
            </w:r>
            <w:r w:rsidR="00C70448" w:rsidRPr="634A1E48">
              <w:rPr>
                <w:sz w:val="20"/>
                <w:szCs w:val="20"/>
              </w:rPr>
              <w:t>.</w:t>
            </w:r>
            <w:r w:rsidR="00340F1D">
              <w:rPr>
                <w:sz w:val="20"/>
                <w:szCs w:val="20"/>
              </w:rPr>
              <w:t xml:space="preserve"> </w:t>
            </w:r>
          </w:p>
          <w:p w14:paraId="4B227171" w14:textId="08DDC4FA" w:rsidR="00424DBB" w:rsidRPr="00FC5CD5" w:rsidRDefault="002C42BA" w:rsidP="0055119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Poorly managed or laid out </w:t>
            </w:r>
            <w:r w:rsidR="00FD44FF">
              <w:rPr>
                <w:sz w:val="20"/>
                <w:szCs w:val="20"/>
              </w:rPr>
              <w:t>u</w:t>
            </w:r>
            <w:r w:rsidR="00216D23" w:rsidRPr="634A1E48">
              <w:rPr>
                <w:sz w:val="20"/>
                <w:szCs w:val="20"/>
              </w:rPr>
              <w:t xml:space="preserve">rban development can result in impacts such as increased travel time and increased </w:t>
            </w:r>
            <w:r w:rsidR="003D7FD6" w:rsidRPr="634A1E48">
              <w:rPr>
                <w:sz w:val="20"/>
                <w:szCs w:val="20"/>
              </w:rPr>
              <w:t>pressure</w:t>
            </w:r>
            <w:r w:rsidR="00216D23" w:rsidRPr="634A1E48">
              <w:rPr>
                <w:sz w:val="20"/>
                <w:szCs w:val="20"/>
              </w:rPr>
              <w:t xml:space="preserve"> on shared spaces</w:t>
            </w:r>
            <w:r w:rsidR="003B28FD" w:rsidRPr="634A1E48">
              <w:rPr>
                <w:sz w:val="20"/>
                <w:szCs w:val="20"/>
              </w:rPr>
              <w:t>, affecting social well-being</w:t>
            </w:r>
            <w:r w:rsidR="003D7FD6" w:rsidRPr="634A1E48">
              <w:rPr>
                <w:sz w:val="20"/>
                <w:szCs w:val="20"/>
              </w:rPr>
              <w:t>.</w:t>
            </w:r>
            <w:r w:rsidR="00210D00" w:rsidRPr="634A1E48">
              <w:rPr>
                <w:sz w:val="20"/>
                <w:szCs w:val="20"/>
              </w:rPr>
              <w:t xml:space="preserve"> </w:t>
            </w:r>
            <w:proofErr w:type="gramStart"/>
            <w:r w:rsidR="00210D00" w:rsidRPr="634A1E48">
              <w:rPr>
                <w:sz w:val="20"/>
                <w:szCs w:val="20"/>
              </w:rPr>
              <w:t>However</w:t>
            </w:r>
            <w:proofErr w:type="gramEnd"/>
            <w:r w:rsidR="00210D00" w:rsidRPr="634A1E48">
              <w:rPr>
                <w:sz w:val="20"/>
                <w:szCs w:val="20"/>
              </w:rPr>
              <w:t xml:space="preserve"> the provisions seek to </w:t>
            </w:r>
            <w:r w:rsidR="00DD3E9B" w:rsidRPr="634A1E48">
              <w:rPr>
                <w:sz w:val="20"/>
                <w:szCs w:val="20"/>
              </w:rPr>
              <w:t xml:space="preserve">ensure </w:t>
            </w:r>
            <w:r w:rsidR="000C1DE2" w:rsidRPr="634A1E48">
              <w:rPr>
                <w:sz w:val="20"/>
                <w:szCs w:val="20"/>
              </w:rPr>
              <w:t xml:space="preserve">urban areas are </w:t>
            </w:r>
            <w:r w:rsidR="0011281B" w:rsidRPr="634A1E48">
              <w:rPr>
                <w:sz w:val="20"/>
                <w:szCs w:val="20"/>
              </w:rPr>
              <w:t>planned well</w:t>
            </w:r>
            <w:r w:rsidR="000C1DE2" w:rsidRPr="634A1E48">
              <w:rPr>
                <w:sz w:val="20"/>
                <w:szCs w:val="20"/>
              </w:rPr>
              <w:t xml:space="preserve"> to </w:t>
            </w:r>
            <w:r w:rsidR="00464625" w:rsidRPr="634A1E48">
              <w:rPr>
                <w:sz w:val="20"/>
                <w:szCs w:val="20"/>
              </w:rPr>
              <w:t xml:space="preserve">address matters such as </w:t>
            </w:r>
            <w:r w:rsidR="00264423" w:rsidRPr="634A1E48">
              <w:rPr>
                <w:sz w:val="20"/>
                <w:szCs w:val="20"/>
              </w:rPr>
              <w:t xml:space="preserve">connectivity and </w:t>
            </w:r>
            <w:r w:rsidR="00464625" w:rsidRPr="634A1E48">
              <w:rPr>
                <w:sz w:val="20"/>
                <w:szCs w:val="20"/>
              </w:rPr>
              <w:t>design o</w:t>
            </w:r>
            <w:r w:rsidR="0028675A" w:rsidRPr="634A1E48">
              <w:rPr>
                <w:sz w:val="20"/>
                <w:szCs w:val="20"/>
              </w:rPr>
              <w:t>f</w:t>
            </w:r>
            <w:r w:rsidR="00464625" w:rsidRPr="634A1E48">
              <w:rPr>
                <w:sz w:val="20"/>
                <w:szCs w:val="20"/>
              </w:rPr>
              <w:t xml:space="preserve"> public spaces.</w:t>
            </w:r>
          </w:p>
        </w:tc>
      </w:tr>
      <w:tr w:rsidR="00424DBB" w:rsidRPr="00AE42AF" w14:paraId="69287755" w14:textId="77777777" w:rsidTr="00424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90ED5B0" w14:textId="77777777" w:rsidR="00424DBB" w:rsidRPr="00AE42AF" w:rsidRDefault="00424DBB" w:rsidP="00424DBB">
            <w:pPr>
              <w:jc w:val="center"/>
              <w:rPr>
                <w:sz w:val="20"/>
              </w:rPr>
            </w:pPr>
            <w:r>
              <w:rPr>
                <w:sz w:val="20"/>
              </w:rPr>
              <w:lastRenderedPageBreak/>
              <w:t>Economic</w:t>
            </w:r>
          </w:p>
        </w:tc>
      </w:tr>
      <w:tr w:rsidR="00424DBB" w:rsidRPr="000136C1" w14:paraId="6AE88993" w14:textId="77777777" w:rsidTr="00424DBB">
        <w:tc>
          <w:tcPr>
            <w:cnfStyle w:val="001000000000" w:firstRow="0" w:lastRow="0" w:firstColumn="1" w:lastColumn="0" w:oddVBand="0" w:evenVBand="0" w:oddHBand="0" w:evenHBand="0" w:firstRowFirstColumn="0" w:firstRowLastColumn="0" w:lastRowFirstColumn="0" w:lastRowLastColumn="0"/>
            <w:tcW w:w="4508" w:type="dxa"/>
          </w:tcPr>
          <w:p w14:paraId="66815A7A" w14:textId="5FAC49D8" w:rsidR="00677097" w:rsidRPr="003055C5" w:rsidRDefault="00F23A00" w:rsidP="00551192">
            <w:pPr>
              <w:pStyle w:val="ListParagraph"/>
              <w:numPr>
                <w:ilvl w:val="0"/>
                <w:numId w:val="22"/>
              </w:numPr>
              <w:spacing w:after="60"/>
              <w:ind w:left="357" w:hanging="357"/>
              <w:contextualSpacing w:val="0"/>
              <w:jc w:val="both"/>
              <w:rPr>
                <w:b w:val="0"/>
                <w:sz w:val="20"/>
                <w:szCs w:val="20"/>
              </w:rPr>
            </w:pPr>
            <w:r w:rsidRPr="003055C5">
              <w:rPr>
                <w:b w:val="0"/>
                <w:sz w:val="20"/>
                <w:szCs w:val="20"/>
              </w:rPr>
              <w:t>Provides i</w:t>
            </w:r>
            <w:r w:rsidR="00677097" w:rsidRPr="003055C5">
              <w:rPr>
                <w:b w:val="0"/>
                <w:sz w:val="20"/>
                <w:szCs w:val="20"/>
              </w:rPr>
              <w:t>ncrease</w:t>
            </w:r>
            <w:r w:rsidRPr="003055C5">
              <w:rPr>
                <w:b w:val="0"/>
                <w:sz w:val="20"/>
                <w:szCs w:val="20"/>
              </w:rPr>
              <w:t>d</w:t>
            </w:r>
            <w:r w:rsidR="00677097" w:rsidRPr="003055C5">
              <w:rPr>
                <w:b w:val="0"/>
                <w:sz w:val="20"/>
                <w:szCs w:val="20"/>
              </w:rPr>
              <w:t xml:space="preserve"> certainty to develop</w:t>
            </w:r>
            <w:r w:rsidRPr="003055C5">
              <w:rPr>
                <w:b w:val="0"/>
                <w:sz w:val="20"/>
                <w:szCs w:val="20"/>
              </w:rPr>
              <w:t xml:space="preserve">ers </w:t>
            </w:r>
            <w:r w:rsidR="00677097" w:rsidRPr="003055C5">
              <w:rPr>
                <w:b w:val="0"/>
                <w:sz w:val="20"/>
                <w:szCs w:val="20"/>
              </w:rPr>
              <w:t xml:space="preserve">and infrastructure providers, </w:t>
            </w:r>
            <w:r w:rsidR="00286DF7" w:rsidRPr="003055C5">
              <w:rPr>
                <w:b w:val="0"/>
                <w:sz w:val="20"/>
                <w:szCs w:val="20"/>
              </w:rPr>
              <w:t xml:space="preserve">allowing for </w:t>
            </w:r>
            <w:r w:rsidR="00304962" w:rsidRPr="003055C5">
              <w:rPr>
                <w:b w:val="0"/>
                <w:sz w:val="20"/>
                <w:szCs w:val="20"/>
              </w:rPr>
              <w:t>efficiencies associated with</w:t>
            </w:r>
            <w:r w:rsidR="00677097" w:rsidRPr="003055C5">
              <w:rPr>
                <w:b w:val="0"/>
                <w:sz w:val="20"/>
                <w:szCs w:val="20"/>
              </w:rPr>
              <w:t xml:space="preserve"> integration between land use and infrastructure</w:t>
            </w:r>
            <w:r w:rsidR="00304962" w:rsidRPr="003055C5">
              <w:rPr>
                <w:b w:val="0"/>
                <w:sz w:val="20"/>
                <w:szCs w:val="20"/>
              </w:rPr>
              <w:t>.</w:t>
            </w:r>
          </w:p>
          <w:p w14:paraId="31EE5BFE" w14:textId="23E35498" w:rsidR="000E5D4A" w:rsidRPr="003055C5" w:rsidRDefault="000E5D4A" w:rsidP="00551192">
            <w:pPr>
              <w:pStyle w:val="ListParagraph"/>
              <w:numPr>
                <w:ilvl w:val="0"/>
                <w:numId w:val="22"/>
              </w:numPr>
              <w:spacing w:after="60"/>
              <w:ind w:left="357" w:hanging="357"/>
              <w:contextualSpacing w:val="0"/>
              <w:jc w:val="both"/>
              <w:rPr>
                <w:b w:val="0"/>
                <w:sz w:val="20"/>
                <w:szCs w:val="20"/>
              </w:rPr>
            </w:pPr>
            <w:r w:rsidRPr="003055C5">
              <w:rPr>
                <w:b w:val="0"/>
                <w:sz w:val="20"/>
                <w:szCs w:val="20"/>
              </w:rPr>
              <w:t xml:space="preserve">Strategically planned and integrated development is expected to </w:t>
            </w:r>
            <w:r w:rsidR="00B91B3F" w:rsidRPr="003055C5">
              <w:rPr>
                <w:b w:val="0"/>
                <w:sz w:val="20"/>
                <w:szCs w:val="20"/>
              </w:rPr>
              <w:t xml:space="preserve">reduce the likelihood of having to </w:t>
            </w:r>
            <w:r w:rsidR="006037F1" w:rsidRPr="003055C5">
              <w:rPr>
                <w:b w:val="0"/>
                <w:sz w:val="20"/>
                <w:szCs w:val="20"/>
              </w:rPr>
              <w:t>retrospectively upgrade infrastructure</w:t>
            </w:r>
            <w:r w:rsidR="00F521BC" w:rsidRPr="003055C5">
              <w:rPr>
                <w:b w:val="0"/>
                <w:sz w:val="20"/>
                <w:szCs w:val="20"/>
              </w:rPr>
              <w:t>, at a cost to ratepayers.</w:t>
            </w:r>
          </w:p>
          <w:p w14:paraId="36F7CEE2" w14:textId="73C679D7" w:rsidR="004E521D" w:rsidRPr="003055C5" w:rsidRDefault="004E521D" w:rsidP="00551192">
            <w:pPr>
              <w:pStyle w:val="ListParagraph"/>
              <w:numPr>
                <w:ilvl w:val="0"/>
                <w:numId w:val="22"/>
              </w:numPr>
              <w:spacing w:after="60"/>
              <w:ind w:left="357" w:hanging="357"/>
              <w:contextualSpacing w:val="0"/>
              <w:jc w:val="both"/>
              <w:rPr>
                <w:b w:val="0"/>
                <w:sz w:val="20"/>
                <w:szCs w:val="20"/>
              </w:rPr>
            </w:pPr>
            <w:r w:rsidRPr="003055C5">
              <w:rPr>
                <w:b w:val="0"/>
                <w:sz w:val="20"/>
                <w:szCs w:val="20"/>
              </w:rPr>
              <w:t>Implementation of t</w:t>
            </w:r>
            <w:r w:rsidR="003F49EB" w:rsidRPr="003055C5">
              <w:rPr>
                <w:b w:val="0"/>
                <w:sz w:val="20"/>
                <w:szCs w:val="20"/>
              </w:rPr>
              <w:t xml:space="preserve">he provisions </w:t>
            </w:r>
            <w:r w:rsidRPr="003055C5">
              <w:rPr>
                <w:b w:val="0"/>
                <w:sz w:val="20"/>
                <w:szCs w:val="20"/>
              </w:rPr>
              <w:t>is</w:t>
            </w:r>
            <w:r w:rsidR="003F49EB" w:rsidRPr="003055C5">
              <w:rPr>
                <w:b w:val="0"/>
                <w:sz w:val="20"/>
                <w:szCs w:val="20"/>
              </w:rPr>
              <w:t xml:space="preserve"> expected to </w:t>
            </w:r>
            <w:r w:rsidRPr="003055C5">
              <w:rPr>
                <w:b w:val="0"/>
                <w:sz w:val="20"/>
                <w:szCs w:val="20"/>
              </w:rPr>
              <w:t xml:space="preserve">improve competitiveness of land and development markets, increasing choice </w:t>
            </w:r>
            <w:r w:rsidR="008153B2" w:rsidRPr="003055C5">
              <w:rPr>
                <w:b w:val="0"/>
                <w:sz w:val="20"/>
                <w:szCs w:val="20"/>
              </w:rPr>
              <w:t>and</w:t>
            </w:r>
            <w:r w:rsidRPr="003055C5">
              <w:rPr>
                <w:b w:val="0"/>
                <w:sz w:val="20"/>
                <w:szCs w:val="20"/>
              </w:rPr>
              <w:t xml:space="preserve"> better match</w:t>
            </w:r>
            <w:r w:rsidR="008153B2" w:rsidRPr="003055C5">
              <w:rPr>
                <w:b w:val="0"/>
                <w:sz w:val="20"/>
                <w:szCs w:val="20"/>
              </w:rPr>
              <w:t>ing</w:t>
            </w:r>
            <w:r w:rsidRPr="003055C5">
              <w:rPr>
                <w:b w:val="0"/>
                <w:sz w:val="20"/>
                <w:szCs w:val="20"/>
              </w:rPr>
              <w:t xml:space="preserve"> demand and supply</w:t>
            </w:r>
            <w:r w:rsidR="00EC51C8" w:rsidRPr="003055C5">
              <w:rPr>
                <w:b w:val="0"/>
                <w:sz w:val="20"/>
                <w:szCs w:val="20"/>
              </w:rPr>
              <w:t xml:space="preserve">. This </w:t>
            </w:r>
            <w:r w:rsidR="00AD3854" w:rsidRPr="003055C5">
              <w:rPr>
                <w:b w:val="0"/>
                <w:sz w:val="20"/>
                <w:szCs w:val="20"/>
              </w:rPr>
              <w:t>is expected to help</w:t>
            </w:r>
            <w:r w:rsidRPr="003055C5">
              <w:rPr>
                <w:b w:val="0"/>
                <w:sz w:val="20"/>
                <w:szCs w:val="20"/>
              </w:rPr>
              <w:t xml:space="preserve"> </w:t>
            </w:r>
            <w:r w:rsidR="003D6315" w:rsidRPr="003055C5">
              <w:rPr>
                <w:b w:val="0"/>
                <w:sz w:val="20"/>
                <w:szCs w:val="20"/>
              </w:rPr>
              <w:t>improve affordability.</w:t>
            </w:r>
          </w:p>
          <w:p w14:paraId="5566AFC0" w14:textId="284785CC" w:rsidR="00424DBB" w:rsidRPr="003055C5" w:rsidRDefault="00525524" w:rsidP="00551192">
            <w:pPr>
              <w:pStyle w:val="ListParagraph"/>
              <w:numPr>
                <w:ilvl w:val="0"/>
                <w:numId w:val="22"/>
              </w:numPr>
              <w:jc w:val="both"/>
              <w:rPr>
                <w:b w:val="0"/>
                <w:sz w:val="20"/>
                <w:szCs w:val="20"/>
              </w:rPr>
            </w:pPr>
            <w:r>
              <w:rPr>
                <w:b w:val="0"/>
                <w:bCs w:val="0"/>
                <w:sz w:val="20"/>
                <w:szCs w:val="20"/>
              </w:rPr>
              <w:t>Implementation of provisions is e</w:t>
            </w:r>
            <w:r w:rsidR="00975FBD" w:rsidRPr="003055C5">
              <w:rPr>
                <w:b w:val="0"/>
                <w:bCs w:val="0"/>
                <w:sz w:val="20"/>
                <w:szCs w:val="20"/>
              </w:rPr>
              <w:t>xpected</w:t>
            </w:r>
            <w:r w:rsidR="00975FBD" w:rsidRPr="003055C5">
              <w:rPr>
                <w:b w:val="0"/>
                <w:sz w:val="20"/>
                <w:szCs w:val="20"/>
              </w:rPr>
              <w:t xml:space="preserve"> to improve the efficiency </w:t>
            </w:r>
            <w:r w:rsidR="0038055F" w:rsidRPr="003055C5">
              <w:rPr>
                <w:b w:val="0"/>
                <w:sz w:val="20"/>
                <w:szCs w:val="20"/>
              </w:rPr>
              <w:t xml:space="preserve">and certainty </w:t>
            </w:r>
            <w:r w:rsidR="00975FBD" w:rsidRPr="003055C5">
              <w:rPr>
                <w:b w:val="0"/>
                <w:sz w:val="20"/>
                <w:szCs w:val="20"/>
              </w:rPr>
              <w:t xml:space="preserve">of process for appropriately located </w:t>
            </w:r>
            <w:r w:rsidR="0038055F" w:rsidRPr="003055C5">
              <w:rPr>
                <w:b w:val="0"/>
                <w:sz w:val="20"/>
                <w:szCs w:val="20"/>
              </w:rPr>
              <w:t>housing and business</w:t>
            </w:r>
            <w:r w:rsidR="00975FBD" w:rsidRPr="003055C5">
              <w:rPr>
                <w:b w:val="0"/>
                <w:sz w:val="20"/>
                <w:szCs w:val="20"/>
              </w:rPr>
              <w:t xml:space="preserve"> </w:t>
            </w:r>
            <w:r w:rsidR="007E6BE3" w:rsidRPr="003055C5">
              <w:rPr>
                <w:b w:val="0"/>
                <w:sz w:val="20"/>
                <w:szCs w:val="20"/>
              </w:rPr>
              <w:t>developments</w:t>
            </w:r>
            <w:r w:rsidR="00720660" w:rsidRPr="003055C5">
              <w:rPr>
                <w:b w:val="0"/>
                <w:bCs w:val="0"/>
                <w:sz w:val="20"/>
                <w:szCs w:val="20"/>
              </w:rPr>
              <w:t xml:space="preserve"> in urban areas</w:t>
            </w:r>
            <w:r w:rsidR="0059629F">
              <w:rPr>
                <w:b w:val="0"/>
                <w:bCs w:val="0"/>
                <w:sz w:val="20"/>
                <w:szCs w:val="20"/>
              </w:rPr>
              <w:t xml:space="preserve">. </w:t>
            </w:r>
          </w:p>
          <w:p w14:paraId="54FF83B6" w14:textId="77777777" w:rsidR="00EB5C2E" w:rsidRPr="00681580" w:rsidRDefault="00EB5C2E" w:rsidP="00551192">
            <w:pPr>
              <w:pStyle w:val="ListParagraph"/>
              <w:numPr>
                <w:ilvl w:val="0"/>
                <w:numId w:val="22"/>
              </w:numPr>
              <w:jc w:val="both"/>
              <w:rPr>
                <w:b w:val="0"/>
                <w:sz w:val="18"/>
                <w:szCs w:val="18"/>
              </w:rPr>
            </w:pPr>
            <w:r w:rsidRPr="00681580">
              <w:rPr>
                <w:b w:val="0"/>
                <w:sz w:val="20"/>
                <w:szCs w:val="20"/>
              </w:rPr>
              <w:t>Potential benefits of flexible urban policy include higher productivity and wages, shorter commute times, lower housing costs, social inclusion, and more competitive urban land markets.</w:t>
            </w:r>
          </w:p>
          <w:p w14:paraId="5076F323" w14:textId="066DEE6C" w:rsidR="00424DBB" w:rsidRPr="003055C5" w:rsidRDefault="00003BD0" w:rsidP="00551192">
            <w:pPr>
              <w:pStyle w:val="ListParagraph"/>
              <w:numPr>
                <w:ilvl w:val="0"/>
                <w:numId w:val="22"/>
              </w:numPr>
              <w:jc w:val="both"/>
              <w:rPr>
                <w:b w:val="0"/>
                <w:sz w:val="20"/>
                <w:szCs w:val="20"/>
              </w:rPr>
            </w:pPr>
            <w:r w:rsidRPr="00681580">
              <w:rPr>
                <w:b w:val="0"/>
                <w:sz w:val="20"/>
                <w:szCs w:val="20"/>
              </w:rPr>
              <w:t xml:space="preserve">intensification policies will help to decouple land prices from housing costs by removing barriers to high-density developments and enabling more housing in areas where people want to live (places that tend to have the highest land values). This will mean more people can readily access housing in the places they want to live, and our communities will have more affordable housing and better access to jobs, </w:t>
            </w:r>
            <w:proofErr w:type="gramStart"/>
            <w:r w:rsidRPr="00681580">
              <w:rPr>
                <w:b w:val="0"/>
                <w:sz w:val="20"/>
                <w:szCs w:val="20"/>
              </w:rPr>
              <w:t>amenities</w:t>
            </w:r>
            <w:proofErr w:type="gramEnd"/>
            <w:r w:rsidRPr="00681580">
              <w:rPr>
                <w:b w:val="0"/>
                <w:sz w:val="20"/>
                <w:szCs w:val="20"/>
              </w:rPr>
              <w:t xml:space="preserve"> and services.</w:t>
            </w:r>
          </w:p>
        </w:tc>
        <w:tc>
          <w:tcPr>
            <w:tcW w:w="4508" w:type="dxa"/>
          </w:tcPr>
          <w:p w14:paraId="7E5A57D5" w14:textId="1E581C26" w:rsidR="00424DBB" w:rsidRPr="000136C1" w:rsidRDefault="00D050E3" w:rsidP="00551192">
            <w:pPr>
              <w:pStyle w:val="ListParagraph"/>
              <w:numPr>
                <w:ilvl w:val="0"/>
                <w:numId w:val="22"/>
              </w:numPr>
              <w:jc w:val="both"/>
              <w:cnfStyle w:val="000000000000" w:firstRow="0" w:lastRow="0" w:firstColumn="0" w:lastColumn="0" w:oddVBand="0" w:evenVBand="0" w:oddHBand="0" w:evenHBand="0" w:firstRowFirstColumn="0" w:firstRowLastColumn="0" w:lastRowFirstColumn="0" w:lastRowLastColumn="0"/>
              <w:rPr>
                <w:sz w:val="20"/>
                <w:szCs w:val="20"/>
              </w:rPr>
            </w:pPr>
            <w:r w:rsidRPr="003055C5">
              <w:rPr>
                <w:sz w:val="20"/>
                <w:szCs w:val="20"/>
              </w:rPr>
              <w:t>There are costs associated with providing additional infrastructure to service planned development.</w:t>
            </w:r>
            <w:r w:rsidR="004B076C" w:rsidRPr="003055C5">
              <w:rPr>
                <w:sz w:val="20"/>
                <w:szCs w:val="20"/>
              </w:rPr>
              <w:t xml:space="preserve"> </w:t>
            </w:r>
          </w:p>
        </w:tc>
      </w:tr>
    </w:tbl>
    <w:p w14:paraId="75F2CEB3" w14:textId="77777777" w:rsidR="00424DBB" w:rsidRDefault="00424DBB" w:rsidP="00424DBB"/>
    <w:p w14:paraId="7EF0A46E" w14:textId="19EBB5AF" w:rsidR="00424DBB" w:rsidRDefault="00551192" w:rsidP="00424DBB">
      <w:r>
        <w:fldChar w:fldCharType="begin"/>
      </w:r>
      <w:r>
        <w:instrText xml:space="preserve"> REF _Ref53996628 \h </w:instrText>
      </w:r>
      <w:r>
        <w:fldChar w:fldCharType="separate"/>
      </w:r>
      <w:r w:rsidR="002A7A16">
        <w:t xml:space="preserve">Table </w:t>
      </w:r>
      <w:r w:rsidR="002A7A16">
        <w:rPr>
          <w:noProof/>
        </w:rPr>
        <w:t>67</w:t>
      </w:r>
      <w:r>
        <w:fldChar w:fldCharType="end"/>
      </w:r>
      <w:r>
        <w:t xml:space="preserve"> </w:t>
      </w:r>
      <w:r w:rsidR="00424DBB">
        <w:t>below assesses the effectiveness and efficiency of the proposed provisions in achieving the objectives.</w:t>
      </w:r>
    </w:p>
    <w:p w14:paraId="70E11674" w14:textId="6DBA5DF1" w:rsidR="00424DBB" w:rsidRDefault="00424DBB" w:rsidP="00424DBB">
      <w:pPr>
        <w:pStyle w:val="Caption"/>
        <w:keepNext/>
      </w:pPr>
      <w:bookmarkStart w:id="155" w:name="_Ref53996628"/>
      <w:r>
        <w:t xml:space="preserve">Table </w:t>
      </w:r>
      <w:r>
        <w:fldChar w:fldCharType="begin"/>
      </w:r>
      <w:r>
        <w:instrText>SEQ Table \* ARABIC</w:instrText>
      </w:r>
      <w:r>
        <w:fldChar w:fldCharType="separate"/>
      </w:r>
      <w:r w:rsidR="002A7A16">
        <w:rPr>
          <w:noProof/>
        </w:rPr>
        <w:t>67</w:t>
      </w:r>
      <w:r>
        <w:fldChar w:fldCharType="end"/>
      </w:r>
      <w:bookmarkEnd w:id="155"/>
      <w:r>
        <w:t>: Efficiency and effectiveness evaluation for urban form and development</w:t>
      </w:r>
    </w:p>
    <w:tbl>
      <w:tblPr>
        <w:tblW w:w="0" w:type="auto"/>
        <w:tblLook w:val="04A0" w:firstRow="1" w:lastRow="0" w:firstColumn="1" w:lastColumn="0" w:noHBand="0" w:noVBand="1"/>
      </w:tblPr>
      <w:tblGrid>
        <w:gridCol w:w="1413"/>
        <w:gridCol w:w="7603"/>
      </w:tblGrid>
      <w:tr w:rsidR="00424DBB" w:rsidRPr="00C767B5" w14:paraId="2D24F737"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06276225" w14:textId="77777777" w:rsidR="00424DBB" w:rsidRPr="00C767B5" w:rsidRDefault="00424DBB" w:rsidP="00424DBB">
            <w:pPr>
              <w:rPr>
                <w:b/>
                <w:sz w:val="20"/>
              </w:rPr>
            </w:pPr>
            <w:r w:rsidRPr="00C767B5">
              <w:rPr>
                <w:b/>
                <w:sz w:val="20"/>
              </w:rPr>
              <w:t>Efficiency</w:t>
            </w:r>
          </w:p>
        </w:tc>
        <w:tc>
          <w:tcPr>
            <w:tcW w:w="7603" w:type="dxa"/>
            <w:tcBorders>
              <w:top w:val="single" w:sz="4" w:space="0" w:color="C9C9C9" w:themeColor="accent3" w:themeTint="99"/>
              <w:bottom w:val="single" w:sz="4" w:space="0" w:color="C9C9C9" w:themeColor="accent3" w:themeTint="99"/>
            </w:tcBorders>
          </w:tcPr>
          <w:p w14:paraId="2FECDE9D" w14:textId="35984D4C" w:rsidR="00424DBB" w:rsidRPr="0047778B" w:rsidRDefault="0047778B" w:rsidP="00D00FCF">
            <w:pPr>
              <w:pStyle w:val="Table1"/>
            </w:pPr>
            <w:r w:rsidRPr="001E6AF4">
              <w:t xml:space="preserve">Overall, the proposed set of provisions </w:t>
            </w:r>
            <w:proofErr w:type="gramStart"/>
            <w:r w:rsidRPr="001E6AF4">
              <w:t>is considered to be</w:t>
            </w:r>
            <w:proofErr w:type="gramEnd"/>
            <w:r w:rsidRPr="001E6AF4">
              <w:t xml:space="preserve"> efficient, as the benefits outweigh the costs</w:t>
            </w:r>
            <w:r w:rsidR="00EF2580" w:rsidRPr="001E6AF4">
              <w:t xml:space="preserve">. </w:t>
            </w:r>
            <w:proofErr w:type="gramStart"/>
            <w:r w:rsidR="00EF2580" w:rsidRPr="001E6AF4">
              <w:t>In particular, providing</w:t>
            </w:r>
            <w:proofErr w:type="gramEnd"/>
            <w:r w:rsidR="00EF2580" w:rsidRPr="001E6AF4">
              <w:t xml:space="preserve"> greater certainty regarding urban expansion and development, and requiring </w:t>
            </w:r>
            <w:r w:rsidR="00C30E59">
              <w:t>stra</w:t>
            </w:r>
            <w:r w:rsidR="000C6FA6">
              <w:t>te</w:t>
            </w:r>
            <w:r w:rsidR="00C30E59">
              <w:t xml:space="preserve">gic </w:t>
            </w:r>
            <w:r w:rsidR="00EF2580" w:rsidRPr="001E6AF4">
              <w:t>integration with infrastructure provisions is expected to be a</w:t>
            </w:r>
            <w:r w:rsidR="00B06E04">
              <w:t>n</w:t>
            </w:r>
            <w:r w:rsidR="00EF2580" w:rsidRPr="001E6AF4">
              <w:t xml:space="preserve"> efficient way of achieving the outcomes sought</w:t>
            </w:r>
            <w:r w:rsidR="00FC3794">
              <w:t xml:space="preserve"> in UFD</w:t>
            </w:r>
            <w:r w:rsidR="00D00FCF">
              <w:t>–</w:t>
            </w:r>
            <w:r w:rsidR="00FC3794">
              <w:t>O1 to UFD</w:t>
            </w:r>
            <w:r w:rsidR="00D00FCF">
              <w:t>–</w:t>
            </w:r>
            <w:r w:rsidR="00FC3794">
              <w:t xml:space="preserve">O5. </w:t>
            </w:r>
          </w:p>
        </w:tc>
      </w:tr>
      <w:tr w:rsidR="00424DBB" w:rsidRPr="00C767B5" w14:paraId="1E97E399" w14:textId="77777777" w:rsidTr="00424DBB">
        <w:tc>
          <w:tcPr>
            <w:tcW w:w="1413" w:type="dxa"/>
            <w:tcBorders>
              <w:top w:val="single" w:sz="4" w:space="0" w:color="C9C9C9" w:themeColor="accent3" w:themeTint="99"/>
              <w:bottom w:val="single" w:sz="4" w:space="0" w:color="C9C9C9" w:themeColor="accent3" w:themeTint="99"/>
            </w:tcBorders>
            <w:shd w:val="clear" w:color="auto" w:fill="EDEDED" w:themeFill="accent3" w:themeFillTint="33"/>
          </w:tcPr>
          <w:p w14:paraId="7E2CCC13" w14:textId="77777777" w:rsidR="00424DBB" w:rsidRPr="00C767B5" w:rsidRDefault="00424DBB" w:rsidP="00424DBB">
            <w:pPr>
              <w:jc w:val="both"/>
              <w:rPr>
                <w:b/>
                <w:sz w:val="20"/>
              </w:rPr>
            </w:pPr>
            <w:r w:rsidRPr="00C767B5">
              <w:rPr>
                <w:b/>
                <w:sz w:val="20"/>
              </w:rPr>
              <w:lastRenderedPageBreak/>
              <w:t>Effectiveness</w:t>
            </w:r>
          </w:p>
        </w:tc>
        <w:tc>
          <w:tcPr>
            <w:tcW w:w="7603" w:type="dxa"/>
            <w:tcBorders>
              <w:top w:val="single" w:sz="4" w:space="0" w:color="C9C9C9" w:themeColor="accent3" w:themeTint="99"/>
              <w:bottom w:val="single" w:sz="4" w:space="0" w:color="C9C9C9" w:themeColor="accent3" w:themeTint="99"/>
            </w:tcBorders>
          </w:tcPr>
          <w:p w14:paraId="179DDF9A" w14:textId="242E1E16" w:rsidR="00424DBB" w:rsidRPr="00C767B5" w:rsidRDefault="001E6AF4" w:rsidP="00D00FCF">
            <w:pPr>
              <w:pStyle w:val="Table1"/>
            </w:pPr>
            <w:r>
              <w:t xml:space="preserve">Option </w:t>
            </w:r>
            <w:r w:rsidR="001F1ACE">
              <w:t xml:space="preserve">2 </w:t>
            </w:r>
            <w:r>
              <w:t xml:space="preserve">is expected to </w:t>
            </w:r>
            <w:r w:rsidR="002E7B43">
              <w:t>b</w:t>
            </w:r>
            <w:r>
              <w:t xml:space="preserve">e an effective way to achieve the objectives. </w:t>
            </w:r>
            <w:r w:rsidR="00A14543">
              <w:t>This is because it provides</w:t>
            </w:r>
            <w:r w:rsidR="0020197F">
              <w:t xml:space="preserve"> </w:t>
            </w:r>
            <w:r w:rsidR="00A14543">
              <w:t>clear direction on</w:t>
            </w:r>
            <w:r w:rsidR="00037F38">
              <w:t xml:space="preserve"> </w:t>
            </w:r>
            <w:r w:rsidR="00013D01">
              <w:t xml:space="preserve">how </w:t>
            </w:r>
            <w:r w:rsidR="002557F2">
              <w:t xml:space="preserve">growth is to be planned for and provided, and </w:t>
            </w:r>
            <w:r w:rsidR="00E9594B">
              <w:t>how</w:t>
            </w:r>
            <w:r w:rsidR="002557F2">
              <w:t xml:space="preserve"> </w:t>
            </w:r>
            <w:r w:rsidR="00013D01">
              <w:t xml:space="preserve">urban areas are to be </w:t>
            </w:r>
            <w:r w:rsidR="001C5EE6">
              <w:t xml:space="preserve">designed and located to </w:t>
            </w:r>
            <w:r w:rsidR="00037F38">
              <w:t xml:space="preserve">best </w:t>
            </w:r>
            <w:r w:rsidR="001C5EE6">
              <w:t xml:space="preserve">provide for </w:t>
            </w:r>
            <w:r w:rsidR="001A5E57">
              <w:t>the needs of</w:t>
            </w:r>
            <w:r w:rsidR="00906218">
              <w:t xml:space="preserve"> the region</w:t>
            </w:r>
            <w:r w:rsidR="0020197F">
              <w:t xml:space="preserve"> th</w:t>
            </w:r>
            <w:r w:rsidR="00D00FCF">
              <w:t>r</w:t>
            </w:r>
            <w:r w:rsidR="0020197F">
              <w:t xml:space="preserve">ough </w:t>
            </w:r>
            <w:r w:rsidR="007E0023">
              <w:t>strategic planning processes that will guide not just regulatory but also non-regulatory and infrastructure provision</w:t>
            </w:r>
            <w:r w:rsidR="00037F38">
              <w:t xml:space="preserve">. </w:t>
            </w:r>
            <w:r w:rsidR="00C51147">
              <w:t>Similarly, t</w:t>
            </w:r>
            <w:r w:rsidR="00037F38">
              <w:t xml:space="preserve">he provisions also </w:t>
            </w:r>
            <w:r w:rsidR="00EC3EC4">
              <w:t xml:space="preserve">ensure that </w:t>
            </w:r>
            <w:r w:rsidR="00C51147">
              <w:t xml:space="preserve">rural areas are </w:t>
            </w:r>
            <w:r w:rsidR="00783543">
              <w:t>a</w:t>
            </w:r>
            <w:r w:rsidR="00C51147">
              <w:t>ppr</w:t>
            </w:r>
            <w:r w:rsidR="00783543">
              <w:t>opr</w:t>
            </w:r>
            <w:r w:rsidR="00C51147">
              <w:t>i</w:t>
            </w:r>
            <w:r w:rsidR="00783543">
              <w:t>a</w:t>
            </w:r>
            <w:r w:rsidR="00C51147">
              <w:t>t</w:t>
            </w:r>
            <w:r w:rsidR="00783543">
              <w:t>e</w:t>
            </w:r>
            <w:r w:rsidR="00C51147">
              <w:t xml:space="preserve">ly managed to maintain </w:t>
            </w:r>
            <w:r w:rsidR="00783543">
              <w:t>their</w:t>
            </w:r>
            <w:r w:rsidR="00C51147">
              <w:t xml:space="preserve"> character</w:t>
            </w:r>
            <w:r w:rsidR="007C0B8E">
              <w:t xml:space="preserve">, amenity and </w:t>
            </w:r>
            <w:r w:rsidR="00783543">
              <w:t>productive capacity</w:t>
            </w:r>
            <w:r w:rsidR="00EE006E">
              <w:t xml:space="preserve"> and the significant resources and features they contain</w:t>
            </w:r>
            <w:r w:rsidR="00783543">
              <w:t xml:space="preserve">. </w:t>
            </w:r>
          </w:p>
        </w:tc>
      </w:tr>
    </w:tbl>
    <w:p w14:paraId="4A7332EF" w14:textId="77777777" w:rsidR="00424DBB" w:rsidRDefault="00424DBB" w:rsidP="0082271A">
      <w:pPr>
        <w:pStyle w:val="Heading3"/>
      </w:pPr>
      <w:r>
        <w:t>Risk of acting or not acting</w:t>
      </w:r>
    </w:p>
    <w:p w14:paraId="12E63E6F" w14:textId="77777777" w:rsidR="00DA4FCB" w:rsidRDefault="00424DBB" w:rsidP="00A247C5">
      <w:pPr>
        <w:pStyle w:val="Normal2"/>
      </w:pPr>
      <w:r>
        <w:t xml:space="preserve">Section 32(2)(c) of the RMA requires ORC to </w:t>
      </w:r>
      <w:proofErr w:type="gramStart"/>
      <w:r>
        <w:t>take into account</w:t>
      </w:r>
      <w:proofErr w:type="gramEnd"/>
      <w:r>
        <w:t xml:space="preserve"> the risk of acting or not acting if there is uncertain or insufficient information.</w:t>
      </w:r>
      <w:r w:rsidR="00324E51">
        <w:t xml:space="preserve"> </w:t>
      </w:r>
    </w:p>
    <w:p w14:paraId="4075D3D7" w14:textId="7FC94798" w:rsidR="00424DBB" w:rsidRDefault="003941D9" w:rsidP="00A247C5">
      <w:pPr>
        <w:pStyle w:val="Normal2"/>
      </w:pPr>
      <w:r>
        <w:t>How and where urban areas will</w:t>
      </w:r>
      <w:r w:rsidR="007E2548">
        <w:t xml:space="preserve"> grow</w:t>
      </w:r>
      <w:r>
        <w:t xml:space="preserve"> and</w:t>
      </w:r>
      <w:r w:rsidR="007E2548">
        <w:t xml:space="preserve"> develop is</w:t>
      </w:r>
      <w:r w:rsidR="00A063E2">
        <w:t xml:space="preserve"> </w:t>
      </w:r>
      <w:r w:rsidR="004A3154">
        <w:t>un</w:t>
      </w:r>
      <w:r w:rsidR="00A05098">
        <w:t>c</w:t>
      </w:r>
      <w:r>
        <w:t>ertain</w:t>
      </w:r>
      <w:r w:rsidR="00697631">
        <w:t>, as it is influenced by many different factors</w:t>
      </w:r>
      <w:r>
        <w:t xml:space="preserve">. </w:t>
      </w:r>
      <w:r w:rsidR="002F369A">
        <w:t>The</w:t>
      </w:r>
      <w:r>
        <w:t xml:space="preserve"> risk of acting in the manner proposed is expected to reduce this </w:t>
      </w:r>
      <w:r w:rsidR="003730B9">
        <w:t>uncertainty</w:t>
      </w:r>
      <w:r>
        <w:t xml:space="preserve"> by providing clear direction on </w:t>
      </w:r>
      <w:r w:rsidR="00B46687">
        <w:t xml:space="preserve">how and where growth </w:t>
      </w:r>
      <w:r w:rsidR="00674E91">
        <w:t>should occur</w:t>
      </w:r>
      <w:r w:rsidR="008563B9">
        <w:t xml:space="preserve"> and pr</w:t>
      </w:r>
      <w:r w:rsidR="006A70D4">
        <w:t>ovides</w:t>
      </w:r>
      <w:r w:rsidR="008563B9">
        <w:t xml:space="preserve"> a process that requires the use of best available information to assess demand and </w:t>
      </w:r>
      <w:r w:rsidR="00EB6790">
        <w:t xml:space="preserve">the most appropriate </w:t>
      </w:r>
      <w:r w:rsidR="000F4159">
        <w:t xml:space="preserve">approach to </w:t>
      </w:r>
      <w:r w:rsidR="0006052B">
        <w:t xml:space="preserve">provide for that demand, </w:t>
      </w:r>
      <w:r w:rsidR="00A87E6D">
        <w:t xml:space="preserve">including any necessary </w:t>
      </w:r>
      <w:r w:rsidR="00597552">
        <w:t>infrastructure</w:t>
      </w:r>
      <w:r w:rsidR="00A87E6D">
        <w:t xml:space="preserve">. </w:t>
      </w:r>
    </w:p>
    <w:p w14:paraId="034CB0DB" w14:textId="4C0FD5D1" w:rsidR="00424DBB" w:rsidRDefault="00424DBB" w:rsidP="0082271A">
      <w:pPr>
        <w:pStyle w:val="Heading3"/>
      </w:pPr>
      <w:r>
        <w:t>Conclusion</w:t>
      </w:r>
    </w:p>
    <w:p w14:paraId="62C5343C" w14:textId="4A7245AF" w:rsidR="00EF2313" w:rsidRPr="00005F72" w:rsidRDefault="00EF2313" w:rsidP="00A247C5">
      <w:pPr>
        <w:pStyle w:val="Normal2"/>
      </w:pPr>
      <w:r>
        <w:t xml:space="preserve">The cost-benefit and effectiveness and efficiency assessments have shown that overall, the </w:t>
      </w:r>
      <w:r w:rsidR="00E81F7F">
        <w:t>PORPS 2021</w:t>
      </w:r>
      <w:r>
        <w:t xml:space="preserve"> provisions are generally more efficient than the status quo and more effective at achieving the objectives of the </w:t>
      </w:r>
      <w:r w:rsidR="00E81F7F">
        <w:t>PORPS 2021</w:t>
      </w:r>
      <w:r w:rsidR="00597552">
        <w:t xml:space="preserve"> than </w:t>
      </w:r>
      <w:r w:rsidR="00E40A40">
        <w:t>other reasonably practicable options</w:t>
      </w:r>
      <w:r>
        <w:t xml:space="preserve">. The provisions will </w:t>
      </w:r>
      <w:r w:rsidR="00376586">
        <w:t xml:space="preserve">also </w:t>
      </w:r>
      <w:r>
        <w:t xml:space="preserve">assist ORC and the territorial authorities to fulfil their obligations under </w:t>
      </w:r>
      <w:r w:rsidR="00575ADE">
        <w:t>the NP</w:t>
      </w:r>
      <w:r w:rsidR="00896C66">
        <w:t>SUD</w:t>
      </w:r>
      <w:r w:rsidR="00597552">
        <w:t xml:space="preserve"> </w:t>
      </w:r>
      <w:r w:rsidR="00FA5345">
        <w:t>and section</w:t>
      </w:r>
      <w:r w:rsidR="00DA4FCB">
        <w:t>s</w:t>
      </w:r>
      <w:r w:rsidR="00FA5345">
        <w:t xml:space="preserve"> 30 and 31</w:t>
      </w:r>
      <w:r w:rsidR="003F2A0D">
        <w:t xml:space="preserve"> RMA</w:t>
      </w:r>
      <w:r>
        <w:t>.</w:t>
      </w:r>
    </w:p>
    <w:p w14:paraId="07FF87A8" w14:textId="6207F500" w:rsidR="00424DBB" w:rsidRDefault="00424DBB">
      <w:pPr>
        <w:rPr>
          <w:rFonts w:asciiTheme="majorHAnsi" w:eastAsiaTheme="majorEastAsia" w:hAnsiTheme="majorHAnsi" w:cstheme="majorBidi"/>
          <w:color w:val="2F5496" w:themeColor="accent1" w:themeShade="BF"/>
          <w:sz w:val="32"/>
          <w:szCs w:val="32"/>
        </w:rPr>
      </w:pPr>
      <w:r>
        <w:br w:type="page"/>
      </w:r>
    </w:p>
    <w:p w14:paraId="4E0A40AB" w14:textId="77777777" w:rsidR="004A7A26" w:rsidRDefault="004A7A26" w:rsidP="000F043E">
      <w:pPr>
        <w:pStyle w:val="Heading1"/>
        <w:shd w:val="clear" w:color="auto" w:fill="DEEAF6" w:themeFill="accent5" w:themeFillTint="33"/>
      </w:pPr>
      <w:bookmarkStart w:id="156" w:name="_Toc52780465"/>
      <w:bookmarkStart w:id="157" w:name="_Toc72507647"/>
      <w:r>
        <w:lastRenderedPageBreak/>
        <w:t>Planning context</w:t>
      </w:r>
      <w:bookmarkEnd w:id="156"/>
      <w:bookmarkEnd w:id="157"/>
    </w:p>
    <w:p w14:paraId="7A5FBD2E" w14:textId="77777777" w:rsidR="004A7A26" w:rsidRDefault="004A7A26" w:rsidP="000F043E">
      <w:pPr>
        <w:pStyle w:val="Heading2"/>
        <w:shd w:val="clear" w:color="auto" w:fill="DEEAF6" w:themeFill="accent5" w:themeFillTint="33"/>
      </w:pPr>
      <w:bookmarkStart w:id="158" w:name="_Toc52780466"/>
      <w:bookmarkStart w:id="159" w:name="_Toc72507648"/>
      <w:r>
        <w:t>Introduction</w:t>
      </w:r>
      <w:bookmarkEnd w:id="158"/>
      <w:bookmarkEnd w:id="159"/>
    </w:p>
    <w:p w14:paraId="45E97E7A" w14:textId="77777777" w:rsidR="004A7A26" w:rsidRDefault="004A7A26" w:rsidP="000F043E">
      <w:pPr>
        <w:pStyle w:val="Normal2"/>
        <w:shd w:val="clear" w:color="auto" w:fill="DEEAF6" w:themeFill="accent5" w:themeFillTint="33"/>
      </w:pPr>
      <w:r>
        <w:t>The purpose of a regional policy statement is to achieve the purpose of the RMA by providing an overview of the resource management issues of the region and policies and methods to achieve integrated management of the natural and physical resources of the whole region.</w:t>
      </w:r>
      <w:r>
        <w:rPr>
          <w:rStyle w:val="FootnoteReference"/>
        </w:rPr>
        <w:footnoteReference w:id="51"/>
      </w:r>
      <w:r>
        <w:t xml:space="preserve"> </w:t>
      </w:r>
    </w:p>
    <w:p w14:paraId="29A5F666" w14:textId="77777777" w:rsidR="004A7A26" w:rsidRDefault="004A7A26" w:rsidP="000F043E">
      <w:pPr>
        <w:pStyle w:val="Normal2"/>
        <w:shd w:val="clear" w:color="auto" w:fill="DEEAF6" w:themeFill="accent5" w:themeFillTint="33"/>
      </w:pPr>
      <w:r>
        <w:t xml:space="preserve">Under the RMA, regional policy statements are required to take into consideration (in different ways) </w:t>
      </w:r>
      <w:proofErr w:type="gramStart"/>
      <w:r>
        <w:t>particular sections</w:t>
      </w:r>
      <w:proofErr w:type="gramEnd"/>
      <w:r>
        <w:t xml:space="preserve"> of the RMA as well as a range of other documents. The tests in the RMA for preparing regional policy statements set out how regional policy statements must consider:</w:t>
      </w:r>
      <w:r>
        <w:rPr>
          <w:rStyle w:val="FootnoteReference"/>
        </w:rPr>
        <w:footnoteReference w:id="52"/>
      </w:r>
    </w:p>
    <w:p w14:paraId="5EEA65FE" w14:textId="77777777" w:rsidR="004A7A26" w:rsidRDefault="004A7A26" w:rsidP="000F043E">
      <w:pPr>
        <w:pStyle w:val="Normal3"/>
        <w:shd w:val="clear" w:color="auto" w:fill="DEEAF6" w:themeFill="accent5" w:themeFillTint="33"/>
      </w:pPr>
      <w:r>
        <w:t xml:space="preserve">The provisions of Part 2 of the </w:t>
      </w:r>
      <w:proofErr w:type="gramStart"/>
      <w:r>
        <w:t>RMA;</w:t>
      </w:r>
      <w:proofErr w:type="gramEnd"/>
      <w:r>
        <w:t xml:space="preserve"> </w:t>
      </w:r>
    </w:p>
    <w:p w14:paraId="6157B14A" w14:textId="77777777" w:rsidR="004A7A26" w:rsidRDefault="004A7A26" w:rsidP="000F043E">
      <w:pPr>
        <w:pStyle w:val="Normal3"/>
        <w:shd w:val="clear" w:color="auto" w:fill="DEEAF6" w:themeFill="accent5" w:themeFillTint="33"/>
      </w:pPr>
      <w:r>
        <w:t xml:space="preserve">ORC’s functions under section </w:t>
      </w:r>
      <w:proofErr w:type="gramStart"/>
      <w:r>
        <w:t>30;</w:t>
      </w:r>
      <w:proofErr w:type="gramEnd"/>
      <w:r>
        <w:t xml:space="preserve"> </w:t>
      </w:r>
    </w:p>
    <w:p w14:paraId="7C3952EC" w14:textId="77777777" w:rsidR="004A7A26" w:rsidRDefault="004A7A26" w:rsidP="000F043E">
      <w:pPr>
        <w:pStyle w:val="Normal3"/>
        <w:shd w:val="clear" w:color="auto" w:fill="DEEAF6" w:themeFill="accent5" w:themeFillTint="33"/>
      </w:pPr>
      <w:r>
        <w:t xml:space="preserve">A New Zealand Coastal Policy </w:t>
      </w:r>
      <w:proofErr w:type="gramStart"/>
      <w:r>
        <w:t>Statement;</w:t>
      </w:r>
      <w:proofErr w:type="gramEnd"/>
      <w:r>
        <w:t xml:space="preserve"> </w:t>
      </w:r>
    </w:p>
    <w:p w14:paraId="3E2F2F48" w14:textId="77777777" w:rsidR="004A7A26" w:rsidRDefault="004A7A26" w:rsidP="000F043E">
      <w:pPr>
        <w:pStyle w:val="Normal3"/>
        <w:shd w:val="clear" w:color="auto" w:fill="DEEAF6" w:themeFill="accent5" w:themeFillTint="33"/>
      </w:pPr>
      <w:r>
        <w:t xml:space="preserve">A national policy </w:t>
      </w:r>
      <w:proofErr w:type="gramStart"/>
      <w:r>
        <w:t>statement;</w:t>
      </w:r>
      <w:proofErr w:type="gramEnd"/>
      <w:r>
        <w:t xml:space="preserve"> </w:t>
      </w:r>
    </w:p>
    <w:p w14:paraId="3335A743" w14:textId="77777777" w:rsidR="004A7A26" w:rsidRDefault="004A7A26" w:rsidP="000F043E">
      <w:pPr>
        <w:pStyle w:val="Normal3"/>
        <w:shd w:val="clear" w:color="auto" w:fill="DEEAF6" w:themeFill="accent5" w:themeFillTint="33"/>
      </w:pPr>
      <w:r>
        <w:t xml:space="preserve">A national planning </w:t>
      </w:r>
      <w:proofErr w:type="gramStart"/>
      <w:r>
        <w:t>standard;</w:t>
      </w:r>
      <w:proofErr w:type="gramEnd"/>
      <w:r>
        <w:t xml:space="preserve"> </w:t>
      </w:r>
    </w:p>
    <w:p w14:paraId="2C5E8178" w14:textId="77777777" w:rsidR="004A7A26" w:rsidRDefault="004A7A26" w:rsidP="000F043E">
      <w:pPr>
        <w:pStyle w:val="Normal3"/>
        <w:shd w:val="clear" w:color="auto" w:fill="DEEAF6" w:themeFill="accent5" w:themeFillTint="33"/>
      </w:pPr>
      <w:r>
        <w:t xml:space="preserve">Any </w:t>
      </w:r>
      <w:proofErr w:type="gramStart"/>
      <w:r>
        <w:t>regulations;</w:t>
      </w:r>
      <w:proofErr w:type="gramEnd"/>
    </w:p>
    <w:p w14:paraId="4099A10D" w14:textId="77777777" w:rsidR="004A7A26" w:rsidRDefault="004A7A26" w:rsidP="000F043E">
      <w:pPr>
        <w:pStyle w:val="Normal3"/>
        <w:shd w:val="clear" w:color="auto" w:fill="DEEAF6" w:themeFill="accent5" w:themeFillTint="33"/>
      </w:pPr>
      <w:r>
        <w:t xml:space="preserve">Any water conservation </w:t>
      </w:r>
      <w:proofErr w:type="gramStart"/>
      <w:r>
        <w:t>order;</w:t>
      </w:r>
      <w:proofErr w:type="gramEnd"/>
    </w:p>
    <w:p w14:paraId="60C43BFF" w14:textId="77777777" w:rsidR="004A7A26" w:rsidRDefault="004A7A26" w:rsidP="000F043E">
      <w:pPr>
        <w:pStyle w:val="Normal3"/>
        <w:shd w:val="clear" w:color="auto" w:fill="DEEAF6" w:themeFill="accent5" w:themeFillTint="33"/>
      </w:pPr>
      <w:r>
        <w:t xml:space="preserve">Lake Wanaka Preservation Act </w:t>
      </w:r>
      <w:proofErr w:type="gramStart"/>
      <w:r>
        <w:t>1973;</w:t>
      </w:r>
      <w:proofErr w:type="gramEnd"/>
    </w:p>
    <w:p w14:paraId="633EA264" w14:textId="77777777" w:rsidR="004A7A26" w:rsidRDefault="004A7A26" w:rsidP="000F043E">
      <w:pPr>
        <w:pStyle w:val="Normal3"/>
        <w:shd w:val="clear" w:color="auto" w:fill="DEEAF6" w:themeFill="accent5" w:themeFillTint="33"/>
      </w:pPr>
      <w:r>
        <w:t xml:space="preserve">Any relevant planning document recognised by an iwi </w:t>
      </w:r>
      <w:proofErr w:type="gramStart"/>
      <w:r>
        <w:t>authority;</w:t>
      </w:r>
      <w:proofErr w:type="gramEnd"/>
      <w:r>
        <w:t xml:space="preserve"> </w:t>
      </w:r>
    </w:p>
    <w:p w14:paraId="74E8C0B9" w14:textId="77777777" w:rsidR="004A7A26" w:rsidRDefault="004A7A26" w:rsidP="000F043E">
      <w:pPr>
        <w:pStyle w:val="Normal3"/>
        <w:shd w:val="clear" w:color="auto" w:fill="DEEAF6" w:themeFill="accent5" w:themeFillTint="33"/>
      </w:pPr>
      <w:r>
        <w:t xml:space="preserve">Any relevant planning document prepared by a customary marine title </w:t>
      </w:r>
      <w:proofErr w:type="gramStart"/>
      <w:r>
        <w:t>group;</w:t>
      </w:r>
      <w:proofErr w:type="gramEnd"/>
      <w:r>
        <w:t xml:space="preserve"> </w:t>
      </w:r>
    </w:p>
    <w:p w14:paraId="203676B7" w14:textId="77777777" w:rsidR="004A7A26" w:rsidRDefault="004A7A26" w:rsidP="000F043E">
      <w:pPr>
        <w:pStyle w:val="Normal3"/>
        <w:shd w:val="clear" w:color="auto" w:fill="DEEAF6" w:themeFill="accent5" w:themeFillTint="33"/>
      </w:pPr>
      <w:r>
        <w:t xml:space="preserve">Management plans and strategies prepared under other </w:t>
      </w:r>
      <w:proofErr w:type="gramStart"/>
      <w:r>
        <w:t>Acts;</w:t>
      </w:r>
      <w:proofErr w:type="gramEnd"/>
    </w:p>
    <w:p w14:paraId="6475078C" w14:textId="77777777" w:rsidR="004A7A26" w:rsidRDefault="004A7A26" w:rsidP="000F043E">
      <w:pPr>
        <w:pStyle w:val="Normal3"/>
        <w:shd w:val="clear" w:color="auto" w:fill="DEEAF6" w:themeFill="accent5" w:themeFillTint="33"/>
      </w:pPr>
      <w:r>
        <w:t>Relevant entry on the New Zealand Heritage List/</w:t>
      </w:r>
      <w:proofErr w:type="spellStart"/>
      <w:r>
        <w:t>Rārangi</w:t>
      </w:r>
      <w:proofErr w:type="spellEnd"/>
      <w:r>
        <w:t xml:space="preserve"> </w:t>
      </w:r>
      <w:proofErr w:type="spellStart"/>
      <w:proofErr w:type="gramStart"/>
      <w:r>
        <w:t>Kōrero</w:t>
      </w:r>
      <w:proofErr w:type="spellEnd"/>
      <w:r>
        <w:t>;</w:t>
      </w:r>
      <w:proofErr w:type="gramEnd"/>
      <w:r>
        <w:t xml:space="preserve"> </w:t>
      </w:r>
    </w:p>
    <w:p w14:paraId="78AF611E" w14:textId="77777777" w:rsidR="004A7A26" w:rsidRDefault="004A7A26" w:rsidP="000F043E">
      <w:pPr>
        <w:pStyle w:val="Normal3"/>
        <w:shd w:val="clear" w:color="auto" w:fill="DEEAF6" w:themeFill="accent5" w:themeFillTint="33"/>
      </w:pPr>
      <w:r>
        <w:t xml:space="preserve">Regulations relating to fisheries </w:t>
      </w:r>
      <w:proofErr w:type="gramStart"/>
      <w:r>
        <w:t>resources;</w:t>
      </w:r>
      <w:proofErr w:type="gramEnd"/>
    </w:p>
    <w:p w14:paraId="7B2DC53D" w14:textId="77777777" w:rsidR="004A7A26" w:rsidRDefault="004A7A26" w:rsidP="000F043E">
      <w:pPr>
        <w:pStyle w:val="Normal3"/>
        <w:shd w:val="clear" w:color="auto" w:fill="DEEAF6" w:themeFill="accent5" w:themeFillTint="33"/>
      </w:pPr>
      <w:r>
        <w:t>The extent to which the regional policy statement needs to be consistent with the policy statements and plans of adjacent regional councils; and</w:t>
      </w:r>
    </w:p>
    <w:p w14:paraId="25F4B36B" w14:textId="77777777" w:rsidR="004A7A26" w:rsidRDefault="004A7A26" w:rsidP="000F043E">
      <w:pPr>
        <w:pStyle w:val="Normal3"/>
        <w:shd w:val="clear" w:color="auto" w:fill="DEEAF6" w:themeFill="accent5" w:themeFillTint="33"/>
      </w:pPr>
      <w:r>
        <w:t>The extent to which the regional policy statement needs to be consistent with regulations made under the Exclusive Economic Zone and Continental Shelf (Environmental Effects) Act 2012.</w:t>
      </w:r>
    </w:p>
    <w:p w14:paraId="3793C5E5" w14:textId="77777777" w:rsidR="004A7A26" w:rsidRDefault="004A7A26" w:rsidP="000F043E">
      <w:pPr>
        <w:pStyle w:val="Normal2"/>
        <w:shd w:val="clear" w:color="auto" w:fill="DEEAF6" w:themeFill="accent5" w:themeFillTint="33"/>
      </w:pPr>
      <w:r>
        <w:t xml:space="preserve">In addition to the RMA, there is one additional statute of </w:t>
      </w:r>
      <w:proofErr w:type="gramStart"/>
      <w:r>
        <w:t>particular relevance</w:t>
      </w:r>
      <w:proofErr w:type="gramEnd"/>
      <w:r>
        <w:t xml:space="preserve"> for Otago:</w:t>
      </w:r>
    </w:p>
    <w:p w14:paraId="3B1BBA9B" w14:textId="77777777" w:rsidR="004A7A26" w:rsidRDefault="004A7A26" w:rsidP="000F043E">
      <w:pPr>
        <w:pStyle w:val="Normal3"/>
        <w:shd w:val="clear" w:color="auto" w:fill="DEEAF6" w:themeFill="accent5" w:themeFillTint="33"/>
      </w:pPr>
      <w:r>
        <w:t>Lake Wanaka Preservation Act 1973.</w:t>
      </w:r>
    </w:p>
    <w:p w14:paraId="31D2B309" w14:textId="77777777" w:rsidR="004A7A26" w:rsidRDefault="004A7A26" w:rsidP="000F043E">
      <w:pPr>
        <w:pStyle w:val="Normal2"/>
        <w:shd w:val="clear" w:color="auto" w:fill="DEEAF6" w:themeFill="accent5" w:themeFillTint="33"/>
      </w:pPr>
      <w:r>
        <w:t>The following sections set out the various tests in the RMA relating to the consideration of these documents and how the PORPS 2021 meets them.</w:t>
      </w:r>
    </w:p>
    <w:p w14:paraId="7B2B3B3B" w14:textId="77777777" w:rsidR="004A7A26" w:rsidRDefault="004A7A26" w:rsidP="000F043E">
      <w:pPr>
        <w:pStyle w:val="Heading2"/>
        <w:shd w:val="clear" w:color="auto" w:fill="DEEAF6" w:themeFill="accent5" w:themeFillTint="33"/>
      </w:pPr>
      <w:bookmarkStart w:id="160" w:name="_Toc52780467"/>
      <w:bookmarkStart w:id="161" w:name="_Toc72507649"/>
      <w:r>
        <w:t>Resource Management Act 1991:  Part 2 (Purpose and Principles)</w:t>
      </w:r>
      <w:bookmarkEnd w:id="160"/>
      <w:bookmarkEnd w:id="161"/>
    </w:p>
    <w:p w14:paraId="448C33E7" w14:textId="77777777" w:rsidR="004A7A26" w:rsidRDefault="004A7A26" w:rsidP="000F043E">
      <w:pPr>
        <w:pStyle w:val="Normal2"/>
        <w:shd w:val="clear" w:color="auto" w:fill="DEEAF6" w:themeFill="accent5" w:themeFillTint="33"/>
      </w:pPr>
      <w:r>
        <w:t>Regional policy statements must be prepared in accordance with the provisions of Part 2 of the RMA.</w:t>
      </w:r>
      <w:r>
        <w:rPr>
          <w:rStyle w:val="FootnoteReference"/>
        </w:rPr>
        <w:footnoteReference w:id="53"/>
      </w:r>
      <w:r>
        <w:t xml:space="preserve"> The purpose of the RMA is set out in Part 2, section 5 of the RMA:</w:t>
      </w:r>
    </w:p>
    <w:p w14:paraId="51B00D4B" w14:textId="77777777" w:rsidR="004A7A26" w:rsidRDefault="004A7A26" w:rsidP="000F043E">
      <w:pPr>
        <w:pStyle w:val="Default"/>
        <w:shd w:val="clear" w:color="auto" w:fill="DEEAF6" w:themeFill="accent5" w:themeFillTint="33"/>
        <w:spacing w:after="58"/>
        <w:ind w:left="1276" w:hanging="567"/>
        <w:rPr>
          <w:sz w:val="20"/>
          <w:szCs w:val="22"/>
        </w:rPr>
      </w:pPr>
      <w:r>
        <w:rPr>
          <w:i/>
          <w:iCs/>
          <w:sz w:val="20"/>
          <w:szCs w:val="22"/>
        </w:rPr>
        <w:t xml:space="preserve">(1) </w:t>
      </w:r>
      <w:r>
        <w:rPr>
          <w:i/>
          <w:iCs/>
          <w:sz w:val="20"/>
          <w:szCs w:val="22"/>
        </w:rPr>
        <w:tab/>
        <w:t xml:space="preserve">The purpose of this Act is to promote the sustainable management of natural and physical resources. </w:t>
      </w:r>
    </w:p>
    <w:p w14:paraId="69FAD10F"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(2)</w:t>
      </w:r>
      <w:r>
        <w:rPr>
          <w:i/>
          <w:iCs/>
          <w:sz w:val="20"/>
          <w:szCs w:val="22"/>
        </w:rPr>
        <w:tab/>
        <w:t xml:space="preserve">In this Act, sustainable management means managing the use, development, and protection of natural and physical resources in a way, or at a rate, which enables people and communities to </w:t>
      </w:r>
      <w:r>
        <w:rPr>
          <w:i/>
          <w:iCs/>
          <w:sz w:val="20"/>
          <w:szCs w:val="22"/>
        </w:rPr>
        <w:lastRenderedPageBreak/>
        <w:t xml:space="preserve">provide for their social, economic, and cultural well-being and for their health and safety while— </w:t>
      </w:r>
    </w:p>
    <w:p w14:paraId="56330BFB" w14:textId="77777777" w:rsidR="004A7A26" w:rsidRDefault="004A7A26" w:rsidP="000F043E">
      <w:pPr>
        <w:pStyle w:val="Default"/>
        <w:shd w:val="clear" w:color="auto" w:fill="DEEAF6" w:themeFill="accent5" w:themeFillTint="33"/>
        <w:spacing w:after="58"/>
        <w:ind w:left="1843" w:hanging="567"/>
        <w:rPr>
          <w:sz w:val="20"/>
          <w:szCs w:val="22"/>
        </w:rPr>
      </w:pPr>
      <w:r>
        <w:rPr>
          <w:i/>
          <w:iCs/>
          <w:sz w:val="20"/>
          <w:szCs w:val="22"/>
        </w:rPr>
        <w:t xml:space="preserve">(a) </w:t>
      </w:r>
      <w:r>
        <w:rPr>
          <w:i/>
          <w:iCs/>
          <w:sz w:val="20"/>
          <w:szCs w:val="22"/>
        </w:rPr>
        <w:tab/>
        <w:t xml:space="preserve">sustaining the potential of natural and physical resources (excluding minerals) to meet the reasonably foreseeable needs of future generations; and </w:t>
      </w:r>
    </w:p>
    <w:p w14:paraId="7F5F8CB9" w14:textId="77777777" w:rsidR="004A7A26" w:rsidRDefault="004A7A26" w:rsidP="000F043E">
      <w:pPr>
        <w:pStyle w:val="Default"/>
        <w:shd w:val="clear" w:color="auto" w:fill="DEEAF6" w:themeFill="accent5" w:themeFillTint="33"/>
        <w:spacing w:after="58"/>
        <w:ind w:left="1843" w:hanging="567"/>
        <w:rPr>
          <w:sz w:val="20"/>
          <w:szCs w:val="22"/>
        </w:rPr>
      </w:pPr>
      <w:r>
        <w:rPr>
          <w:i/>
          <w:iCs/>
          <w:sz w:val="20"/>
          <w:szCs w:val="22"/>
        </w:rPr>
        <w:t xml:space="preserve">(b) </w:t>
      </w:r>
      <w:r>
        <w:rPr>
          <w:i/>
          <w:iCs/>
          <w:sz w:val="20"/>
          <w:szCs w:val="22"/>
        </w:rPr>
        <w:tab/>
        <w:t xml:space="preserve">safeguarding the life-supporting capacity of air, water, soil, and ecosystems; and </w:t>
      </w:r>
    </w:p>
    <w:p w14:paraId="0FA68EAB" w14:textId="77777777" w:rsidR="004A7A26" w:rsidRDefault="004A7A26" w:rsidP="000F043E">
      <w:pPr>
        <w:pStyle w:val="Default"/>
        <w:shd w:val="clear" w:color="auto" w:fill="DEEAF6" w:themeFill="accent5" w:themeFillTint="33"/>
        <w:ind w:left="1843" w:hanging="567"/>
        <w:rPr>
          <w:sz w:val="20"/>
          <w:szCs w:val="22"/>
        </w:rPr>
      </w:pPr>
      <w:r>
        <w:rPr>
          <w:i/>
          <w:iCs/>
          <w:sz w:val="20"/>
          <w:szCs w:val="22"/>
        </w:rPr>
        <w:t>(c)</w:t>
      </w:r>
      <w:r>
        <w:rPr>
          <w:i/>
          <w:iCs/>
          <w:sz w:val="20"/>
          <w:szCs w:val="22"/>
        </w:rPr>
        <w:tab/>
        <w:t xml:space="preserve">avoiding, remedying, or mitigating any adverse effects of activities on the environment. </w:t>
      </w:r>
    </w:p>
    <w:p w14:paraId="03BBFA89" w14:textId="77777777" w:rsidR="004A7A26" w:rsidRDefault="004A7A26" w:rsidP="000F043E">
      <w:pPr>
        <w:pStyle w:val="Default"/>
        <w:numPr>
          <w:ilvl w:val="1"/>
          <w:numId w:val="43"/>
        </w:numPr>
        <w:shd w:val="clear" w:color="auto" w:fill="DEEAF6" w:themeFill="accent5" w:themeFillTint="33"/>
        <w:rPr>
          <w:sz w:val="22"/>
          <w:szCs w:val="22"/>
        </w:rPr>
      </w:pPr>
    </w:p>
    <w:p w14:paraId="5D870706" w14:textId="77777777" w:rsidR="004A7A26" w:rsidRDefault="004A7A26" w:rsidP="000F043E">
      <w:pPr>
        <w:pStyle w:val="Normal2"/>
        <w:shd w:val="clear" w:color="auto" w:fill="DEEAF6" w:themeFill="accent5" w:themeFillTint="33"/>
      </w:pPr>
      <w:r>
        <w:t>The RMA also sets out the following matters of national importance (in section 6), which all persons exercising functions and powers under the RMA must recognise and provide for:</w:t>
      </w:r>
    </w:p>
    <w:p w14:paraId="2025664B"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(a) </w:t>
      </w:r>
      <w:r>
        <w:rPr>
          <w:i/>
          <w:iCs/>
          <w:sz w:val="20"/>
          <w:szCs w:val="22"/>
        </w:rPr>
        <w:tab/>
        <w:t>the preservation of the natural character of the coastal environment (including the coastal marine area), wetlands, and lakes and rivers and their margins, and the protection of them from inappropriate subdivision, use, and development:</w:t>
      </w:r>
    </w:p>
    <w:p w14:paraId="55D2216A"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(b) </w:t>
      </w:r>
      <w:r>
        <w:rPr>
          <w:i/>
          <w:iCs/>
          <w:sz w:val="20"/>
          <w:szCs w:val="22"/>
        </w:rPr>
        <w:tab/>
        <w:t>the protection of outstanding natural features and landscapes from inappropriate subdivision, use, and development:</w:t>
      </w:r>
    </w:p>
    <w:p w14:paraId="7958B4FF"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(c)</w:t>
      </w:r>
      <w:r>
        <w:rPr>
          <w:i/>
          <w:iCs/>
          <w:sz w:val="20"/>
          <w:szCs w:val="22"/>
        </w:rPr>
        <w:tab/>
        <w:t>the protection of areas of significant indigenous vegetation and significant habitats of indigenous fauna:</w:t>
      </w:r>
    </w:p>
    <w:p w14:paraId="5B24A481"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(d)</w:t>
      </w:r>
      <w:r>
        <w:rPr>
          <w:i/>
          <w:iCs/>
          <w:sz w:val="20"/>
          <w:szCs w:val="22"/>
        </w:rPr>
        <w:tab/>
        <w:t>the maintenance and enhancement of public access to and along the coastal marine area, lakes, and rivers:</w:t>
      </w:r>
    </w:p>
    <w:p w14:paraId="27C7CB19"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(e)</w:t>
      </w:r>
      <w:r>
        <w:rPr>
          <w:i/>
          <w:iCs/>
          <w:sz w:val="20"/>
          <w:szCs w:val="22"/>
        </w:rPr>
        <w:tab/>
        <w:t xml:space="preserve">the relationship of </w:t>
      </w:r>
      <w:proofErr w:type="spellStart"/>
      <w:r>
        <w:rPr>
          <w:i/>
          <w:iCs/>
          <w:sz w:val="20"/>
          <w:szCs w:val="22"/>
        </w:rPr>
        <w:t>Maori</w:t>
      </w:r>
      <w:proofErr w:type="spellEnd"/>
      <w:r>
        <w:rPr>
          <w:i/>
          <w:iCs/>
          <w:sz w:val="20"/>
          <w:szCs w:val="22"/>
        </w:rPr>
        <w:t xml:space="preserve"> and their culture and traditions with their ancestral lands, water, sites, </w:t>
      </w:r>
      <w:proofErr w:type="spellStart"/>
      <w:r>
        <w:rPr>
          <w:i/>
          <w:iCs/>
          <w:sz w:val="20"/>
          <w:szCs w:val="22"/>
        </w:rPr>
        <w:t>waahi</w:t>
      </w:r>
      <w:proofErr w:type="spellEnd"/>
      <w:r>
        <w:rPr>
          <w:i/>
          <w:iCs/>
          <w:sz w:val="20"/>
          <w:szCs w:val="22"/>
        </w:rPr>
        <w:t xml:space="preserve"> </w:t>
      </w:r>
      <w:proofErr w:type="spellStart"/>
      <w:r>
        <w:rPr>
          <w:i/>
          <w:iCs/>
          <w:sz w:val="20"/>
          <w:szCs w:val="22"/>
        </w:rPr>
        <w:t>tapu</w:t>
      </w:r>
      <w:proofErr w:type="spellEnd"/>
      <w:r>
        <w:rPr>
          <w:i/>
          <w:iCs/>
          <w:sz w:val="20"/>
          <w:szCs w:val="22"/>
        </w:rPr>
        <w:t>, and other taonga:</w:t>
      </w:r>
    </w:p>
    <w:p w14:paraId="36C73694"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(f) </w:t>
      </w:r>
      <w:r>
        <w:rPr>
          <w:i/>
          <w:iCs/>
          <w:sz w:val="20"/>
          <w:szCs w:val="22"/>
        </w:rPr>
        <w:tab/>
        <w:t>the protection of historic heritage from inappropriate subdivision, use, and development:</w:t>
      </w:r>
    </w:p>
    <w:p w14:paraId="1385A3F6"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(g) </w:t>
      </w:r>
      <w:r>
        <w:rPr>
          <w:i/>
          <w:iCs/>
          <w:sz w:val="20"/>
          <w:szCs w:val="22"/>
        </w:rPr>
        <w:tab/>
        <w:t>the protection of protected customary rights:</w:t>
      </w:r>
    </w:p>
    <w:p w14:paraId="08EFBFD4"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(h) </w:t>
      </w:r>
      <w:r>
        <w:rPr>
          <w:i/>
          <w:iCs/>
          <w:sz w:val="20"/>
          <w:szCs w:val="22"/>
        </w:rPr>
        <w:tab/>
        <w:t>the management of significant risks from natural hazards.</w:t>
      </w:r>
    </w:p>
    <w:p w14:paraId="709EE8FA" w14:textId="77777777" w:rsidR="004A7A26" w:rsidRDefault="004A7A26" w:rsidP="000F043E">
      <w:pPr>
        <w:shd w:val="clear" w:color="auto" w:fill="DEEAF6" w:themeFill="accent5" w:themeFillTint="33"/>
        <w:spacing w:after="0"/>
        <w:rPr>
          <w:iCs/>
          <w:sz w:val="20"/>
        </w:rPr>
      </w:pPr>
    </w:p>
    <w:p w14:paraId="1B5CAB2B" w14:textId="77777777" w:rsidR="004A7A26" w:rsidRDefault="004A7A26" w:rsidP="000F043E">
      <w:pPr>
        <w:pStyle w:val="Normal2"/>
        <w:shd w:val="clear" w:color="auto" w:fill="DEEAF6" w:themeFill="accent5" w:themeFillTint="33"/>
      </w:pPr>
      <w:r>
        <w:t xml:space="preserve">Section 7 of the RMA sets out other matters to which all persons exercising functions and powers under the RMA are directed to have </w:t>
      </w:r>
      <w:proofErr w:type="gramStart"/>
      <w:r>
        <w:t>particular regard</w:t>
      </w:r>
      <w:proofErr w:type="gramEnd"/>
      <w:r>
        <w:t>:</w:t>
      </w:r>
    </w:p>
    <w:p w14:paraId="4D1F5D46" w14:textId="77777777" w:rsidR="004A7A26" w:rsidRDefault="004A7A26" w:rsidP="000F043E">
      <w:pPr>
        <w:pStyle w:val="Default"/>
        <w:shd w:val="clear" w:color="auto" w:fill="DEEAF6" w:themeFill="accent5" w:themeFillTint="33"/>
        <w:spacing w:after="58"/>
        <w:ind w:left="1276" w:hanging="567"/>
        <w:rPr>
          <w:i/>
          <w:iCs/>
          <w:sz w:val="20"/>
          <w:szCs w:val="22"/>
        </w:rPr>
      </w:pPr>
      <w:r>
        <w:rPr>
          <w:rFonts w:asciiTheme="minorHAnsi" w:hAnsiTheme="minorHAnsi" w:cstheme="minorBidi"/>
          <w:i/>
          <w:iCs/>
          <w:color w:val="auto"/>
          <w:sz w:val="20"/>
          <w:szCs w:val="22"/>
        </w:rPr>
        <w:t>(a)</w:t>
      </w:r>
      <w:r>
        <w:rPr>
          <w:rFonts w:asciiTheme="minorHAnsi" w:hAnsiTheme="minorHAnsi" w:cstheme="minorBidi"/>
          <w:iCs/>
          <w:color w:val="auto"/>
          <w:sz w:val="20"/>
          <w:szCs w:val="22"/>
        </w:rPr>
        <w:tab/>
      </w:r>
      <w:proofErr w:type="spellStart"/>
      <w:r>
        <w:rPr>
          <w:i/>
          <w:iCs/>
          <w:sz w:val="20"/>
          <w:szCs w:val="22"/>
        </w:rPr>
        <w:t>kaitiakitanga</w:t>
      </w:r>
      <w:proofErr w:type="spellEnd"/>
      <w:r>
        <w:rPr>
          <w:i/>
          <w:iCs/>
          <w:sz w:val="20"/>
          <w:szCs w:val="22"/>
        </w:rPr>
        <w:t>:</w:t>
      </w:r>
    </w:p>
    <w:p w14:paraId="474A194D"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(aa) </w:t>
      </w:r>
      <w:r>
        <w:rPr>
          <w:i/>
          <w:iCs/>
          <w:sz w:val="20"/>
          <w:szCs w:val="22"/>
        </w:rPr>
        <w:tab/>
        <w:t>the ethic of stewardship:</w:t>
      </w:r>
    </w:p>
    <w:p w14:paraId="00B974C5"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(b) </w:t>
      </w:r>
      <w:r>
        <w:rPr>
          <w:i/>
          <w:iCs/>
          <w:sz w:val="20"/>
          <w:szCs w:val="22"/>
        </w:rPr>
        <w:tab/>
        <w:t>the efficient use and development of natural and physical resources:</w:t>
      </w:r>
    </w:p>
    <w:p w14:paraId="65C15C37"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w:t>
      </w:r>
      <w:proofErr w:type="spellStart"/>
      <w:r>
        <w:rPr>
          <w:i/>
          <w:iCs/>
          <w:sz w:val="20"/>
          <w:szCs w:val="22"/>
        </w:rPr>
        <w:t>ba</w:t>
      </w:r>
      <w:proofErr w:type="spellEnd"/>
      <w:r>
        <w:rPr>
          <w:i/>
          <w:iCs/>
          <w:sz w:val="20"/>
          <w:szCs w:val="22"/>
        </w:rPr>
        <w:t xml:space="preserve">) </w:t>
      </w:r>
      <w:r>
        <w:rPr>
          <w:i/>
          <w:iCs/>
          <w:sz w:val="20"/>
          <w:szCs w:val="22"/>
        </w:rPr>
        <w:tab/>
        <w:t>the efficiency of the end use of energy:</w:t>
      </w:r>
    </w:p>
    <w:p w14:paraId="45FBA217"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(c) </w:t>
      </w:r>
      <w:r>
        <w:rPr>
          <w:i/>
          <w:iCs/>
          <w:sz w:val="20"/>
          <w:szCs w:val="22"/>
        </w:rPr>
        <w:tab/>
        <w:t>the maintenance and enhancement of amenity values:</w:t>
      </w:r>
    </w:p>
    <w:p w14:paraId="6186382D"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(d) </w:t>
      </w:r>
      <w:r>
        <w:rPr>
          <w:i/>
          <w:iCs/>
          <w:sz w:val="20"/>
          <w:szCs w:val="22"/>
        </w:rPr>
        <w:tab/>
        <w:t>intrinsic values of ecosystems:</w:t>
      </w:r>
    </w:p>
    <w:p w14:paraId="7525FECB"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(f) </w:t>
      </w:r>
      <w:r>
        <w:rPr>
          <w:i/>
          <w:iCs/>
          <w:sz w:val="20"/>
          <w:szCs w:val="22"/>
        </w:rPr>
        <w:tab/>
        <w:t>maintenance and enhancement of the quality of the environment:</w:t>
      </w:r>
    </w:p>
    <w:p w14:paraId="4DACB9E4"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(g) </w:t>
      </w:r>
      <w:r>
        <w:rPr>
          <w:i/>
          <w:iCs/>
          <w:sz w:val="20"/>
          <w:szCs w:val="22"/>
        </w:rPr>
        <w:tab/>
        <w:t>any finite characteristics of natural and physical resources:</w:t>
      </w:r>
    </w:p>
    <w:p w14:paraId="76643B50"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 xml:space="preserve">(h) </w:t>
      </w:r>
      <w:r>
        <w:rPr>
          <w:i/>
          <w:iCs/>
          <w:sz w:val="20"/>
          <w:szCs w:val="22"/>
        </w:rPr>
        <w:tab/>
        <w:t>the protection of the habitat of trout and salmon:</w:t>
      </w:r>
    </w:p>
    <w:p w14:paraId="7E4463F2" w14:textId="77777777" w:rsidR="004A7A26" w:rsidRDefault="004A7A26" w:rsidP="000F043E">
      <w:pPr>
        <w:pStyle w:val="Default"/>
        <w:shd w:val="clear" w:color="auto" w:fill="DEEAF6" w:themeFill="accent5" w:themeFillTint="33"/>
        <w:spacing w:after="58"/>
        <w:ind w:left="1276" w:hanging="567"/>
        <w:rPr>
          <w:i/>
          <w:iCs/>
          <w:sz w:val="20"/>
          <w:szCs w:val="22"/>
        </w:rPr>
      </w:pPr>
      <w:r>
        <w:rPr>
          <w:i/>
          <w:iCs/>
          <w:sz w:val="20"/>
          <w:szCs w:val="22"/>
        </w:rPr>
        <w:t>(</w:t>
      </w:r>
      <w:proofErr w:type="spellStart"/>
      <w:r>
        <w:rPr>
          <w:i/>
          <w:iCs/>
          <w:sz w:val="20"/>
          <w:szCs w:val="22"/>
        </w:rPr>
        <w:t>i</w:t>
      </w:r>
      <w:proofErr w:type="spellEnd"/>
      <w:r>
        <w:rPr>
          <w:i/>
          <w:iCs/>
          <w:sz w:val="20"/>
          <w:szCs w:val="22"/>
        </w:rPr>
        <w:t xml:space="preserve">) </w:t>
      </w:r>
      <w:r>
        <w:rPr>
          <w:i/>
          <w:iCs/>
          <w:sz w:val="20"/>
          <w:szCs w:val="22"/>
        </w:rPr>
        <w:tab/>
        <w:t>the effects of climate change:</w:t>
      </w:r>
    </w:p>
    <w:p w14:paraId="20BB2CBB" w14:textId="77777777" w:rsidR="004A7A26" w:rsidRDefault="004A7A26" w:rsidP="000F043E">
      <w:pPr>
        <w:pStyle w:val="Default"/>
        <w:shd w:val="clear" w:color="auto" w:fill="DEEAF6" w:themeFill="accent5" w:themeFillTint="33"/>
        <w:spacing w:after="120"/>
        <w:ind w:left="1276" w:hanging="567"/>
        <w:rPr>
          <w:rFonts w:asciiTheme="minorHAnsi" w:hAnsiTheme="minorHAnsi" w:cstheme="minorBidi"/>
          <w:iCs/>
          <w:color w:val="auto"/>
          <w:sz w:val="20"/>
          <w:szCs w:val="22"/>
        </w:rPr>
      </w:pPr>
      <w:r>
        <w:rPr>
          <w:i/>
          <w:iCs/>
          <w:sz w:val="20"/>
          <w:szCs w:val="22"/>
        </w:rPr>
        <w:t xml:space="preserve">(j) </w:t>
      </w:r>
      <w:r>
        <w:rPr>
          <w:i/>
          <w:iCs/>
          <w:sz w:val="20"/>
          <w:szCs w:val="22"/>
        </w:rPr>
        <w:tab/>
        <w:t>the benefits to</w:t>
      </w:r>
      <w:r>
        <w:rPr>
          <w:rFonts w:asciiTheme="minorHAnsi" w:hAnsiTheme="minorHAnsi" w:cstheme="minorBidi"/>
          <w:iCs/>
          <w:color w:val="auto"/>
          <w:sz w:val="20"/>
          <w:szCs w:val="22"/>
        </w:rPr>
        <w:t xml:space="preserve"> be derived from the use and development of renewable energy.</w:t>
      </w:r>
    </w:p>
    <w:p w14:paraId="47AFD87A" w14:textId="77777777" w:rsidR="004A7A26" w:rsidRDefault="004A7A26" w:rsidP="000F043E">
      <w:pPr>
        <w:pStyle w:val="Normal2"/>
        <w:shd w:val="clear" w:color="auto" w:fill="DEEAF6" w:themeFill="accent5" w:themeFillTint="33"/>
      </w:pPr>
      <w:r>
        <w:t xml:space="preserve">Section 8 of the RMA requires that persons exercising functions and powers under it shall </w:t>
      </w:r>
      <w:proofErr w:type="gramStart"/>
      <w:r>
        <w:t>take into account</w:t>
      </w:r>
      <w:proofErr w:type="gramEnd"/>
      <w:r>
        <w:t xml:space="preserve"> the principles of the Treaty of Waitangi (Te </w:t>
      </w:r>
      <w:proofErr w:type="spellStart"/>
      <w:r>
        <w:t>Tiriti</w:t>
      </w:r>
      <w:proofErr w:type="spellEnd"/>
      <w:r>
        <w:t xml:space="preserve"> o Waitangi). The Treaty principles are used in </w:t>
      </w:r>
      <w:proofErr w:type="gramStart"/>
      <w:r>
        <w:t>a number of</w:t>
      </w:r>
      <w:proofErr w:type="gramEnd"/>
      <w:r>
        <w:t xml:space="preserve"> statues but are not defined in legislation. The principles relate to the obligations of the Crown under the Treaty of Waitangi and have been derived predominantly from Court of Appeal decisions in relation to cases under the State-Owned Enterprises Act 1986. The principles are:</w:t>
      </w:r>
    </w:p>
    <w:p w14:paraId="4010924B" w14:textId="77777777" w:rsidR="004A7A26" w:rsidRDefault="004A7A26" w:rsidP="000F043E">
      <w:pPr>
        <w:pStyle w:val="Normal2"/>
        <w:shd w:val="clear" w:color="auto" w:fill="DEEAF6" w:themeFill="accent5" w:themeFillTint="33"/>
      </w:pPr>
      <w:r>
        <w:t xml:space="preserve">The two parties to the Treaty must act reasonably towards each other and in utmost </w:t>
      </w:r>
      <w:proofErr w:type="gramStart"/>
      <w:r>
        <w:t>faith;</w:t>
      </w:r>
      <w:proofErr w:type="gramEnd"/>
    </w:p>
    <w:p w14:paraId="56C91625" w14:textId="77777777" w:rsidR="004A7A26" w:rsidRDefault="004A7A26" w:rsidP="000F043E">
      <w:pPr>
        <w:pStyle w:val="Normal3"/>
        <w:numPr>
          <w:ilvl w:val="1"/>
          <w:numId w:val="71"/>
        </w:numPr>
        <w:shd w:val="clear" w:color="auto" w:fill="DEEAF6" w:themeFill="accent5" w:themeFillTint="33"/>
      </w:pPr>
      <w:r>
        <w:t>The Crown must make informed decisions (which will require consultation, but not invariably so</w:t>
      </w:r>
      <w:proofErr w:type="gramStart"/>
      <w:r>
        <w:t>);</w:t>
      </w:r>
      <w:proofErr w:type="gramEnd"/>
    </w:p>
    <w:p w14:paraId="7B636D8B" w14:textId="77777777" w:rsidR="004A7A26" w:rsidRDefault="004A7A26" w:rsidP="000F043E">
      <w:pPr>
        <w:pStyle w:val="Normal3"/>
        <w:numPr>
          <w:ilvl w:val="1"/>
          <w:numId w:val="70"/>
        </w:numPr>
        <w:shd w:val="clear" w:color="auto" w:fill="DEEAF6" w:themeFill="accent5" w:themeFillTint="33"/>
      </w:pPr>
      <w:r>
        <w:lastRenderedPageBreak/>
        <w:t>The Crown must not unreasonably impede its capacity to provide redress for proven grievances; and</w:t>
      </w:r>
    </w:p>
    <w:p w14:paraId="306E611D" w14:textId="77777777" w:rsidR="004A7A26" w:rsidRDefault="004A7A26" w:rsidP="000F043E">
      <w:pPr>
        <w:pStyle w:val="Normal3"/>
        <w:numPr>
          <w:ilvl w:val="1"/>
          <w:numId w:val="70"/>
        </w:numPr>
        <w:shd w:val="clear" w:color="auto" w:fill="DEEAF6" w:themeFill="accent5" w:themeFillTint="33"/>
      </w:pPr>
      <w:r>
        <w:t xml:space="preserve">The Crown must actively protect </w:t>
      </w:r>
      <w:proofErr w:type="spellStart"/>
      <w:r>
        <w:t>Maori</w:t>
      </w:r>
      <w:proofErr w:type="spellEnd"/>
      <w:r>
        <w:t xml:space="preserve"> interests.</w:t>
      </w:r>
    </w:p>
    <w:p w14:paraId="15905381" w14:textId="77777777" w:rsidR="004A7A26" w:rsidRDefault="004A7A26" w:rsidP="000F043E">
      <w:pPr>
        <w:pStyle w:val="Normal2"/>
        <w:shd w:val="clear" w:color="auto" w:fill="DEEAF6" w:themeFill="accent5" w:themeFillTint="33"/>
      </w:pPr>
      <w:r>
        <w:t xml:space="preserve">Sections 6-8 establish matters for consideration in decision-making under the RMA that contribute to the overall evaluation under section 5. There is a hierarchy across these sections, giving priority to matters of national importance under section 6 over the matters set out for consideration in sections 7 and 8.  </w:t>
      </w:r>
    </w:p>
    <w:p w14:paraId="5CE037A8" w14:textId="77777777" w:rsidR="004A7A26" w:rsidRDefault="004A7A26" w:rsidP="000F043E">
      <w:pPr>
        <w:pStyle w:val="Normal2"/>
        <w:shd w:val="clear" w:color="auto" w:fill="DEEAF6" w:themeFill="accent5" w:themeFillTint="33"/>
      </w:pPr>
      <w:r>
        <w:t xml:space="preserve">The provisions of the PORPS 2021 have been developed to reflect the matters in Part 2. </w:t>
      </w:r>
      <w:proofErr w:type="gramStart"/>
      <w:r>
        <w:t>All of</w:t>
      </w:r>
      <w:proofErr w:type="gramEnd"/>
      <w:r>
        <w:t xml:space="preserve"> the matters of national importance in section 6 have been recognised and provided for primarily through the most relevant chapter for the matter. For example, section 6(b) requires the protection of outstanding natural features and landscapes from inappropriate subdivision, use and development. This direction has underpinned the provisions in the NFL chapter. Other matters are broader and apply across chapters, such as the relationship of Māori and their culture and traditions with their ancestral lands, water, sites, </w:t>
      </w:r>
      <w:proofErr w:type="spellStart"/>
      <w:r>
        <w:t>wāhi</w:t>
      </w:r>
      <w:proofErr w:type="spellEnd"/>
      <w:r>
        <w:t xml:space="preserve"> </w:t>
      </w:r>
      <w:proofErr w:type="spellStart"/>
      <w:r>
        <w:t>tapu</w:t>
      </w:r>
      <w:proofErr w:type="spellEnd"/>
      <w:r>
        <w:t xml:space="preserve"> and other taonga.</w:t>
      </w:r>
      <w:r>
        <w:rPr>
          <w:rStyle w:val="FootnoteReference"/>
        </w:rPr>
        <w:footnoteReference w:id="54"/>
      </w:r>
      <w:r>
        <w:t xml:space="preserve"> That theme is picked up through many chapters of the PORPS, including MW, LF, CE and HCV.</w:t>
      </w:r>
    </w:p>
    <w:p w14:paraId="20C3FFED" w14:textId="669BB44E" w:rsidR="004A7A26" w:rsidRDefault="004A7A26" w:rsidP="000F043E">
      <w:pPr>
        <w:pStyle w:val="Normal2"/>
        <w:shd w:val="clear" w:color="auto" w:fill="DEEAF6" w:themeFill="accent5" w:themeFillTint="33"/>
      </w:pPr>
      <w:r>
        <w:t>The matters in section 7 are generally less resource-specific and instead inform the policy framework more broadly. These matters have largely been addressed throughout the PORPS rather than through specific chapters, although there are some exceptions to that – for example, section 7(</w:t>
      </w:r>
      <w:proofErr w:type="spellStart"/>
      <w:r>
        <w:t>ba</w:t>
      </w:r>
      <w:proofErr w:type="spellEnd"/>
      <w:r>
        <w:t xml:space="preserve">) regarding the efficiency of the end use of energy. The effects of climate change have also been addressed prominently through the provisions of the IM chapter. This is because of the significant and </w:t>
      </w:r>
      <w:proofErr w:type="gramStart"/>
      <w:r>
        <w:t>wide ranging</w:t>
      </w:r>
      <w:proofErr w:type="gramEnd"/>
      <w:r>
        <w:t xml:space="preserve"> climate change impacts likely to occur in Otago, affecting environmental, social, economic and cultural wellbeing.</w:t>
      </w:r>
    </w:p>
    <w:p w14:paraId="1A3DDD0C" w14:textId="77777777" w:rsidR="004A7A26" w:rsidRDefault="004A7A26" w:rsidP="000F043E">
      <w:pPr>
        <w:pStyle w:val="Normal2"/>
        <w:shd w:val="clear" w:color="auto" w:fill="DEEAF6" w:themeFill="accent5" w:themeFillTint="33"/>
      </w:pPr>
      <w:r>
        <w:t xml:space="preserve">Section 8 requires local authorities to </w:t>
      </w:r>
      <w:proofErr w:type="gramStart"/>
      <w:r>
        <w:t>take into account</w:t>
      </w:r>
      <w:proofErr w:type="gramEnd"/>
      <w:r>
        <w:t xml:space="preserve"> the principles of Te </w:t>
      </w:r>
      <w:proofErr w:type="spellStart"/>
      <w:r>
        <w:t>Tiriti</w:t>
      </w:r>
      <w:proofErr w:type="spellEnd"/>
      <w:r>
        <w:t xml:space="preserve"> o Waitangi. The application of this section is fact-specific, but Courts have identified specific obligations to:</w:t>
      </w:r>
    </w:p>
    <w:p w14:paraId="5255E6CE" w14:textId="77777777" w:rsidR="004A7A26" w:rsidRDefault="004A7A26" w:rsidP="000F043E">
      <w:pPr>
        <w:pStyle w:val="Normal3"/>
        <w:shd w:val="clear" w:color="auto" w:fill="DEEAF6" w:themeFill="accent5" w:themeFillTint="33"/>
      </w:pPr>
      <w:r>
        <w:t>Enable active participation by Māori in resource management decision-making, including in respect of plan-</w:t>
      </w:r>
      <w:proofErr w:type="gramStart"/>
      <w:r>
        <w:t>making;</w:t>
      </w:r>
      <w:proofErr w:type="gramEnd"/>
    </w:p>
    <w:p w14:paraId="448457AF" w14:textId="77777777" w:rsidR="004A7A26" w:rsidRDefault="004A7A26" w:rsidP="000F043E">
      <w:pPr>
        <w:pStyle w:val="Normal3"/>
        <w:shd w:val="clear" w:color="auto" w:fill="DEEAF6" w:themeFill="accent5" w:themeFillTint="33"/>
      </w:pPr>
      <w:r>
        <w:t>Engage with tangata whenua in good faith; and</w:t>
      </w:r>
    </w:p>
    <w:p w14:paraId="2424AF2A" w14:textId="77777777" w:rsidR="004A7A26" w:rsidRDefault="004A7A26" w:rsidP="000F043E">
      <w:pPr>
        <w:pStyle w:val="Normal3"/>
        <w:shd w:val="clear" w:color="auto" w:fill="DEEAF6" w:themeFill="accent5" w:themeFillTint="33"/>
      </w:pPr>
      <w:r>
        <w:t>Endeavour to protect resources of importance to Māori from adverse effects.</w:t>
      </w:r>
    </w:p>
    <w:p w14:paraId="2E60A8E3" w14:textId="382B5F3D" w:rsidR="004A7A26" w:rsidRDefault="004A7A26" w:rsidP="000F043E">
      <w:pPr>
        <w:pStyle w:val="Normal2"/>
        <w:shd w:val="clear" w:color="auto" w:fill="DEEAF6" w:themeFill="accent5" w:themeFillTint="33"/>
      </w:pPr>
      <w:r>
        <w:t xml:space="preserve">Mana whenua have participated throughout this plan-making process through the consultancies </w:t>
      </w:r>
      <w:proofErr w:type="spellStart"/>
      <w:r>
        <w:t>Aukaha</w:t>
      </w:r>
      <w:proofErr w:type="spellEnd"/>
      <w:r>
        <w:t xml:space="preserve"> and Te Ao Marama, and ORC has engaged in good faith. The specific actions taken are outlined in more detail in section </w:t>
      </w:r>
      <w:r>
        <w:fldChar w:fldCharType="begin"/>
      </w:r>
      <w:r>
        <w:instrText xml:space="preserve"> REF _Ref65235358 \r \h </w:instrText>
      </w:r>
      <w:r w:rsidR="00192A2D">
        <w:instrText xml:space="preserve"> \* MERGEFORMAT </w:instrText>
      </w:r>
      <w:r>
        <w:fldChar w:fldCharType="separate"/>
      </w:r>
      <w:r w:rsidR="002A7A16">
        <w:t>2.1</w:t>
      </w:r>
      <w:r>
        <w:fldChar w:fldCharType="end"/>
      </w:r>
      <w:r>
        <w:t xml:space="preserve"> of this report, but in summary they include regular meetings to understand mana whenua aspirations for the region, co-drafting provisions, and </w:t>
      </w:r>
      <w:proofErr w:type="gramStart"/>
      <w:r>
        <w:t>sharing  early</w:t>
      </w:r>
      <w:proofErr w:type="gramEnd"/>
      <w:r>
        <w:t xml:space="preserve"> drafts of key chapters. Protecting resources of importance to mana whenua occurs throughout the PORPS. The MW chapter sets out the processes by which mana whenua will be involved in resource management and their values recognised. Specific recognition of resources of importance to mana whenua occurs throughout the PORPS, including in the LF, CE and HCV chapters. </w:t>
      </w:r>
    </w:p>
    <w:p w14:paraId="4D3BE302" w14:textId="77777777" w:rsidR="004A7A26" w:rsidRDefault="004A7A26" w:rsidP="000F043E">
      <w:pPr>
        <w:pStyle w:val="Heading2"/>
        <w:shd w:val="clear" w:color="auto" w:fill="DEEAF6" w:themeFill="accent5" w:themeFillTint="33"/>
      </w:pPr>
      <w:bookmarkStart w:id="162" w:name="_Toc52780468"/>
      <w:bookmarkStart w:id="163" w:name="_Toc72507650"/>
      <w:r>
        <w:t>Resource Management Act 1991: Functions of ORC</w:t>
      </w:r>
      <w:bookmarkEnd w:id="162"/>
      <w:bookmarkEnd w:id="163"/>
    </w:p>
    <w:p w14:paraId="0D8095B4" w14:textId="77777777" w:rsidR="004A7A26" w:rsidRDefault="004A7A26" w:rsidP="000F043E">
      <w:pPr>
        <w:pStyle w:val="Normal2"/>
        <w:shd w:val="clear" w:color="auto" w:fill="DEEAF6" w:themeFill="accent5" w:themeFillTint="33"/>
      </w:pPr>
      <w:r>
        <w:t>Regional policy statements must be prepared in accordance with ORC’s functions as set out in section 30 of the RMA.</w:t>
      </w:r>
      <w:r>
        <w:rPr>
          <w:rStyle w:val="FootnoteReference"/>
        </w:rPr>
        <w:footnoteReference w:id="55"/>
      </w:r>
      <w:r>
        <w:t xml:space="preserve"> Most of these functions relate to the control of the coastal marine </w:t>
      </w:r>
      <w:r>
        <w:lastRenderedPageBreak/>
        <w:t>area, water take and use, and discharges to air, water and land and are more relevant for regional plans than policy statements.</w:t>
      </w:r>
      <w:r>
        <w:rPr>
          <w:rStyle w:val="FootnoteReference"/>
        </w:rPr>
        <w:footnoteReference w:id="56"/>
      </w:r>
      <w:r>
        <w:t xml:space="preserve"> The functions which are more applicable to regional policy statements are: </w:t>
      </w:r>
    </w:p>
    <w:p w14:paraId="18FBC2EE" w14:textId="77777777" w:rsidR="004A7A26" w:rsidRDefault="004A7A26" w:rsidP="000F043E">
      <w:pPr>
        <w:pStyle w:val="Normal3"/>
        <w:shd w:val="clear" w:color="auto" w:fill="DEEAF6" w:themeFill="accent5" w:themeFillTint="33"/>
      </w:pPr>
      <w:r>
        <w:t xml:space="preserve">establishing, </w:t>
      </w:r>
      <w:proofErr w:type="gramStart"/>
      <w:r>
        <w:t>implementing</w:t>
      </w:r>
      <w:proofErr w:type="gramEnd"/>
      <w:r>
        <w:t xml:space="preserve"> and reviewing objectives, policies, and methods to achieve integrated management of the natural and physical resources of the region;</w:t>
      </w:r>
      <w:r>
        <w:rPr>
          <w:rStyle w:val="FootnoteReference"/>
        </w:rPr>
        <w:footnoteReference w:id="57"/>
      </w:r>
      <w:r w:rsidRPr="009E2A36">
        <w:rPr>
          <w:vertAlign w:val="superscript"/>
        </w:rPr>
        <w:t xml:space="preserve"> </w:t>
      </w:r>
    </w:p>
    <w:p w14:paraId="0D71E235" w14:textId="77777777" w:rsidR="004A7A26" w:rsidRDefault="004A7A26" w:rsidP="000F043E">
      <w:pPr>
        <w:pStyle w:val="Normal3"/>
        <w:shd w:val="clear" w:color="auto" w:fill="DEEAF6" w:themeFill="accent5" w:themeFillTint="33"/>
      </w:pPr>
      <w:r>
        <w:t>preparing objectives and policies in relation to any actual or potential effects of the use, development or protection of land which are of regional significance;</w:t>
      </w:r>
      <w:r>
        <w:rPr>
          <w:rStyle w:val="FootnoteReference"/>
        </w:rPr>
        <w:footnoteReference w:id="58"/>
      </w:r>
    </w:p>
    <w:p w14:paraId="64FFB224" w14:textId="77777777" w:rsidR="004A7A26" w:rsidRDefault="004A7A26" w:rsidP="000F043E">
      <w:pPr>
        <w:pStyle w:val="Normal3"/>
        <w:shd w:val="clear" w:color="auto" w:fill="DEEAF6" w:themeFill="accent5" w:themeFillTint="33"/>
      </w:pPr>
      <w:r>
        <w:t xml:space="preserve">establishing, </w:t>
      </w:r>
      <w:proofErr w:type="gramStart"/>
      <w:r>
        <w:t>implementing</w:t>
      </w:r>
      <w:proofErr w:type="gramEnd"/>
      <w:r>
        <w:t xml:space="preserve"> and reviewing objectives, policies and methods to ensure that there is sufficient development capacity in relation to housing and business land to meet the expected demands of the region;</w:t>
      </w:r>
      <w:r>
        <w:rPr>
          <w:rStyle w:val="FootnoteReference"/>
        </w:rPr>
        <w:footnoteReference w:id="59"/>
      </w:r>
    </w:p>
    <w:p w14:paraId="4061F355" w14:textId="77777777" w:rsidR="004A7A26" w:rsidRDefault="004A7A26" w:rsidP="000F043E">
      <w:pPr>
        <w:pStyle w:val="Normal3"/>
        <w:shd w:val="clear" w:color="auto" w:fill="DEEAF6" w:themeFill="accent5" w:themeFillTint="33"/>
      </w:pPr>
      <w:r>
        <w:t xml:space="preserve">establishing, </w:t>
      </w:r>
      <w:proofErr w:type="gramStart"/>
      <w:r>
        <w:t>implementing</w:t>
      </w:r>
      <w:proofErr w:type="gramEnd"/>
      <w:r>
        <w:t xml:space="preserve"> and reviewing objectives, policies and methods for maintaining indigenous biodiversity;</w:t>
      </w:r>
      <w:r>
        <w:rPr>
          <w:rStyle w:val="FootnoteReference"/>
        </w:rPr>
        <w:footnoteReference w:id="60"/>
      </w:r>
      <w:r w:rsidRPr="009E2A36">
        <w:rPr>
          <w:vertAlign w:val="superscript"/>
        </w:rPr>
        <w:t xml:space="preserve"> </w:t>
      </w:r>
      <w:r>
        <w:t>and</w:t>
      </w:r>
    </w:p>
    <w:p w14:paraId="08C0DF12" w14:textId="77777777" w:rsidR="004A7A26" w:rsidRDefault="004A7A26" w:rsidP="000F043E">
      <w:pPr>
        <w:pStyle w:val="Normal3"/>
        <w:shd w:val="clear" w:color="auto" w:fill="DEEAF6" w:themeFill="accent5" w:themeFillTint="33"/>
      </w:pPr>
      <w:r>
        <w:t xml:space="preserve">strategic integration of infrastructure with land use through objectives, </w:t>
      </w:r>
      <w:proofErr w:type="gramStart"/>
      <w:r>
        <w:t>policies</w:t>
      </w:r>
      <w:proofErr w:type="gramEnd"/>
      <w:r>
        <w:t xml:space="preserve"> and methods.</w:t>
      </w:r>
      <w:r>
        <w:rPr>
          <w:rStyle w:val="FootnoteReference"/>
        </w:rPr>
        <w:footnoteReference w:id="61"/>
      </w:r>
    </w:p>
    <w:p w14:paraId="6A3A6B2F" w14:textId="77777777" w:rsidR="004A7A26" w:rsidRDefault="004A7A26" w:rsidP="000F043E">
      <w:pPr>
        <w:pStyle w:val="Normal2"/>
        <w:shd w:val="clear" w:color="auto" w:fill="DEEAF6" w:themeFill="accent5" w:themeFillTint="33"/>
      </w:pPr>
      <w:r>
        <w:t>The provisions of the PORPS 2021 are within the scope of ORC’s functions as set out in section 30.</w:t>
      </w:r>
    </w:p>
    <w:p w14:paraId="5E2EEC5F" w14:textId="77777777" w:rsidR="004A7A26" w:rsidRDefault="004A7A26" w:rsidP="00CB405E">
      <w:pPr>
        <w:pStyle w:val="Heading2"/>
      </w:pPr>
      <w:bookmarkStart w:id="164" w:name="_Toc52780469"/>
      <w:bookmarkStart w:id="165" w:name="_Toc72507651"/>
      <w:r>
        <w:t>New Zealand Coastal Policy Statement 2010 (NZCPS)</w:t>
      </w:r>
      <w:bookmarkEnd w:id="164"/>
      <w:bookmarkEnd w:id="165"/>
    </w:p>
    <w:p w14:paraId="492EF3D8" w14:textId="77777777" w:rsidR="004A7A26" w:rsidRDefault="004A7A26" w:rsidP="00A247C5">
      <w:pPr>
        <w:pStyle w:val="Normal2"/>
      </w:pPr>
      <w:r>
        <w:t>Under section 61(</w:t>
      </w:r>
      <w:proofErr w:type="gramStart"/>
      <w:r>
        <w:t>1)(</w:t>
      </w:r>
      <w:proofErr w:type="gramEnd"/>
      <w:r>
        <w:t xml:space="preserve">da) of the RMA, regional policy statements must be prepared in accordance with a New Zealand Coastal Policy Statement. The relevant version for the PORPS 2021 is the New Zealand Coastal Policy Statement 2010 (NZCPS). The NZCPS sets out how the purpose of the RMA will be achieved in relation to the coastal environment and contains a range of policies, including some that are highly directive. The implementation of the NZCPS and </w:t>
      </w:r>
      <w:proofErr w:type="gramStart"/>
      <w:r>
        <w:t>in particular how</w:t>
      </w:r>
      <w:proofErr w:type="gramEnd"/>
      <w:r>
        <w:t xml:space="preserve"> it is to be implemented by local authorities has been the subject of a large body of case law.</w:t>
      </w:r>
    </w:p>
    <w:p w14:paraId="294D7E8F" w14:textId="749C3507" w:rsidR="004A7A26" w:rsidRDefault="004A7A26" w:rsidP="00A247C5">
      <w:pPr>
        <w:pStyle w:val="Normal2"/>
      </w:pPr>
      <w:r>
        <w:fldChar w:fldCharType="begin"/>
      </w:r>
      <w:r>
        <w:instrText xml:space="preserve"> REF _Ref63333996 \h  \* MERGEFORMAT </w:instrText>
      </w:r>
      <w:r>
        <w:fldChar w:fldCharType="separate"/>
      </w:r>
      <w:r w:rsidR="002A7A16">
        <w:t xml:space="preserve">Table </w:t>
      </w:r>
      <w:r w:rsidR="002A7A16">
        <w:rPr>
          <w:noProof/>
        </w:rPr>
        <w:t>68</w:t>
      </w:r>
      <w:r>
        <w:fldChar w:fldCharType="end"/>
      </w:r>
      <w:r>
        <w:t xml:space="preserve"> below provides an assessment of the PORPS 2021 against the NZCPS provisions that are relevant.</w:t>
      </w:r>
    </w:p>
    <w:p w14:paraId="1CFD0CAB" w14:textId="5E15A097" w:rsidR="004A7A26" w:rsidRDefault="004A7A26" w:rsidP="004A7A26">
      <w:pPr>
        <w:pStyle w:val="Caption"/>
        <w:ind w:left="709"/>
      </w:pPr>
      <w:bookmarkStart w:id="166" w:name="_Ref63333996"/>
      <w:r>
        <w:t xml:space="preserve">Table </w:t>
      </w:r>
      <w:r>
        <w:fldChar w:fldCharType="begin"/>
      </w:r>
      <w:r>
        <w:instrText>SEQ Table \* ARABIC</w:instrText>
      </w:r>
      <w:r>
        <w:fldChar w:fldCharType="separate"/>
      </w:r>
      <w:r w:rsidR="002A7A16">
        <w:rPr>
          <w:noProof/>
        </w:rPr>
        <w:t>68</w:t>
      </w:r>
      <w:r>
        <w:fldChar w:fldCharType="end"/>
      </w:r>
      <w:bookmarkEnd w:id="166"/>
      <w:r>
        <w:t>: Assessment against NZCPS</w:t>
      </w:r>
    </w:p>
    <w:tbl>
      <w:tblPr>
        <w:tblStyle w:val="TableGrid"/>
        <w:tblW w:w="0" w:type="auto"/>
        <w:tblInd w:w="720" w:type="dxa"/>
        <w:tblLook w:val="04A0" w:firstRow="1" w:lastRow="0" w:firstColumn="1" w:lastColumn="0" w:noHBand="0" w:noVBand="1"/>
      </w:tblPr>
      <w:tblGrid>
        <w:gridCol w:w="1402"/>
        <w:gridCol w:w="6894"/>
      </w:tblGrid>
      <w:tr w:rsidR="004A7A26" w14:paraId="3DE99D81"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2DBB1FF" w14:textId="77777777" w:rsidR="004A7A26" w:rsidRDefault="004A7A26" w:rsidP="00A247C5">
            <w:pPr>
              <w:pStyle w:val="Table1"/>
            </w:pPr>
            <w:r>
              <w:t>Provision(s)</w:t>
            </w:r>
          </w:p>
        </w:tc>
        <w:tc>
          <w:tcPr>
            <w:tcW w:w="6894" w:type="dxa"/>
            <w:tcBorders>
              <w:top w:val="single" w:sz="4" w:space="0" w:color="auto"/>
              <w:left w:val="single" w:sz="4" w:space="0" w:color="auto"/>
              <w:bottom w:val="single" w:sz="4" w:space="0" w:color="auto"/>
              <w:right w:val="single" w:sz="4" w:space="0" w:color="auto"/>
            </w:tcBorders>
            <w:hideMark/>
          </w:tcPr>
          <w:p w14:paraId="31484E1E" w14:textId="77777777" w:rsidR="004A7A26" w:rsidRDefault="004A7A26" w:rsidP="00A247C5">
            <w:pPr>
              <w:pStyle w:val="Table1"/>
            </w:pPr>
            <w:r>
              <w:t>Assessment</w:t>
            </w:r>
          </w:p>
        </w:tc>
      </w:tr>
      <w:tr w:rsidR="004A7A26" w14:paraId="07783EA9"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64C3814" w14:textId="77777777" w:rsidR="004A7A26" w:rsidRDefault="004A7A26" w:rsidP="00A247C5">
            <w:pPr>
              <w:pStyle w:val="Table1"/>
            </w:pPr>
            <w:r>
              <w:t>Objective 1</w:t>
            </w:r>
          </w:p>
        </w:tc>
        <w:tc>
          <w:tcPr>
            <w:tcW w:w="6894" w:type="dxa"/>
            <w:tcBorders>
              <w:top w:val="single" w:sz="4" w:space="0" w:color="auto"/>
              <w:left w:val="single" w:sz="4" w:space="0" w:color="auto"/>
              <w:bottom w:val="single" w:sz="4" w:space="0" w:color="auto"/>
              <w:right w:val="single" w:sz="4" w:space="0" w:color="auto"/>
            </w:tcBorders>
            <w:hideMark/>
          </w:tcPr>
          <w:p w14:paraId="7510256A" w14:textId="77777777" w:rsidR="004A7A26" w:rsidRDefault="004A7A26" w:rsidP="00A247C5">
            <w:pPr>
              <w:pStyle w:val="Table1"/>
            </w:pPr>
            <w:r>
              <w:t xml:space="preserve">Objective 1 seeks to safeguard the integrity, form, functioning and resilience of the coastal environment. IM-O1, IM-O3, IM-04, ECO-O1 and CE-O2 give effect to this objective.  </w:t>
            </w:r>
          </w:p>
        </w:tc>
      </w:tr>
      <w:tr w:rsidR="004A7A26" w14:paraId="41B7D8F6"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2B088348" w14:textId="77777777" w:rsidR="004A7A26" w:rsidRDefault="004A7A26" w:rsidP="00A247C5">
            <w:pPr>
              <w:pStyle w:val="Table1"/>
            </w:pPr>
            <w:r>
              <w:t>Objective 2</w:t>
            </w:r>
          </w:p>
        </w:tc>
        <w:tc>
          <w:tcPr>
            <w:tcW w:w="6894" w:type="dxa"/>
            <w:tcBorders>
              <w:top w:val="single" w:sz="4" w:space="0" w:color="auto"/>
              <w:left w:val="single" w:sz="4" w:space="0" w:color="auto"/>
              <w:bottom w:val="single" w:sz="4" w:space="0" w:color="auto"/>
              <w:right w:val="single" w:sz="4" w:space="0" w:color="auto"/>
            </w:tcBorders>
            <w:hideMark/>
          </w:tcPr>
          <w:p w14:paraId="00A1293E" w14:textId="77777777" w:rsidR="004A7A26" w:rsidRDefault="004A7A26" w:rsidP="00A247C5">
            <w:pPr>
              <w:pStyle w:val="Table1"/>
            </w:pPr>
            <w:r>
              <w:t>Objective 2 recognises the importance of preserving the natural character of the CMA and the protection of natural features and landscapes. IM-O1CE-O1, CE-P2, CE-P4, and CE-P6 give effect to this objective.</w:t>
            </w:r>
          </w:p>
        </w:tc>
      </w:tr>
      <w:tr w:rsidR="004A7A26" w14:paraId="28E27BA5"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50B1A01" w14:textId="77777777" w:rsidR="004A7A26" w:rsidRDefault="004A7A26" w:rsidP="00A247C5">
            <w:pPr>
              <w:pStyle w:val="Table1"/>
            </w:pPr>
            <w:r>
              <w:t>Objective 3</w:t>
            </w:r>
          </w:p>
        </w:tc>
        <w:tc>
          <w:tcPr>
            <w:tcW w:w="6894" w:type="dxa"/>
            <w:tcBorders>
              <w:top w:val="single" w:sz="4" w:space="0" w:color="auto"/>
              <w:left w:val="single" w:sz="4" w:space="0" w:color="auto"/>
              <w:bottom w:val="single" w:sz="4" w:space="0" w:color="auto"/>
              <w:right w:val="single" w:sz="4" w:space="0" w:color="auto"/>
            </w:tcBorders>
            <w:hideMark/>
          </w:tcPr>
          <w:p w14:paraId="55F165FD" w14:textId="77777777" w:rsidR="004A7A26" w:rsidRDefault="004A7A26" w:rsidP="00A247C5">
            <w:pPr>
              <w:pStyle w:val="Table1"/>
            </w:pPr>
            <w:r>
              <w:t xml:space="preserve">Objective 3 requires that the principles of Te </w:t>
            </w:r>
            <w:proofErr w:type="spellStart"/>
            <w:r>
              <w:t>Tiriti</w:t>
            </w:r>
            <w:proofErr w:type="spellEnd"/>
            <w:r>
              <w:t xml:space="preserve"> o Waitangi are </w:t>
            </w:r>
            <w:proofErr w:type="gramStart"/>
            <w:r>
              <w:t>taken into account</w:t>
            </w:r>
            <w:proofErr w:type="gramEnd"/>
            <w:r>
              <w:t xml:space="preserve">, the role of tangata whenua as kaitiaki is recognised, and tangata whenua </w:t>
            </w:r>
            <w:r>
              <w:lastRenderedPageBreak/>
              <w:t>involvement in management of the coastal environment is provided for. MW-O1, IM-O1, IM-P3, IM-M2, CE-O2, CE-O3 and CE-P3 give effect to this objective.</w:t>
            </w:r>
          </w:p>
        </w:tc>
      </w:tr>
      <w:tr w:rsidR="004A7A26" w14:paraId="777C560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13AE2F87" w14:textId="77777777" w:rsidR="004A7A26" w:rsidRDefault="004A7A26" w:rsidP="00A247C5">
            <w:pPr>
              <w:pStyle w:val="Table1"/>
            </w:pPr>
            <w:r>
              <w:lastRenderedPageBreak/>
              <w:t>Objective 4</w:t>
            </w:r>
          </w:p>
        </w:tc>
        <w:tc>
          <w:tcPr>
            <w:tcW w:w="6894" w:type="dxa"/>
            <w:tcBorders>
              <w:top w:val="single" w:sz="4" w:space="0" w:color="auto"/>
              <w:left w:val="single" w:sz="4" w:space="0" w:color="auto"/>
              <w:bottom w:val="single" w:sz="4" w:space="0" w:color="auto"/>
              <w:right w:val="single" w:sz="4" w:space="0" w:color="auto"/>
            </w:tcBorders>
            <w:hideMark/>
          </w:tcPr>
          <w:p w14:paraId="1C620591" w14:textId="77777777" w:rsidR="004A7A26" w:rsidRDefault="004A7A26" w:rsidP="00A247C5">
            <w:pPr>
              <w:pStyle w:val="Table1"/>
            </w:pPr>
            <w:r>
              <w:t xml:space="preserve">Objective 4 relates to the maintenance and enhancement of the public open space qualities and recreation opportunities of the coastal environment. IM-O1, CE-O3, CE-P7, CE-P8 and CE-P9 give effect to this objective. </w:t>
            </w:r>
          </w:p>
        </w:tc>
      </w:tr>
      <w:tr w:rsidR="004A7A26" w14:paraId="0C045D28"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77FC4564" w14:textId="77777777" w:rsidR="004A7A26" w:rsidRDefault="004A7A26" w:rsidP="00A247C5">
            <w:pPr>
              <w:pStyle w:val="Table1"/>
            </w:pPr>
            <w:r>
              <w:t>Objective 5</w:t>
            </w:r>
          </w:p>
        </w:tc>
        <w:tc>
          <w:tcPr>
            <w:tcW w:w="6894" w:type="dxa"/>
            <w:tcBorders>
              <w:top w:val="single" w:sz="4" w:space="0" w:color="auto"/>
              <w:left w:val="single" w:sz="4" w:space="0" w:color="auto"/>
              <w:bottom w:val="single" w:sz="4" w:space="0" w:color="auto"/>
              <w:right w:val="single" w:sz="4" w:space="0" w:color="auto"/>
            </w:tcBorders>
            <w:hideMark/>
          </w:tcPr>
          <w:p w14:paraId="23FF1639" w14:textId="77777777" w:rsidR="004A7A26" w:rsidRDefault="004A7A26" w:rsidP="00A247C5">
            <w:pPr>
              <w:pStyle w:val="Table1"/>
            </w:pPr>
            <w:r>
              <w:t xml:space="preserve">Objective 5 seeks to ensure that coastal hazard risks </w:t>
            </w:r>
            <w:proofErr w:type="gramStart"/>
            <w:r>
              <w:t>take into account</w:t>
            </w:r>
            <w:proofErr w:type="gramEnd"/>
            <w:r>
              <w:t xml:space="preserve"> climate change and are managed appropriately. IM-O1, HAZ-NH-O1 and HAZ-NH-P11 give effect to this objective. </w:t>
            </w:r>
          </w:p>
        </w:tc>
      </w:tr>
      <w:tr w:rsidR="004A7A26" w14:paraId="5B2DF9BC"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1E766FD8" w14:textId="77777777" w:rsidR="004A7A26" w:rsidRDefault="004A7A26" w:rsidP="00A247C5">
            <w:pPr>
              <w:pStyle w:val="Table1"/>
            </w:pPr>
            <w:r>
              <w:t>Objective 6</w:t>
            </w:r>
          </w:p>
        </w:tc>
        <w:tc>
          <w:tcPr>
            <w:tcW w:w="6894" w:type="dxa"/>
            <w:tcBorders>
              <w:top w:val="single" w:sz="4" w:space="0" w:color="auto"/>
              <w:left w:val="single" w:sz="4" w:space="0" w:color="auto"/>
              <w:bottom w:val="single" w:sz="4" w:space="0" w:color="auto"/>
              <w:right w:val="single" w:sz="4" w:space="0" w:color="auto"/>
            </w:tcBorders>
            <w:hideMark/>
          </w:tcPr>
          <w:p w14:paraId="40AD80AB" w14:textId="77777777" w:rsidR="004A7A26" w:rsidRDefault="004A7A26" w:rsidP="00A247C5">
            <w:pPr>
              <w:pStyle w:val="Table1"/>
            </w:pPr>
            <w:r>
              <w:t xml:space="preserve">Objective 6 seeks to enable people and communities to provide for their social, </w:t>
            </w:r>
            <w:proofErr w:type="gramStart"/>
            <w:r>
              <w:t>economic</w:t>
            </w:r>
            <w:proofErr w:type="gramEnd"/>
            <w:r>
              <w:t xml:space="preserve"> and cultural wellbeing and their health and safety through subdivision, use and development. IM-O1, IM-P3, IM-M2, CE-O3, CE-P8, CE-P9, CE-10, CE-11 and CE-P12 give effect to this objective.</w:t>
            </w:r>
          </w:p>
        </w:tc>
      </w:tr>
      <w:tr w:rsidR="004A7A26" w14:paraId="0D385CCD"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DD2846E" w14:textId="77777777" w:rsidR="004A7A26" w:rsidRDefault="004A7A26" w:rsidP="00A247C5">
            <w:pPr>
              <w:pStyle w:val="Table1"/>
            </w:pPr>
            <w:r>
              <w:t>Objective 7</w:t>
            </w:r>
          </w:p>
        </w:tc>
        <w:tc>
          <w:tcPr>
            <w:tcW w:w="6894" w:type="dxa"/>
            <w:tcBorders>
              <w:top w:val="single" w:sz="4" w:space="0" w:color="auto"/>
              <w:left w:val="single" w:sz="4" w:space="0" w:color="auto"/>
              <w:bottom w:val="single" w:sz="4" w:space="0" w:color="auto"/>
              <w:right w:val="single" w:sz="4" w:space="0" w:color="auto"/>
            </w:tcBorders>
            <w:hideMark/>
          </w:tcPr>
          <w:p w14:paraId="602F2F59" w14:textId="77777777" w:rsidR="004A7A26" w:rsidRDefault="004A7A26" w:rsidP="00A247C5">
            <w:pPr>
              <w:pStyle w:val="Table1"/>
            </w:pPr>
            <w:r>
              <w:t>Objective 7 seeks to ensure that management of the coastal environment recognises and provides for New Zealand’s international obligations. This objective is broadly given effect to in the Coastal Environment chapter.</w:t>
            </w:r>
          </w:p>
        </w:tc>
      </w:tr>
      <w:tr w:rsidR="004A7A26" w14:paraId="61F810CE"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64CD46D" w14:textId="77777777" w:rsidR="004A7A26" w:rsidRDefault="004A7A26" w:rsidP="00A247C5">
            <w:pPr>
              <w:pStyle w:val="Table1"/>
            </w:pPr>
            <w:r>
              <w:t>Policy 1</w:t>
            </w:r>
          </w:p>
        </w:tc>
        <w:tc>
          <w:tcPr>
            <w:tcW w:w="6894" w:type="dxa"/>
            <w:tcBorders>
              <w:top w:val="single" w:sz="4" w:space="0" w:color="auto"/>
              <w:left w:val="single" w:sz="4" w:space="0" w:color="auto"/>
              <w:bottom w:val="single" w:sz="4" w:space="0" w:color="auto"/>
              <w:right w:val="single" w:sz="4" w:space="0" w:color="auto"/>
            </w:tcBorders>
            <w:hideMark/>
          </w:tcPr>
          <w:p w14:paraId="0C7E3D08" w14:textId="77777777" w:rsidR="004A7A26" w:rsidRDefault="004A7A26" w:rsidP="00A247C5">
            <w:pPr>
              <w:pStyle w:val="Table1"/>
            </w:pPr>
            <w:r>
              <w:t xml:space="preserve">Policy 1 is given effect to by CE-2 and CE-M1 which direct that the landward extent of the coastal environment be identified.  </w:t>
            </w:r>
          </w:p>
        </w:tc>
      </w:tr>
      <w:tr w:rsidR="004A7A26" w14:paraId="107A0C5F"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4A991D2" w14:textId="77777777" w:rsidR="004A7A26" w:rsidRDefault="004A7A26" w:rsidP="00A247C5">
            <w:pPr>
              <w:pStyle w:val="Table1"/>
            </w:pPr>
            <w:r>
              <w:t>Policy 2</w:t>
            </w:r>
          </w:p>
        </w:tc>
        <w:tc>
          <w:tcPr>
            <w:tcW w:w="6894" w:type="dxa"/>
            <w:tcBorders>
              <w:top w:val="single" w:sz="4" w:space="0" w:color="auto"/>
              <w:left w:val="single" w:sz="4" w:space="0" w:color="auto"/>
              <w:bottom w:val="single" w:sz="4" w:space="0" w:color="auto"/>
              <w:right w:val="single" w:sz="4" w:space="0" w:color="auto"/>
            </w:tcBorders>
            <w:hideMark/>
          </w:tcPr>
          <w:p w14:paraId="784BD6BD" w14:textId="77777777" w:rsidR="004A7A26" w:rsidRDefault="004A7A26" w:rsidP="00A247C5">
            <w:pPr>
              <w:pStyle w:val="Table1"/>
            </w:pPr>
            <w:r>
              <w:t xml:space="preserve">Policy 2 requires that the principles of Te </w:t>
            </w:r>
            <w:proofErr w:type="spellStart"/>
            <w:r>
              <w:t>Tiriti</w:t>
            </w:r>
            <w:proofErr w:type="spellEnd"/>
            <w:r>
              <w:t xml:space="preserve"> o Waitangi and </w:t>
            </w:r>
            <w:proofErr w:type="spellStart"/>
            <w:r>
              <w:t>kaitiakitanga</w:t>
            </w:r>
            <w:proofErr w:type="spellEnd"/>
            <w:r>
              <w:t xml:space="preserve"> are </w:t>
            </w:r>
            <w:proofErr w:type="gramStart"/>
            <w:r>
              <w:t>taken into account</w:t>
            </w:r>
            <w:proofErr w:type="gramEnd"/>
            <w:r>
              <w:t xml:space="preserve"> in relation to the coastal environment. This policy is given effect to by MW-P1, MW-P2, CE-O2, CE-O3 and CE-P3. </w:t>
            </w:r>
          </w:p>
        </w:tc>
      </w:tr>
      <w:tr w:rsidR="004A7A26" w14:paraId="7046D5A3"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53947CB" w14:textId="77777777" w:rsidR="004A7A26" w:rsidRDefault="004A7A26" w:rsidP="00A247C5">
            <w:pPr>
              <w:pStyle w:val="Table1"/>
            </w:pPr>
            <w:r>
              <w:t>Policy 3</w:t>
            </w:r>
          </w:p>
        </w:tc>
        <w:tc>
          <w:tcPr>
            <w:tcW w:w="6894" w:type="dxa"/>
            <w:tcBorders>
              <w:top w:val="single" w:sz="4" w:space="0" w:color="auto"/>
              <w:left w:val="single" w:sz="4" w:space="0" w:color="auto"/>
              <w:bottom w:val="single" w:sz="4" w:space="0" w:color="auto"/>
              <w:right w:val="single" w:sz="4" w:space="0" w:color="auto"/>
            </w:tcBorders>
            <w:hideMark/>
          </w:tcPr>
          <w:p w14:paraId="718401D2" w14:textId="77777777" w:rsidR="004A7A26" w:rsidRDefault="004A7A26" w:rsidP="00A247C5">
            <w:pPr>
              <w:pStyle w:val="Table1"/>
            </w:pPr>
            <w:r>
              <w:t xml:space="preserve">Policy 3 is given effect to by IM-P14 which requires a precautionary approach be adopted towards proposed activities whose effects are uncertain, </w:t>
            </w:r>
            <w:proofErr w:type="gramStart"/>
            <w:r>
              <w:t>unknown</w:t>
            </w:r>
            <w:proofErr w:type="gramEnd"/>
            <w:r>
              <w:t xml:space="preserve"> or little understood, but could be significantly adverse. </w:t>
            </w:r>
          </w:p>
        </w:tc>
      </w:tr>
      <w:tr w:rsidR="004A7A26" w14:paraId="3215C13B"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87ED442" w14:textId="77777777" w:rsidR="004A7A26" w:rsidRDefault="004A7A26" w:rsidP="00A247C5">
            <w:pPr>
              <w:pStyle w:val="Table1"/>
            </w:pPr>
            <w:r>
              <w:t>Policy 4</w:t>
            </w:r>
          </w:p>
        </w:tc>
        <w:tc>
          <w:tcPr>
            <w:tcW w:w="6894" w:type="dxa"/>
            <w:tcBorders>
              <w:top w:val="single" w:sz="4" w:space="0" w:color="auto"/>
              <w:left w:val="single" w:sz="4" w:space="0" w:color="auto"/>
              <w:bottom w:val="single" w:sz="4" w:space="0" w:color="auto"/>
              <w:right w:val="single" w:sz="4" w:space="0" w:color="auto"/>
            </w:tcBorders>
            <w:hideMark/>
          </w:tcPr>
          <w:p w14:paraId="64A1E687" w14:textId="77777777" w:rsidR="004A7A26" w:rsidRDefault="004A7A26" w:rsidP="00A247C5">
            <w:pPr>
              <w:pStyle w:val="Table1"/>
            </w:pPr>
            <w:r>
              <w:t>Policy 4 relates to providing for integrated management in the coastal environment. This policy is given effect to by IM-P4, IM-P5 and IM-M2. Policy 1 will largely be achieved through the implementation of the RPS.</w:t>
            </w:r>
          </w:p>
        </w:tc>
      </w:tr>
      <w:tr w:rsidR="004A7A26" w14:paraId="47DADC2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7A2B566" w14:textId="77777777" w:rsidR="004A7A26" w:rsidRDefault="004A7A26" w:rsidP="00A247C5">
            <w:pPr>
              <w:pStyle w:val="Table1"/>
            </w:pPr>
            <w:r>
              <w:t>Policy 5</w:t>
            </w:r>
          </w:p>
        </w:tc>
        <w:tc>
          <w:tcPr>
            <w:tcW w:w="6894" w:type="dxa"/>
            <w:tcBorders>
              <w:top w:val="single" w:sz="4" w:space="0" w:color="auto"/>
              <w:left w:val="single" w:sz="4" w:space="0" w:color="auto"/>
              <w:bottom w:val="single" w:sz="4" w:space="0" w:color="auto"/>
              <w:right w:val="single" w:sz="4" w:space="0" w:color="auto"/>
            </w:tcBorders>
            <w:hideMark/>
          </w:tcPr>
          <w:p w14:paraId="0815D00B" w14:textId="77777777" w:rsidR="004A7A26" w:rsidRDefault="004A7A26" w:rsidP="00A247C5">
            <w:pPr>
              <w:pStyle w:val="Table1"/>
            </w:pPr>
            <w:r>
              <w:t>Policy 5 requires the consideration of effects on land or waters in the coastal environment held or managed under other acts. This policy is given effect to through the implementation of the RPS within the Coastal Plan.</w:t>
            </w:r>
          </w:p>
        </w:tc>
      </w:tr>
      <w:tr w:rsidR="004A7A26" w14:paraId="13858EE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23BEFA6" w14:textId="77777777" w:rsidR="004A7A26" w:rsidRDefault="004A7A26" w:rsidP="00A247C5">
            <w:pPr>
              <w:pStyle w:val="Table1"/>
            </w:pPr>
            <w:r>
              <w:t>Policy 6</w:t>
            </w:r>
          </w:p>
        </w:tc>
        <w:tc>
          <w:tcPr>
            <w:tcW w:w="6894" w:type="dxa"/>
            <w:tcBorders>
              <w:top w:val="single" w:sz="4" w:space="0" w:color="auto"/>
              <w:left w:val="single" w:sz="4" w:space="0" w:color="auto"/>
              <w:bottom w:val="single" w:sz="4" w:space="0" w:color="auto"/>
              <w:right w:val="single" w:sz="4" w:space="0" w:color="auto"/>
            </w:tcBorders>
            <w:hideMark/>
          </w:tcPr>
          <w:p w14:paraId="40659157" w14:textId="77777777" w:rsidR="004A7A26" w:rsidRDefault="004A7A26" w:rsidP="00A247C5">
            <w:pPr>
              <w:pStyle w:val="Table1"/>
            </w:pPr>
            <w:r>
              <w:t>Policy 6 directs consideration of certain matters in relation to activities affecting the coastal environment and the CMA. EIT-INF-O6, EIT-INF-P11, EIT-INF-P14, EIT-EN-O4, CE-O1</w:t>
            </w:r>
            <w:proofErr w:type="gramStart"/>
            <w:r>
              <w:t>, ,</w:t>
            </w:r>
            <w:proofErr w:type="gramEnd"/>
            <w:r>
              <w:t xml:space="preserve"> CE-P9, CE-P10, and MW-P4 give effect to this policy.</w:t>
            </w:r>
          </w:p>
        </w:tc>
      </w:tr>
      <w:tr w:rsidR="004A7A26" w14:paraId="3155899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5C6D9CE" w14:textId="77777777" w:rsidR="004A7A26" w:rsidRDefault="004A7A26" w:rsidP="00A247C5">
            <w:pPr>
              <w:pStyle w:val="Table1"/>
            </w:pPr>
            <w:r>
              <w:t>Policy 7</w:t>
            </w:r>
          </w:p>
        </w:tc>
        <w:tc>
          <w:tcPr>
            <w:tcW w:w="6894" w:type="dxa"/>
            <w:tcBorders>
              <w:top w:val="single" w:sz="4" w:space="0" w:color="auto"/>
              <w:left w:val="single" w:sz="4" w:space="0" w:color="auto"/>
              <w:bottom w:val="single" w:sz="4" w:space="0" w:color="auto"/>
              <w:right w:val="single" w:sz="4" w:space="0" w:color="auto"/>
            </w:tcBorders>
            <w:hideMark/>
          </w:tcPr>
          <w:p w14:paraId="389E70AE" w14:textId="77777777" w:rsidR="004A7A26" w:rsidRDefault="004A7A26" w:rsidP="00A247C5">
            <w:pPr>
              <w:pStyle w:val="Table1"/>
            </w:pPr>
            <w:r>
              <w:t>Policy 7 relates to strategic planning matters in the coastal environment. IM-O1, IM-P4, IM-P12, IM-M1 CE-P9, CE-P10, CE-M2, CE-M3 and CE-M4 give effect to this policy.</w:t>
            </w:r>
          </w:p>
        </w:tc>
      </w:tr>
      <w:tr w:rsidR="004A7A26" w14:paraId="63C1002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98B6F05" w14:textId="77777777" w:rsidR="004A7A26" w:rsidRDefault="004A7A26" w:rsidP="00A247C5">
            <w:pPr>
              <w:pStyle w:val="Table1"/>
            </w:pPr>
            <w:r>
              <w:t>Policy 8</w:t>
            </w:r>
          </w:p>
        </w:tc>
        <w:tc>
          <w:tcPr>
            <w:tcW w:w="6894" w:type="dxa"/>
            <w:tcBorders>
              <w:top w:val="single" w:sz="4" w:space="0" w:color="auto"/>
              <w:left w:val="single" w:sz="4" w:space="0" w:color="auto"/>
              <w:bottom w:val="single" w:sz="4" w:space="0" w:color="auto"/>
              <w:right w:val="single" w:sz="4" w:space="0" w:color="auto"/>
            </w:tcBorders>
            <w:hideMark/>
          </w:tcPr>
          <w:p w14:paraId="352EE982" w14:textId="77777777" w:rsidR="004A7A26" w:rsidRDefault="004A7A26" w:rsidP="00A247C5">
            <w:pPr>
              <w:pStyle w:val="Table1"/>
            </w:pPr>
            <w:r>
              <w:t>Policy 8 is an activity specific policy relevant to aquaculture. CE-P3 and CE-P11 give effect to this policy.</w:t>
            </w:r>
          </w:p>
        </w:tc>
      </w:tr>
      <w:tr w:rsidR="004A7A26" w14:paraId="7F77C681"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7E2F055E" w14:textId="77777777" w:rsidR="004A7A26" w:rsidRDefault="004A7A26" w:rsidP="00A247C5">
            <w:pPr>
              <w:pStyle w:val="Table1"/>
            </w:pPr>
            <w:r>
              <w:t>Policy 9</w:t>
            </w:r>
          </w:p>
        </w:tc>
        <w:tc>
          <w:tcPr>
            <w:tcW w:w="6894" w:type="dxa"/>
            <w:tcBorders>
              <w:top w:val="single" w:sz="4" w:space="0" w:color="auto"/>
              <w:left w:val="single" w:sz="4" w:space="0" w:color="auto"/>
              <w:bottom w:val="single" w:sz="4" w:space="0" w:color="auto"/>
              <w:right w:val="single" w:sz="4" w:space="0" w:color="auto"/>
            </w:tcBorders>
            <w:hideMark/>
          </w:tcPr>
          <w:p w14:paraId="6CEDF25D" w14:textId="77777777" w:rsidR="004A7A26" w:rsidRDefault="004A7A26" w:rsidP="00A247C5">
            <w:pPr>
              <w:pStyle w:val="Table1"/>
            </w:pPr>
            <w:r>
              <w:t xml:space="preserve">Policy 9 recognises the importance of a network of safe ports as part of New Zealand’s national transport system. EIT–TRAN–O11 and EIT–TRAN–P23 give effect to this policy. </w:t>
            </w:r>
          </w:p>
        </w:tc>
      </w:tr>
      <w:tr w:rsidR="004A7A26" w14:paraId="1220FA96"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1073248" w14:textId="77777777" w:rsidR="004A7A26" w:rsidRDefault="004A7A26" w:rsidP="00A247C5">
            <w:pPr>
              <w:pStyle w:val="Table1"/>
            </w:pPr>
            <w:r>
              <w:t>Policy 10</w:t>
            </w:r>
          </w:p>
        </w:tc>
        <w:tc>
          <w:tcPr>
            <w:tcW w:w="6894" w:type="dxa"/>
            <w:tcBorders>
              <w:top w:val="single" w:sz="4" w:space="0" w:color="auto"/>
              <w:left w:val="single" w:sz="4" w:space="0" w:color="auto"/>
              <w:bottom w:val="single" w:sz="4" w:space="0" w:color="auto"/>
              <w:right w:val="single" w:sz="4" w:space="0" w:color="auto"/>
            </w:tcBorders>
            <w:hideMark/>
          </w:tcPr>
          <w:p w14:paraId="7C20D1E3" w14:textId="77777777" w:rsidR="004A7A26" w:rsidRDefault="004A7A26" w:rsidP="00A247C5">
            <w:pPr>
              <w:pStyle w:val="Table1"/>
            </w:pPr>
            <w:r>
              <w:t>Policy 10 relates to reclamation activities in the CMA. CE-P12 and CE-M3 give effect to this policy.</w:t>
            </w:r>
          </w:p>
        </w:tc>
      </w:tr>
      <w:tr w:rsidR="004A7A26" w14:paraId="0696A7DB"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163A0F8E" w14:textId="77777777" w:rsidR="004A7A26" w:rsidRDefault="004A7A26" w:rsidP="00A247C5">
            <w:pPr>
              <w:pStyle w:val="Table1"/>
            </w:pPr>
            <w:r>
              <w:t>Policy 11</w:t>
            </w:r>
          </w:p>
        </w:tc>
        <w:tc>
          <w:tcPr>
            <w:tcW w:w="6894" w:type="dxa"/>
            <w:tcBorders>
              <w:top w:val="single" w:sz="4" w:space="0" w:color="auto"/>
              <w:left w:val="single" w:sz="4" w:space="0" w:color="auto"/>
              <w:bottom w:val="single" w:sz="4" w:space="0" w:color="auto"/>
              <w:right w:val="single" w:sz="4" w:space="0" w:color="auto"/>
            </w:tcBorders>
            <w:hideMark/>
          </w:tcPr>
          <w:p w14:paraId="4C7383DE" w14:textId="77777777" w:rsidR="004A7A26" w:rsidRDefault="004A7A26" w:rsidP="00A247C5">
            <w:pPr>
              <w:pStyle w:val="Table1"/>
            </w:pPr>
            <w:r>
              <w:t>Policy 11 relates to the protection of indigenous biodiversity in the coastal environment. IM-O1, CE-O1, CE-P2 and CE-P5 give effect to this policy.</w:t>
            </w:r>
          </w:p>
        </w:tc>
      </w:tr>
      <w:tr w:rsidR="004A7A26" w14:paraId="4EAE6A23"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CB2259E" w14:textId="77777777" w:rsidR="004A7A26" w:rsidRDefault="004A7A26" w:rsidP="00A247C5">
            <w:pPr>
              <w:pStyle w:val="Table1"/>
            </w:pPr>
            <w:r>
              <w:t>Policy 12</w:t>
            </w:r>
          </w:p>
        </w:tc>
        <w:tc>
          <w:tcPr>
            <w:tcW w:w="6894" w:type="dxa"/>
            <w:tcBorders>
              <w:top w:val="single" w:sz="4" w:space="0" w:color="auto"/>
              <w:left w:val="single" w:sz="4" w:space="0" w:color="auto"/>
              <w:bottom w:val="single" w:sz="4" w:space="0" w:color="auto"/>
              <w:right w:val="single" w:sz="4" w:space="0" w:color="auto"/>
            </w:tcBorders>
            <w:hideMark/>
          </w:tcPr>
          <w:p w14:paraId="395A0CEB" w14:textId="77777777" w:rsidR="004A7A26" w:rsidRDefault="004A7A26" w:rsidP="00A247C5">
            <w:pPr>
              <w:pStyle w:val="Table1"/>
            </w:pPr>
            <w:r>
              <w:t>Policy 12 directs councils to control activities in or near the CMA that could have adverse effects on the coastal environment by causing harmful aquatic organisms to be released or otherwise spread. IM-O1, CE-O1, CE-O3 and CE-P10 give effect to this policy.</w:t>
            </w:r>
          </w:p>
        </w:tc>
      </w:tr>
      <w:tr w:rsidR="004A7A26" w14:paraId="2930B558"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142AA798" w14:textId="77777777" w:rsidR="004A7A26" w:rsidRDefault="004A7A26" w:rsidP="00A247C5">
            <w:pPr>
              <w:pStyle w:val="Table1"/>
            </w:pPr>
            <w:r>
              <w:lastRenderedPageBreak/>
              <w:t>Policy 13</w:t>
            </w:r>
          </w:p>
        </w:tc>
        <w:tc>
          <w:tcPr>
            <w:tcW w:w="6894" w:type="dxa"/>
            <w:tcBorders>
              <w:top w:val="single" w:sz="4" w:space="0" w:color="auto"/>
              <w:left w:val="single" w:sz="4" w:space="0" w:color="auto"/>
              <w:bottom w:val="single" w:sz="4" w:space="0" w:color="auto"/>
              <w:right w:val="single" w:sz="4" w:space="0" w:color="auto"/>
            </w:tcBorders>
            <w:hideMark/>
          </w:tcPr>
          <w:p w14:paraId="436C34C1" w14:textId="77777777" w:rsidR="004A7A26" w:rsidRDefault="004A7A26" w:rsidP="00A247C5">
            <w:pPr>
              <w:pStyle w:val="Table1"/>
            </w:pPr>
            <w:r>
              <w:t xml:space="preserve">Policy 13 relates to the preservation of the natural character of the coastal environment. IM-O1, CE-O1, CE-P2, CE-P4 and CE-M2 give effect to this policy.  </w:t>
            </w:r>
          </w:p>
        </w:tc>
      </w:tr>
      <w:tr w:rsidR="004A7A26" w14:paraId="2252CC3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CA9B3A8" w14:textId="77777777" w:rsidR="004A7A26" w:rsidRDefault="004A7A26" w:rsidP="00A247C5">
            <w:pPr>
              <w:pStyle w:val="Table1"/>
            </w:pPr>
            <w:r>
              <w:t>Policy 14</w:t>
            </w:r>
          </w:p>
        </w:tc>
        <w:tc>
          <w:tcPr>
            <w:tcW w:w="6894" w:type="dxa"/>
            <w:tcBorders>
              <w:top w:val="single" w:sz="4" w:space="0" w:color="auto"/>
              <w:left w:val="single" w:sz="4" w:space="0" w:color="auto"/>
              <w:bottom w:val="single" w:sz="4" w:space="0" w:color="auto"/>
              <w:right w:val="single" w:sz="4" w:space="0" w:color="auto"/>
            </w:tcBorders>
            <w:hideMark/>
          </w:tcPr>
          <w:p w14:paraId="255E00D6" w14:textId="77777777" w:rsidR="004A7A26" w:rsidRDefault="004A7A26" w:rsidP="00A247C5">
            <w:pPr>
              <w:pStyle w:val="Table1"/>
            </w:pPr>
            <w:r>
              <w:t xml:space="preserve">Policy 14 directs that restoration or rehabilitation of natural character in the coastal environment be promoted. IM-O1, CE-O1, CE-P2 and CE-P4 give effect to this policy.  </w:t>
            </w:r>
          </w:p>
        </w:tc>
      </w:tr>
      <w:tr w:rsidR="004A7A26" w14:paraId="0BBFF88E"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D701AFD" w14:textId="77777777" w:rsidR="004A7A26" w:rsidRDefault="004A7A26" w:rsidP="00A247C5">
            <w:pPr>
              <w:pStyle w:val="Table1"/>
            </w:pPr>
            <w:r>
              <w:t>Policy 15</w:t>
            </w:r>
          </w:p>
        </w:tc>
        <w:tc>
          <w:tcPr>
            <w:tcW w:w="6894" w:type="dxa"/>
            <w:tcBorders>
              <w:top w:val="single" w:sz="4" w:space="0" w:color="auto"/>
              <w:left w:val="single" w:sz="4" w:space="0" w:color="auto"/>
              <w:bottom w:val="single" w:sz="4" w:space="0" w:color="auto"/>
              <w:right w:val="single" w:sz="4" w:space="0" w:color="auto"/>
            </w:tcBorders>
            <w:hideMark/>
          </w:tcPr>
          <w:p w14:paraId="30C835AD" w14:textId="77777777" w:rsidR="004A7A26" w:rsidRDefault="004A7A26" w:rsidP="00A247C5">
            <w:pPr>
              <w:pStyle w:val="Table1"/>
            </w:pPr>
            <w:r>
              <w:t>Policy 15 requires that natural features and landscapes (including seascapes) of the coastal environment are protected from inappropriate subdivision, use and development. IM-O1, IM-O3, CE-O1, CE-P2, CE-P6 and CE–M2 give effect to this policy.</w:t>
            </w:r>
          </w:p>
        </w:tc>
      </w:tr>
      <w:tr w:rsidR="004A7A26" w14:paraId="12C79915"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EAF16BB" w14:textId="77777777" w:rsidR="004A7A26" w:rsidRDefault="004A7A26" w:rsidP="00A247C5">
            <w:pPr>
              <w:pStyle w:val="Table1"/>
            </w:pPr>
            <w:r>
              <w:t>Policy 16</w:t>
            </w:r>
          </w:p>
        </w:tc>
        <w:tc>
          <w:tcPr>
            <w:tcW w:w="6894" w:type="dxa"/>
            <w:tcBorders>
              <w:top w:val="single" w:sz="4" w:space="0" w:color="auto"/>
              <w:left w:val="single" w:sz="4" w:space="0" w:color="auto"/>
              <w:bottom w:val="single" w:sz="4" w:space="0" w:color="auto"/>
              <w:right w:val="single" w:sz="4" w:space="0" w:color="auto"/>
            </w:tcBorders>
            <w:hideMark/>
          </w:tcPr>
          <w:p w14:paraId="7E07F825" w14:textId="77777777" w:rsidR="004A7A26" w:rsidRDefault="004A7A26" w:rsidP="00A247C5">
            <w:pPr>
              <w:pStyle w:val="Table1"/>
            </w:pPr>
            <w:r>
              <w:t>Policy 16 requires the protection of surf breaks of national significance. CE-P2 and CE-P6 give effect to this policy.</w:t>
            </w:r>
          </w:p>
        </w:tc>
      </w:tr>
      <w:tr w:rsidR="004A7A26" w14:paraId="546FFD03"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E487500" w14:textId="77777777" w:rsidR="004A7A26" w:rsidRDefault="004A7A26" w:rsidP="00A247C5">
            <w:pPr>
              <w:pStyle w:val="Table1"/>
            </w:pPr>
            <w:r>
              <w:t>Policy 17</w:t>
            </w:r>
          </w:p>
        </w:tc>
        <w:tc>
          <w:tcPr>
            <w:tcW w:w="6894" w:type="dxa"/>
            <w:tcBorders>
              <w:top w:val="single" w:sz="4" w:space="0" w:color="auto"/>
              <w:left w:val="single" w:sz="4" w:space="0" w:color="auto"/>
              <w:bottom w:val="single" w:sz="4" w:space="0" w:color="auto"/>
              <w:right w:val="single" w:sz="4" w:space="0" w:color="auto"/>
            </w:tcBorders>
            <w:hideMark/>
          </w:tcPr>
          <w:p w14:paraId="0CBD4796" w14:textId="77777777" w:rsidR="004A7A26" w:rsidRDefault="004A7A26" w:rsidP="00A247C5">
            <w:pPr>
              <w:pStyle w:val="Table1"/>
            </w:pPr>
            <w:r>
              <w:t>Policy 17 requires that historic heritage in the coastal environment is protected from inappropriate subdivision, use, and development. HCV-HH-P5 gives effect to this policy.</w:t>
            </w:r>
          </w:p>
        </w:tc>
      </w:tr>
      <w:tr w:rsidR="004A7A26" w14:paraId="7D5FC364"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74A4CC8" w14:textId="77777777" w:rsidR="004A7A26" w:rsidRDefault="004A7A26" w:rsidP="00A247C5">
            <w:pPr>
              <w:pStyle w:val="Table1"/>
            </w:pPr>
            <w:r>
              <w:t>Policy 18</w:t>
            </w:r>
          </w:p>
        </w:tc>
        <w:tc>
          <w:tcPr>
            <w:tcW w:w="6894" w:type="dxa"/>
            <w:tcBorders>
              <w:top w:val="single" w:sz="4" w:space="0" w:color="auto"/>
              <w:left w:val="single" w:sz="4" w:space="0" w:color="auto"/>
              <w:bottom w:val="single" w:sz="4" w:space="0" w:color="auto"/>
              <w:right w:val="single" w:sz="4" w:space="0" w:color="auto"/>
            </w:tcBorders>
            <w:hideMark/>
          </w:tcPr>
          <w:p w14:paraId="287075B1" w14:textId="77777777" w:rsidR="004A7A26" w:rsidRDefault="004A7A26" w:rsidP="00A247C5">
            <w:pPr>
              <w:pStyle w:val="Table1"/>
            </w:pPr>
            <w:r>
              <w:t>Policy 18 recognises the need for public open space within and adjacent to the coastal marine area. CE-O4, CE-P7, CE-P8 and CE-P9 give effect to this objective.</w:t>
            </w:r>
          </w:p>
        </w:tc>
      </w:tr>
      <w:tr w:rsidR="004A7A26" w14:paraId="544740AD"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DD7C717" w14:textId="77777777" w:rsidR="004A7A26" w:rsidRDefault="004A7A26" w:rsidP="00A247C5">
            <w:pPr>
              <w:pStyle w:val="Table1"/>
            </w:pPr>
            <w:r>
              <w:t>Policy 19</w:t>
            </w:r>
          </w:p>
        </w:tc>
        <w:tc>
          <w:tcPr>
            <w:tcW w:w="6894" w:type="dxa"/>
            <w:tcBorders>
              <w:top w:val="single" w:sz="4" w:space="0" w:color="auto"/>
              <w:left w:val="single" w:sz="4" w:space="0" w:color="auto"/>
              <w:bottom w:val="single" w:sz="4" w:space="0" w:color="auto"/>
              <w:right w:val="single" w:sz="4" w:space="0" w:color="auto"/>
            </w:tcBorders>
            <w:hideMark/>
          </w:tcPr>
          <w:p w14:paraId="39FDAF9F" w14:textId="77777777" w:rsidR="004A7A26" w:rsidRDefault="004A7A26" w:rsidP="00A247C5">
            <w:pPr>
              <w:pStyle w:val="Table1"/>
            </w:pPr>
            <w:r>
              <w:t>Policy 19 requires that public walking access to, along and adjacent to the CMA is maintained and enhanced. CE-P8, CE-P9, CE-M3, CE-M4 and CE-M5 give effect to this objective.</w:t>
            </w:r>
          </w:p>
        </w:tc>
      </w:tr>
      <w:tr w:rsidR="004A7A26" w14:paraId="20441ED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C89057D" w14:textId="77777777" w:rsidR="004A7A26" w:rsidRDefault="004A7A26" w:rsidP="00A247C5">
            <w:pPr>
              <w:pStyle w:val="Table1"/>
            </w:pPr>
            <w:r>
              <w:t>Policy 20</w:t>
            </w:r>
          </w:p>
        </w:tc>
        <w:tc>
          <w:tcPr>
            <w:tcW w:w="6894" w:type="dxa"/>
            <w:tcBorders>
              <w:top w:val="single" w:sz="4" w:space="0" w:color="auto"/>
              <w:left w:val="single" w:sz="4" w:space="0" w:color="auto"/>
              <w:bottom w:val="single" w:sz="4" w:space="0" w:color="auto"/>
              <w:right w:val="single" w:sz="4" w:space="0" w:color="auto"/>
            </w:tcBorders>
            <w:hideMark/>
          </w:tcPr>
          <w:p w14:paraId="3FA461AE" w14:textId="77777777" w:rsidR="004A7A26" w:rsidRDefault="004A7A26" w:rsidP="00A247C5">
            <w:pPr>
              <w:pStyle w:val="Table1"/>
            </w:pPr>
            <w:r>
              <w:t xml:space="preserve">Policy 20 relates to vehicle access within the coastal environment. CE-P8, CE-P9, CE-M3 and CE-M4 give effect to this policy. </w:t>
            </w:r>
          </w:p>
        </w:tc>
      </w:tr>
      <w:tr w:rsidR="004A7A26" w14:paraId="0E5C3784" w14:textId="77777777" w:rsidTr="004A7A26">
        <w:trPr>
          <w:trHeight w:val="882"/>
        </w:trPr>
        <w:tc>
          <w:tcPr>
            <w:tcW w:w="1402" w:type="dxa"/>
            <w:tcBorders>
              <w:top w:val="single" w:sz="4" w:space="0" w:color="auto"/>
              <w:left w:val="single" w:sz="4" w:space="0" w:color="auto"/>
              <w:bottom w:val="single" w:sz="4" w:space="0" w:color="auto"/>
              <w:right w:val="single" w:sz="4" w:space="0" w:color="auto"/>
            </w:tcBorders>
            <w:hideMark/>
          </w:tcPr>
          <w:p w14:paraId="705ED9CA" w14:textId="77777777" w:rsidR="004A7A26" w:rsidRDefault="004A7A26" w:rsidP="00A247C5">
            <w:pPr>
              <w:pStyle w:val="Table1"/>
            </w:pPr>
            <w:r>
              <w:t>Policy 21</w:t>
            </w:r>
          </w:p>
        </w:tc>
        <w:tc>
          <w:tcPr>
            <w:tcW w:w="6894" w:type="dxa"/>
            <w:tcBorders>
              <w:top w:val="single" w:sz="4" w:space="0" w:color="auto"/>
              <w:left w:val="single" w:sz="4" w:space="0" w:color="auto"/>
              <w:bottom w:val="single" w:sz="4" w:space="0" w:color="auto"/>
              <w:right w:val="single" w:sz="4" w:space="0" w:color="auto"/>
            </w:tcBorders>
            <w:hideMark/>
          </w:tcPr>
          <w:p w14:paraId="01D61E7C" w14:textId="77777777" w:rsidR="004A7A26" w:rsidRDefault="004A7A26" w:rsidP="00A247C5">
            <w:pPr>
              <w:pStyle w:val="Table1"/>
            </w:pPr>
            <w:r>
              <w:t xml:space="preserve">Policy 21 requires priority be given to improving the quality of water in the coastal environment that has deteriorated so that it is having a </w:t>
            </w:r>
            <w:proofErr w:type="gramStart"/>
            <w:r>
              <w:t>significant adverse effects</w:t>
            </w:r>
            <w:proofErr w:type="gramEnd"/>
            <w:r>
              <w:t xml:space="preserve"> or is restricting existing uses. IM-O1, CE-O2, CE-P2, CE-P3 and CE-M3 give effect to this policy. </w:t>
            </w:r>
          </w:p>
        </w:tc>
      </w:tr>
      <w:tr w:rsidR="004A7A26" w14:paraId="51FCE4D9"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2CA8CD7" w14:textId="77777777" w:rsidR="004A7A26" w:rsidRDefault="004A7A26" w:rsidP="00A247C5">
            <w:pPr>
              <w:pStyle w:val="Table1"/>
            </w:pPr>
            <w:r>
              <w:t>Policy 22</w:t>
            </w:r>
          </w:p>
        </w:tc>
        <w:tc>
          <w:tcPr>
            <w:tcW w:w="6894" w:type="dxa"/>
            <w:tcBorders>
              <w:top w:val="single" w:sz="4" w:space="0" w:color="auto"/>
              <w:left w:val="single" w:sz="4" w:space="0" w:color="auto"/>
              <w:bottom w:val="single" w:sz="4" w:space="0" w:color="auto"/>
              <w:right w:val="single" w:sz="4" w:space="0" w:color="auto"/>
            </w:tcBorders>
            <w:hideMark/>
          </w:tcPr>
          <w:p w14:paraId="2F89BBF8" w14:textId="77777777" w:rsidR="004A7A26" w:rsidRDefault="004A7A26" w:rsidP="00A247C5">
            <w:pPr>
              <w:pStyle w:val="Table1"/>
            </w:pPr>
            <w:r>
              <w:t>Policy 22 requires sedimentation levels and impacts on the coastal environment to be assessed and monitored, and activities which contribute to sedimentation to be appropriately managed. IM-O1, IM-O2, IM-P5, CE-O2 and CE-M3 give effect to this policy.</w:t>
            </w:r>
          </w:p>
        </w:tc>
      </w:tr>
      <w:tr w:rsidR="004A7A26" w14:paraId="4F4BC895"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DE43BCF" w14:textId="77777777" w:rsidR="004A7A26" w:rsidRDefault="004A7A26" w:rsidP="00A247C5">
            <w:pPr>
              <w:pStyle w:val="Table1"/>
            </w:pPr>
            <w:r>
              <w:t>Policy 23</w:t>
            </w:r>
          </w:p>
        </w:tc>
        <w:tc>
          <w:tcPr>
            <w:tcW w:w="6894" w:type="dxa"/>
            <w:tcBorders>
              <w:top w:val="single" w:sz="4" w:space="0" w:color="auto"/>
              <w:left w:val="single" w:sz="4" w:space="0" w:color="auto"/>
              <w:bottom w:val="single" w:sz="4" w:space="0" w:color="auto"/>
              <w:right w:val="single" w:sz="4" w:space="0" w:color="auto"/>
            </w:tcBorders>
            <w:hideMark/>
          </w:tcPr>
          <w:p w14:paraId="67D77260" w14:textId="77777777" w:rsidR="004A7A26" w:rsidRDefault="004A7A26" w:rsidP="00A247C5">
            <w:pPr>
              <w:pStyle w:val="Table1"/>
            </w:pPr>
            <w:r>
              <w:t xml:space="preserve">Policy 23 requires discharges to water in the coastal environment to be managed to achieve the required water quality in the receiving environment. CE-O2 and CE-P3 give effect to this policy. </w:t>
            </w:r>
          </w:p>
        </w:tc>
      </w:tr>
      <w:tr w:rsidR="004A7A26" w14:paraId="4C7910D3"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295AD1B3" w14:textId="77777777" w:rsidR="004A7A26" w:rsidRDefault="004A7A26" w:rsidP="00A247C5">
            <w:pPr>
              <w:pStyle w:val="Table1"/>
            </w:pPr>
            <w:r>
              <w:t>Policy 24</w:t>
            </w:r>
          </w:p>
        </w:tc>
        <w:tc>
          <w:tcPr>
            <w:tcW w:w="6894" w:type="dxa"/>
            <w:tcBorders>
              <w:top w:val="single" w:sz="4" w:space="0" w:color="auto"/>
              <w:left w:val="single" w:sz="4" w:space="0" w:color="auto"/>
              <w:bottom w:val="single" w:sz="4" w:space="0" w:color="auto"/>
              <w:right w:val="single" w:sz="4" w:space="0" w:color="auto"/>
            </w:tcBorders>
            <w:hideMark/>
          </w:tcPr>
          <w:p w14:paraId="1C2B8424" w14:textId="77777777" w:rsidR="004A7A26" w:rsidRDefault="004A7A26" w:rsidP="00A247C5">
            <w:pPr>
              <w:pStyle w:val="Table1"/>
            </w:pPr>
            <w:r>
              <w:t xml:space="preserve">Policy 24 requires the identification of coastal hazards. HAZ-NH-P1 and CE-P2 give effect to this policy. </w:t>
            </w:r>
          </w:p>
        </w:tc>
      </w:tr>
      <w:tr w:rsidR="004A7A26" w14:paraId="236145EF"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B874DE3" w14:textId="77777777" w:rsidR="004A7A26" w:rsidRDefault="004A7A26" w:rsidP="00A247C5">
            <w:pPr>
              <w:pStyle w:val="Table1"/>
            </w:pPr>
            <w:r>
              <w:t>Policy 25</w:t>
            </w:r>
          </w:p>
        </w:tc>
        <w:tc>
          <w:tcPr>
            <w:tcW w:w="6894" w:type="dxa"/>
            <w:tcBorders>
              <w:top w:val="single" w:sz="4" w:space="0" w:color="auto"/>
              <w:left w:val="single" w:sz="4" w:space="0" w:color="auto"/>
              <w:bottom w:val="single" w:sz="4" w:space="0" w:color="auto"/>
              <w:right w:val="single" w:sz="4" w:space="0" w:color="auto"/>
            </w:tcBorders>
            <w:hideMark/>
          </w:tcPr>
          <w:p w14:paraId="70C3D222" w14:textId="77777777" w:rsidR="004A7A26" w:rsidRDefault="004A7A26" w:rsidP="00A247C5">
            <w:pPr>
              <w:pStyle w:val="Table1"/>
            </w:pPr>
            <w:r>
              <w:rPr>
                <w:lang w:val="en-GB"/>
              </w:rPr>
              <w:t>Policy 25 is the overarching policy for managing the risk of social, environmental, and economic harm from coastal hazards. HAZ-NH-P4 and HAZ-NH-P11 give effect to this policy.</w:t>
            </w:r>
          </w:p>
        </w:tc>
      </w:tr>
      <w:tr w:rsidR="004A7A26" w14:paraId="0183D4D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5C4A4BC" w14:textId="77777777" w:rsidR="004A7A26" w:rsidRDefault="004A7A26" w:rsidP="00A247C5">
            <w:pPr>
              <w:pStyle w:val="Table1"/>
            </w:pPr>
            <w:r>
              <w:t>Policy 26</w:t>
            </w:r>
          </w:p>
        </w:tc>
        <w:tc>
          <w:tcPr>
            <w:tcW w:w="6894" w:type="dxa"/>
            <w:tcBorders>
              <w:top w:val="single" w:sz="4" w:space="0" w:color="auto"/>
              <w:left w:val="single" w:sz="4" w:space="0" w:color="auto"/>
              <w:bottom w:val="single" w:sz="4" w:space="0" w:color="auto"/>
              <w:right w:val="single" w:sz="4" w:space="0" w:color="auto"/>
            </w:tcBorders>
            <w:hideMark/>
          </w:tcPr>
          <w:p w14:paraId="43F0A201" w14:textId="77777777" w:rsidR="004A7A26" w:rsidRDefault="004A7A26" w:rsidP="00A247C5">
            <w:pPr>
              <w:pStyle w:val="Table1"/>
            </w:pPr>
            <w:r>
              <w:t xml:space="preserve">Policy 26 directs that where appropriate, the protection, </w:t>
            </w:r>
            <w:proofErr w:type="gramStart"/>
            <w:r>
              <w:t>restoration</w:t>
            </w:r>
            <w:proofErr w:type="gramEnd"/>
            <w:r>
              <w:t xml:space="preserve"> or enhancement of natural defences. IM-O1 and HAZ-NH-P6 give effect to this policy. </w:t>
            </w:r>
          </w:p>
        </w:tc>
      </w:tr>
      <w:tr w:rsidR="004A7A26" w14:paraId="3B9E9B7B"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987D7E0" w14:textId="77777777" w:rsidR="004A7A26" w:rsidRDefault="004A7A26" w:rsidP="00A247C5">
            <w:pPr>
              <w:pStyle w:val="Table1"/>
            </w:pPr>
            <w:r>
              <w:t>Policy 27</w:t>
            </w:r>
          </w:p>
        </w:tc>
        <w:tc>
          <w:tcPr>
            <w:tcW w:w="6894" w:type="dxa"/>
            <w:tcBorders>
              <w:top w:val="single" w:sz="4" w:space="0" w:color="auto"/>
              <w:left w:val="single" w:sz="4" w:space="0" w:color="auto"/>
              <w:bottom w:val="single" w:sz="4" w:space="0" w:color="auto"/>
              <w:right w:val="single" w:sz="4" w:space="0" w:color="auto"/>
            </w:tcBorders>
            <w:hideMark/>
          </w:tcPr>
          <w:p w14:paraId="2B717B94" w14:textId="0368CD4F" w:rsidR="004A7A26" w:rsidRDefault="004A7A26" w:rsidP="00A247C5">
            <w:pPr>
              <w:pStyle w:val="Table1"/>
            </w:pPr>
            <w:r>
              <w:t>Policy 27 sets out strategies to reduce the coastal hazard risk in areas with significant existing development. HAZ-NH-P4 gives effect to this policy.</w:t>
            </w:r>
          </w:p>
        </w:tc>
      </w:tr>
    </w:tbl>
    <w:p w14:paraId="4EBF98CC" w14:textId="77777777" w:rsidR="004A7A26" w:rsidRDefault="004A7A26" w:rsidP="00CB405E">
      <w:pPr>
        <w:pStyle w:val="Heading2"/>
      </w:pPr>
      <w:bookmarkStart w:id="167" w:name="_Toc52780470"/>
      <w:bookmarkStart w:id="168" w:name="_Toc72507652"/>
      <w:r>
        <w:t>National policy statements</w:t>
      </w:r>
      <w:bookmarkEnd w:id="167"/>
      <w:bookmarkEnd w:id="168"/>
    </w:p>
    <w:p w14:paraId="27559F28" w14:textId="77777777" w:rsidR="004A7A26" w:rsidRDefault="004A7A26" w:rsidP="00A247C5">
      <w:pPr>
        <w:pStyle w:val="Normal2"/>
      </w:pPr>
      <w:r>
        <w:t xml:space="preserve">In accordance with section 61(3) of the RMA, a regional policy statement must give effect to any national policy statement. There are four national policy statements in force: </w:t>
      </w:r>
    </w:p>
    <w:p w14:paraId="1AC77B3B" w14:textId="77777777" w:rsidR="004A7A26" w:rsidRDefault="004A7A26" w:rsidP="00A247C5">
      <w:pPr>
        <w:pStyle w:val="Normal3"/>
      </w:pPr>
      <w:r>
        <w:t>National Policy Statement for Freshwater Management 2020 (NPSFM</w:t>
      </w:r>
      <w:proofErr w:type="gramStart"/>
      <w:r>
        <w:t>);</w:t>
      </w:r>
      <w:proofErr w:type="gramEnd"/>
      <w:r>
        <w:t xml:space="preserve"> </w:t>
      </w:r>
    </w:p>
    <w:p w14:paraId="71CF34A9" w14:textId="77777777" w:rsidR="004A7A26" w:rsidRDefault="004A7A26" w:rsidP="00A247C5">
      <w:pPr>
        <w:pStyle w:val="Normal3"/>
      </w:pPr>
      <w:r>
        <w:lastRenderedPageBreak/>
        <w:t>National Policy Statement on Urban Development 2020 (NPSUD</w:t>
      </w:r>
      <w:proofErr w:type="gramStart"/>
      <w:r>
        <w:t>);</w:t>
      </w:r>
      <w:proofErr w:type="gramEnd"/>
      <w:r>
        <w:t xml:space="preserve"> </w:t>
      </w:r>
    </w:p>
    <w:p w14:paraId="35243A5F" w14:textId="77777777" w:rsidR="004A7A26" w:rsidRDefault="004A7A26" w:rsidP="00A247C5">
      <w:pPr>
        <w:pStyle w:val="Normal3"/>
      </w:pPr>
      <w:r>
        <w:t>National Policy Statement for Renewable Electricity Generation 2011 (NPSREG); and</w:t>
      </w:r>
    </w:p>
    <w:p w14:paraId="49E01578" w14:textId="77777777" w:rsidR="004A7A26" w:rsidRDefault="004A7A26" w:rsidP="00A247C5">
      <w:pPr>
        <w:pStyle w:val="Normal3"/>
      </w:pPr>
      <w:r>
        <w:t>National Policy Statement on Electricity Transmission 2008 (NPSET).</w:t>
      </w:r>
    </w:p>
    <w:p w14:paraId="34A476F5" w14:textId="77777777" w:rsidR="004A7A26" w:rsidRDefault="004A7A26" w:rsidP="00A247C5">
      <w:pPr>
        <w:pStyle w:val="Normal2"/>
      </w:pPr>
      <w:r>
        <w:t>The Government has recently proposed two new national policy statements. There is no requirement in the RMA for regional policy statements to consider draft or proposed national policy statements, however they may signal the policy direction in the future which the PORPS 2021 will need to give effect to, and potentially during the plan-making process. These are:</w:t>
      </w:r>
    </w:p>
    <w:p w14:paraId="24747118" w14:textId="77777777" w:rsidR="004A7A26" w:rsidRDefault="004A7A26" w:rsidP="00A247C5">
      <w:pPr>
        <w:pStyle w:val="Normal3"/>
      </w:pPr>
      <w:r>
        <w:t>Proposed National Policy Statement for Indigenous Biodiversity (</w:t>
      </w:r>
      <w:proofErr w:type="spellStart"/>
      <w:r>
        <w:t>pNPSIB</w:t>
      </w:r>
      <w:proofErr w:type="spellEnd"/>
      <w:r>
        <w:t>); and</w:t>
      </w:r>
    </w:p>
    <w:p w14:paraId="22236243" w14:textId="77777777" w:rsidR="004A7A26" w:rsidRDefault="004A7A26" w:rsidP="00A247C5">
      <w:pPr>
        <w:pStyle w:val="Normal3"/>
      </w:pPr>
      <w:r>
        <w:t>Proposed National Policy Statement for Highly Productive Land (</w:t>
      </w:r>
      <w:proofErr w:type="spellStart"/>
      <w:r>
        <w:t>pNPS</w:t>
      </w:r>
      <w:proofErr w:type="spellEnd"/>
      <w:r>
        <w:t>-HPL).</w:t>
      </w:r>
    </w:p>
    <w:p w14:paraId="427D7530" w14:textId="77777777" w:rsidR="004A7A26" w:rsidRDefault="004A7A26" w:rsidP="00A247C5">
      <w:pPr>
        <w:pStyle w:val="Normal2"/>
      </w:pPr>
      <w:r>
        <w:t xml:space="preserve">The NZCPS and </w:t>
      </w:r>
      <w:proofErr w:type="gramStart"/>
      <w:r>
        <w:t>all of</w:t>
      </w:r>
      <w:proofErr w:type="gramEnd"/>
      <w:r>
        <w:t xml:space="preserve"> the national policy statements are relevant to the PORPS 2021. The sections below summarise how the provisions in the PORPS 2021 give effect to the NZCPS and national policy statements. The content of the proposed national policy statements and their likely implications for the PORPS 2021 are also summarised.</w:t>
      </w:r>
    </w:p>
    <w:p w14:paraId="62058BE6" w14:textId="77777777" w:rsidR="004A7A26" w:rsidRDefault="004A7A26" w:rsidP="000F043E">
      <w:pPr>
        <w:pStyle w:val="Heading3"/>
        <w:shd w:val="clear" w:color="auto" w:fill="DEEAF6" w:themeFill="accent5" w:themeFillTint="33"/>
      </w:pPr>
      <w:r>
        <w:t>National Policy Statement for Freshwater Management 2020 (NPSFM)</w:t>
      </w:r>
    </w:p>
    <w:p w14:paraId="09D4F21D" w14:textId="77777777" w:rsidR="004A7A26" w:rsidRDefault="004A7A26" w:rsidP="000F043E">
      <w:pPr>
        <w:pStyle w:val="Normal2"/>
        <w:shd w:val="clear" w:color="auto" w:fill="DEEAF6" w:themeFill="accent5" w:themeFillTint="33"/>
      </w:pPr>
      <w:r>
        <w:t>The NPSFM came into force on 3 September 2020, replacing the National Policy Statement for Freshwater Management 2014 (as amended 2017). Broadly, the NPSFM sets the direction for freshwater quality and quantity management in New Zealand through the framework of Te Mana o te Wai. Te Mana o te Wai is described as the fundamental concept for the NPSFM, recognising that protecting the health of fresh water protects the health and wellbeing of the wider environment. An important component of implementing Te Mana o te Wai is the hierarchy of obligations that prioritises:</w:t>
      </w:r>
    </w:p>
    <w:p w14:paraId="49590A2B" w14:textId="77777777" w:rsidR="004A7A26" w:rsidRDefault="004A7A26" w:rsidP="000F043E">
      <w:pPr>
        <w:pStyle w:val="Normal3"/>
        <w:shd w:val="clear" w:color="auto" w:fill="DEEAF6" w:themeFill="accent5" w:themeFillTint="33"/>
      </w:pPr>
      <w:r>
        <w:t xml:space="preserve">First, the health and wellbeing of water bodies and freshwater </w:t>
      </w:r>
      <w:proofErr w:type="gramStart"/>
      <w:r>
        <w:t>ecosystems;</w:t>
      </w:r>
      <w:proofErr w:type="gramEnd"/>
    </w:p>
    <w:p w14:paraId="77E7DFF8" w14:textId="77777777" w:rsidR="004A7A26" w:rsidRDefault="004A7A26" w:rsidP="000F043E">
      <w:pPr>
        <w:pStyle w:val="Normal3"/>
        <w:shd w:val="clear" w:color="auto" w:fill="DEEAF6" w:themeFill="accent5" w:themeFillTint="33"/>
      </w:pPr>
      <w:r>
        <w:t>Second, the health needs of people (such as drinking water</w:t>
      </w:r>
      <w:proofErr w:type="gramStart"/>
      <w:r>
        <w:t>);</w:t>
      </w:r>
      <w:proofErr w:type="gramEnd"/>
    </w:p>
    <w:p w14:paraId="158830D2" w14:textId="77777777" w:rsidR="004A7A26" w:rsidRDefault="004A7A26" w:rsidP="000F043E">
      <w:pPr>
        <w:pStyle w:val="Normal3"/>
        <w:shd w:val="clear" w:color="auto" w:fill="DEEAF6" w:themeFill="accent5" w:themeFillTint="33"/>
      </w:pPr>
      <w:r>
        <w:t xml:space="preserve">Third, the ability of people and communities to provide for their social, economic, and cultural wellbeing, now and in the future. </w:t>
      </w:r>
    </w:p>
    <w:p w14:paraId="24C5A85B" w14:textId="77777777" w:rsidR="004A7A26" w:rsidRDefault="004A7A26" w:rsidP="000F043E">
      <w:pPr>
        <w:pStyle w:val="Normal2"/>
        <w:shd w:val="clear" w:color="auto" w:fill="DEEAF6" w:themeFill="accent5" w:themeFillTint="33"/>
      </w:pPr>
      <w:r>
        <w:t xml:space="preserve">Regional councils are directed under the RMA to give effect to the requirements of the NPSFM when developing statutory plans and plan changes. The NPSFM requires freshwater quality to be maintained (where it meets stated environmental outcomes) or improved over time (where it does not meet stated environmental outcomes) and includes a national objectives framework for achieving this. The NPSFM also requires that tangata whenua are actively involved in freshwater management, including decision-making. </w:t>
      </w:r>
    </w:p>
    <w:p w14:paraId="4DD86A26" w14:textId="77777777" w:rsidR="004A7A26" w:rsidRDefault="004A7A26" w:rsidP="000F043E">
      <w:pPr>
        <w:pStyle w:val="Normal2"/>
        <w:shd w:val="clear" w:color="auto" w:fill="DEEAF6" w:themeFill="accent5" w:themeFillTint="33"/>
      </w:pPr>
      <w:r>
        <w:t>Councils must notify regional plans or policy statements to implement the NPSFM by 31 December 2024.</w:t>
      </w:r>
      <w:r>
        <w:rPr>
          <w:rStyle w:val="FootnoteReference"/>
        </w:rPr>
        <w:footnoteReference w:id="62"/>
      </w:r>
    </w:p>
    <w:p w14:paraId="026D0B66" w14:textId="2B38AE8F" w:rsidR="004A7A26" w:rsidRDefault="004A7A26" w:rsidP="000F043E">
      <w:pPr>
        <w:pStyle w:val="Normal2"/>
        <w:shd w:val="clear" w:color="auto" w:fill="DEEAF6" w:themeFill="accent5" w:themeFillTint="33"/>
      </w:pPr>
      <w:r>
        <w:fldChar w:fldCharType="begin"/>
      </w:r>
      <w:r>
        <w:instrText xml:space="preserve"> REF _Ref26780467 \h  \* MERGEFORMAT </w:instrText>
      </w:r>
      <w:r>
        <w:fldChar w:fldCharType="separate"/>
      </w:r>
      <w:r w:rsidR="002A7A16">
        <w:t xml:space="preserve">Table </w:t>
      </w:r>
      <w:r w:rsidR="002A7A16">
        <w:rPr>
          <w:noProof/>
        </w:rPr>
        <w:t>69</w:t>
      </w:r>
      <w:r>
        <w:fldChar w:fldCharType="end"/>
      </w:r>
      <w:r>
        <w:t xml:space="preserve"> below provides an assessment of the PORPS 2021 against the NPSFM provisions that are relevant.</w:t>
      </w:r>
    </w:p>
    <w:p w14:paraId="2C5B087F" w14:textId="5D6F580C" w:rsidR="004A7A26" w:rsidRDefault="004A7A26" w:rsidP="000F043E">
      <w:pPr>
        <w:pStyle w:val="Caption"/>
        <w:shd w:val="clear" w:color="auto" w:fill="DEEAF6" w:themeFill="accent5" w:themeFillTint="33"/>
        <w:ind w:left="709"/>
      </w:pPr>
      <w:bookmarkStart w:id="169" w:name="_Ref26780467"/>
      <w:r>
        <w:t xml:space="preserve">Table </w:t>
      </w:r>
      <w:r>
        <w:fldChar w:fldCharType="begin"/>
      </w:r>
      <w:r>
        <w:instrText>SEQ Table \* ARABIC</w:instrText>
      </w:r>
      <w:r>
        <w:fldChar w:fldCharType="separate"/>
      </w:r>
      <w:r w:rsidR="002A7A16">
        <w:rPr>
          <w:noProof/>
        </w:rPr>
        <w:t>69</w:t>
      </w:r>
      <w:r>
        <w:fldChar w:fldCharType="end"/>
      </w:r>
      <w:bookmarkEnd w:id="169"/>
      <w:r>
        <w:t>: Assessment of NPSFM</w:t>
      </w:r>
    </w:p>
    <w:tbl>
      <w:tblPr>
        <w:tblStyle w:val="TableGrid"/>
        <w:tblW w:w="0" w:type="auto"/>
        <w:tblInd w:w="720" w:type="dxa"/>
        <w:shd w:val="clear" w:color="auto" w:fill="DEEAF6" w:themeFill="accent5" w:themeFillTint="33"/>
        <w:tblLook w:val="04A0" w:firstRow="1" w:lastRow="0" w:firstColumn="1" w:lastColumn="0" w:noHBand="0" w:noVBand="1"/>
      </w:tblPr>
      <w:tblGrid>
        <w:gridCol w:w="1402"/>
        <w:gridCol w:w="6894"/>
      </w:tblGrid>
      <w:tr w:rsidR="004A7A26" w14:paraId="379310A2"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B61ABB5" w14:textId="77777777" w:rsidR="004A7A26" w:rsidRPr="000F043E" w:rsidRDefault="004A7A26" w:rsidP="000F043E">
            <w:pPr>
              <w:pStyle w:val="Table1"/>
              <w:shd w:val="clear" w:color="auto" w:fill="DEEAF6" w:themeFill="accent5" w:themeFillTint="33"/>
              <w:rPr>
                <w:b/>
                <w:bCs/>
              </w:rPr>
            </w:pPr>
            <w:r w:rsidRPr="000F043E">
              <w:rPr>
                <w:b/>
                <w:bCs/>
              </w:rPr>
              <w:t>Provision(s)</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D0518BF" w14:textId="77777777" w:rsidR="004A7A26" w:rsidRPr="000F043E" w:rsidRDefault="004A7A26" w:rsidP="000F043E">
            <w:pPr>
              <w:pStyle w:val="Table1"/>
              <w:shd w:val="clear" w:color="auto" w:fill="DEEAF6" w:themeFill="accent5" w:themeFillTint="33"/>
              <w:rPr>
                <w:b/>
                <w:bCs/>
              </w:rPr>
            </w:pPr>
            <w:r w:rsidRPr="000F043E">
              <w:rPr>
                <w:b/>
                <w:bCs/>
              </w:rPr>
              <w:t>Assessment</w:t>
            </w:r>
          </w:p>
        </w:tc>
      </w:tr>
      <w:tr w:rsidR="004A7A26" w14:paraId="1AA43988"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FF1E800" w14:textId="77777777" w:rsidR="004A7A26" w:rsidRDefault="004A7A26" w:rsidP="000F043E">
            <w:pPr>
              <w:pStyle w:val="Table1"/>
              <w:shd w:val="clear" w:color="auto" w:fill="DEEAF6" w:themeFill="accent5" w:themeFillTint="33"/>
            </w:pPr>
            <w:r>
              <w:t>Objective</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E5E16FA" w14:textId="1EE05F84" w:rsidR="004A7A26" w:rsidRDefault="004A7A26" w:rsidP="000F043E">
            <w:pPr>
              <w:pStyle w:val="Table1"/>
              <w:shd w:val="clear" w:color="auto" w:fill="DEEAF6" w:themeFill="accent5" w:themeFillTint="33"/>
            </w:pPr>
            <w:r>
              <w:t xml:space="preserve">This objective sets out priorities for the management of natural and physical resources, reflecting the concept of Te Mana o </w:t>
            </w:r>
            <w:r w:rsidR="007905F0">
              <w:t>t</w:t>
            </w:r>
            <w:r>
              <w:t xml:space="preserve">e Wai as set out in clause 1.3(5) of the NPSFM. This is implemented primarily by LF–WAI–O1 and LF–WAI–P2, but also through LF–WAI–P2, LF–WAI–P3 and LF–WAI–P4. The prioritisation in Objective 1 </w:t>
            </w:r>
            <w:r>
              <w:lastRenderedPageBreak/>
              <w:t>is also reflected in the freshwater visions (LF–VM–O2 to LF–VM–O6)</w:t>
            </w:r>
            <w:r w:rsidR="00716920">
              <w:t xml:space="preserve"> as well as </w:t>
            </w:r>
            <w:r>
              <w:t>in IM</w:t>
            </w:r>
            <w:r w:rsidR="00716920">
              <w:t>–</w:t>
            </w:r>
            <w:r>
              <w:t>O1 and IM</w:t>
            </w:r>
            <w:r w:rsidR="00716920">
              <w:t>–</w:t>
            </w:r>
            <w:r>
              <w:t>P2</w:t>
            </w:r>
            <w:r w:rsidR="00716920">
              <w:t>.</w:t>
            </w:r>
          </w:p>
        </w:tc>
      </w:tr>
      <w:tr w:rsidR="004A7A26" w14:paraId="581173B8"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93FDF8A" w14:textId="77777777" w:rsidR="004A7A26" w:rsidRDefault="004A7A26" w:rsidP="000F043E">
            <w:pPr>
              <w:pStyle w:val="Table1"/>
              <w:shd w:val="clear" w:color="auto" w:fill="DEEAF6" w:themeFill="accent5" w:themeFillTint="33"/>
            </w:pPr>
            <w:r>
              <w:lastRenderedPageBreak/>
              <w:t>Policy 1</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26F6F67" w14:textId="12649AFE" w:rsidR="004A7A26" w:rsidRDefault="004A7A26" w:rsidP="000F043E">
            <w:pPr>
              <w:pStyle w:val="Table1"/>
              <w:shd w:val="clear" w:color="auto" w:fill="DEEAF6" w:themeFill="accent5" w:themeFillTint="33"/>
            </w:pPr>
            <w:r>
              <w:t xml:space="preserve">Te Mana o </w:t>
            </w:r>
            <w:r w:rsidR="007905F0">
              <w:t>t</w:t>
            </w:r>
            <w:r>
              <w:t>e Wai is articulated through LF–WAI–01 and supported by LF–WAI–P1, LF–WAI–P2 and LF–WAI–</w:t>
            </w:r>
            <w:proofErr w:type="gramStart"/>
            <w:r>
              <w:t>P3 in particular, however</w:t>
            </w:r>
            <w:proofErr w:type="gramEnd"/>
            <w:r>
              <w:t xml:space="preserve"> it is a concept that underpins the entire LF chapter. LF–WAI–P4 sets out that these provisions sit at the forefront of the LF chapter and all other provisions in the LF chapter must give effect to them.</w:t>
            </w:r>
          </w:p>
        </w:tc>
      </w:tr>
      <w:tr w:rsidR="004A7A26" w14:paraId="3AB95B31"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091479D" w14:textId="77777777" w:rsidR="004A7A26" w:rsidRDefault="004A7A26" w:rsidP="000F043E">
            <w:pPr>
              <w:pStyle w:val="Table1"/>
              <w:shd w:val="clear" w:color="auto" w:fill="DEEAF6" w:themeFill="accent5" w:themeFillTint="33"/>
            </w:pPr>
            <w:r>
              <w:t>Policy 2</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0752FD8" w14:textId="48B58862" w:rsidR="004A7A26" w:rsidRDefault="004A7A26" w:rsidP="000F043E">
            <w:pPr>
              <w:pStyle w:val="Table1"/>
              <w:shd w:val="clear" w:color="auto" w:fill="DEEAF6" w:themeFill="accent5" w:themeFillTint="33"/>
            </w:pPr>
            <w:r>
              <w:t xml:space="preserve">Policy 2 requires actively involving </w:t>
            </w:r>
            <w:proofErr w:type="spellStart"/>
            <w:r>
              <w:t>ta</w:t>
            </w:r>
            <w:r w:rsidR="00716920">
              <w:t>k</w:t>
            </w:r>
            <w:r>
              <w:t>ata</w:t>
            </w:r>
            <w:proofErr w:type="spellEnd"/>
            <w:r>
              <w:t xml:space="preserve"> whenua in freshwater management. IM</w:t>
            </w:r>
            <w:r w:rsidR="00716920">
              <w:t>–</w:t>
            </w:r>
            <w:r>
              <w:t xml:space="preserve">P3 provides a general provision for cultural values in resource management. LF–WAI–P2 outlines how Kāi </w:t>
            </w:r>
            <w:proofErr w:type="spellStart"/>
            <w:r>
              <w:t>Tahu</w:t>
            </w:r>
            <w:proofErr w:type="spellEnd"/>
            <w:r>
              <w:t xml:space="preserve"> </w:t>
            </w:r>
            <w:proofErr w:type="spellStart"/>
            <w:r>
              <w:t>rakatirataka</w:t>
            </w:r>
            <w:proofErr w:type="spellEnd"/>
            <w:r>
              <w:t xml:space="preserve"> will be given practical effect, including through facilitating partnership with, and the active involvement of, mana whenua in freshwater management. LF–WAI–M1, supported by MW</w:t>
            </w:r>
            <w:r w:rsidR="00716920">
              <w:t>–</w:t>
            </w:r>
            <w:r>
              <w:t>M3, sets out how this policy will be implemented. Policy 2 also requires identifying and providing for Māori freshwater values. Te Mana o Te Wai is expressed through LF–WAI–01, LF–WAI–P1, LF–WAI–P2 and LF–WAI–P3. Objective LF–FW–O8</w:t>
            </w:r>
            <w:r w:rsidR="00716920">
              <w:t xml:space="preserve"> </w:t>
            </w:r>
            <w:r>
              <w:t xml:space="preserve">seeks </w:t>
            </w:r>
            <w:r w:rsidR="00716920">
              <w:t>to achieve thriving</w:t>
            </w:r>
            <w:r>
              <w:t xml:space="preserve"> </w:t>
            </w:r>
            <w:proofErr w:type="spellStart"/>
            <w:r>
              <w:t>mahika</w:t>
            </w:r>
            <w:proofErr w:type="spellEnd"/>
            <w:r>
              <w:t xml:space="preserve"> kai</w:t>
            </w:r>
            <w:r w:rsidR="00716920">
              <w:t xml:space="preserve"> and Policy LF–FW–P7 requires </w:t>
            </w:r>
            <w:proofErr w:type="spellStart"/>
            <w:r w:rsidR="00716920">
              <w:t>mahika</w:t>
            </w:r>
            <w:proofErr w:type="spellEnd"/>
            <w:r w:rsidR="00716920">
              <w:t xml:space="preserve"> kai to be safe for human consumption</w:t>
            </w:r>
            <w:r>
              <w:t>. Policy LF–LS–P</w:t>
            </w:r>
            <w:r w:rsidR="00716920">
              <w:t>22</w:t>
            </w:r>
            <w:r>
              <w:t xml:space="preserve">(2) requires promoting opportunities to enhance public access to and long lakes and rivers, including by mana whenua in their role as </w:t>
            </w:r>
            <w:proofErr w:type="spellStart"/>
            <w:r>
              <w:t>kaitaiki</w:t>
            </w:r>
            <w:proofErr w:type="spellEnd"/>
            <w:r>
              <w:t xml:space="preserve"> and for gathering of </w:t>
            </w:r>
            <w:proofErr w:type="spellStart"/>
            <w:r>
              <w:t>mahika</w:t>
            </w:r>
            <w:proofErr w:type="spellEnd"/>
            <w:r>
              <w:t xml:space="preserve"> kai. Policy 2 will also be implemented through the value identification process required by the NPSFM and recognised in LF–FW–M6.</w:t>
            </w:r>
          </w:p>
        </w:tc>
      </w:tr>
      <w:tr w:rsidR="004A7A26" w14:paraId="3FF0D734"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3EC4BF3" w14:textId="77777777" w:rsidR="004A7A26" w:rsidRDefault="004A7A26" w:rsidP="000F043E">
            <w:pPr>
              <w:pStyle w:val="Table1"/>
              <w:shd w:val="clear" w:color="auto" w:fill="DEEAF6" w:themeFill="accent5" w:themeFillTint="33"/>
            </w:pPr>
            <w:r>
              <w:t>Policy 3</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B2AB1B9" w14:textId="78D70190" w:rsidR="004A7A26" w:rsidRDefault="004A7A26" w:rsidP="000F043E">
            <w:pPr>
              <w:pStyle w:val="Table1"/>
              <w:shd w:val="clear" w:color="auto" w:fill="DEEAF6" w:themeFill="accent5" w:themeFillTint="33"/>
            </w:pPr>
            <w:r>
              <w:t>Policy 3 requires integrated management of freshwater and land. There is general provision for integrated management in the IM chapter, with IM</w:t>
            </w:r>
            <w:r w:rsidR="007905F0">
              <w:t>–</w:t>
            </w:r>
            <w:r>
              <w:t>O2, IM</w:t>
            </w:r>
            <w:r w:rsidR="007905F0">
              <w:t>–</w:t>
            </w:r>
            <w:r>
              <w:t>P4 and IM</w:t>
            </w:r>
            <w:r w:rsidR="007905F0">
              <w:t>–</w:t>
            </w:r>
            <w:r>
              <w:t xml:space="preserve">P5 particularly </w:t>
            </w:r>
            <w:r w:rsidR="007905F0">
              <w:t>relevant</w:t>
            </w:r>
            <w:r>
              <w:t xml:space="preserve"> to NPSFM policy 3, setting a strategic approach to ecosystem health and managing environmental connections. The principles of integrated management are articulated many times through the LF chapter, including specifically in LF–WAI–P3 as part of giving effect to Te Mana o Te Wai as well as in LF–VM–O7 and LF–FW–O8 as part of implementing the NPSFM and managing freshwater resources. In the LF–LS section, there is an emphasis on managing land resources holistically for their impacts on freshwater. This is set out in LF–LS–O1</w:t>
            </w:r>
            <w:r w:rsidR="007905F0">
              <w:t>2</w:t>
            </w:r>
            <w:r>
              <w:t>, LF–LS–P1</w:t>
            </w:r>
            <w:r w:rsidR="007905F0">
              <w:t>6</w:t>
            </w:r>
            <w:r>
              <w:t>, LF–LS–P</w:t>
            </w:r>
            <w:r w:rsidR="007905F0">
              <w:t>20</w:t>
            </w:r>
            <w:r>
              <w:t xml:space="preserve"> and LF–LS–P</w:t>
            </w:r>
            <w:r w:rsidR="007905F0">
              <w:t>21</w:t>
            </w:r>
            <w:r>
              <w:t>. These provisions will be primarily given effect through the methods related to regional and district plans, specifically LF–FW–M6, LF–FW–M7, LF–LS–M11, LF–LS–M12 and LF–LS–M13.</w:t>
            </w:r>
          </w:p>
        </w:tc>
      </w:tr>
      <w:tr w:rsidR="004A7A26" w14:paraId="577CC71A"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57CCD4B" w14:textId="77777777" w:rsidR="004A7A26" w:rsidRDefault="004A7A26" w:rsidP="000F043E">
            <w:pPr>
              <w:pStyle w:val="Table1"/>
              <w:shd w:val="clear" w:color="auto" w:fill="DEEAF6" w:themeFill="accent5" w:themeFillTint="33"/>
            </w:pPr>
            <w:r>
              <w:t>Policy 4</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FDC8332" w14:textId="20BEE4D1" w:rsidR="004A7A26" w:rsidRDefault="004A7A26" w:rsidP="000F043E">
            <w:pPr>
              <w:pStyle w:val="Table1"/>
              <w:shd w:val="clear" w:color="auto" w:fill="DEEAF6" w:themeFill="accent5" w:themeFillTint="33"/>
            </w:pPr>
            <w:r>
              <w:t>Policy 4 requires freshwater to be managed as part of New Zealand’s integrated response to climate change. The LF chapter acknowledges the role of freshwater management in responding to the effects of climate change, particularly through LF–WAI–P3 and LF–LS–P</w:t>
            </w:r>
            <w:r w:rsidR="007905F0">
              <w:t>20</w:t>
            </w:r>
            <w:r>
              <w:t xml:space="preserve">. </w:t>
            </w:r>
            <w:r w:rsidR="007905F0">
              <w:t>Innovative land and water management practices</w:t>
            </w:r>
            <w:r>
              <w:t xml:space="preserve"> for addressing the effects of climate change </w:t>
            </w:r>
            <w:r w:rsidR="007905F0">
              <w:t>were regularly</w:t>
            </w:r>
            <w:r>
              <w:t xml:space="preserve"> raised by the community </w:t>
            </w:r>
            <w:r w:rsidR="007905F0">
              <w:t xml:space="preserve">in consultation on the freshwater visions </w:t>
            </w:r>
            <w:r>
              <w:t xml:space="preserve">and is </w:t>
            </w:r>
            <w:r w:rsidR="007905F0">
              <w:t xml:space="preserve">specifically </w:t>
            </w:r>
            <w:r>
              <w:t>provided for in LF–VM–O3</w:t>
            </w:r>
            <w:r w:rsidR="007905F0">
              <w:t>,</w:t>
            </w:r>
            <w:r>
              <w:t xml:space="preserve"> LF–VM–O4 and LF–FW–M6. </w:t>
            </w:r>
          </w:p>
          <w:p w14:paraId="79A203E8" w14:textId="30301689" w:rsidR="004A7A26" w:rsidRDefault="004A7A26" w:rsidP="000F043E">
            <w:pPr>
              <w:pStyle w:val="Table1"/>
              <w:shd w:val="clear" w:color="auto" w:fill="DEEAF6" w:themeFill="accent5" w:themeFillTint="33"/>
            </w:pPr>
            <w:r>
              <w:t xml:space="preserve">This policy is also </w:t>
            </w:r>
            <w:r w:rsidR="007905F0">
              <w:t xml:space="preserve">partly </w:t>
            </w:r>
            <w:r>
              <w:t>implemented through the requirements in the IM chapter to develop climate change responses (see IM</w:t>
            </w:r>
            <w:r w:rsidR="007905F0">
              <w:t>–</w:t>
            </w:r>
            <w:r>
              <w:t>O4, IM</w:t>
            </w:r>
            <w:r w:rsidR="007905F0">
              <w:t>–</w:t>
            </w:r>
            <w:r>
              <w:t>P8 to IM</w:t>
            </w:r>
            <w:r w:rsidR="007905F0">
              <w:t>–</w:t>
            </w:r>
            <w:r>
              <w:t>P1</w:t>
            </w:r>
            <w:r w:rsidR="007905F0">
              <w:t>2</w:t>
            </w:r>
            <w:r>
              <w:t xml:space="preserve"> and IM</w:t>
            </w:r>
            <w:r w:rsidR="007905F0">
              <w:t>–</w:t>
            </w:r>
            <w:r>
              <w:t>M1, IM</w:t>
            </w:r>
            <w:r w:rsidR="007905F0">
              <w:t>–</w:t>
            </w:r>
            <w:r>
              <w:t>M3 and IM</w:t>
            </w:r>
            <w:r w:rsidR="007905F0">
              <w:t>–</w:t>
            </w:r>
            <w:r>
              <w:t>M4). Taken together, these provisions provide an impetus for climate change adaptation and mitigation activities in Otago across all resource management.</w:t>
            </w:r>
          </w:p>
        </w:tc>
      </w:tr>
      <w:tr w:rsidR="004A7A26" w14:paraId="3B7B97C3"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EF18F8" w14:textId="77777777" w:rsidR="004A7A26" w:rsidRDefault="004A7A26" w:rsidP="000F043E">
            <w:pPr>
              <w:pStyle w:val="Table1"/>
              <w:shd w:val="clear" w:color="auto" w:fill="DEEAF6" w:themeFill="accent5" w:themeFillTint="33"/>
            </w:pPr>
            <w:r>
              <w:t>Policy 5</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79DCAD8" w14:textId="7D2564DC" w:rsidR="004A7A26" w:rsidRDefault="004A7A26" w:rsidP="000F043E">
            <w:pPr>
              <w:pStyle w:val="Table1"/>
              <w:shd w:val="clear" w:color="auto" w:fill="DEEAF6" w:themeFill="accent5" w:themeFillTint="33"/>
            </w:pPr>
            <w:r>
              <w:t>Policy 5 requires implementation of the NOF. While the PORPS directs that to occur primarily through LF–FW–M6, LF–FW–M8, LF–LS–M11 and LF–LS–M12 and LF–LS–M13, the LWRP will be the main vehicle for implementing this policy. The direction to improve the health and wellbeing of degraded water bodies and freshwater ecosystems and otherwise maintain or improve them is reflected in LF–FW–</w:t>
            </w:r>
            <w:r w:rsidR="00BE42A9">
              <w:t>P7</w:t>
            </w:r>
            <w:r>
              <w:t>.</w:t>
            </w:r>
          </w:p>
        </w:tc>
      </w:tr>
      <w:tr w:rsidR="004A7A26" w14:paraId="031F5041"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F79DEC5" w14:textId="77777777" w:rsidR="004A7A26" w:rsidRDefault="004A7A26" w:rsidP="000F043E">
            <w:pPr>
              <w:pStyle w:val="Table1"/>
              <w:shd w:val="clear" w:color="auto" w:fill="DEEAF6" w:themeFill="accent5" w:themeFillTint="33"/>
            </w:pPr>
            <w:r>
              <w:t>Policy 6</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163F79E" w14:textId="29B4AFF2" w:rsidR="004A7A26" w:rsidRDefault="004A7A26" w:rsidP="000F043E">
            <w:pPr>
              <w:pStyle w:val="Table1"/>
              <w:shd w:val="clear" w:color="auto" w:fill="DEEAF6" w:themeFill="accent5" w:themeFillTint="33"/>
            </w:pPr>
            <w:r>
              <w:t>Policy 6 requires no further loss of the extent of natural inland wetlands, protection of their values and promoting restoration. This is given effect through LF–FW–O</w:t>
            </w:r>
            <w:r w:rsidR="00BE42A9">
              <w:t xml:space="preserve">9, </w:t>
            </w:r>
            <w:r>
              <w:t>LF–FW–P</w:t>
            </w:r>
            <w:r w:rsidR="00BE42A9">
              <w:t>8, LF–FW–P9 and LF–FW–P10</w:t>
            </w:r>
            <w:r>
              <w:t xml:space="preserve">. Specific uses of wetlands are managed under the NESF. </w:t>
            </w:r>
            <w:r w:rsidR="00BE42A9">
              <w:t>There are two</w:t>
            </w:r>
            <w:r>
              <w:t xml:space="preserve"> point</w:t>
            </w:r>
            <w:r w:rsidR="00BE42A9">
              <w:t>s</w:t>
            </w:r>
            <w:r>
              <w:t xml:space="preserve"> of difference between the NPSFM and the </w:t>
            </w:r>
            <w:r>
              <w:lastRenderedPageBreak/>
              <w:t>PORPS 2021</w:t>
            </w:r>
            <w:r w:rsidR="00BE42A9">
              <w:t xml:space="preserve">. Firstly, </w:t>
            </w:r>
            <w:r>
              <w:t xml:space="preserve">the NPSFM provisions apply to natural inland wetlands (those not in the CMA) whereas the PORPS provisions apply to all natural wetlands (including those partly or wholly in the CMA). This reflects feedback from the Reference Groups that coastal and freshwater bodies should not be artificially separated in their management. This </w:t>
            </w:r>
            <w:proofErr w:type="gramStart"/>
            <w:r>
              <w:t>is considered to be</w:t>
            </w:r>
            <w:proofErr w:type="gramEnd"/>
            <w:r>
              <w:t xml:space="preserve"> a more integrated approach that recognises the interconnections between coastal and fresh water.</w:t>
            </w:r>
            <w:r w:rsidR="00BE42A9">
              <w:t xml:space="preserve"> Secondly, the PORPS 2021 adopts the more stringent effects management hierarchy from the ECO chapter for managing effects on biodiversity</w:t>
            </w:r>
            <w:r w:rsidR="00AC124B">
              <w:t>. This reflects current practice under the PORPS 2019.</w:t>
            </w:r>
            <w:r>
              <w:t xml:space="preserve"> The IM chapter is also relevant, </w:t>
            </w:r>
            <w:proofErr w:type="gramStart"/>
            <w:r>
              <w:t>in particular IM</w:t>
            </w:r>
            <w:proofErr w:type="gramEnd"/>
            <w:r w:rsidR="00AC124B">
              <w:t>–</w:t>
            </w:r>
            <w:r>
              <w:t>O1 and IM</w:t>
            </w:r>
            <w:r w:rsidR="00AC124B">
              <w:t>–</w:t>
            </w:r>
            <w:r>
              <w:t>O3, given the ecosystem services provided by wetland</w:t>
            </w:r>
            <w:r w:rsidR="00AC124B">
              <w:t>s</w:t>
            </w:r>
            <w:r>
              <w:t>.</w:t>
            </w:r>
          </w:p>
        </w:tc>
      </w:tr>
      <w:tr w:rsidR="004A7A26" w14:paraId="2E8EDBB7"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35677A5" w14:textId="77777777" w:rsidR="004A7A26" w:rsidRDefault="004A7A26" w:rsidP="000F043E">
            <w:pPr>
              <w:pStyle w:val="Table1"/>
              <w:shd w:val="clear" w:color="auto" w:fill="DEEAF6" w:themeFill="accent5" w:themeFillTint="33"/>
            </w:pPr>
            <w:r>
              <w:lastRenderedPageBreak/>
              <w:t>Policy 7</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738F154" w14:textId="6295BC23" w:rsidR="004A7A26" w:rsidRDefault="004A7A26" w:rsidP="000F043E">
            <w:pPr>
              <w:pStyle w:val="Table1"/>
              <w:shd w:val="clear" w:color="auto" w:fill="DEEAF6" w:themeFill="accent5" w:themeFillTint="33"/>
            </w:pPr>
            <w:r>
              <w:t>Policy 7 requires avoiding the loss of river extent and values to the extent practicable. This is given effect by LF–FW–</w:t>
            </w:r>
            <w:r w:rsidR="00AC124B">
              <w:t>P13</w:t>
            </w:r>
            <w:r>
              <w:t xml:space="preserve"> specifically</w:t>
            </w:r>
            <w:r w:rsidR="00AC124B">
              <w:t xml:space="preserve"> which reflects the direction from the NPSFM in Policy 7 and clause 3.24</w:t>
            </w:r>
            <w:r>
              <w:t xml:space="preserve">. </w:t>
            </w:r>
            <w:r w:rsidR="00AC124B">
              <w:t xml:space="preserve">As with wetlands, for managing effects on biodiversity Policy LF–FW–P13 adopts the approach in the ECO chapter instead of the approach in the NPSFM </w:t>
            </w:r>
            <w:proofErr w:type="gramStart"/>
            <w:r w:rsidR="00AC124B">
              <w:t>so as to</w:t>
            </w:r>
            <w:proofErr w:type="gramEnd"/>
            <w:r w:rsidR="00AC124B">
              <w:t xml:space="preserve"> maintain the current stringency in management. </w:t>
            </w:r>
            <w:r>
              <w:t xml:space="preserve">The IM chapter is also relevant, </w:t>
            </w:r>
            <w:proofErr w:type="gramStart"/>
            <w:r>
              <w:t>in particular IM</w:t>
            </w:r>
            <w:proofErr w:type="gramEnd"/>
            <w:r w:rsidR="00AC124B">
              <w:t>–</w:t>
            </w:r>
            <w:r>
              <w:t>O1.</w:t>
            </w:r>
          </w:p>
        </w:tc>
      </w:tr>
      <w:tr w:rsidR="004A7A26" w14:paraId="420F9B56"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98FB7CC" w14:textId="77777777" w:rsidR="004A7A26" w:rsidRDefault="004A7A26" w:rsidP="000F043E">
            <w:pPr>
              <w:pStyle w:val="Table1"/>
              <w:shd w:val="clear" w:color="auto" w:fill="DEEAF6" w:themeFill="accent5" w:themeFillTint="33"/>
            </w:pPr>
            <w:r>
              <w:t>Policy 8</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98AEF6A" w14:textId="5D39ABA4" w:rsidR="004A7A26" w:rsidRDefault="004A7A26" w:rsidP="000F043E">
            <w:pPr>
              <w:pStyle w:val="Table1"/>
              <w:shd w:val="clear" w:color="auto" w:fill="DEEAF6" w:themeFill="accent5" w:themeFillTint="33"/>
            </w:pPr>
            <w:r>
              <w:t>Policy 8 requires protecting the significant values of outstanding water bodies. An initial list of outstanding water bodies is identified in LF–FW–P</w:t>
            </w:r>
            <w:r w:rsidR="00AC124B">
              <w:t>11</w:t>
            </w:r>
            <w:r>
              <w:t>. That policy also provides for other water bodies to be considered outstanding if they meet the criteria in APP1. In line with other management approaches to resources considered to be outstanding, LF–FW–P</w:t>
            </w:r>
            <w:r w:rsidR="001431CE">
              <w:t>12</w:t>
            </w:r>
            <w:r>
              <w:t xml:space="preserve"> requires avoiding activities that have adverse effects on the significant and outstanding values of outstanding water bodies. </w:t>
            </w:r>
          </w:p>
        </w:tc>
      </w:tr>
      <w:tr w:rsidR="004A7A26" w14:paraId="28B74152"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BC7064F" w14:textId="77777777" w:rsidR="004A7A26" w:rsidRDefault="004A7A26" w:rsidP="000F043E">
            <w:pPr>
              <w:pStyle w:val="Table1"/>
              <w:shd w:val="clear" w:color="auto" w:fill="DEEAF6" w:themeFill="accent5" w:themeFillTint="33"/>
            </w:pPr>
            <w:r>
              <w:t>Policy 9</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D49FD42" w14:textId="0076DC57" w:rsidR="004A7A26" w:rsidRDefault="004A7A26" w:rsidP="000F043E">
            <w:pPr>
              <w:pStyle w:val="Table1"/>
              <w:shd w:val="clear" w:color="auto" w:fill="DEEAF6" w:themeFill="accent5" w:themeFillTint="33"/>
            </w:pPr>
            <w:r>
              <w:t xml:space="preserve">Policy 9 requires protecting the habitats of indigenous freshwater species. There are many provisions in the LF chapter that collectively work together to implement this policy. At the strategic level, the expression of Te Mana o Te Wai through LF–WAI–01, LF–WAI–P1, LF–WAI–P2 and LF–WAI–P3 aims to prioritise the health and wellbeing of water bodies and freshwater ecosystems which are the habitats of indigenous freshwater species. The freshwater visions (LF–VM–O2 to LF–VM–O6) also describe outcomes that will improve the habitats of indigenous freshwater species. The LF–FW section of the chapter contains more specific direction for freshwater resources and include specific references to indigenous freshwater species habitats in LF–FW–O8, LF–FW–O9, </w:t>
            </w:r>
            <w:r w:rsidR="001431CE">
              <w:t xml:space="preserve">LF–FW–P7, </w:t>
            </w:r>
            <w:r>
              <w:t>LF–FW–P9</w:t>
            </w:r>
            <w:r w:rsidR="001431CE">
              <w:t xml:space="preserve">, </w:t>
            </w:r>
            <w:r>
              <w:t>LF–FW–P10</w:t>
            </w:r>
            <w:r w:rsidR="001431CE">
              <w:t>, LF–FW–P13 and LF–FW–P14</w:t>
            </w:r>
            <w:r>
              <w:t xml:space="preserve">. </w:t>
            </w:r>
            <w:r w:rsidR="001431CE">
              <w:t xml:space="preserve">The policies managing the loss of values or extent of rivers and wetlands (LF–FW–P9 and LF–FW–P13) adopt a more stringent effects management hierarchy (including more stringent criteria for using offsetting and compensation) for effects on biodiversity which assists with implementing Policy 9. </w:t>
            </w:r>
            <w:r>
              <w:t xml:space="preserve">Many of the outstanding water bodies (including those already identified and those to be identified using APP1) are likely to be habitats of indigenous freshwater species and protected on that basis. </w:t>
            </w:r>
          </w:p>
          <w:p w14:paraId="65DEA044" w14:textId="7E8F2C9E" w:rsidR="004A7A26" w:rsidRDefault="004A7A26" w:rsidP="000F043E">
            <w:pPr>
              <w:pStyle w:val="Table1"/>
              <w:shd w:val="clear" w:color="auto" w:fill="DEEAF6" w:themeFill="accent5" w:themeFillTint="33"/>
            </w:pPr>
            <w:r>
              <w:t xml:space="preserve">The ECO chapter is also relevant to indigenous freshwater species, including both ECO–O1 and ECO–O2. Habitats may be identified as significant natural areas </w:t>
            </w:r>
            <w:r w:rsidR="001431CE">
              <w:t xml:space="preserve">or indigenous species and ecosystems that are </w:t>
            </w:r>
            <w:proofErr w:type="spellStart"/>
            <w:r w:rsidR="001431CE">
              <w:t>taoka</w:t>
            </w:r>
            <w:proofErr w:type="spellEnd"/>
            <w:r w:rsidR="001431CE">
              <w:t xml:space="preserve"> </w:t>
            </w:r>
            <w:r>
              <w:t>under ECO–P</w:t>
            </w:r>
            <w:r w:rsidR="001431CE">
              <w:t>3</w:t>
            </w:r>
            <w:r>
              <w:t xml:space="preserve"> and managed accordingly. Outside </w:t>
            </w:r>
            <w:r w:rsidR="001431CE">
              <w:t>those areas,</w:t>
            </w:r>
            <w:r>
              <w:t xml:space="preserve"> ECO–P</w:t>
            </w:r>
            <w:r w:rsidR="001431CE">
              <w:t>6</w:t>
            </w:r>
            <w:r>
              <w:t xml:space="preserve"> sets out an effects management hierarchy to be applied in decision-making</w:t>
            </w:r>
            <w:r w:rsidR="001431CE">
              <w:t xml:space="preserve">, as explained above. </w:t>
            </w:r>
            <w:r>
              <w:t>IM</w:t>
            </w:r>
            <w:r w:rsidR="001431CE">
              <w:t>–</w:t>
            </w:r>
            <w:r>
              <w:t>O1 in the IM chapter is also relevant, as an overarching goal of this work.</w:t>
            </w:r>
          </w:p>
        </w:tc>
      </w:tr>
      <w:tr w:rsidR="004A7A26" w14:paraId="0DDBB75B"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951C0DB" w14:textId="77777777" w:rsidR="004A7A26" w:rsidRDefault="004A7A26" w:rsidP="000F043E">
            <w:pPr>
              <w:pStyle w:val="Table1"/>
              <w:shd w:val="clear" w:color="auto" w:fill="DEEAF6" w:themeFill="accent5" w:themeFillTint="33"/>
            </w:pPr>
            <w:r>
              <w:t>Policy 10</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6051C5" w14:textId="77777777" w:rsidR="004A7A26" w:rsidRDefault="004A7A26" w:rsidP="000F043E">
            <w:pPr>
              <w:pStyle w:val="Table1"/>
              <w:shd w:val="clear" w:color="auto" w:fill="DEEAF6" w:themeFill="accent5" w:themeFillTint="33"/>
            </w:pPr>
            <w:r>
              <w:t xml:space="preserve">Policy 10 requires protecting the habitat of trout and salmon insofar as this is consistent with Policy 9. The PORPS 2021 does not specifically provide for trout and salmon, however their habitats will be protected by implementing the provisions designed to give effect to Policy 7 and Policy 8 above. </w:t>
            </w:r>
          </w:p>
          <w:p w14:paraId="3A2DE5F5" w14:textId="4BD9EF6C" w:rsidR="004A7A26" w:rsidRDefault="004A7A26" w:rsidP="000F043E">
            <w:pPr>
              <w:pStyle w:val="Table1"/>
              <w:shd w:val="clear" w:color="auto" w:fill="DEEAF6" w:themeFill="accent5" w:themeFillTint="33"/>
            </w:pPr>
            <w:r>
              <w:t>IM</w:t>
            </w:r>
            <w:r w:rsidR="001431CE">
              <w:t>–</w:t>
            </w:r>
            <w:r>
              <w:t>O1 in the IM chapter is also relevant, as an overarching goal of this work.</w:t>
            </w:r>
          </w:p>
        </w:tc>
      </w:tr>
      <w:tr w:rsidR="004A7A26" w14:paraId="6234E86E"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115DF3F" w14:textId="77777777" w:rsidR="004A7A26" w:rsidRDefault="004A7A26" w:rsidP="000F043E">
            <w:pPr>
              <w:pStyle w:val="Table1"/>
              <w:shd w:val="clear" w:color="auto" w:fill="DEEAF6" w:themeFill="accent5" w:themeFillTint="33"/>
            </w:pPr>
            <w:r>
              <w:t>Policy 11</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F224EC5" w14:textId="013D6A06" w:rsidR="004A7A26" w:rsidRDefault="004A7A26" w:rsidP="000F043E">
            <w:pPr>
              <w:pStyle w:val="Table1"/>
              <w:shd w:val="clear" w:color="auto" w:fill="DEEAF6" w:themeFill="accent5" w:themeFillTint="33"/>
            </w:pPr>
            <w:r>
              <w:t>Policy 11 requires freshwater to be allocated and used efficiently, over-allocation phased out and future over-allocation avoided. This is implemented through LF–</w:t>
            </w:r>
            <w:r>
              <w:lastRenderedPageBreak/>
              <w:t>FW–</w:t>
            </w:r>
            <w:r w:rsidR="00DA7128">
              <w:t>P7</w:t>
            </w:r>
            <w:r>
              <w:t xml:space="preserve"> and LF–FW–M6. Use of water is also incorporated as part of the direction in LF–LS–P</w:t>
            </w:r>
            <w:r w:rsidR="00DA7128">
              <w:t>20</w:t>
            </w:r>
            <w:r>
              <w:t>, LF–LS–M11 and LF–LS–M12 regarding land use change. IM</w:t>
            </w:r>
            <w:r w:rsidR="00DA7128">
              <w:t>–</w:t>
            </w:r>
            <w:r>
              <w:t>O3, requiring Otago’s communities carry out their activities in a way that preserves and supports environmental integrity, form, function, and resilience, is also relevant.</w:t>
            </w:r>
          </w:p>
        </w:tc>
      </w:tr>
      <w:tr w:rsidR="004A7A26" w14:paraId="19A760B8"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C5B062" w14:textId="77777777" w:rsidR="004A7A26" w:rsidRDefault="004A7A26" w:rsidP="000F043E">
            <w:pPr>
              <w:pStyle w:val="Table1"/>
              <w:shd w:val="clear" w:color="auto" w:fill="DEEAF6" w:themeFill="accent5" w:themeFillTint="33"/>
            </w:pPr>
            <w:r>
              <w:lastRenderedPageBreak/>
              <w:t>Policy 12</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50C7313" w14:textId="22FF240A" w:rsidR="004A7A26" w:rsidRDefault="004A7A26" w:rsidP="000F043E">
            <w:pPr>
              <w:pStyle w:val="Table1"/>
              <w:shd w:val="clear" w:color="auto" w:fill="DEEAF6" w:themeFill="accent5" w:themeFillTint="33"/>
            </w:pPr>
            <w:r>
              <w:t>Policy 12 requires the national target for water quality improvement to be achieved. This is implemented by LF–FW–</w:t>
            </w:r>
            <w:r w:rsidR="00DA7128">
              <w:t>P7</w:t>
            </w:r>
            <w:r>
              <w:t xml:space="preserve"> which includes Otago’s regional targets that were developed to achieve the national target.</w:t>
            </w:r>
          </w:p>
        </w:tc>
      </w:tr>
      <w:tr w:rsidR="004A7A26" w14:paraId="1F986897"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5362AE4" w14:textId="77777777" w:rsidR="004A7A26" w:rsidRDefault="004A7A26" w:rsidP="000F043E">
            <w:pPr>
              <w:pStyle w:val="Table1"/>
              <w:shd w:val="clear" w:color="auto" w:fill="DEEAF6" w:themeFill="accent5" w:themeFillTint="33"/>
            </w:pPr>
            <w:r>
              <w:t>Policy 13</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A184192" w14:textId="77777777" w:rsidR="004A7A26" w:rsidRDefault="004A7A26" w:rsidP="000F043E">
            <w:pPr>
              <w:pStyle w:val="Table1"/>
              <w:shd w:val="clear" w:color="auto" w:fill="DEEAF6" w:themeFill="accent5" w:themeFillTint="33"/>
            </w:pPr>
            <w:r>
              <w:t>Policy 13 requires systematic monitoring and action in respond to degradation to reverse deteriorating trends. This will need to occur as part of the implementation of the LWRP, however there are high level monitoring requirements set out in LF–FW–M9.</w:t>
            </w:r>
          </w:p>
        </w:tc>
      </w:tr>
      <w:tr w:rsidR="004A7A26" w14:paraId="52BB9836"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4F12792" w14:textId="77777777" w:rsidR="004A7A26" w:rsidRDefault="004A7A26" w:rsidP="000F043E">
            <w:pPr>
              <w:pStyle w:val="Table1"/>
              <w:shd w:val="clear" w:color="auto" w:fill="DEEAF6" w:themeFill="accent5" w:themeFillTint="33"/>
            </w:pPr>
            <w:r>
              <w:t>Policy 14</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87E727" w14:textId="77777777" w:rsidR="004A7A26" w:rsidRDefault="004A7A26" w:rsidP="000F043E">
            <w:pPr>
              <w:pStyle w:val="Table1"/>
              <w:shd w:val="clear" w:color="auto" w:fill="DEEAF6" w:themeFill="accent5" w:themeFillTint="33"/>
            </w:pPr>
            <w:r>
              <w:t>Policy 14 requires reporting on and publishing information about the state of water bodies and freshwater ecosystems. This will largely be implemented by ORC’s science programmes, but it is given effect at a high level through LF–FW–M9.</w:t>
            </w:r>
          </w:p>
        </w:tc>
      </w:tr>
      <w:tr w:rsidR="004A7A26" w14:paraId="3412CFAA" w14:textId="77777777" w:rsidTr="000F043E">
        <w:tc>
          <w:tcPr>
            <w:tcW w:w="1402"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1CB2FAE" w14:textId="77777777" w:rsidR="004A7A26" w:rsidRDefault="004A7A26" w:rsidP="000F043E">
            <w:pPr>
              <w:pStyle w:val="Table1"/>
              <w:shd w:val="clear" w:color="auto" w:fill="DEEAF6" w:themeFill="accent5" w:themeFillTint="33"/>
            </w:pPr>
            <w:r>
              <w:t>Policy 15</w:t>
            </w:r>
          </w:p>
        </w:tc>
        <w:tc>
          <w:tcPr>
            <w:tcW w:w="6894"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AF0D470" w14:textId="186845CA" w:rsidR="004A7A26" w:rsidRDefault="004A7A26" w:rsidP="000F043E">
            <w:pPr>
              <w:pStyle w:val="Table1"/>
              <w:shd w:val="clear" w:color="auto" w:fill="DEEAF6" w:themeFill="accent5" w:themeFillTint="33"/>
            </w:pPr>
            <w:r>
              <w:t xml:space="preserve">Policy 15 requires communities to be enabled to provide for their social, </w:t>
            </w:r>
            <w:proofErr w:type="gramStart"/>
            <w:r>
              <w:t>economic</w:t>
            </w:r>
            <w:proofErr w:type="gramEnd"/>
            <w:r>
              <w:t xml:space="preserve"> and cultural wellbeing in a way that is consistent with the NPSFM. </w:t>
            </w:r>
            <w:r w:rsidR="00692D4E">
              <w:t>This will primarily be delivered through the provisions of the LWRP which implement the NOF but t</w:t>
            </w:r>
            <w:r>
              <w:t xml:space="preserve">he freshwater visions (LF–VM–O2 to LF–VM–06) </w:t>
            </w:r>
            <w:r w:rsidR="00692D4E">
              <w:t xml:space="preserve">do </w:t>
            </w:r>
            <w:r>
              <w:t>outline the social and economic wellbeing aspirations of the community</w:t>
            </w:r>
            <w:r w:rsidR="00692D4E">
              <w:t xml:space="preserve"> at a high level</w:t>
            </w:r>
            <w:r>
              <w:t xml:space="preserve">, which are to be achieved while also giving effect to Te Mana o </w:t>
            </w:r>
            <w:r w:rsidR="00DA7128">
              <w:t>t</w:t>
            </w:r>
            <w:r>
              <w:t>e Wai.</w:t>
            </w:r>
          </w:p>
        </w:tc>
      </w:tr>
    </w:tbl>
    <w:p w14:paraId="50B58ACB" w14:textId="77777777" w:rsidR="004A7A26" w:rsidRDefault="004A7A26" w:rsidP="0082271A">
      <w:pPr>
        <w:pStyle w:val="Heading3"/>
      </w:pPr>
      <w:r>
        <w:t>National Policy Statement on Urban Development 2020 (NPSUD)</w:t>
      </w:r>
    </w:p>
    <w:p w14:paraId="5F9A6603" w14:textId="49D63499" w:rsidR="004A7A26" w:rsidRDefault="004A7A26" w:rsidP="00A247C5">
      <w:pPr>
        <w:pStyle w:val="Normal2"/>
      </w:pPr>
      <w:r>
        <w:t xml:space="preserve">The NPSUD sets out objectives and policies for planning for </w:t>
      </w:r>
      <w:r w:rsidRPr="00DA7128">
        <w:t>well-functioning urban environments</w:t>
      </w:r>
      <w:r>
        <w:t xml:space="preserve">. It came into effect on 20 August 2020, replacing </w:t>
      </w:r>
      <w:r w:rsidR="00514048">
        <w:t>the</w:t>
      </w:r>
      <w:r>
        <w:t xml:space="preserve"> provisions of the NPS Urban Development Capacity 2016 which had informed the development of the PORPS</w:t>
      </w:r>
      <w:r w:rsidR="00255AE0">
        <w:t xml:space="preserve"> </w:t>
      </w:r>
      <w:r>
        <w:t xml:space="preserve">2019 and </w:t>
      </w:r>
      <w:r w:rsidR="007D67B3">
        <w:t xml:space="preserve">territorial </w:t>
      </w:r>
      <w:r w:rsidR="00884098">
        <w:t>authority</w:t>
      </w:r>
      <w:r>
        <w:t xml:space="preserve"> implementation.</w:t>
      </w:r>
    </w:p>
    <w:p w14:paraId="0FACEFF2" w14:textId="00C9D49C" w:rsidR="004A7A26" w:rsidRDefault="004A7A26" w:rsidP="00A247C5">
      <w:pPr>
        <w:pStyle w:val="Normal2"/>
      </w:pPr>
      <w:r>
        <w:t xml:space="preserve">The NPSUD divides local authorities into four tiers (the </w:t>
      </w:r>
      <w:r w:rsidR="00354DE3">
        <w:t xml:space="preserve">two tiers </w:t>
      </w:r>
      <w:r>
        <w:t>identified</w:t>
      </w:r>
      <w:r w:rsidR="00643DA3">
        <w:t xml:space="preserve"> in the NPSUD,</w:t>
      </w:r>
      <w:r>
        <w:t xml:space="preserve"> </w:t>
      </w:r>
      <w:r w:rsidR="00354DE3">
        <w:t xml:space="preserve">Tier 3 for </w:t>
      </w:r>
      <w:r w:rsidR="0035632A">
        <w:t xml:space="preserve">those with unlisted </w:t>
      </w:r>
      <w:r w:rsidR="0035632A">
        <w:rPr>
          <w:i/>
          <w:iCs/>
        </w:rPr>
        <w:t xml:space="preserve">urban </w:t>
      </w:r>
      <w:r w:rsidR="0035632A" w:rsidRPr="0035632A">
        <w:rPr>
          <w:i/>
          <w:iCs/>
        </w:rPr>
        <w:t>environments</w:t>
      </w:r>
      <w:r w:rsidR="0035632A">
        <w:t xml:space="preserve">, </w:t>
      </w:r>
      <w:r>
        <w:t>plus one more</w:t>
      </w:r>
      <w:r w:rsidR="00643DA3">
        <w:t xml:space="preserve"> </w:t>
      </w:r>
      <w:r w:rsidR="00870E0E">
        <w:t xml:space="preserve">implied </w:t>
      </w:r>
      <w:r w:rsidR="00643DA3">
        <w:t>‘tier’</w:t>
      </w:r>
      <w:r>
        <w:t xml:space="preserve"> for those that </w:t>
      </w:r>
      <w:r w:rsidR="0035632A">
        <w:t xml:space="preserve">do not contain part or </w:t>
      </w:r>
      <w:proofErr w:type="gramStart"/>
      <w:r w:rsidR="0035632A">
        <w:t>all of</w:t>
      </w:r>
      <w:proofErr w:type="gramEnd"/>
      <w:r w:rsidR="0035632A">
        <w:t xml:space="preserve"> an </w:t>
      </w:r>
      <w:r w:rsidR="0035632A" w:rsidRPr="00D83416">
        <w:rPr>
          <w:i/>
        </w:rPr>
        <w:t>urban environment</w:t>
      </w:r>
      <w:r>
        <w:t>)</w:t>
      </w:r>
      <w:r w:rsidR="00BA1FB2">
        <w:t>.</w:t>
      </w:r>
      <w:r>
        <w:t xml:space="preserve"> General provisions apply to all tiers, and more specific or directive provisions applying to higher tiers with specificity scaling down through the lower tiers. </w:t>
      </w:r>
    </w:p>
    <w:p w14:paraId="787DDD45" w14:textId="6D981876" w:rsidR="004A7A26" w:rsidRDefault="004A7A26" w:rsidP="00A247C5">
      <w:pPr>
        <w:pStyle w:val="Normal2"/>
      </w:pPr>
      <w:r>
        <w:t xml:space="preserve">The classification of the highest </w:t>
      </w:r>
      <w:r w:rsidR="009E462E">
        <w:t>t</w:t>
      </w:r>
      <w:r>
        <w:t>ier urban environment has the effect of imposing that tier requirements across the whole of the geographic area within the jurisdiction</w:t>
      </w:r>
      <w:r>
        <w:rPr>
          <w:rStyle w:val="FootnoteReference"/>
        </w:rPr>
        <w:footnoteReference w:id="63"/>
      </w:r>
      <w:r>
        <w:t xml:space="preserve">, and the NPSUD also ‘strongly encourages’ that Tier 3 </w:t>
      </w:r>
      <w:r w:rsidR="00F91A81">
        <w:t>terri</w:t>
      </w:r>
      <w:r w:rsidR="00C32DC9">
        <w:t>torial authorities</w:t>
      </w:r>
      <w:r>
        <w:t xml:space="preserve"> undertake </w:t>
      </w:r>
      <w:proofErr w:type="gramStart"/>
      <w:r>
        <w:t>all of</w:t>
      </w:r>
      <w:proofErr w:type="gramEnd"/>
      <w:r>
        <w:t xml:space="preserve"> the obligations of the NPSUD, with appropriate modifications, even if they are not required to do so</w:t>
      </w:r>
      <w:r>
        <w:rPr>
          <w:rStyle w:val="FootnoteReference"/>
        </w:rPr>
        <w:footnoteReference w:id="64"/>
      </w:r>
      <w:r>
        <w:t>.</w:t>
      </w:r>
    </w:p>
    <w:p w14:paraId="0ADB5411" w14:textId="0E4C18F4" w:rsidR="0090253C" w:rsidRDefault="004A7A26" w:rsidP="00C141C6">
      <w:pPr>
        <w:pStyle w:val="Normal2"/>
      </w:pPr>
      <w:r>
        <w:t xml:space="preserve">None of Otago’s urban environments are identified as Tier 1 but </w:t>
      </w:r>
      <w:r w:rsidR="0005633C">
        <w:t>‘</w:t>
      </w:r>
      <w:r>
        <w:t>Queenstown</w:t>
      </w:r>
      <w:r w:rsidR="0005633C">
        <w:t>’</w:t>
      </w:r>
      <w:r>
        <w:t xml:space="preserve"> and </w:t>
      </w:r>
      <w:r w:rsidR="0005633C">
        <w:t>‘</w:t>
      </w:r>
      <w:r>
        <w:t>Dunedin</w:t>
      </w:r>
      <w:r w:rsidR="0005633C">
        <w:t>’</w:t>
      </w:r>
      <w:r>
        <w:t xml:space="preserve"> are identified as Tier 2. The rest of Otago’s urban environments are Tier 3</w:t>
      </w:r>
      <w:r w:rsidR="00E42268">
        <w:t xml:space="preserve"> urban environments</w:t>
      </w:r>
      <w:r>
        <w:t>.</w:t>
      </w:r>
      <w:r w:rsidR="00C141C6">
        <w:t xml:space="preserve"> </w:t>
      </w:r>
      <w:r w:rsidR="00B01097">
        <w:fldChar w:fldCharType="begin"/>
      </w:r>
      <w:r w:rsidR="00B01097">
        <w:instrText xml:space="preserve"> REF _Ref72507284 \h </w:instrText>
      </w:r>
      <w:r w:rsidR="00B01097">
        <w:fldChar w:fldCharType="separate"/>
      </w:r>
      <w:r w:rsidR="002A7A16">
        <w:t xml:space="preserve">Table </w:t>
      </w:r>
      <w:r w:rsidR="002A7A16">
        <w:rPr>
          <w:noProof/>
        </w:rPr>
        <w:t>70</w:t>
      </w:r>
      <w:r w:rsidR="00B01097">
        <w:fldChar w:fldCharType="end"/>
      </w:r>
      <w:r w:rsidR="00B01097">
        <w:t xml:space="preserve"> </w:t>
      </w:r>
      <w:r>
        <w:t xml:space="preserve">below identifies all the </w:t>
      </w:r>
      <w:r w:rsidR="0090253C">
        <w:t xml:space="preserve">potential </w:t>
      </w:r>
      <w:r w:rsidRPr="00C141C6">
        <w:rPr>
          <w:i/>
        </w:rPr>
        <w:t>urban environments</w:t>
      </w:r>
      <w:r>
        <w:t xml:space="preserve"> within the Otago Region with the Tier implications at the </w:t>
      </w:r>
      <w:r w:rsidR="00C141C6">
        <w:t>territorial authority</w:t>
      </w:r>
      <w:r>
        <w:t xml:space="preserve"> level. </w:t>
      </w:r>
    </w:p>
    <w:p w14:paraId="50F085FC" w14:textId="15603FDA" w:rsidR="004A7A26" w:rsidRDefault="004A7A26" w:rsidP="00A247C5">
      <w:pPr>
        <w:pStyle w:val="Normal2"/>
      </w:pPr>
      <w:r>
        <w:t>ORC</w:t>
      </w:r>
      <w:r w:rsidR="00255AE0">
        <w:t>’</w:t>
      </w:r>
      <w:r>
        <w:t xml:space="preserve">s obligations align to each </w:t>
      </w:r>
      <w:r w:rsidR="00C141C6">
        <w:t>t</w:t>
      </w:r>
      <w:r>
        <w:t xml:space="preserve">ier, with the additional requirement to provide a broader and longer term view </w:t>
      </w:r>
      <w:proofErr w:type="gramStart"/>
      <w:r>
        <w:t xml:space="preserve">to  </w:t>
      </w:r>
      <w:r w:rsidR="000D5253">
        <w:t>planning</w:t>
      </w:r>
      <w:proofErr w:type="gramEnd"/>
      <w:r w:rsidR="000D5253">
        <w:t xml:space="preserve"> and infrastructure integration, establish working relationships and </w:t>
      </w:r>
      <w:r>
        <w:t xml:space="preserve">partnerships with each </w:t>
      </w:r>
      <w:r w:rsidR="00C141C6">
        <w:t>territorial authority</w:t>
      </w:r>
      <w:r w:rsidR="00DE4096">
        <w:t>, iwi</w:t>
      </w:r>
      <w:r>
        <w:t xml:space="preserve"> and </w:t>
      </w:r>
      <w:r w:rsidR="00DE4096">
        <w:t xml:space="preserve">other key stakeholders in each </w:t>
      </w:r>
      <w:r>
        <w:t xml:space="preserve">urban </w:t>
      </w:r>
      <w:r>
        <w:lastRenderedPageBreak/>
        <w:t xml:space="preserve">environment </w:t>
      </w:r>
      <w:r w:rsidR="00DE4096">
        <w:t xml:space="preserve">and across urban areas generally, </w:t>
      </w:r>
      <w:r>
        <w:t xml:space="preserve"> as well as </w:t>
      </w:r>
      <w:r w:rsidR="00DE4096">
        <w:t>working with</w:t>
      </w:r>
      <w:r>
        <w:t xml:space="preserve"> adjoining regions</w:t>
      </w:r>
      <w:r w:rsidR="00DE4096">
        <w:t xml:space="preserve"> on cross regional issue of common concern and with central government</w:t>
      </w:r>
      <w:r>
        <w:t>.</w:t>
      </w:r>
    </w:p>
    <w:p w14:paraId="186749D9" w14:textId="48BD8E3E" w:rsidR="007A52F5" w:rsidRDefault="007A52F5" w:rsidP="007A52F5">
      <w:pPr>
        <w:pStyle w:val="Caption"/>
        <w:ind w:left="709"/>
      </w:pPr>
      <w:bookmarkStart w:id="170" w:name="_Ref72507284"/>
      <w:bookmarkStart w:id="171" w:name="_Ref72507263"/>
      <w:r>
        <w:t xml:space="preserve">Table </w:t>
      </w:r>
      <w:r>
        <w:fldChar w:fldCharType="begin"/>
      </w:r>
      <w:r>
        <w:instrText xml:space="preserve"> SEQ Table \* ARABIC </w:instrText>
      </w:r>
      <w:r>
        <w:fldChar w:fldCharType="separate"/>
      </w:r>
      <w:r w:rsidR="002A7A16">
        <w:rPr>
          <w:noProof/>
        </w:rPr>
        <w:t>70</w:t>
      </w:r>
      <w:r>
        <w:rPr>
          <w:noProof/>
        </w:rPr>
        <w:fldChar w:fldCharType="end"/>
      </w:r>
      <w:bookmarkEnd w:id="170"/>
      <w:r>
        <w:t>: NPSUD tiers and urban environments in Otago</w:t>
      </w:r>
      <w:bookmarkEnd w:id="171"/>
    </w:p>
    <w:tbl>
      <w:tblPr>
        <w:tblStyle w:val="TableGrid"/>
        <w:tblW w:w="0" w:type="auto"/>
        <w:tblInd w:w="720" w:type="dxa"/>
        <w:tblLook w:val="04A0" w:firstRow="1" w:lastRow="0" w:firstColumn="1" w:lastColumn="0" w:noHBand="0" w:noVBand="1"/>
      </w:tblPr>
      <w:tblGrid>
        <w:gridCol w:w="1969"/>
        <w:gridCol w:w="1559"/>
        <w:gridCol w:w="4768"/>
      </w:tblGrid>
      <w:tr w:rsidR="004A7A26" w14:paraId="302FE1AC" w14:textId="77777777" w:rsidTr="007A52F5">
        <w:tc>
          <w:tcPr>
            <w:tcW w:w="1969" w:type="dxa"/>
            <w:tcBorders>
              <w:top w:val="single" w:sz="4" w:space="0" w:color="auto"/>
              <w:left w:val="single" w:sz="4" w:space="0" w:color="auto"/>
              <w:bottom w:val="single" w:sz="4" w:space="0" w:color="auto"/>
              <w:right w:val="single" w:sz="4" w:space="0" w:color="auto"/>
            </w:tcBorders>
            <w:hideMark/>
          </w:tcPr>
          <w:p w14:paraId="36510265" w14:textId="77777777" w:rsidR="004A7A26" w:rsidRPr="007A52F5" w:rsidRDefault="004A7A26" w:rsidP="00C53D10">
            <w:pPr>
              <w:pStyle w:val="Table1"/>
              <w:rPr>
                <w:b/>
                <w:bCs/>
              </w:rPr>
            </w:pPr>
            <w:r w:rsidRPr="007A52F5">
              <w:rPr>
                <w:b/>
                <w:bCs/>
              </w:rPr>
              <w:t>Territorial Authority</w:t>
            </w:r>
          </w:p>
        </w:tc>
        <w:tc>
          <w:tcPr>
            <w:tcW w:w="1559" w:type="dxa"/>
            <w:tcBorders>
              <w:top w:val="single" w:sz="4" w:space="0" w:color="auto"/>
              <w:left w:val="single" w:sz="4" w:space="0" w:color="auto"/>
              <w:bottom w:val="single" w:sz="4" w:space="0" w:color="auto"/>
              <w:right w:val="single" w:sz="4" w:space="0" w:color="auto"/>
            </w:tcBorders>
            <w:hideMark/>
          </w:tcPr>
          <w:p w14:paraId="5CD59B1B" w14:textId="77777777" w:rsidR="004A7A26" w:rsidRPr="007A52F5" w:rsidRDefault="004A7A26" w:rsidP="00C53D10">
            <w:pPr>
              <w:pStyle w:val="Table1"/>
              <w:rPr>
                <w:b/>
                <w:bCs/>
              </w:rPr>
            </w:pPr>
            <w:r w:rsidRPr="007A52F5">
              <w:rPr>
                <w:b/>
                <w:bCs/>
              </w:rPr>
              <w:t>NPSUD TA Tier</w:t>
            </w:r>
          </w:p>
        </w:tc>
        <w:tc>
          <w:tcPr>
            <w:tcW w:w="4768" w:type="dxa"/>
            <w:tcBorders>
              <w:top w:val="single" w:sz="4" w:space="0" w:color="auto"/>
              <w:left w:val="single" w:sz="4" w:space="0" w:color="auto"/>
              <w:bottom w:val="single" w:sz="4" w:space="0" w:color="auto"/>
              <w:right w:val="single" w:sz="4" w:space="0" w:color="auto"/>
            </w:tcBorders>
            <w:hideMark/>
          </w:tcPr>
          <w:p w14:paraId="09AC406A" w14:textId="77777777" w:rsidR="004A7A26" w:rsidRPr="007A52F5" w:rsidRDefault="004A7A26" w:rsidP="00C53D10">
            <w:pPr>
              <w:pStyle w:val="Table1"/>
              <w:rPr>
                <w:b/>
                <w:bCs/>
              </w:rPr>
            </w:pPr>
            <w:r w:rsidRPr="007A52F5">
              <w:rPr>
                <w:b/>
                <w:bCs/>
              </w:rPr>
              <w:t xml:space="preserve">Urban Environment(s) </w:t>
            </w:r>
          </w:p>
        </w:tc>
      </w:tr>
      <w:tr w:rsidR="004A7A26" w14:paraId="2662E4B5" w14:textId="77777777" w:rsidTr="007A52F5">
        <w:tc>
          <w:tcPr>
            <w:tcW w:w="1969" w:type="dxa"/>
            <w:tcBorders>
              <w:top w:val="single" w:sz="4" w:space="0" w:color="auto"/>
              <w:left w:val="single" w:sz="4" w:space="0" w:color="auto"/>
              <w:bottom w:val="single" w:sz="4" w:space="0" w:color="auto"/>
              <w:right w:val="single" w:sz="4" w:space="0" w:color="auto"/>
            </w:tcBorders>
            <w:vAlign w:val="center"/>
            <w:hideMark/>
          </w:tcPr>
          <w:p w14:paraId="37F1620B" w14:textId="77777777" w:rsidR="004A7A26" w:rsidRDefault="004A7A26" w:rsidP="00C53D10">
            <w:pPr>
              <w:pStyle w:val="Table1"/>
            </w:pPr>
            <w:r>
              <w:t>Queenstown-Lakes District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24B22AD" w14:textId="77777777" w:rsidR="004A7A26" w:rsidRDefault="004A7A26" w:rsidP="00C53D10">
            <w:pPr>
              <w:pStyle w:val="Table1"/>
            </w:pPr>
            <w:r>
              <w:t>Tier 2</w:t>
            </w:r>
          </w:p>
        </w:tc>
        <w:tc>
          <w:tcPr>
            <w:tcW w:w="4768" w:type="dxa"/>
            <w:tcBorders>
              <w:top w:val="single" w:sz="4" w:space="0" w:color="auto"/>
              <w:left w:val="single" w:sz="4" w:space="0" w:color="auto"/>
              <w:bottom w:val="single" w:sz="4" w:space="0" w:color="auto"/>
              <w:right w:val="single" w:sz="4" w:space="0" w:color="auto"/>
            </w:tcBorders>
            <w:vAlign w:val="center"/>
            <w:hideMark/>
          </w:tcPr>
          <w:p w14:paraId="577E2927" w14:textId="09C5E8A2" w:rsidR="004A7A26" w:rsidRDefault="004A7A26" w:rsidP="00C53D10">
            <w:pPr>
              <w:pStyle w:val="Table1"/>
            </w:pPr>
            <w:r>
              <w:t>Queenstown (</w:t>
            </w:r>
            <w:r w:rsidR="00A72940">
              <w:t>NPSUD identifies</w:t>
            </w:r>
            <w:r w:rsidR="00E8775C">
              <w:t xml:space="preserve"> as </w:t>
            </w:r>
            <w:r>
              <w:t>Tier 2</w:t>
            </w:r>
            <w:r w:rsidR="00052F3E">
              <w:t>, former NPSUDC identified as a High Growth Urban Area</w:t>
            </w:r>
          </w:p>
          <w:p w14:paraId="1DFDA2FF" w14:textId="77777777" w:rsidR="004A7A26" w:rsidRDefault="004A7A26" w:rsidP="00C53D10">
            <w:pPr>
              <w:pStyle w:val="Table1"/>
            </w:pPr>
            <w:proofErr w:type="spellStart"/>
            <w:r>
              <w:t>Wānaka</w:t>
            </w:r>
            <w:proofErr w:type="spellEnd"/>
            <w:r>
              <w:t xml:space="preserve"> (Tier 3)</w:t>
            </w:r>
          </w:p>
        </w:tc>
      </w:tr>
      <w:tr w:rsidR="004A7A26" w14:paraId="1D4A8028" w14:textId="77777777" w:rsidTr="007A52F5">
        <w:tc>
          <w:tcPr>
            <w:tcW w:w="1969" w:type="dxa"/>
            <w:tcBorders>
              <w:top w:val="single" w:sz="4" w:space="0" w:color="auto"/>
              <w:left w:val="single" w:sz="4" w:space="0" w:color="auto"/>
              <w:bottom w:val="single" w:sz="4" w:space="0" w:color="auto"/>
              <w:right w:val="single" w:sz="4" w:space="0" w:color="auto"/>
            </w:tcBorders>
            <w:vAlign w:val="center"/>
            <w:hideMark/>
          </w:tcPr>
          <w:p w14:paraId="3AECC5F3" w14:textId="77777777" w:rsidR="004A7A26" w:rsidRDefault="004A7A26" w:rsidP="00C53D10">
            <w:pPr>
              <w:pStyle w:val="Table1"/>
            </w:pPr>
            <w:r>
              <w:t>Dunedin City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872DF15" w14:textId="77777777" w:rsidR="004A7A26" w:rsidRDefault="004A7A26" w:rsidP="00C53D10">
            <w:pPr>
              <w:pStyle w:val="Table1"/>
            </w:pPr>
            <w:r>
              <w:t>Tier 2</w:t>
            </w:r>
          </w:p>
        </w:tc>
        <w:tc>
          <w:tcPr>
            <w:tcW w:w="4768" w:type="dxa"/>
            <w:tcBorders>
              <w:top w:val="single" w:sz="4" w:space="0" w:color="auto"/>
              <w:left w:val="single" w:sz="4" w:space="0" w:color="auto"/>
              <w:bottom w:val="single" w:sz="4" w:space="0" w:color="auto"/>
              <w:right w:val="single" w:sz="4" w:space="0" w:color="auto"/>
            </w:tcBorders>
            <w:vAlign w:val="center"/>
            <w:hideMark/>
          </w:tcPr>
          <w:p w14:paraId="59E5005E" w14:textId="31F8D1C2" w:rsidR="004A7A26" w:rsidRDefault="004A7A26" w:rsidP="00C53D10">
            <w:pPr>
              <w:pStyle w:val="Table1"/>
            </w:pPr>
            <w:r>
              <w:t>Dunedin (</w:t>
            </w:r>
            <w:r w:rsidR="00A72940">
              <w:t xml:space="preserve">NPSUD identifies </w:t>
            </w:r>
            <w:r w:rsidR="00E8775C">
              <w:t xml:space="preserve">as </w:t>
            </w:r>
            <w:r>
              <w:t>Tier 2</w:t>
            </w:r>
            <w:r w:rsidR="00052F3E">
              <w:t>, former NPSUDC identified as a Medium Growth Urban Area</w:t>
            </w:r>
            <w:r>
              <w:t>)</w:t>
            </w:r>
          </w:p>
          <w:p w14:paraId="414C0AE3" w14:textId="77777777" w:rsidR="004A7A26" w:rsidRDefault="004A7A26" w:rsidP="00C53D10">
            <w:pPr>
              <w:pStyle w:val="Table1"/>
            </w:pPr>
            <w:r>
              <w:t>Mosgiel (Tier 3)</w:t>
            </w:r>
          </w:p>
        </w:tc>
      </w:tr>
      <w:tr w:rsidR="004A7A26" w14:paraId="23C57F7B" w14:textId="77777777" w:rsidTr="007A52F5">
        <w:tc>
          <w:tcPr>
            <w:tcW w:w="1969" w:type="dxa"/>
            <w:tcBorders>
              <w:top w:val="single" w:sz="4" w:space="0" w:color="auto"/>
              <w:left w:val="single" w:sz="4" w:space="0" w:color="auto"/>
              <w:bottom w:val="single" w:sz="4" w:space="0" w:color="auto"/>
              <w:right w:val="single" w:sz="4" w:space="0" w:color="auto"/>
            </w:tcBorders>
            <w:vAlign w:val="center"/>
            <w:hideMark/>
          </w:tcPr>
          <w:p w14:paraId="4E234244" w14:textId="77777777" w:rsidR="004A7A26" w:rsidRDefault="004A7A26" w:rsidP="00C53D10">
            <w:pPr>
              <w:pStyle w:val="Table1"/>
            </w:pPr>
            <w:r>
              <w:t>Central Otago District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9B20C56" w14:textId="6AE21E6B" w:rsidR="004A7A26" w:rsidRDefault="004A7A26" w:rsidP="00C53D10">
            <w:pPr>
              <w:pStyle w:val="Table1"/>
            </w:pPr>
            <w:r>
              <w:t>Tier 3</w:t>
            </w:r>
            <w:r w:rsidR="00506C0D">
              <w:t>*</w:t>
            </w:r>
            <w:r w:rsidR="008F47A7">
              <w:rPr>
                <w:rStyle w:val="FootnoteReference"/>
              </w:rPr>
              <w:footnoteReference w:id="65"/>
            </w:r>
          </w:p>
        </w:tc>
        <w:tc>
          <w:tcPr>
            <w:tcW w:w="4768" w:type="dxa"/>
            <w:tcBorders>
              <w:top w:val="single" w:sz="4" w:space="0" w:color="auto"/>
              <w:left w:val="single" w:sz="4" w:space="0" w:color="auto"/>
              <w:bottom w:val="single" w:sz="4" w:space="0" w:color="auto"/>
              <w:right w:val="single" w:sz="4" w:space="0" w:color="auto"/>
            </w:tcBorders>
            <w:vAlign w:val="center"/>
            <w:hideMark/>
          </w:tcPr>
          <w:p w14:paraId="7E900CB7" w14:textId="651F0C48" w:rsidR="004A7A26" w:rsidRDefault="004A7A26" w:rsidP="00C53D10">
            <w:pPr>
              <w:pStyle w:val="Table1"/>
            </w:pPr>
            <w:r>
              <w:t xml:space="preserve">Cromwell (Tier </w:t>
            </w:r>
            <w:proofErr w:type="gramStart"/>
            <w:r>
              <w:t>3)</w:t>
            </w:r>
            <w:r w:rsidR="00506C0D">
              <w:t>*</w:t>
            </w:r>
            <w:proofErr w:type="gramEnd"/>
          </w:p>
          <w:p w14:paraId="7744C1A3" w14:textId="73271619" w:rsidR="004A7A26" w:rsidRDefault="004A7A26" w:rsidP="00C53D10">
            <w:pPr>
              <w:pStyle w:val="Table1"/>
            </w:pPr>
            <w:r>
              <w:t xml:space="preserve">Alexandra/Clyde (Tier </w:t>
            </w:r>
            <w:proofErr w:type="gramStart"/>
            <w:r>
              <w:t>3)</w:t>
            </w:r>
            <w:r w:rsidR="00506C0D">
              <w:t>*</w:t>
            </w:r>
            <w:proofErr w:type="gramEnd"/>
          </w:p>
        </w:tc>
      </w:tr>
      <w:tr w:rsidR="004A7A26" w14:paraId="15BCD963" w14:textId="77777777" w:rsidTr="007A52F5">
        <w:trPr>
          <w:trHeight w:val="524"/>
        </w:trPr>
        <w:tc>
          <w:tcPr>
            <w:tcW w:w="1969" w:type="dxa"/>
            <w:tcBorders>
              <w:top w:val="single" w:sz="4" w:space="0" w:color="auto"/>
              <w:left w:val="single" w:sz="4" w:space="0" w:color="auto"/>
              <w:bottom w:val="single" w:sz="4" w:space="0" w:color="auto"/>
              <w:right w:val="single" w:sz="4" w:space="0" w:color="auto"/>
            </w:tcBorders>
            <w:vAlign w:val="center"/>
            <w:hideMark/>
          </w:tcPr>
          <w:p w14:paraId="6AB84F7F" w14:textId="77777777" w:rsidR="004A7A26" w:rsidRDefault="004A7A26" w:rsidP="00C53D10">
            <w:pPr>
              <w:pStyle w:val="Table1"/>
            </w:pPr>
            <w:r>
              <w:t>Waitaki District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CEB5B8" w14:textId="77777777" w:rsidR="004A7A26" w:rsidRDefault="004A7A26" w:rsidP="00C53D10">
            <w:pPr>
              <w:pStyle w:val="Table1"/>
            </w:pPr>
            <w:r>
              <w:t>Tier 3</w:t>
            </w:r>
          </w:p>
        </w:tc>
        <w:tc>
          <w:tcPr>
            <w:tcW w:w="4768" w:type="dxa"/>
            <w:tcBorders>
              <w:top w:val="single" w:sz="4" w:space="0" w:color="auto"/>
              <w:left w:val="single" w:sz="4" w:space="0" w:color="auto"/>
              <w:bottom w:val="single" w:sz="4" w:space="0" w:color="auto"/>
              <w:right w:val="single" w:sz="4" w:space="0" w:color="auto"/>
            </w:tcBorders>
            <w:vAlign w:val="center"/>
            <w:hideMark/>
          </w:tcPr>
          <w:p w14:paraId="041E33FB" w14:textId="77777777" w:rsidR="004A7A26" w:rsidRDefault="004A7A26" w:rsidP="00C53D10">
            <w:pPr>
              <w:pStyle w:val="Table1"/>
            </w:pPr>
            <w:proofErr w:type="spellStart"/>
            <w:r>
              <w:t>Ōamaru</w:t>
            </w:r>
            <w:proofErr w:type="spellEnd"/>
            <w:r>
              <w:t xml:space="preserve"> (Tier 3)</w:t>
            </w:r>
          </w:p>
        </w:tc>
      </w:tr>
      <w:tr w:rsidR="004A7A26" w14:paraId="1458B83C" w14:textId="77777777" w:rsidTr="007A52F5">
        <w:tc>
          <w:tcPr>
            <w:tcW w:w="1969" w:type="dxa"/>
            <w:tcBorders>
              <w:top w:val="single" w:sz="4" w:space="0" w:color="auto"/>
              <w:left w:val="single" w:sz="4" w:space="0" w:color="auto"/>
              <w:bottom w:val="single" w:sz="4" w:space="0" w:color="auto"/>
              <w:right w:val="single" w:sz="4" w:space="0" w:color="auto"/>
            </w:tcBorders>
            <w:vAlign w:val="center"/>
            <w:hideMark/>
          </w:tcPr>
          <w:p w14:paraId="08EC5D18" w14:textId="77777777" w:rsidR="004A7A26" w:rsidRDefault="004A7A26" w:rsidP="00C53D10">
            <w:pPr>
              <w:pStyle w:val="Table1"/>
            </w:pPr>
            <w:r>
              <w:t>Clutha District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EBC290C" w14:textId="436B7EF9" w:rsidR="004A7A26" w:rsidRDefault="004A7A26" w:rsidP="00C53D10">
            <w:pPr>
              <w:pStyle w:val="Table1"/>
            </w:pPr>
            <w:r>
              <w:t>NA</w:t>
            </w:r>
            <w:r w:rsidR="008745D5">
              <w:t xml:space="preserve"> (“Tier 4”) </w:t>
            </w:r>
          </w:p>
        </w:tc>
        <w:tc>
          <w:tcPr>
            <w:tcW w:w="4768" w:type="dxa"/>
            <w:tcBorders>
              <w:top w:val="single" w:sz="4" w:space="0" w:color="auto"/>
              <w:left w:val="single" w:sz="4" w:space="0" w:color="auto"/>
              <w:bottom w:val="single" w:sz="4" w:space="0" w:color="auto"/>
              <w:right w:val="single" w:sz="4" w:space="0" w:color="auto"/>
            </w:tcBorders>
            <w:vAlign w:val="center"/>
            <w:hideMark/>
          </w:tcPr>
          <w:p w14:paraId="437FAE91" w14:textId="77777777" w:rsidR="004A7A26" w:rsidRDefault="004A7A26" w:rsidP="00C53D10">
            <w:pPr>
              <w:pStyle w:val="Table1"/>
            </w:pPr>
            <w:r>
              <w:t xml:space="preserve">No </w:t>
            </w:r>
            <w:r w:rsidRPr="007D6150">
              <w:rPr>
                <w:i/>
              </w:rPr>
              <w:t>Urban Environments</w:t>
            </w:r>
            <w:r>
              <w:t xml:space="preserve"> fall partly or wholly within CDC. </w:t>
            </w:r>
          </w:p>
        </w:tc>
      </w:tr>
    </w:tbl>
    <w:p w14:paraId="2AA09B2F" w14:textId="18F5724F" w:rsidR="004A7A26" w:rsidRDefault="004A7A26" w:rsidP="00A247C5">
      <w:pPr>
        <w:pStyle w:val="Normal2"/>
      </w:pPr>
      <w:r>
        <w:t xml:space="preserve">While Clutha District does not </w:t>
      </w:r>
      <w:r w:rsidR="00644D30">
        <w:t xml:space="preserve">contain part or </w:t>
      </w:r>
      <w:proofErr w:type="gramStart"/>
      <w:r w:rsidR="00644D30">
        <w:t>all of</w:t>
      </w:r>
      <w:proofErr w:type="gramEnd"/>
      <w:r w:rsidR="00644D30">
        <w:t xml:space="preserve"> </w:t>
      </w:r>
      <w:r>
        <w:t xml:space="preserve">an urban environment, planning decisions by CDC (or any </w:t>
      </w:r>
      <w:r w:rsidR="008650D0">
        <w:t xml:space="preserve">territorial authority </w:t>
      </w:r>
      <w:r>
        <w:t>or regional council) that ‘affect an urban environment’ are subject to the NPSUD (see Clause 1.3(2)), including impacts on any urban environment outside of their jurisdiction.</w:t>
      </w:r>
    </w:p>
    <w:p w14:paraId="6E6E1531" w14:textId="2BC39793" w:rsidR="004A7A26" w:rsidRDefault="004A7A26" w:rsidP="00A247C5">
      <w:pPr>
        <w:pStyle w:val="Normal2"/>
      </w:pPr>
      <w:r>
        <w:t xml:space="preserve">This section assesses the PORPS </w:t>
      </w:r>
      <w:r w:rsidR="008650D0">
        <w:t xml:space="preserve">2021 </w:t>
      </w:r>
      <w:r>
        <w:t>provisions against the NPSUD and must be read alongside the NPSUD, which is available from the Ministry for the Environment’s website.</w:t>
      </w:r>
      <w:r>
        <w:rPr>
          <w:rStyle w:val="FootnoteReference"/>
        </w:rPr>
        <w:footnoteReference w:id="66"/>
      </w:r>
    </w:p>
    <w:p w14:paraId="102FDEB5" w14:textId="279DDBF8" w:rsidR="004A7A26" w:rsidRDefault="004A7A26" w:rsidP="008650D0">
      <w:pPr>
        <w:pStyle w:val="Caption"/>
        <w:keepNext/>
        <w:ind w:left="709"/>
      </w:pPr>
      <w:r>
        <w:t xml:space="preserve">Table </w:t>
      </w:r>
      <w:r>
        <w:fldChar w:fldCharType="begin"/>
      </w:r>
      <w:r>
        <w:instrText>SEQ Table \* ARABIC</w:instrText>
      </w:r>
      <w:r>
        <w:fldChar w:fldCharType="separate"/>
      </w:r>
      <w:r w:rsidR="002A7A16">
        <w:rPr>
          <w:noProof/>
        </w:rPr>
        <w:t>71</w:t>
      </w:r>
      <w:r>
        <w:fldChar w:fldCharType="end"/>
      </w:r>
      <w:r>
        <w:t>: Assessment against NPSUD</w:t>
      </w:r>
    </w:p>
    <w:tbl>
      <w:tblPr>
        <w:tblStyle w:val="TableGrid"/>
        <w:tblW w:w="0" w:type="auto"/>
        <w:tblInd w:w="720" w:type="dxa"/>
        <w:tblLook w:val="04A0" w:firstRow="1" w:lastRow="0" w:firstColumn="1" w:lastColumn="0" w:noHBand="0" w:noVBand="1"/>
      </w:tblPr>
      <w:tblGrid>
        <w:gridCol w:w="1402"/>
        <w:gridCol w:w="6894"/>
      </w:tblGrid>
      <w:tr w:rsidR="004A7A26" w14:paraId="63D6E97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177F7A6E" w14:textId="77777777" w:rsidR="004A7A26" w:rsidRPr="008650D0" w:rsidRDefault="004A7A26" w:rsidP="00A247C5">
            <w:pPr>
              <w:pStyle w:val="Table1"/>
              <w:rPr>
                <w:b/>
                <w:bCs/>
              </w:rPr>
            </w:pPr>
            <w:r w:rsidRPr="008650D0">
              <w:rPr>
                <w:b/>
                <w:bCs/>
              </w:rPr>
              <w:t>Provision(s)</w:t>
            </w:r>
          </w:p>
        </w:tc>
        <w:tc>
          <w:tcPr>
            <w:tcW w:w="6894" w:type="dxa"/>
            <w:tcBorders>
              <w:top w:val="single" w:sz="4" w:space="0" w:color="auto"/>
              <w:left w:val="single" w:sz="4" w:space="0" w:color="auto"/>
              <w:bottom w:val="single" w:sz="4" w:space="0" w:color="auto"/>
              <w:right w:val="single" w:sz="4" w:space="0" w:color="auto"/>
            </w:tcBorders>
            <w:hideMark/>
          </w:tcPr>
          <w:p w14:paraId="10889C0A" w14:textId="77777777" w:rsidR="004A7A26" w:rsidRPr="008650D0" w:rsidRDefault="004A7A26" w:rsidP="00A247C5">
            <w:pPr>
              <w:pStyle w:val="Table1"/>
              <w:rPr>
                <w:b/>
                <w:bCs/>
              </w:rPr>
            </w:pPr>
            <w:r w:rsidRPr="008650D0">
              <w:rPr>
                <w:b/>
                <w:bCs/>
              </w:rPr>
              <w:t>Assessment</w:t>
            </w:r>
          </w:p>
        </w:tc>
      </w:tr>
      <w:tr w:rsidR="004A7A26" w14:paraId="22E4B32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46C6B4FF" w14:textId="77777777" w:rsidR="004A7A26" w:rsidRDefault="004A7A26" w:rsidP="00A247C5">
            <w:pPr>
              <w:pStyle w:val="Table1"/>
            </w:pPr>
            <w:r>
              <w:t>Objective 1</w:t>
            </w:r>
          </w:p>
        </w:tc>
        <w:tc>
          <w:tcPr>
            <w:tcW w:w="6894" w:type="dxa"/>
            <w:tcBorders>
              <w:top w:val="single" w:sz="4" w:space="0" w:color="auto"/>
              <w:left w:val="single" w:sz="4" w:space="0" w:color="auto"/>
              <w:bottom w:val="single" w:sz="4" w:space="0" w:color="auto"/>
              <w:right w:val="single" w:sz="4" w:space="0" w:color="auto"/>
            </w:tcBorders>
            <w:hideMark/>
          </w:tcPr>
          <w:p w14:paraId="501A7AC5" w14:textId="4CFA6509" w:rsidR="004A7A26" w:rsidRDefault="004A7A26" w:rsidP="00A247C5">
            <w:pPr>
              <w:pStyle w:val="Table1"/>
            </w:pPr>
            <w:r>
              <w:t xml:space="preserve">Objective 1 sets out the broad aim of the NPSUD, which is to have well-functioning urban environments. This is implemented through UFD-O1, UFD-P1 to </w:t>
            </w:r>
            <w:r w:rsidR="009429F6">
              <w:t>P6</w:t>
            </w:r>
            <w:r>
              <w:t>, UFD-</w:t>
            </w:r>
            <w:r w:rsidR="00D910B0">
              <w:t xml:space="preserve">P9 </w:t>
            </w:r>
            <w:r>
              <w:t>and UFD-</w:t>
            </w:r>
            <w:r w:rsidR="00D910B0">
              <w:t>P10</w:t>
            </w:r>
            <w:r>
              <w:t xml:space="preserve">. </w:t>
            </w:r>
          </w:p>
        </w:tc>
      </w:tr>
      <w:tr w:rsidR="004A7A26" w14:paraId="13D1274C"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AB8D17B" w14:textId="77777777" w:rsidR="004A7A26" w:rsidRDefault="004A7A26" w:rsidP="00A247C5">
            <w:pPr>
              <w:pStyle w:val="Table1"/>
            </w:pPr>
            <w:r>
              <w:t>Objective 2</w:t>
            </w:r>
          </w:p>
        </w:tc>
        <w:tc>
          <w:tcPr>
            <w:tcW w:w="6894" w:type="dxa"/>
            <w:tcBorders>
              <w:top w:val="single" w:sz="4" w:space="0" w:color="auto"/>
              <w:left w:val="single" w:sz="4" w:space="0" w:color="auto"/>
              <w:bottom w:val="single" w:sz="4" w:space="0" w:color="auto"/>
              <w:right w:val="single" w:sz="4" w:space="0" w:color="auto"/>
            </w:tcBorders>
            <w:hideMark/>
          </w:tcPr>
          <w:p w14:paraId="5F492304" w14:textId="7B4A011A" w:rsidR="004A7A26" w:rsidRDefault="004A7A26" w:rsidP="00A247C5">
            <w:pPr>
              <w:pStyle w:val="Table1"/>
            </w:pPr>
            <w:r>
              <w:t>Objective 1 requires planning decisions to improve housing affordability by supporting competitive land and development markets. This is implemented by UFD-</w:t>
            </w:r>
            <w:r w:rsidR="0009098D">
              <w:t xml:space="preserve">O1 </w:t>
            </w:r>
            <w:r w:rsidR="000C5ED3">
              <w:t>t</w:t>
            </w:r>
            <w:r w:rsidR="00040CE7">
              <w:t>o</w:t>
            </w:r>
            <w:r w:rsidR="000C5ED3">
              <w:t xml:space="preserve"> O5</w:t>
            </w:r>
            <w:r w:rsidR="00823B69">
              <w:t xml:space="preserve">, </w:t>
            </w:r>
            <w:r w:rsidR="005376F7">
              <w:t xml:space="preserve">excluding </w:t>
            </w:r>
            <w:r w:rsidR="00C450DD">
              <w:t>O</w:t>
            </w:r>
            <w:proofErr w:type="gramStart"/>
            <w:r w:rsidR="00C450DD">
              <w:t>4</w:t>
            </w:r>
            <w:r w:rsidR="0009098D">
              <w:t xml:space="preserve"> </w:t>
            </w:r>
            <w:r>
              <w:t>,</w:t>
            </w:r>
            <w:proofErr w:type="gramEnd"/>
            <w:r>
              <w:t xml:space="preserve"> </w:t>
            </w:r>
            <w:r w:rsidR="00C339D2">
              <w:t xml:space="preserve">but is </w:t>
            </w:r>
            <w:r>
              <w:t xml:space="preserve">supported by UFD-P1 to UFD-P6, and </w:t>
            </w:r>
            <w:r w:rsidR="00040CE7">
              <w:t>UFD-</w:t>
            </w:r>
            <w:r>
              <w:t>P10</w:t>
            </w:r>
          </w:p>
        </w:tc>
      </w:tr>
      <w:tr w:rsidR="004A7A26" w14:paraId="7E321EF3"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59DD5617" w14:textId="77777777" w:rsidR="004A7A26" w:rsidRDefault="004A7A26" w:rsidP="00A247C5">
            <w:pPr>
              <w:pStyle w:val="Table1"/>
            </w:pPr>
            <w:r>
              <w:t>Objective 3</w:t>
            </w:r>
          </w:p>
        </w:tc>
        <w:tc>
          <w:tcPr>
            <w:tcW w:w="6894" w:type="dxa"/>
            <w:tcBorders>
              <w:top w:val="single" w:sz="4" w:space="0" w:color="auto"/>
              <w:left w:val="single" w:sz="4" w:space="0" w:color="auto"/>
              <w:bottom w:val="single" w:sz="4" w:space="0" w:color="auto"/>
              <w:right w:val="single" w:sz="4" w:space="0" w:color="auto"/>
            </w:tcBorders>
            <w:hideMark/>
          </w:tcPr>
          <w:p w14:paraId="1B3C9523" w14:textId="74EFC64D" w:rsidR="004A7A26" w:rsidRDefault="004A7A26" w:rsidP="00A247C5">
            <w:pPr>
              <w:pStyle w:val="Table1"/>
            </w:pPr>
            <w:r>
              <w:t xml:space="preserve">Objective 3 requires RPS’s and district plans to enable more people to live in, and more business and community services to </w:t>
            </w:r>
            <w:proofErr w:type="gramStart"/>
            <w:r>
              <w:t>be located in</w:t>
            </w:r>
            <w:proofErr w:type="gramEnd"/>
            <w:r>
              <w:t xml:space="preserve"> specific parts of urban areas. This is implemented by UFD-O1</w:t>
            </w:r>
            <w:r w:rsidR="001710AD">
              <w:t xml:space="preserve"> to UFD-</w:t>
            </w:r>
            <w:r w:rsidR="00CE7B0B">
              <w:t>O4</w:t>
            </w:r>
            <w:r w:rsidR="005A764C">
              <w:t xml:space="preserve">, </w:t>
            </w:r>
            <w:r>
              <w:t>UFD-P1 to UFD-P6</w:t>
            </w:r>
            <w:r w:rsidR="001D62DF">
              <w:t xml:space="preserve"> and </w:t>
            </w:r>
            <w:r w:rsidR="001710AD">
              <w:t>UFD-</w:t>
            </w:r>
            <w:r w:rsidR="001D62DF">
              <w:t>P10</w:t>
            </w:r>
            <w:r>
              <w:t xml:space="preserve">. </w:t>
            </w:r>
          </w:p>
        </w:tc>
      </w:tr>
      <w:tr w:rsidR="004A7A26" w14:paraId="0F58F344"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3DA5C2B" w14:textId="77777777" w:rsidR="004A7A26" w:rsidRDefault="004A7A26" w:rsidP="00A247C5">
            <w:pPr>
              <w:pStyle w:val="Table1"/>
            </w:pPr>
            <w:r>
              <w:t>Objective 4</w:t>
            </w:r>
          </w:p>
        </w:tc>
        <w:tc>
          <w:tcPr>
            <w:tcW w:w="6894" w:type="dxa"/>
            <w:tcBorders>
              <w:top w:val="single" w:sz="4" w:space="0" w:color="auto"/>
              <w:left w:val="single" w:sz="4" w:space="0" w:color="auto"/>
              <w:bottom w:val="single" w:sz="4" w:space="0" w:color="auto"/>
              <w:right w:val="single" w:sz="4" w:space="0" w:color="auto"/>
            </w:tcBorders>
            <w:hideMark/>
          </w:tcPr>
          <w:p w14:paraId="4B0EBC41" w14:textId="628F7D9B" w:rsidR="004A7A26" w:rsidRDefault="004A7A26" w:rsidP="00A247C5">
            <w:pPr>
              <w:pStyle w:val="Table1"/>
            </w:pPr>
            <w:r>
              <w:t xml:space="preserve">Objective 4 recognises that urban environments develop and change over time in response to the diverse and changing needs of people, </w:t>
            </w:r>
            <w:proofErr w:type="gramStart"/>
            <w:r>
              <w:t>communities</w:t>
            </w:r>
            <w:proofErr w:type="gramEnd"/>
            <w:r>
              <w:t xml:space="preserve"> and future generations. This is given effect by UFD-O1, O2, and </w:t>
            </w:r>
            <w:r w:rsidR="004374DE">
              <w:t xml:space="preserve">O4 </w:t>
            </w:r>
            <w:r>
              <w:t>and UFD-P1 to UFD-</w:t>
            </w:r>
            <w:r w:rsidR="009A5B5D">
              <w:t xml:space="preserve">P6 </w:t>
            </w:r>
            <w:r>
              <w:t>and UFD-P10.</w:t>
            </w:r>
          </w:p>
        </w:tc>
      </w:tr>
      <w:tr w:rsidR="004A7A26" w14:paraId="351E67A7"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2792F86" w14:textId="77777777" w:rsidR="004A7A26" w:rsidRDefault="004A7A26" w:rsidP="00A247C5">
            <w:pPr>
              <w:pStyle w:val="Table1"/>
            </w:pPr>
            <w:r>
              <w:t>Objective 5</w:t>
            </w:r>
          </w:p>
        </w:tc>
        <w:tc>
          <w:tcPr>
            <w:tcW w:w="6894" w:type="dxa"/>
            <w:tcBorders>
              <w:top w:val="single" w:sz="4" w:space="0" w:color="auto"/>
              <w:left w:val="single" w:sz="4" w:space="0" w:color="auto"/>
              <w:bottom w:val="single" w:sz="4" w:space="0" w:color="auto"/>
              <w:right w:val="single" w:sz="4" w:space="0" w:color="auto"/>
            </w:tcBorders>
            <w:hideMark/>
          </w:tcPr>
          <w:p w14:paraId="5E210DE1" w14:textId="49FA8DB1" w:rsidR="004A7A26" w:rsidRDefault="004A7A26" w:rsidP="00A247C5">
            <w:pPr>
              <w:pStyle w:val="Table1"/>
            </w:pPr>
            <w:r>
              <w:t xml:space="preserve">Objective 5 requires planning decisions to </w:t>
            </w:r>
            <w:proofErr w:type="gramStart"/>
            <w:r>
              <w:t>take into account</w:t>
            </w:r>
            <w:proofErr w:type="gramEnd"/>
            <w:r>
              <w:t xml:space="preserve"> the principles of Te </w:t>
            </w:r>
            <w:proofErr w:type="spellStart"/>
            <w:r>
              <w:t>Tiriti</w:t>
            </w:r>
            <w:proofErr w:type="spellEnd"/>
            <w:r>
              <w:t xml:space="preserve"> o Waitangi. This is implemented primarily through MW-P2 but also UFD-03, UFD-P1, P3, P4 and P9</w:t>
            </w:r>
          </w:p>
        </w:tc>
      </w:tr>
      <w:tr w:rsidR="004A7A26" w14:paraId="71ADDF29"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A7B2F42" w14:textId="77777777" w:rsidR="004A7A26" w:rsidRDefault="004A7A26" w:rsidP="00A247C5">
            <w:pPr>
              <w:pStyle w:val="Table1"/>
            </w:pPr>
            <w:r>
              <w:lastRenderedPageBreak/>
              <w:t>Objective 6</w:t>
            </w:r>
          </w:p>
        </w:tc>
        <w:tc>
          <w:tcPr>
            <w:tcW w:w="6894" w:type="dxa"/>
            <w:tcBorders>
              <w:top w:val="single" w:sz="4" w:space="0" w:color="auto"/>
              <w:left w:val="single" w:sz="4" w:space="0" w:color="auto"/>
              <w:bottom w:val="single" w:sz="4" w:space="0" w:color="auto"/>
              <w:right w:val="single" w:sz="4" w:space="0" w:color="auto"/>
            </w:tcBorders>
            <w:hideMark/>
          </w:tcPr>
          <w:p w14:paraId="12D0DCA8" w14:textId="6196C614" w:rsidR="004A7A26" w:rsidRDefault="004A7A26" w:rsidP="00A247C5">
            <w:pPr>
              <w:pStyle w:val="Table1"/>
            </w:pPr>
            <w:r>
              <w:t>Objective 6 requires integrated</w:t>
            </w:r>
            <w:r w:rsidR="000162AF">
              <w:t xml:space="preserve"> and </w:t>
            </w:r>
            <w:r>
              <w:t xml:space="preserve">strategic </w:t>
            </w:r>
            <w:r w:rsidR="000162AF">
              <w:t xml:space="preserve">planning but also </w:t>
            </w:r>
            <w:r>
              <w:t>responsive decision-making on urban development. This is given effect by UFD-O1 and O2, UFD-P1 and UFD-P10.</w:t>
            </w:r>
          </w:p>
        </w:tc>
      </w:tr>
      <w:tr w:rsidR="004A7A26" w14:paraId="32BAAC8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65728B2" w14:textId="77777777" w:rsidR="004A7A26" w:rsidRDefault="004A7A26" w:rsidP="00A247C5">
            <w:pPr>
              <w:pStyle w:val="Table1"/>
            </w:pPr>
            <w:r>
              <w:t>Objective 7</w:t>
            </w:r>
          </w:p>
        </w:tc>
        <w:tc>
          <w:tcPr>
            <w:tcW w:w="6894" w:type="dxa"/>
            <w:tcBorders>
              <w:top w:val="single" w:sz="4" w:space="0" w:color="auto"/>
              <w:left w:val="single" w:sz="4" w:space="0" w:color="auto"/>
              <w:bottom w:val="single" w:sz="4" w:space="0" w:color="auto"/>
              <w:right w:val="single" w:sz="4" w:space="0" w:color="auto"/>
            </w:tcBorders>
            <w:hideMark/>
          </w:tcPr>
          <w:p w14:paraId="48C117CB" w14:textId="691C683C" w:rsidR="004A7A26" w:rsidRDefault="004A7A26" w:rsidP="00A247C5">
            <w:pPr>
              <w:pStyle w:val="Table1"/>
            </w:pPr>
            <w:r>
              <w:t>Objective 7 requires local authorities to have robust and current information about urban environments to inform decision-making. This is implemented by UDF-M1</w:t>
            </w:r>
            <w:r w:rsidR="008E2FDE">
              <w:t xml:space="preserve">. </w:t>
            </w:r>
          </w:p>
        </w:tc>
      </w:tr>
      <w:tr w:rsidR="004A7A26" w14:paraId="114F5EC6"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E78779A" w14:textId="77777777" w:rsidR="004A7A26" w:rsidRDefault="004A7A26" w:rsidP="00A247C5">
            <w:pPr>
              <w:pStyle w:val="Table1"/>
            </w:pPr>
            <w:r>
              <w:t>Objective 8</w:t>
            </w:r>
          </w:p>
        </w:tc>
        <w:tc>
          <w:tcPr>
            <w:tcW w:w="6894" w:type="dxa"/>
            <w:tcBorders>
              <w:top w:val="single" w:sz="4" w:space="0" w:color="auto"/>
              <w:left w:val="single" w:sz="4" w:space="0" w:color="auto"/>
              <w:bottom w:val="single" w:sz="4" w:space="0" w:color="auto"/>
              <w:right w:val="single" w:sz="4" w:space="0" w:color="auto"/>
            </w:tcBorders>
            <w:hideMark/>
          </w:tcPr>
          <w:p w14:paraId="2E912544" w14:textId="1F9EF64A" w:rsidR="004A7A26" w:rsidRDefault="004A7A26" w:rsidP="00A247C5">
            <w:pPr>
              <w:pStyle w:val="Table1"/>
            </w:pPr>
            <w:r>
              <w:t xml:space="preserve">Objective 8 requires urban environments to support reductions in greenhouse gas emissions and be resilient to the current and future effects of climate change. </w:t>
            </w:r>
            <w:r w:rsidR="00871044">
              <w:t>This</w:t>
            </w:r>
            <w:r>
              <w:t xml:space="preserve"> is integrated into urban development by UFD-O2</w:t>
            </w:r>
            <w:r w:rsidR="002D06E2">
              <w:t>, UFD</w:t>
            </w:r>
            <w:r w:rsidR="00871044">
              <w:t>-</w:t>
            </w:r>
            <w:r w:rsidR="002D06E2">
              <w:t>04</w:t>
            </w:r>
            <w:r>
              <w:t xml:space="preserve"> and UFD-P1</w:t>
            </w:r>
          </w:p>
        </w:tc>
      </w:tr>
      <w:tr w:rsidR="004A7A26" w14:paraId="2A57EF74"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2CF386D5" w14:textId="77777777" w:rsidR="004A7A26" w:rsidRDefault="004A7A26" w:rsidP="00A247C5">
            <w:pPr>
              <w:pStyle w:val="Table1"/>
            </w:pPr>
            <w:r>
              <w:t>Policy 1</w:t>
            </w:r>
          </w:p>
        </w:tc>
        <w:tc>
          <w:tcPr>
            <w:tcW w:w="6894" w:type="dxa"/>
            <w:tcBorders>
              <w:top w:val="single" w:sz="4" w:space="0" w:color="auto"/>
              <w:left w:val="single" w:sz="4" w:space="0" w:color="auto"/>
              <w:bottom w:val="single" w:sz="4" w:space="0" w:color="auto"/>
              <w:right w:val="single" w:sz="4" w:space="0" w:color="auto"/>
            </w:tcBorders>
            <w:hideMark/>
          </w:tcPr>
          <w:p w14:paraId="15885600" w14:textId="2C1A9FE3" w:rsidR="004A7A26" w:rsidRDefault="004A7A26" w:rsidP="00A247C5">
            <w:pPr>
              <w:pStyle w:val="Table1"/>
            </w:pPr>
            <w:r>
              <w:t>Policy 1 sets out criteria for well-functioning urban environments. This is implemented through UFD-O1 to O4 and UFD-P1 to UFD-P10.</w:t>
            </w:r>
          </w:p>
        </w:tc>
      </w:tr>
      <w:tr w:rsidR="004A7A26" w14:paraId="450DCD82"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0A8A0A7D" w14:textId="77777777" w:rsidR="004A7A26" w:rsidRDefault="004A7A26" w:rsidP="00A247C5">
            <w:pPr>
              <w:pStyle w:val="Table1"/>
            </w:pPr>
            <w:r>
              <w:t>Policy 2</w:t>
            </w:r>
          </w:p>
        </w:tc>
        <w:tc>
          <w:tcPr>
            <w:tcW w:w="6894" w:type="dxa"/>
            <w:tcBorders>
              <w:top w:val="single" w:sz="4" w:space="0" w:color="auto"/>
              <w:left w:val="single" w:sz="4" w:space="0" w:color="auto"/>
              <w:bottom w:val="single" w:sz="4" w:space="0" w:color="auto"/>
              <w:right w:val="single" w:sz="4" w:space="0" w:color="auto"/>
            </w:tcBorders>
            <w:hideMark/>
          </w:tcPr>
          <w:p w14:paraId="6CC10C9D" w14:textId="1474801D" w:rsidR="004A7A26" w:rsidRDefault="004A7A26" w:rsidP="00A247C5">
            <w:pPr>
              <w:pStyle w:val="Table1"/>
            </w:pPr>
            <w:r>
              <w:t>Policy 2 requires at least sufficient development capacity to meet expected demand. This is implemented through UFD-O2, UFD-P2, UFD-M1 and UFD-M2.</w:t>
            </w:r>
          </w:p>
        </w:tc>
      </w:tr>
      <w:tr w:rsidR="004A7A26" w14:paraId="71572CFA" w14:textId="77777777" w:rsidTr="009B5B10">
        <w:trPr>
          <w:trHeight w:val="948"/>
        </w:trPr>
        <w:tc>
          <w:tcPr>
            <w:tcW w:w="1402" w:type="dxa"/>
            <w:tcBorders>
              <w:top w:val="single" w:sz="4" w:space="0" w:color="auto"/>
              <w:left w:val="single" w:sz="4" w:space="0" w:color="auto"/>
              <w:bottom w:val="single" w:sz="4" w:space="0" w:color="auto"/>
              <w:right w:val="single" w:sz="4" w:space="0" w:color="auto"/>
            </w:tcBorders>
          </w:tcPr>
          <w:p w14:paraId="3D91D269" w14:textId="77777777" w:rsidR="004A7A26" w:rsidRDefault="004A7A26" w:rsidP="00A247C5">
            <w:pPr>
              <w:pStyle w:val="Table1"/>
            </w:pPr>
            <w:r>
              <w:t>Policy 3</w:t>
            </w:r>
          </w:p>
          <w:p w14:paraId="1E41EC59" w14:textId="77777777" w:rsidR="004A7A26" w:rsidRDefault="004A7A26" w:rsidP="00A247C5">
            <w:pPr>
              <w:pStyle w:val="Table1"/>
            </w:pPr>
          </w:p>
        </w:tc>
        <w:tc>
          <w:tcPr>
            <w:tcW w:w="6894" w:type="dxa"/>
            <w:tcBorders>
              <w:top w:val="single" w:sz="4" w:space="0" w:color="auto"/>
              <w:left w:val="single" w:sz="4" w:space="0" w:color="auto"/>
              <w:bottom w:val="single" w:sz="4" w:space="0" w:color="auto"/>
              <w:right w:val="single" w:sz="4" w:space="0" w:color="auto"/>
            </w:tcBorders>
            <w:hideMark/>
          </w:tcPr>
          <w:p w14:paraId="5650B5B1" w14:textId="0F682213" w:rsidR="004A7A26" w:rsidRDefault="004A7A26" w:rsidP="00A247C5">
            <w:pPr>
              <w:pStyle w:val="Table1"/>
            </w:pPr>
            <w:r>
              <w:t xml:space="preserve">This policy </w:t>
            </w:r>
            <w:r w:rsidR="009B5B10">
              <w:t>is</w:t>
            </w:r>
            <w:r>
              <w:t xml:space="preserve"> not directly relevant as they apply to minimum height requirements in particular locations in tier 1 urban environments which are not identified within the Otago Region.</w:t>
            </w:r>
          </w:p>
        </w:tc>
      </w:tr>
      <w:tr w:rsidR="004A7A26" w14:paraId="288A8158" w14:textId="77777777" w:rsidTr="00975040">
        <w:trPr>
          <w:trHeight w:val="550"/>
        </w:trPr>
        <w:tc>
          <w:tcPr>
            <w:tcW w:w="1402" w:type="dxa"/>
            <w:tcBorders>
              <w:top w:val="single" w:sz="4" w:space="0" w:color="auto"/>
              <w:left w:val="single" w:sz="4" w:space="0" w:color="auto"/>
              <w:bottom w:val="single" w:sz="4" w:space="0" w:color="auto"/>
              <w:right w:val="single" w:sz="4" w:space="0" w:color="auto"/>
            </w:tcBorders>
            <w:hideMark/>
          </w:tcPr>
          <w:p w14:paraId="38655F51" w14:textId="77777777" w:rsidR="004A7A26" w:rsidRDefault="004A7A26" w:rsidP="00A247C5">
            <w:pPr>
              <w:pStyle w:val="Table1"/>
            </w:pPr>
            <w:r>
              <w:t xml:space="preserve">Policy 4 </w:t>
            </w:r>
          </w:p>
        </w:tc>
        <w:tc>
          <w:tcPr>
            <w:tcW w:w="6894" w:type="dxa"/>
            <w:tcBorders>
              <w:top w:val="single" w:sz="4" w:space="0" w:color="auto"/>
              <w:left w:val="single" w:sz="4" w:space="0" w:color="auto"/>
              <w:bottom w:val="single" w:sz="4" w:space="0" w:color="auto"/>
              <w:right w:val="single" w:sz="4" w:space="0" w:color="auto"/>
            </w:tcBorders>
            <w:hideMark/>
          </w:tcPr>
          <w:p w14:paraId="240680DE" w14:textId="4C70E75B" w:rsidR="004A7A26" w:rsidRDefault="004A7A26" w:rsidP="00A247C5">
            <w:pPr>
              <w:pStyle w:val="Table1"/>
            </w:pPr>
            <w:r>
              <w:t xml:space="preserve">Policy 4 provides a qualifying matters framework for Policy 3 that applies to Tier 1 urban environments, and so is not directly relevant to this RPS.  </w:t>
            </w:r>
          </w:p>
        </w:tc>
      </w:tr>
      <w:tr w:rsidR="004A7A26" w14:paraId="66C51D2A"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490C563" w14:textId="77777777" w:rsidR="004A7A26" w:rsidRDefault="004A7A26" w:rsidP="00A247C5">
            <w:pPr>
              <w:pStyle w:val="Table1"/>
            </w:pPr>
            <w:r>
              <w:t>Policy 5</w:t>
            </w:r>
          </w:p>
        </w:tc>
        <w:tc>
          <w:tcPr>
            <w:tcW w:w="6894" w:type="dxa"/>
            <w:tcBorders>
              <w:top w:val="single" w:sz="4" w:space="0" w:color="auto"/>
              <w:left w:val="single" w:sz="4" w:space="0" w:color="auto"/>
              <w:bottom w:val="single" w:sz="4" w:space="0" w:color="auto"/>
              <w:right w:val="single" w:sz="4" w:space="0" w:color="auto"/>
            </w:tcBorders>
            <w:hideMark/>
          </w:tcPr>
          <w:p w14:paraId="20F15E8D" w14:textId="2EFDCD48" w:rsidR="004A7A26" w:rsidRDefault="004A7A26" w:rsidP="00A247C5">
            <w:pPr>
              <w:pStyle w:val="Table1"/>
            </w:pPr>
            <w:r>
              <w:t xml:space="preserve">Policy 5 requires enabling heights and density of urban form that meet specified requirements. The PORPS 2021 does not specifically restrict heights or </w:t>
            </w:r>
            <w:proofErr w:type="gramStart"/>
            <w:r>
              <w:t>density, and</w:t>
            </w:r>
            <w:proofErr w:type="gramEnd"/>
            <w:r>
              <w:t xml:space="preserve"> requires the provision of opportunities for intensification via UFD-P3</w:t>
            </w:r>
            <w:r w:rsidR="009B549C">
              <w:t xml:space="preserve">. </w:t>
            </w:r>
          </w:p>
        </w:tc>
      </w:tr>
      <w:tr w:rsidR="004A7A26" w14:paraId="2E8B165F"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2FCBB36" w14:textId="77777777" w:rsidR="004A7A26" w:rsidRDefault="004A7A26" w:rsidP="00A247C5">
            <w:pPr>
              <w:pStyle w:val="Table1"/>
            </w:pPr>
            <w:r>
              <w:t>Policy 6</w:t>
            </w:r>
          </w:p>
        </w:tc>
        <w:tc>
          <w:tcPr>
            <w:tcW w:w="6894" w:type="dxa"/>
            <w:tcBorders>
              <w:top w:val="single" w:sz="4" w:space="0" w:color="auto"/>
              <w:left w:val="single" w:sz="4" w:space="0" w:color="auto"/>
              <w:bottom w:val="single" w:sz="4" w:space="0" w:color="auto"/>
              <w:right w:val="single" w:sz="4" w:space="0" w:color="auto"/>
            </w:tcBorders>
            <w:hideMark/>
          </w:tcPr>
          <w:p w14:paraId="24A6D020" w14:textId="77777777" w:rsidR="004A7A26" w:rsidRDefault="004A7A26" w:rsidP="00A247C5">
            <w:pPr>
              <w:pStyle w:val="Table1"/>
            </w:pPr>
            <w:r>
              <w:t xml:space="preserve">Policy 6 sets out matters that decision-makers must have </w:t>
            </w:r>
            <w:proofErr w:type="gramStart"/>
            <w:r>
              <w:t>particular regard</w:t>
            </w:r>
            <w:proofErr w:type="gramEnd"/>
            <w:r>
              <w:t xml:space="preserve"> to, and these have been considered in the development of this RPS. </w:t>
            </w:r>
          </w:p>
        </w:tc>
      </w:tr>
      <w:tr w:rsidR="004A7A26" w14:paraId="4D093AC7"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28E5FD93" w14:textId="77777777" w:rsidR="004A7A26" w:rsidRDefault="004A7A26" w:rsidP="00A247C5">
            <w:pPr>
              <w:pStyle w:val="Table1"/>
            </w:pPr>
            <w:r>
              <w:t>Policy 7</w:t>
            </w:r>
          </w:p>
        </w:tc>
        <w:tc>
          <w:tcPr>
            <w:tcW w:w="6894" w:type="dxa"/>
            <w:tcBorders>
              <w:top w:val="single" w:sz="4" w:space="0" w:color="auto"/>
              <w:left w:val="single" w:sz="4" w:space="0" w:color="auto"/>
              <w:bottom w:val="single" w:sz="4" w:space="0" w:color="auto"/>
              <w:right w:val="single" w:sz="4" w:space="0" w:color="auto"/>
            </w:tcBorders>
            <w:hideMark/>
          </w:tcPr>
          <w:p w14:paraId="1A3DB9AF" w14:textId="622AEC7A" w:rsidR="004A7A26" w:rsidRDefault="004A7A26" w:rsidP="00A247C5">
            <w:pPr>
              <w:pStyle w:val="Table1"/>
            </w:pPr>
            <w:r>
              <w:t xml:space="preserve">Policy 7 requires the setting of housing bottom lines and their inclusion in the relevant RPS and DP. This is implemented through UFD-M2 and </w:t>
            </w:r>
            <w:r w:rsidR="00032824">
              <w:t>APP10</w:t>
            </w:r>
            <w:r>
              <w:t>, noting that the bottom lines have not yet been determined</w:t>
            </w:r>
            <w:r w:rsidR="00032824">
              <w:t xml:space="preserve"> as the HBAs have yet to be completed at the time of writing (</w:t>
            </w:r>
            <w:r w:rsidR="00AA59C1">
              <w:t>d</w:t>
            </w:r>
            <w:r w:rsidR="00032824">
              <w:t>ue 31 July 2021)</w:t>
            </w:r>
            <w:r>
              <w:t xml:space="preserve">. </w:t>
            </w:r>
          </w:p>
        </w:tc>
      </w:tr>
      <w:tr w:rsidR="004A7A26" w14:paraId="670B70D7"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7620B3B7" w14:textId="77777777" w:rsidR="004A7A26" w:rsidRDefault="004A7A26" w:rsidP="00A247C5">
            <w:pPr>
              <w:pStyle w:val="Table1"/>
            </w:pPr>
            <w:r>
              <w:t>Policy 8</w:t>
            </w:r>
          </w:p>
        </w:tc>
        <w:tc>
          <w:tcPr>
            <w:tcW w:w="6894" w:type="dxa"/>
            <w:tcBorders>
              <w:top w:val="single" w:sz="4" w:space="0" w:color="auto"/>
              <w:left w:val="single" w:sz="4" w:space="0" w:color="auto"/>
              <w:bottom w:val="single" w:sz="4" w:space="0" w:color="auto"/>
              <w:right w:val="single" w:sz="4" w:space="0" w:color="auto"/>
            </w:tcBorders>
            <w:hideMark/>
          </w:tcPr>
          <w:p w14:paraId="5F9B6200" w14:textId="5463984C" w:rsidR="004A7A26" w:rsidRDefault="004A7A26" w:rsidP="00A247C5">
            <w:pPr>
              <w:pStyle w:val="Table1"/>
            </w:pPr>
            <w:r>
              <w:t>Policy 8 requires decision-making to be responsive to plan changes that would add significantly to development capacity. This is implemented through UFD-P10.</w:t>
            </w:r>
          </w:p>
        </w:tc>
      </w:tr>
      <w:tr w:rsidR="004A7A26" w14:paraId="562EEEB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3CF4D5F3" w14:textId="77777777" w:rsidR="004A7A26" w:rsidRDefault="004A7A26" w:rsidP="00A247C5">
            <w:pPr>
              <w:pStyle w:val="Table1"/>
            </w:pPr>
            <w:r>
              <w:t>Policy 9</w:t>
            </w:r>
          </w:p>
        </w:tc>
        <w:tc>
          <w:tcPr>
            <w:tcW w:w="6894" w:type="dxa"/>
            <w:tcBorders>
              <w:top w:val="single" w:sz="4" w:space="0" w:color="auto"/>
              <w:left w:val="single" w:sz="4" w:space="0" w:color="auto"/>
              <w:bottom w:val="single" w:sz="4" w:space="0" w:color="auto"/>
              <w:right w:val="single" w:sz="4" w:space="0" w:color="auto"/>
            </w:tcBorders>
            <w:hideMark/>
          </w:tcPr>
          <w:p w14:paraId="17C0B00F" w14:textId="6507C740" w:rsidR="004A7A26" w:rsidRDefault="004A7A26" w:rsidP="00A247C5">
            <w:pPr>
              <w:pStyle w:val="Table1"/>
            </w:pPr>
            <w:r>
              <w:t xml:space="preserve">Policy 9 expands on the requirements for local authorities in taking account of the principles of Te </w:t>
            </w:r>
            <w:proofErr w:type="spellStart"/>
            <w:r>
              <w:t>Tiriti</w:t>
            </w:r>
            <w:proofErr w:type="spellEnd"/>
            <w:r>
              <w:t>. This is implemented partly through MW-P2 but more specifically via UFD-03, UFD-P1, P3, P4 and P9</w:t>
            </w:r>
            <w:r w:rsidR="00DF35EA">
              <w:t xml:space="preserve">. </w:t>
            </w:r>
          </w:p>
        </w:tc>
      </w:tr>
      <w:tr w:rsidR="004A7A26" w14:paraId="51850210"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6187BB77" w14:textId="77777777" w:rsidR="004A7A26" w:rsidRDefault="004A7A26" w:rsidP="00A247C5">
            <w:pPr>
              <w:pStyle w:val="Table1"/>
            </w:pPr>
            <w:r>
              <w:t>Policy 10</w:t>
            </w:r>
          </w:p>
        </w:tc>
        <w:tc>
          <w:tcPr>
            <w:tcW w:w="6894" w:type="dxa"/>
            <w:tcBorders>
              <w:top w:val="single" w:sz="4" w:space="0" w:color="auto"/>
              <w:left w:val="single" w:sz="4" w:space="0" w:color="auto"/>
              <w:bottom w:val="single" w:sz="4" w:space="0" w:color="auto"/>
              <w:right w:val="single" w:sz="4" w:space="0" w:color="auto"/>
            </w:tcBorders>
            <w:hideMark/>
          </w:tcPr>
          <w:p w14:paraId="2F2FA2CB" w14:textId="515F8BE3" w:rsidR="004A7A26" w:rsidRDefault="004A7A26" w:rsidP="00A247C5">
            <w:pPr>
              <w:pStyle w:val="Table1"/>
            </w:pPr>
            <w:r>
              <w:t>Policy 10 requires local authorities to work together, engage with infrastructure providers and the development sector. This is implicit in the implementation of UFD-O3, UFD-P1 and UFD-M1 and M2</w:t>
            </w:r>
            <w:r w:rsidR="00DF35EA">
              <w:t xml:space="preserve">. </w:t>
            </w:r>
          </w:p>
        </w:tc>
      </w:tr>
      <w:tr w:rsidR="004A7A26" w14:paraId="6BA299B6" w14:textId="77777777" w:rsidTr="004A7A26">
        <w:tc>
          <w:tcPr>
            <w:tcW w:w="1402" w:type="dxa"/>
            <w:tcBorders>
              <w:top w:val="single" w:sz="4" w:space="0" w:color="auto"/>
              <w:left w:val="single" w:sz="4" w:space="0" w:color="auto"/>
              <w:bottom w:val="single" w:sz="4" w:space="0" w:color="auto"/>
              <w:right w:val="single" w:sz="4" w:space="0" w:color="auto"/>
            </w:tcBorders>
            <w:hideMark/>
          </w:tcPr>
          <w:p w14:paraId="76AD021E" w14:textId="77777777" w:rsidR="004A7A26" w:rsidRDefault="004A7A26" w:rsidP="00A247C5">
            <w:pPr>
              <w:pStyle w:val="Table1"/>
            </w:pPr>
            <w:r>
              <w:t>Policy 11</w:t>
            </w:r>
          </w:p>
        </w:tc>
        <w:tc>
          <w:tcPr>
            <w:tcW w:w="6894" w:type="dxa"/>
            <w:tcBorders>
              <w:top w:val="single" w:sz="4" w:space="0" w:color="auto"/>
              <w:left w:val="single" w:sz="4" w:space="0" w:color="auto"/>
              <w:bottom w:val="single" w:sz="4" w:space="0" w:color="auto"/>
              <w:right w:val="single" w:sz="4" w:space="0" w:color="auto"/>
            </w:tcBorders>
            <w:hideMark/>
          </w:tcPr>
          <w:p w14:paraId="66371EB9" w14:textId="469D3F9F" w:rsidR="004A7A26" w:rsidRDefault="004A7A26" w:rsidP="00A247C5">
            <w:pPr>
              <w:pStyle w:val="Table1"/>
            </w:pPr>
            <w:r>
              <w:t xml:space="preserve">This policy relates to specific requirements to remove </w:t>
            </w:r>
            <w:r w:rsidR="0043229F">
              <w:t xml:space="preserve">specified </w:t>
            </w:r>
            <w:r>
              <w:t xml:space="preserve">car parking rules in district plans and is not directly relevant to this RPS. </w:t>
            </w:r>
          </w:p>
        </w:tc>
      </w:tr>
    </w:tbl>
    <w:p w14:paraId="27A3CBC7" w14:textId="77777777" w:rsidR="004A7A26" w:rsidRDefault="004A7A26" w:rsidP="0082271A">
      <w:pPr>
        <w:pStyle w:val="Heading3"/>
      </w:pPr>
      <w:r>
        <w:t>National Policy Statement for Renewable Electricity Generation 2011 (NPSREG)</w:t>
      </w:r>
    </w:p>
    <w:p w14:paraId="51CD50FB" w14:textId="79D9EFE4" w:rsidR="004A7A26" w:rsidRDefault="004A7A26" w:rsidP="00A247C5">
      <w:pPr>
        <w:pStyle w:val="Normal2"/>
      </w:pPr>
      <w:r>
        <w:t>The NPSREG sets out an objective and policies to enable the sustainable management of renewable electricity generation. Otago is home to a range of renewable electricity generation activities, including nationally significant and community scale hydro</w:t>
      </w:r>
      <w:r w:rsidR="007141FB">
        <w:t>-</w:t>
      </w:r>
      <w:r>
        <w:t>electricity generation and wind energy generation. This section assesses the PORPS provisions against the NPSREG and must be read alongside the NPSREG, which is available from the Ministry for the Environment’s website.</w:t>
      </w:r>
      <w:r>
        <w:rPr>
          <w:rStyle w:val="FootnoteReference"/>
        </w:rPr>
        <w:footnoteReference w:id="67"/>
      </w:r>
    </w:p>
    <w:p w14:paraId="2B61F57B" w14:textId="3F2EF45F" w:rsidR="000500EF" w:rsidRDefault="000500EF" w:rsidP="00C83AE6">
      <w:pPr>
        <w:pStyle w:val="Caption"/>
        <w:keepNext/>
      </w:pPr>
      <w:r>
        <w:lastRenderedPageBreak/>
        <w:t xml:space="preserve">Table </w:t>
      </w:r>
      <w:r>
        <w:fldChar w:fldCharType="begin"/>
      </w:r>
      <w:r>
        <w:instrText>SEQ Table \* ARABIC</w:instrText>
      </w:r>
      <w:r>
        <w:fldChar w:fldCharType="separate"/>
      </w:r>
      <w:r w:rsidR="002A7A16">
        <w:rPr>
          <w:noProof/>
        </w:rPr>
        <w:t>72</w:t>
      </w:r>
      <w:r>
        <w:fldChar w:fldCharType="end"/>
      </w:r>
      <w:r>
        <w:t>: Assessment against NPSREG</w:t>
      </w:r>
    </w:p>
    <w:tbl>
      <w:tblPr>
        <w:tblStyle w:val="TableGrid"/>
        <w:tblW w:w="0" w:type="auto"/>
        <w:tblInd w:w="720" w:type="dxa"/>
        <w:tblLook w:val="04A0" w:firstRow="1" w:lastRow="0" w:firstColumn="1" w:lastColumn="0" w:noHBand="0" w:noVBand="1"/>
      </w:tblPr>
      <w:tblGrid>
        <w:gridCol w:w="1402"/>
        <w:gridCol w:w="6894"/>
      </w:tblGrid>
      <w:tr w:rsidR="002307A2" w:rsidRPr="0023769B" w14:paraId="72257B0E" w14:textId="77777777" w:rsidTr="0093339F">
        <w:tc>
          <w:tcPr>
            <w:tcW w:w="1402" w:type="dxa"/>
          </w:tcPr>
          <w:p w14:paraId="11453BAF" w14:textId="77777777" w:rsidR="002307A2" w:rsidRPr="00713D07" w:rsidRDefault="002307A2" w:rsidP="00A247C5">
            <w:pPr>
              <w:pStyle w:val="Table1"/>
              <w:rPr>
                <w:b/>
                <w:bCs/>
              </w:rPr>
            </w:pPr>
            <w:r w:rsidRPr="00713D07">
              <w:rPr>
                <w:b/>
                <w:bCs/>
              </w:rPr>
              <w:t>Provision(s)</w:t>
            </w:r>
          </w:p>
        </w:tc>
        <w:tc>
          <w:tcPr>
            <w:tcW w:w="6894" w:type="dxa"/>
          </w:tcPr>
          <w:p w14:paraId="280F686A" w14:textId="77777777" w:rsidR="002307A2" w:rsidRPr="00713D07" w:rsidRDefault="002307A2" w:rsidP="00A247C5">
            <w:pPr>
              <w:pStyle w:val="Table1"/>
              <w:rPr>
                <w:b/>
                <w:bCs/>
              </w:rPr>
            </w:pPr>
            <w:r w:rsidRPr="00713D07">
              <w:rPr>
                <w:b/>
                <w:bCs/>
              </w:rPr>
              <w:t>Assessment</w:t>
            </w:r>
          </w:p>
        </w:tc>
      </w:tr>
      <w:tr w:rsidR="002307A2" w:rsidRPr="0023769B" w14:paraId="08B83FF1" w14:textId="77777777" w:rsidTr="0093339F">
        <w:tc>
          <w:tcPr>
            <w:tcW w:w="1402" w:type="dxa"/>
          </w:tcPr>
          <w:p w14:paraId="22EEAC0B" w14:textId="77777777" w:rsidR="002307A2" w:rsidRPr="000306BF" w:rsidRDefault="002307A2" w:rsidP="00A247C5">
            <w:pPr>
              <w:pStyle w:val="Table1"/>
            </w:pPr>
            <w:r w:rsidRPr="000306BF">
              <w:t>Objective</w:t>
            </w:r>
          </w:p>
        </w:tc>
        <w:tc>
          <w:tcPr>
            <w:tcW w:w="6894" w:type="dxa"/>
          </w:tcPr>
          <w:p w14:paraId="44A83498" w14:textId="32C4B2DB" w:rsidR="003B0198" w:rsidRDefault="006A068A" w:rsidP="00A247C5">
            <w:pPr>
              <w:pStyle w:val="Table1"/>
            </w:pPr>
            <w:r>
              <w:t>The NPSREG objective seeks that the national significance of renewable electricity generation is recognised by providing for it, such that the proportion of renewable electricity generation is increased to a level that meets or exceeds the government’</w:t>
            </w:r>
            <w:r w:rsidR="00C670F2">
              <w:t xml:space="preserve">s national target for renewable electricity generation. </w:t>
            </w:r>
          </w:p>
          <w:p w14:paraId="394AE176" w14:textId="29E11DB1" w:rsidR="002307A2" w:rsidRPr="0023769B" w:rsidRDefault="002307A2" w:rsidP="00A247C5">
            <w:pPr>
              <w:pStyle w:val="Table1"/>
            </w:pPr>
            <w:r>
              <w:t>This objective is given effect to by EIT-EN-</w:t>
            </w:r>
            <w:r w:rsidR="4B43C796">
              <w:t>O</w:t>
            </w:r>
            <w:r>
              <w:t>1</w:t>
            </w:r>
            <w:r w:rsidR="4AE1192C">
              <w:t xml:space="preserve"> and</w:t>
            </w:r>
            <w:r w:rsidR="007B61F1">
              <w:t xml:space="preserve"> </w:t>
            </w:r>
            <w:r w:rsidR="77F820C6">
              <w:t>EIT-EN-O2</w:t>
            </w:r>
            <w:r>
              <w:t xml:space="preserve"> which seek to increase the proportion of renewable electricity generation</w:t>
            </w:r>
            <w:r w:rsidR="47DF81DA">
              <w:t xml:space="preserve"> within environmental limits</w:t>
            </w:r>
            <w:r>
              <w:t xml:space="preserve">, ensure energy supplies are secure and </w:t>
            </w:r>
            <w:r w:rsidR="50C3B7AB">
              <w:t>resilient</w:t>
            </w:r>
            <w:r>
              <w:t xml:space="preserve"> and support Otago communities</w:t>
            </w:r>
            <w:r w:rsidR="007B61F1">
              <w:t>.</w:t>
            </w:r>
          </w:p>
        </w:tc>
      </w:tr>
      <w:tr w:rsidR="002307A2" w:rsidRPr="0023769B" w14:paraId="6A76E085" w14:textId="77777777" w:rsidTr="0093339F">
        <w:tc>
          <w:tcPr>
            <w:tcW w:w="1402" w:type="dxa"/>
          </w:tcPr>
          <w:p w14:paraId="1F79AC63" w14:textId="77777777" w:rsidR="002307A2" w:rsidRPr="000306BF" w:rsidRDefault="002307A2" w:rsidP="00A247C5">
            <w:pPr>
              <w:pStyle w:val="Table1"/>
            </w:pPr>
            <w:r w:rsidRPr="000306BF">
              <w:t>Policy A</w:t>
            </w:r>
          </w:p>
        </w:tc>
        <w:tc>
          <w:tcPr>
            <w:tcW w:w="6894" w:type="dxa"/>
          </w:tcPr>
          <w:p w14:paraId="2583494B" w14:textId="33550562" w:rsidR="003B0198" w:rsidRDefault="003B0198" w:rsidP="00A247C5">
            <w:pPr>
              <w:pStyle w:val="Table1"/>
            </w:pPr>
            <w:r>
              <w:t>Policy A recognises the benefits of renewable electricity generation</w:t>
            </w:r>
            <w:r w:rsidR="00EE3868">
              <w:t xml:space="preserve"> activities, including displacement of greenhouse gas emissions, maintenance of security of supply</w:t>
            </w:r>
            <w:r w:rsidR="002B61D6">
              <w:t>, use of renewable rather than finite resources, reversibility of effects, and avoidance of reliance on imported fuels.</w:t>
            </w:r>
          </w:p>
          <w:p w14:paraId="19D70F69" w14:textId="2E852991" w:rsidR="002307A2" w:rsidRPr="0023769B" w:rsidRDefault="002307A2" w:rsidP="00A247C5">
            <w:pPr>
              <w:pStyle w:val="Table1"/>
            </w:pPr>
            <w:r>
              <w:t>Policy EIT-EN-P</w:t>
            </w:r>
            <w:r w:rsidR="66961C5A">
              <w:t>2</w:t>
            </w:r>
            <w:r>
              <w:t xml:space="preserve"> recognises the benefits of renewable electricity generation activities</w:t>
            </w:r>
            <w:r w:rsidR="00887383">
              <w:t>, and these are further described in the explanation to the chapter</w:t>
            </w:r>
            <w:r w:rsidR="00204F4D">
              <w:t>.  The methods also achieve this policy by requiring provisions in plans for renewable electricity generation activities.</w:t>
            </w:r>
          </w:p>
        </w:tc>
      </w:tr>
      <w:tr w:rsidR="002307A2" w:rsidRPr="0023769B" w14:paraId="2C401B1B" w14:textId="77777777" w:rsidTr="0093339F">
        <w:tc>
          <w:tcPr>
            <w:tcW w:w="1402" w:type="dxa"/>
          </w:tcPr>
          <w:p w14:paraId="6D90430D" w14:textId="77777777" w:rsidR="002307A2" w:rsidRPr="0023769B" w:rsidRDefault="002307A2" w:rsidP="00A247C5">
            <w:pPr>
              <w:pStyle w:val="Table1"/>
            </w:pPr>
            <w:r>
              <w:t>Policy B</w:t>
            </w:r>
          </w:p>
        </w:tc>
        <w:tc>
          <w:tcPr>
            <w:tcW w:w="6894" w:type="dxa"/>
          </w:tcPr>
          <w:p w14:paraId="294E2159" w14:textId="0A55D2D6" w:rsidR="00982B25" w:rsidRDefault="00982B25" w:rsidP="00A247C5">
            <w:pPr>
              <w:pStyle w:val="Table1"/>
            </w:pPr>
            <w:r>
              <w:t>This policy acknowledges some of the practical implications of achieving New Zealand’s target for renewable electricity generation</w:t>
            </w:r>
            <w:r w:rsidR="00765117">
              <w:t>, including protection of assets and operational capacity, recognition that minor reductions in output can have significant effects, and that significant development of renewable energy sources is required.</w:t>
            </w:r>
          </w:p>
          <w:p w14:paraId="526949C6" w14:textId="627807C2" w:rsidR="002307A2" w:rsidRPr="0023769B" w:rsidRDefault="002307A2" w:rsidP="00A247C5">
            <w:pPr>
              <w:pStyle w:val="Table1"/>
            </w:pPr>
            <w:r>
              <w:t>The energy provisions (EIT-EN-P1 through to EIT-EN-P</w:t>
            </w:r>
            <w:r w:rsidR="269A00CD">
              <w:t>5 and EIT-EN-P6 through to EIT-EN-P8</w:t>
            </w:r>
            <w:r>
              <w:t xml:space="preserve">) seek to protect the operation of existing assets and provide for increasing energy generation capacity which recognises the matters listed in this policy. </w:t>
            </w:r>
            <w:r w:rsidR="00E856EA">
              <w:t xml:space="preserve"> EIT-EN-P3 specifically recognises the need </w:t>
            </w:r>
            <w:r w:rsidR="00550FD6">
              <w:t>for significant development of renewable electricity generation activities</w:t>
            </w:r>
            <w:r w:rsidR="00982B25">
              <w:t>, which is recognised by Policy B(c).</w:t>
            </w:r>
          </w:p>
        </w:tc>
      </w:tr>
      <w:tr w:rsidR="002307A2" w:rsidRPr="0023769B" w14:paraId="6AD8C727" w14:textId="77777777" w:rsidTr="0093339F">
        <w:tc>
          <w:tcPr>
            <w:tcW w:w="1402" w:type="dxa"/>
          </w:tcPr>
          <w:p w14:paraId="325C9D0C" w14:textId="77777777" w:rsidR="002307A2" w:rsidRPr="0023769B" w:rsidRDefault="002307A2" w:rsidP="00A247C5">
            <w:pPr>
              <w:pStyle w:val="Table1"/>
            </w:pPr>
            <w:r>
              <w:t>Policy C1</w:t>
            </w:r>
          </w:p>
        </w:tc>
        <w:tc>
          <w:tcPr>
            <w:tcW w:w="6894" w:type="dxa"/>
          </w:tcPr>
          <w:p w14:paraId="17BB267B" w14:textId="13A8DDBF" w:rsidR="00C8721F" w:rsidRDefault="00C8721F" w:rsidP="00A247C5">
            <w:pPr>
              <w:pStyle w:val="Table1"/>
            </w:pPr>
            <w:r>
              <w:t xml:space="preserve">Policy C1 contains </w:t>
            </w:r>
            <w:proofErr w:type="gramStart"/>
            <w:r>
              <w:t>a number of</w:t>
            </w:r>
            <w:proofErr w:type="gramEnd"/>
            <w:r>
              <w:t xml:space="preserve"> matters to which decision-makers are to have regard to</w:t>
            </w:r>
            <w:r w:rsidR="0065155E">
              <w:t>, including the need to locate where renewable resources are available, the logistical and technical practicalities of developing renewable e</w:t>
            </w:r>
            <w:r w:rsidR="00FD388E">
              <w:t>lectricity generation activities</w:t>
            </w:r>
            <w:r w:rsidR="00796712">
              <w:t>, the location of existing activities associated with them, including the National Grid</w:t>
            </w:r>
            <w:r w:rsidR="00D762FB">
              <w:t>, designing</w:t>
            </w:r>
            <w:r w:rsidR="004674B9">
              <w:t xml:space="preserve"> measures which allow for operational requirements, and adaptive management measures.</w:t>
            </w:r>
          </w:p>
          <w:p w14:paraId="26019EB7" w14:textId="2DBEE81B" w:rsidR="002307A2" w:rsidRDefault="002307A2" w:rsidP="00A247C5">
            <w:pPr>
              <w:pStyle w:val="Table1"/>
            </w:pPr>
            <w:r>
              <w:t xml:space="preserve">Policy </w:t>
            </w:r>
            <w:r w:rsidRPr="00132A03">
              <w:t xml:space="preserve">C1(a) is captured in EIT-EN-P6(2)(a), </w:t>
            </w:r>
            <w:r w:rsidR="00C7239E">
              <w:t xml:space="preserve">Policy </w:t>
            </w:r>
            <w:r w:rsidRPr="00132A03">
              <w:t xml:space="preserve">C1(b) is captured in the concept of operational and functional constraints in EIT-INF-P13, and </w:t>
            </w:r>
            <w:r w:rsidR="00C7239E">
              <w:t xml:space="preserve">Policy </w:t>
            </w:r>
            <w:r w:rsidRPr="00132A03">
              <w:t>C1(b) is generally captured under EIT-EN-P6 (2)(b), although this does</w:t>
            </w:r>
            <w:r w:rsidR="00C7239E">
              <w:t xml:space="preserve"> not</w:t>
            </w:r>
            <w:r w:rsidRPr="00132A03">
              <w:t xml:space="preserve"> capture other infrastructure such as roading associated with </w:t>
            </w:r>
            <w:r w:rsidR="00C7239E">
              <w:t>renewable electricity generation</w:t>
            </w:r>
            <w:r w:rsidRPr="00132A03">
              <w:t xml:space="preserve">.  </w:t>
            </w:r>
            <w:r>
              <w:t xml:space="preserve">Policy C1 can also </w:t>
            </w:r>
            <w:r w:rsidRPr="00132A03">
              <w:t xml:space="preserve">be considered under the broader </w:t>
            </w:r>
            <w:r>
              <w:t xml:space="preserve">definition and provisions </w:t>
            </w:r>
            <w:r w:rsidRPr="00132A03">
              <w:t>of ‘infrastructure’ and the same effects hierarchy apply</w:t>
            </w:r>
            <w:r>
              <w:t xml:space="preserve"> address Policy C1.</w:t>
            </w:r>
          </w:p>
          <w:p w14:paraId="5A8992FC" w14:textId="3D3E5DBE" w:rsidR="002307A2" w:rsidRPr="004F2D8A" w:rsidRDefault="002307A2" w:rsidP="00A247C5">
            <w:pPr>
              <w:pStyle w:val="Table1"/>
              <w:rPr>
                <w:highlight w:val="yellow"/>
              </w:rPr>
            </w:pPr>
            <w:r w:rsidRPr="00433C56">
              <w:t>This approach is also broadly supported through integrated management provisions IM-</w:t>
            </w:r>
            <w:r>
              <w:t>P1</w:t>
            </w:r>
            <w:r w:rsidR="004F2D8A">
              <w:t>.</w:t>
            </w:r>
            <w:r w:rsidRPr="5EB6C486">
              <w:rPr>
                <w:highlight w:val="yellow"/>
              </w:rPr>
              <w:t xml:space="preserve"> </w:t>
            </w:r>
          </w:p>
        </w:tc>
      </w:tr>
      <w:tr w:rsidR="002307A2" w:rsidRPr="0023769B" w14:paraId="435F53C2" w14:textId="77777777" w:rsidTr="0093339F">
        <w:tc>
          <w:tcPr>
            <w:tcW w:w="1402" w:type="dxa"/>
          </w:tcPr>
          <w:p w14:paraId="195D1BCE" w14:textId="77777777" w:rsidR="002307A2" w:rsidRPr="0023769B" w:rsidRDefault="002307A2" w:rsidP="00A247C5">
            <w:pPr>
              <w:pStyle w:val="Table1"/>
            </w:pPr>
            <w:r>
              <w:t>Policy C2</w:t>
            </w:r>
          </w:p>
        </w:tc>
        <w:tc>
          <w:tcPr>
            <w:tcW w:w="6894" w:type="dxa"/>
          </w:tcPr>
          <w:p w14:paraId="63F032CF" w14:textId="3D61F58D" w:rsidR="00865B3F" w:rsidRDefault="00865B3F" w:rsidP="00A247C5">
            <w:pPr>
              <w:pStyle w:val="Table1"/>
            </w:pPr>
            <w:r w:rsidRPr="00865B3F">
              <w:t>Policy C2 requires decision-makers to have regard to offsetting or compensation measures when considering resid</w:t>
            </w:r>
            <w:r>
              <w:t xml:space="preserve">ual adverse effects from renewable electricity generation activities.  This is implemented through </w:t>
            </w:r>
            <w:r w:rsidR="00D87053">
              <w:t>Policy EIT-</w:t>
            </w:r>
            <w:r w:rsidR="00237787">
              <w:t>EN</w:t>
            </w:r>
            <w:r w:rsidR="00AC1A25">
              <w:t>-P6(2) and (3).</w:t>
            </w:r>
          </w:p>
          <w:p w14:paraId="40316E40" w14:textId="5970E55F" w:rsidR="002307A2" w:rsidRPr="0023769B" w:rsidRDefault="002307A2" w:rsidP="00A247C5">
            <w:pPr>
              <w:pStyle w:val="Table1"/>
            </w:pPr>
            <w:r w:rsidRPr="00E75A12">
              <w:t>This approach is also broadly supported through integrated management provisions IM-O1, IM-O3</w:t>
            </w:r>
            <w:r>
              <w:t xml:space="preserve">, </w:t>
            </w:r>
            <w:r w:rsidRPr="00E75A12">
              <w:t>IM-P13</w:t>
            </w:r>
            <w:r>
              <w:t xml:space="preserve"> and IM-P1</w:t>
            </w:r>
            <w:r w:rsidR="000E743E">
              <w:t>.</w:t>
            </w:r>
          </w:p>
        </w:tc>
      </w:tr>
      <w:tr w:rsidR="002307A2" w:rsidRPr="0023769B" w14:paraId="68A062BC" w14:textId="77777777" w:rsidTr="0093339F">
        <w:tc>
          <w:tcPr>
            <w:tcW w:w="1402" w:type="dxa"/>
          </w:tcPr>
          <w:p w14:paraId="3B1D1065" w14:textId="77777777" w:rsidR="002307A2" w:rsidRPr="0023769B" w:rsidRDefault="002307A2" w:rsidP="00A247C5">
            <w:pPr>
              <w:pStyle w:val="Table1"/>
            </w:pPr>
            <w:r w:rsidRPr="00456901">
              <w:t>Policy D</w:t>
            </w:r>
          </w:p>
        </w:tc>
        <w:tc>
          <w:tcPr>
            <w:tcW w:w="6894" w:type="dxa"/>
          </w:tcPr>
          <w:p w14:paraId="650AC124" w14:textId="43532FFF" w:rsidR="002307A2" w:rsidRPr="0023769B" w:rsidRDefault="005745FD" w:rsidP="00A247C5">
            <w:pPr>
              <w:pStyle w:val="Table1"/>
            </w:pPr>
            <w:r>
              <w:t xml:space="preserve">Policy D requires decision-makers to avoid, to the extent reasonably possible, reverse sensitivity effects on consented and existing renewable electricity generation activities.  </w:t>
            </w:r>
            <w:r w:rsidR="002307A2">
              <w:t>Policy EIT-EN-</w:t>
            </w:r>
            <w:r w:rsidR="002307A2" w:rsidRPr="00B22B0C">
              <w:t>P7</w:t>
            </w:r>
            <w:r w:rsidR="002307A2">
              <w:t xml:space="preserve"> addresses potential reverse sensitivity effects and seeks to manage activities that may compromise the operation of renewable energy generation activities. </w:t>
            </w:r>
          </w:p>
        </w:tc>
      </w:tr>
      <w:tr w:rsidR="002307A2" w:rsidRPr="0023769B" w14:paraId="5E656A0C" w14:textId="77777777" w:rsidTr="0093339F">
        <w:tc>
          <w:tcPr>
            <w:tcW w:w="1402" w:type="dxa"/>
          </w:tcPr>
          <w:p w14:paraId="6BF8AC46" w14:textId="2E249980" w:rsidR="002307A2" w:rsidRPr="0023769B" w:rsidRDefault="002307A2" w:rsidP="00A247C5">
            <w:pPr>
              <w:pStyle w:val="Table1"/>
            </w:pPr>
            <w:r>
              <w:lastRenderedPageBreak/>
              <w:t>Policy E1</w:t>
            </w:r>
            <w:r w:rsidR="00651C02">
              <w:t>, E2</w:t>
            </w:r>
            <w:r w:rsidR="00713189">
              <w:t xml:space="preserve"> </w:t>
            </w:r>
            <w:r w:rsidR="00651C02">
              <w:t>and</w:t>
            </w:r>
            <w:r w:rsidR="00E54796">
              <w:t xml:space="preserve"> </w:t>
            </w:r>
            <w:r w:rsidR="00651C02">
              <w:t>E3</w:t>
            </w:r>
            <w:r w:rsidR="00E54796">
              <w:t>.</w:t>
            </w:r>
            <w:r w:rsidR="00713189">
              <w:t xml:space="preserve"> </w:t>
            </w:r>
          </w:p>
        </w:tc>
        <w:tc>
          <w:tcPr>
            <w:tcW w:w="6894" w:type="dxa"/>
          </w:tcPr>
          <w:p w14:paraId="3DF5DB70" w14:textId="6E25FCA2" w:rsidR="002307A2" w:rsidRDefault="002307A2" w:rsidP="00A247C5">
            <w:pPr>
              <w:pStyle w:val="Table1"/>
            </w:pPr>
            <w:r>
              <w:t>Th</w:t>
            </w:r>
            <w:r w:rsidR="001377C7">
              <w:t>ese</w:t>
            </w:r>
            <w:r>
              <w:t xml:space="preserve"> polic</w:t>
            </w:r>
            <w:r w:rsidR="001377C7">
              <w:t>ies</w:t>
            </w:r>
            <w:r>
              <w:t xml:space="preserve"> require RPS to provide for new and existing renewable electricity generation activities using </w:t>
            </w:r>
            <w:r w:rsidR="00E54796">
              <w:t>different specified energy sources.</w:t>
            </w:r>
            <w:r>
              <w:t xml:space="preserve"> This is given effect to by EIT-EN-O1, EIT-EN-O3, EIT-EN-P1, EIT-EN-P3, EIT-EN-P4, EIT-EN-P6, EIT-EN-P7, EIT-EN-P8, EIT-EN-M1 and EIT-EN-M2 with respect to renewable electricity generation activities as defined by the RPS in accordance with the NPSREG.</w:t>
            </w:r>
          </w:p>
          <w:p w14:paraId="66477521" w14:textId="6C2C61A3" w:rsidR="002307A2" w:rsidRPr="0023769B" w:rsidRDefault="0046075E" w:rsidP="00A247C5">
            <w:pPr>
              <w:pStyle w:val="Table1"/>
            </w:pPr>
            <w:r w:rsidRPr="00273CDB">
              <w:t>Consideration</w:t>
            </w:r>
            <w:r w:rsidR="00B74F2B" w:rsidRPr="00273CDB">
              <w:t xml:space="preserve"> was given to amending</w:t>
            </w:r>
            <w:r w:rsidR="002307A2" w:rsidRPr="00273CDB">
              <w:t xml:space="preserve"> Methods EIT-EN-M1 and M2 to recognise the need for regional plans and district plans to provide the different resource</w:t>
            </w:r>
            <w:r w:rsidR="00435C00" w:rsidRPr="00273CDB">
              <w:t xml:space="preserve"> sources for renewable electricity generation </w:t>
            </w:r>
            <w:r w:rsidR="002307A2" w:rsidRPr="00273CDB">
              <w:t>referred to in E1-E3.  However</w:t>
            </w:r>
            <w:r w:rsidR="00E54796">
              <w:t>,</w:t>
            </w:r>
            <w:r w:rsidR="002307A2" w:rsidRPr="00273CDB">
              <w:t xml:space="preserve"> this </w:t>
            </w:r>
            <w:r w:rsidR="00E54796">
              <w:t>i</w:t>
            </w:r>
            <w:r w:rsidR="002307A2" w:rsidRPr="00273CDB">
              <w:t>s</w:t>
            </w:r>
            <w:r w:rsidR="00E54796">
              <w:t xml:space="preserve"> </w:t>
            </w:r>
            <w:r w:rsidR="002307A2" w:rsidRPr="00273CDB">
              <w:t>n</w:t>
            </w:r>
            <w:r w:rsidR="00E54796">
              <w:t>o</w:t>
            </w:r>
            <w:r w:rsidR="002307A2" w:rsidRPr="00273CDB">
              <w:t xml:space="preserve">t </w:t>
            </w:r>
            <w:proofErr w:type="gramStart"/>
            <w:r w:rsidR="002307A2" w:rsidRPr="00273CDB">
              <w:t>substantive</w:t>
            </w:r>
            <w:proofErr w:type="gramEnd"/>
            <w:r w:rsidR="002307A2" w:rsidRPr="00273CDB">
              <w:t xml:space="preserve"> and it is appropriate that the policy direction is set at a regional or district plan level as there is</w:t>
            </w:r>
            <w:r w:rsidR="00E54796">
              <w:t xml:space="preserve"> not</w:t>
            </w:r>
            <w:r w:rsidR="002307A2" w:rsidRPr="00273CDB">
              <w:t xml:space="preserve"> any evidence </w:t>
            </w:r>
            <w:r w:rsidR="00435C00" w:rsidRPr="00273CDB">
              <w:t>available</w:t>
            </w:r>
            <w:r w:rsidR="002307A2" w:rsidRPr="00273CDB">
              <w:t xml:space="preserve"> that would warrant specific approaches to these resources (or ability to commit to Council funding to investigating them) at </w:t>
            </w:r>
            <w:r w:rsidR="00435C00" w:rsidRPr="00273CDB">
              <w:t>this stage.</w:t>
            </w:r>
            <w:r w:rsidR="002307A2" w:rsidRPr="00273CDB">
              <w:t xml:space="preserve">  In addition, it is noted that the policies in the NPS</w:t>
            </w:r>
            <w:r w:rsidR="007506B7">
              <w:t>REG</w:t>
            </w:r>
            <w:r w:rsidR="002307A2" w:rsidRPr="00273CDB">
              <w:t xml:space="preserve"> apply broadly across both policy statements and plans</w:t>
            </w:r>
            <w:r w:rsidR="00435C00" w:rsidRPr="00435C00">
              <w:t>, and that finer level of detail can be implemented through district and regional plans.</w:t>
            </w:r>
          </w:p>
        </w:tc>
      </w:tr>
      <w:tr w:rsidR="002307A2" w:rsidRPr="0023769B" w14:paraId="0B2F9C51" w14:textId="77777777" w:rsidTr="0093339F">
        <w:tc>
          <w:tcPr>
            <w:tcW w:w="1402" w:type="dxa"/>
          </w:tcPr>
          <w:p w14:paraId="0A5DC5EF" w14:textId="77777777" w:rsidR="002307A2" w:rsidRDefault="002307A2" w:rsidP="00A247C5">
            <w:pPr>
              <w:pStyle w:val="Table1"/>
            </w:pPr>
            <w:r>
              <w:t>Policy F</w:t>
            </w:r>
          </w:p>
        </w:tc>
        <w:tc>
          <w:tcPr>
            <w:tcW w:w="6894" w:type="dxa"/>
          </w:tcPr>
          <w:p w14:paraId="4A7F2808" w14:textId="16E2C1FF" w:rsidR="002307A2" w:rsidRPr="0023769B" w:rsidRDefault="002307A2" w:rsidP="00A247C5">
            <w:pPr>
              <w:pStyle w:val="Table1"/>
            </w:pPr>
            <w:r>
              <w:t>This policy requires RPS to include provisions to provide for small and community scale renewable electricity generation activities. This is given effect to by EIT-EN-O1, EIT-EN-P3, EIT-EN-P</w:t>
            </w:r>
            <w:r w:rsidR="00320F4B">
              <w:t>8.</w:t>
            </w:r>
            <w:r>
              <w:t xml:space="preserve"> </w:t>
            </w:r>
            <w:proofErr w:type="gramStart"/>
            <w:r>
              <w:t>in particular and</w:t>
            </w:r>
            <w:proofErr w:type="gramEnd"/>
            <w:r>
              <w:t xml:space="preserve"> EIT-EN-M1, EIT-EN-M2 and EIT-EN-M3</w:t>
            </w:r>
            <w:r w:rsidR="00A800AF">
              <w:t xml:space="preserve">, and also </w:t>
            </w:r>
            <w:r w:rsidR="00DA70F4">
              <w:t>UFD</w:t>
            </w:r>
            <w:r w:rsidR="008A27A9">
              <w:t>-</w:t>
            </w:r>
            <w:r w:rsidR="00D12E40">
              <w:t>O</w:t>
            </w:r>
            <w:r w:rsidR="00FC49F6">
              <w:t>5</w:t>
            </w:r>
            <w:r>
              <w:t>.</w:t>
            </w:r>
          </w:p>
        </w:tc>
      </w:tr>
      <w:tr w:rsidR="002307A2" w:rsidRPr="0023769B" w14:paraId="14D8FFD0" w14:textId="77777777" w:rsidTr="0093339F">
        <w:tc>
          <w:tcPr>
            <w:tcW w:w="1402" w:type="dxa"/>
          </w:tcPr>
          <w:p w14:paraId="3C8C87FF" w14:textId="77777777" w:rsidR="002307A2" w:rsidRDefault="002307A2" w:rsidP="00A247C5">
            <w:pPr>
              <w:pStyle w:val="Table1"/>
            </w:pPr>
            <w:r>
              <w:t>Policy G</w:t>
            </w:r>
          </w:p>
        </w:tc>
        <w:tc>
          <w:tcPr>
            <w:tcW w:w="6894" w:type="dxa"/>
          </w:tcPr>
          <w:p w14:paraId="764A20CB" w14:textId="77777777" w:rsidR="002307A2" w:rsidRPr="0023769B" w:rsidRDefault="002307A2" w:rsidP="00A247C5">
            <w:pPr>
              <w:pStyle w:val="Table1"/>
            </w:pPr>
            <w:r>
              <w:t>This policy requires RPS to include provisions to provide for activities associated with identifying new potential sites for renewable energy generation activities. This is given effect to by EIT-EN-P1.</w:t>
            </w:r>
          </w:p>
        </w:tc>
      </w:tr>
      <w:tr w:rsidR="002307A2" w:rsidRPr="0023769B" w14:paraId="6504F863" w14:textId="77777777" w:rsidTr="0093339F">
        <w:tc>
          <w:tcPr>
            <w:tcW w:w="1402" w:type="dxa"/>
          </w:tcPr>
          <w:p w14:paraId="63DA8FF9" w14:textId="77777777" w:rsidR="002307A2" w:rsidRDefault="002307A2" w:rsidP="00A247C5">
            <w:pPr>
              <w:pStyle w:val="Table1"/>
            </w:pPr>
            <w:r>
              <w:t>Policy H1</w:t>
            </w:r>
          </w:p>
        </w:tc>
        <w:tc>
          <w:tcPr>
            <w:tcW w:w="6894" w:type="dxa"/>
            <w:vMerge w:val="restart"/>
            <w:vAlign w:val="center"/>
          </w:tcPr>
          <w:p w14:paraId="52D23340" w14:textId="77777777" w:rsidR="002307A2" w:rsidRPr="0023769B" w:rsidRDefault="002307A2" w:rsidP="00A247C5">
            <w:pPr>
              <w:pStyle w:val="Table1"/>
            </w:pPr>
            <w:r>
              <w:t>These policies relate to the timeframe for implementation following the NPS taking effect. This is not relevant for the PORPS 2021.</w:t>
            </w:r>
          </w:p>
        </w:tc>
      </w:tr>
      <w:tr w:rsidR="002307A2" w:rsidRPr="0023769B" w14:paraId="4D3E4CDC" w14:textId="77777777" w:rsidTr="0093339F">
        <w:tc>
          <w:tcPr>
            <w:tcW w:w="1402" w:type="dxa"/>
          </w:tcPr>
          <w:p w14:paraId="0AB9DB83" w14:textId="77777777" w:rsidR="002307A2" w:rsidRDefault="002307A2" w:rsidP="00A247C5">
            <w:pPr>
              <w:pStyle w:val="Table1"/>
            </w:pPr>
            <w:r>
              <w:t>Policy H2</w:t>
            </w:r>
          </w:p>
        </w:tc>
        <w:tc>
          <w:tcPr>
            <w:tcW w:w="6894" w:type="dxa"/>
            <w:vMerge/>
          </w:tcPr>
          <w:p w14:paraId="1726F97F" w14:textId="77777777" w:rsidR="002307A2" w:rsidRPr="0023769B" w:rsidRDefault="002307A2" w:rsidP="00A247C5">
            <w:pPr>
              <w:pStyle w:val="Table1"/>
            </w:pPr>
          </w:p>
        </w:tc>
      </w:tr>
    </w:tbl>
    <w:p w14:paraId="26471D8C" w14:textId="77777777" w:rsidR="002307A2" w:rsidRPr="002307A2" w:rsidRDefault="002307A2" w:rsidP="002307A2"/>
    <w:p w14:paraId="7A9568B9" w14:textId="77777777" w:rsidR="004A7A26" w:rsidRDefault="004A7A26" w:rsidP="0082271A">
      <w:pPr>
        <w:pStyle w:val="Heading3"/>
      </w:pPr>
      <w:r>
        <w:t>National Policy Statement on Electricity Transmission 2008 (NPSET)</w:t>
      </w:r>
    </w:p>
    <w:p w14:paraId="50DF8C7F" w14:textId="016995EB" w:rsidR="004A7A26" w:rsidRDefault="004A7A26" w:rsidP="00A247C5">
      <w:pPr>
        <w:pStyle w:val="Normal2"/>
      </w:pPr>
      <w:r>
        <w:t>The NPSET sets out the objective and policies to enable the management of the effects of the electricity transmission network</w:t>
      </w:r>
      <w:r w:rsidR="00B366AF">
        <w:t>,</w:t>
      </w:r>
      <w:r w:rsidR="00572599">
        <w:t xml:space="preserve"> which is defined as all parts of the National Grid, which means those assets used or owned by Transpower NZ Limited.</w:t>
      </w:r>
      <w:r>
        <w:t xml:space="preserve"> This section assesses the PORPS provisions against the NPSET and must be read alongside the NPSET, which is available from the Ministry for the Environment’s website.</w:t>
      </w:r>
      <w:r>
        <w:rPr>
          <w:rStyle w:val="FootnoteReference"/>
        </w:rPr>
        <w:footnoteReference w:id="68"/>
      </w:r>
      <w:r>
        <w:t xml:space="preserve"> </w:t>
      </w:r>
    </w:p>
    <w:p w14:paraId="2B1DD7C1" w14:textId="760D949C" w:rsidR="004A7A26" w:rsidRDefault="00BA7C64" w:rsidP="00BA7C64">
      <w:pPr>
        <w:pStyle w:val="Caption"/>
      </w:pPr>
      <w:r>
        <w:t xml:space="preserve">Table </w:t>
      </w:r>
      <w:r>
        <w:fldChar w:fldCharType="begin"/>
      </w:r>
      <w:r>
        <w:instrText>SEQ Table \* ARABIC</w:instrText>
      </w:r>
      <w:r>
        <w:fldChar w:fldCharType="separate"/>
      </w:r>
      <w:r w:rsidR="002A7A16">
        <w:rPr>
          <w:noProof/>
        </w:rPr>
        <w:t>73</w:t>
      </w:r>
      <w:r>
        <w:fldChar w:fldCharType="end"/>
      </w:r>
      <w:r>
        <w:t>: Assessment against NPSET</w:t>
      </w:r>
    </w:p>
    <w:tbl>
      <w:tblPr>
        <w:tblStyle w:val="TableGrid"/>
        <w:tblW w:w="0" w:type="auto"/>
        <w:tblInd w:w="720" w:type="dxa"/>
        <w:tblLook w:val="04A0" w:firstRow="1" w:lastRow="0" w:firstColumn="1" w:lastColumn="0" w:noHBand="0" w:noVBand="1"/>
      </w:tblPr>
      <w:tblGrid>
        <w:gridCol w:w="1402"/>
        <w:gridCol w:w="6894"/>
      </w:tblGrid>
      <w:tr w:rsidR="00F53140" w:rsidRPr="0023769B" w14:paraId="75ABC4F8" w14:textId="77777777" w:rsidTr="0093339F">
        <w:tc>
          <w:tcPr>
            <w:tcW w:w="1402" w:type="dxa"/>
          </w:tcPr>
          <w:p w14:paraId="15A55A6C" w14:textId="77777777" w:rsidR="00F53140" w:rsidRPr="00713D07" w:rsidRDefault="00F53140" w:rsidP="00A247C5">
            <w:pPr>
              <w:pStyle w:val="Table1"/>
              <w:rPr>
                <w:b/>
                <w:bCs/>
              </w:rPr>
            </w:pPr>
            <w:r w:rsidRPr="00713D07">
              <w:rPr>
                <w:b/>
                <w:bCs/>
              </w:rPr>
              <w:t>Provision(s)</w:t>
            </w:r>
          </w:p>
        </w:tc>
        <w:tc>
          <w:tcPr>
            <w:tcW w:w="6894" w:type="dxa"/>
          </w:tcPr>
          <w:p w14:paraId="038A8F65" w14:textId="77777777" w:rsidR="00F53140" w:rsidRPr="00713D07" w:rsidRDefault="00F53140" w:rsidP="00A247C5">
            <w:pPr>
              <w:pStyle w:val="Table1"/>
              <w:rPr>
                <w:b/>
                <w:bCs/>
              </w:rPr>
            </w:pPr>
            <w:r w:rsidRPr="00713D07">
              <w:rPr>
                <w:b/>
                <w:bCs/>
              </w:rPr>
              <w:t>Assessment</w:t>
            </w:r>
          </w:p>
        </w:tc>
      </w:tr>
      <w:tr w:rsidR="00F53140" w:rsidRPr="0023769B" w14:paraId="7176F5D3" w14:textId="77777777" w:rsidTr="0093339F">
        <w:tc>
          <w:tcPr>
            <w:tcW w:w="1402" w:type="dxa"/>
          </w:tcPr>
          <w:p w14:paraId="59B04F89" w14:textId="77777777" w:rsidR="00F53140" w:rsidRPr="000306BF" w:rsidRDefault="00F53140" w:rsidP="00A247C5">
            <w:pPr>
              <w:pStyle w:val="Table1"/>
            </w:pPr>
            <w:r w:rsidRPr="000306BF">
              <w:t>Objective</w:t>
            </w:r>
          </w:p>
        </w:tc>
        <w:tc>
          <w:tcPr>
            <w:tcW w:w="6894" w:type="dxa"/>
          </w:tcPr>
          <w:p w14:paraId="6257C54A" w14:textId="77777777" w:rsidR="00572599" w:rsidRDefault="00572599" w:rsidP="00A247C5">
            <w:pPr>
              <w:pStyle w:val="Table1"/>
            </w:pPr>
            <w:r>
              <w:t>This objective seeks to recognise the national significance of the electricity transmission network by facilitating the operation, maintenance and upgrade of the existing transmission network and establishment of new transmission, while managing the adverse effects of the network, and managing adverse effects of other activities on the network.</w:t>
            </w:r>
          </w:p>
          <w:p w14:paraId="5BE814E8" w14:textId="52FDF137" w:rsidR="00F53140" w:rsidRPr="0023769B" w:rsidRDefault="00F53140" w:rsidP="00A247C5">
            <w:pPr>
              <w:pStyle w:val="Table1"/>
            </w:pPr>
            <w:r>
              <w:t xml:space="preserve">Objective EIT-INF-O5 gives effect to this objective as it seeks effective and efficient nationally significant infrastructure which includes electricity transmission networks while managing adverse effects. Objective EIT-INF-O6 seek to </w:t>
            </w:r>
            <w:proofErr w:type="gramStart"/>
            <w:r>
              <w:t>ensure</w:t>
            </w:r>
            <w:proofErr w:type="gramEnd"/>
            <w:r>
              <w:t xml:space="preserve"> and development and land use change is co</w:t>
            </w:r>
            <w:r w:rsidR="00392067">
              <w:t>-</w:t>
            </w:r>
            <w:r>
              <w:t>ordinated whilst managing adverse effects.</w:t>
            </w:r>
            <w:r w:rsidR="006B01DC">
              <w:t xml:space="preserve">  Objective EIT-INF-O6 specifically recognises the need to provide for long term planning for electricity transmission infrastructure and its integration with land use.  </w:t>
            </w:r>
            <w:r w:rsidR="00BB4FF4">
              <w:t xml:space="preserve">This </w:t>
            </w:r>
          </w:p>
        </w:tc>
      </w:tr>
      <w:tr w:rsidR="00F53140" w:rsidRPr="0023769B" w14:paraId="251E237B" w14:textId="77777777" w:rsidTr="0093339F">
        <w:tc>
          <w:tcPr>
            <w:tcW w:w="1402" w:type="dxa"/>
          </w:tcPr>
          <w:p w14:paraId="7BC18EEB" w14:textId="77777777" w:rsidR="00F53140" w:rsidRPr="000306BF" w:rsidRDefault="00F53140" w:rsidP="00A247C5">
            <w:pPr>
              <w:pStyle w:val="Table1"/>
            </w:pPr>
            <w:r w:rsidRPr="000306BF">
              <w:lastRenderedPageBreak/>
              <w:t xml:space="preserve">Policy </w:t>
            </w:r>
            <w:r>
              <w:t>1</w:t>
            </w:r>
          </w:p>
        </w:tc>
        <w:tc>
          <w:tcPr>
            <w:tcW w:w="6894" w:type="dxa"/>
          </w:tcPr>
          <w:p w14:paraId="4B94C388" w14:textId="5E5F3036" w:rsidR="00F53140" w:rsidRPr="0023769B" w:rsidRDefault="00BB4FF4" w:rsidP="00A247C5">
            <w:pPr>
              <w:pStyle w:val="Table1"/>
            </w:pPr>
            <w:r>
              <w:t xml:space="preserve">This policy seeks to recognise the benefits of sustainable, </w:t>
            </w:r>
            <w:proofErr w:type="gramStart"/>
            <w:r>
              <w:t>secure</w:t>
            </w:r>
            <w:proofErr w:type="gramEnd"/>
            <w:r>
              <w:t xml:space="preserve"> and efficient electricity transmission. </w:t>
            </w:r>
            <w:r w:rsidR="00F53140">
              <w:t xml:space="preserve">EIT-INF-P10 recognises the </w:t>
            </w:r>
            <w:r w:rsidR="00BE4649">
              <w:t xml:space="preserve">needs </w:t>
            </w:r>
            <w:r w:rsidR="00F53140">
              <w:t>of nationally significant infrastructure and EIT-INF-O5 seeks this infrastructure is efficient and effective.  EIT-INF-P16 provides for provision of Otago’s contribution to electricity generation and the national grid.</w:t>
            </w:r>
          </w:p>
        </w:tc>
      </w:tr>
      <w:tr w:rsidR="00F53140" w:rsidRPr="0023769B" w14:paraId="0281DD79" w14:textId="77777777" w:rsidTr="0093339F">
        <w:tc>
          <w:tcPr>
            <w:tcW w:w="1402" w:type="dxa"/>
          </w:tcPr>
          <w:p w14:paraId="1043EED1" w14:textId="77777777" w:rsidR="00F53140" w:rsidRPr="0023769B" w:rsidRDefault="00F53140" w:rsidP="00A247C5">
            <w:pPr>
              <w:pStyle w:val="Table1"/>
            </w:pPr>
            <w:r>
              <w:t>Policy 2</w:t>
            </w:r>
          </w:p>
        </w:tc>
        <w:tc>
          <w:tcPr>
            <w:tcW w:w="6894" w:type="dxa"/>
          </w:tcPr>
          <w:p w14:paraId="192D8632" w14:textId="04C95E2A" w:rsidR="00F53140" w:rsidRPr="0023769B" w:rsidRDefault="00BE4649" w:rsidP="00A247C5">
            <w:pPr>
              <w:pStyle w:val="Table1"/>
            </w:pPr>
            <w:r>
              <w:t xml:space="preserve">Policy 2 requires that decision-makers recognise and provide for the effective operation, maintenance, upgrading and development of the electricity transmission network.  </w:t>
            </w:r>
            <w:r w:rsidR="00F53140">
              <w:t>This policy is given effect to by EIT-INF-P10, EIT-INF-P11, EIT-INF-P12 and EIT-INF-P13</w:t>
            </w:r>
            <w:r w:rsidR="004A2E51">
              <w:t>, which provide for all aspects of development of regionally and nationally significant infrastructure, which includes upgrades to the National Grid</w:t>
            </w:r>
            <w:r w:rsidR="00F53140" w:rsidDel="004A2E51">
              <w:t>.</w:t>
            </w:r>
          </w:p>
        </w:tc>
      </w:tr>
      <w:tr w:rsidR="00F53140" w:rsidRPr="0023769B" w14:paraId="7DF5BAEC" w14:textId="77777777" w:rsidTr="0093339F">
        <w:tc>
          <w:tcPr>
            <w:tcW w:w="1402" w:type="dxa"/>
          </w:tcPr>
          <w:p w14:paraId="4B1A0C00" w14:textId="77777777" w:rsidR="00F53140" w:rsidRPr="0023769B" w:rsidRDefault="00F53140" w:rsidP="00A247C5">
            <w:pPr>
              <w:pStyle w:val="Table1"/>
            </w:pPr>
            <w:r>
              <w:t>Policy 3</w:t>
            </w:r>
          </w:p>
        </w:tc>
        <w:tc>
          <w:tcPr>
            <w:tcW w:w="6894" w:type="dxa"/>
          </w:tcPr>
          <w:p w14:paraId="414B39D0" w14:textId="051A9FD7" w:rsidR="00F53140" w:rsidRPr="0023769B" w:rsidRDefault="008274A6" w:rsidP="00A247C5">
            <w:pPr>
              <w:pStyle w:val="Table1"/>
            </w:pPr>
            <w:r>
              <w:t>Policy 3 requires decision</w:t>
            </w:r>
            <w:r w:rsidR="007013D7">
              <w:t>-</w:t>
            </w:r>
            <w:r>
              <w:t>make</w:t>
            </w:r>
            <w:r w:rsidR="007013D7">
              <w:t xml:space="preserve">rs to consider constraints imposed by technical and operational requirements of the network.  </w:t>
            </w:r>
            <w:r w:rsidR="00F53140">
              <w:t>This policy is given effect to by EIT-INF-P11, EIT-INF-P12, EIT-INF-P13, EIT-INF-P14 and EIT-INF-P15. IM-O1, IM-O3 and related policy will be relevant to consideration of constraints.</w:t>
            </w:r>
          </w:p>
        </w:tc>
      </w:tr>
      <w:tr w:rsidR="00F53140" w:rsidRPr="0023769B" w14:paraId="539868E7" w14:textId="77777777" w:rsidTr="0093339F">
        <w:tc>
          <w:tcPr>
            <w:tcW w:w="1402" w:type="dxa"/>
          </w:tcPr>
          <w:p w14:paraId="5710F22F" w14:textId="77777777" w:rsidR="00F53140" w:rsidRPr="0023769B" w:rsidRDefault="00F53140" w:rsidP="00A247C5">
            <w:pPr>
              <w:pStyle w:val="Table1"/>
            </w:pPr>
            <w:r>
              <w:t>Policy 4</w:t>
            </w:r>
          </w:p>
        </w:tc>
        <w:tc>
          <w:tcPr>
            <w:tcW w:w="6894" w:type="dxa"/>
          </w:tcPr>
          <w:p w14:paraId="4027D80E" w14:textId="77777777" w:rsidR="00F53140" w:rsidRPr="0023769B" w:rsidRDefault="00F53140" w:rsidP="00A247C5">
            <w:pPr>
              <w:pStyle w:val="Table1"/>
            </w:pPr>
            <w:r>
              <w:t>EIT-INF-P12 provides for upgrades and new significant infrastructure. EIT-INF-P13 includes a requirement to consider alternative sites and designs where adverse effects are significant or potentially irreversible. IM-O1, IM-O3 and related policy will be relevant to consideration of constraints.</w:t>
            </w:r>
          </w:p>
        </w:tc>
      </w:tr>
      <w:tr w:rsidR="00F53140" w:rsidRPr="0023769B" w14:paraId="6FFB04C0" w14:textId="77777777" w:rsidTr="0093339F">
        <w:tc>
          <w:tcPr>
            <w:tcW w:w="1402" w:type="dxa"/>
          </w:tcPr>
          <w:p w14:paraId="18FD3B44" w14:textId="77777777" w:rsidR="00F53140" w:rsidRPr="0023769B" w:rsidRDefault="00F53140" w:rsidP="00A247C5">
            <w:pPr>
              <w:pStyle w:val="Table1"/>
            </w:pPr>
            <w:r>
              <w:t>Policy 5</w:t>
            </w:r>
          </w:p>
        </w:tc>
        <w:tc>
          <w:tcPr>
            <w:tcW w:w="6894" w:type="dxa"/>
          </w:tcPr>
          <w:p w14:paraId="45D74EE8" w14:textId="4FFDD496" w:rsidR="00F53140" w:rsidRPr="0023769B" w:rsidRDefault="007B3946" w:rsidP="00A247C5">
            <w:pPr>
              <w:pStyle w:val="Table1"/>
            </w:pPr>
            <w:r>
              <w:t xml:space="preserve">Policy 5 seeks to enable the reasonable operational, maintenance and minor upgrade requirements of established electricity transmission networks.  </w:t>
            </w:r>
            <w:r w:rsidR="00F53140">
              <w:t xml:space="preserve">This policy is given effect to </w:t>
            </w:r>
            <w:r w:rsidR="00BA11BA">
              <w:t>b</w:t>
            </w:r>
            <w:r>
              <w:t>y</w:t>
            </w:r>
            <w:r w:rsidR="000A6B91">
              <w:t xml:space="preserve"> EIT-INF-P16(4).</w:t>
            </w:r>
          </w:p>
        </w:tc>
      </w:tr>
      <w:tr w:rsidR="00F53140" w:rsidRPr="0023769B" w14:paraId="1A86C539" w14:textId="77777777" w:rsidTr="0093339F">
        <w:tc>
          <w:tcPr>
            <w:tcW w:w="1402" w:type="dxa"/>
          </w:tcPr>
          <w:p w14:paraId="0BF23E3A" w14:textId="77777777" w:rsidR="00F53140" w:rsidRDefault="00F53140" w:rsidP="00A247C5">
            <w:pPr>
              <w:pStyle w:val="Table1"/>
            </w:pPr>
            <w:r>
              <w:t>Policy 6</w:t>
            </w:r>
          </w:p>
        </w:tc>
        <w:tc>
          <w:tcPr>
            <w:tcW w:w="6894" w:type="dxa"/>
          </w:tcPr>
          <w:p w14:paraId="6749EFF0" w14:textId="273C4B91" w:rsidR="00F53140" w:rsidRPr="0023769B" w:rsidRDefault="000A6B91" w:rsidP="00A247C5">
            <w:pPr>
              <w:pStyle w:val="Table1"/>
            </w:pPr>
            <w:r>
              <w:t xml:space="preserve">Policy 6 </w:t>
            </w:r>
            <w:r w:rsidR="00BD3663">
              <w:t>provides for the opportunity to reduce adverse effects where substantial upgrades of the transmission network take place.</w:t>
            </w:r>
            <w:r w:rsidR="0008481C">
              <w:t xml:space="preserve"> </w:t>
            </w:r>
            <w:r w:rsidR="00F53140">
              <w:t>This policy is given effect to by EIT-INF-</w:t>
            </w:r>
            <w:r w:rsidR="005E2508">
              <w:t>P14(2).</w:t>
            </w:r>
          </w:p>
        </w:tc>
      </w:tr>
      <w:tr w:rsidR="00F53140" w:rsidRPr="0023769B" w14:paraId="45C7B190" w14:textId="77777777" w:rsidTr="0093339F">
        <w:tc>
          <w:tcPr>
            <w:tcW w:w="1402" w:type="dxa"/>
          </w:tcPr>
          <w:p w14:paraId="3F48D8EC" w14:textId="77777777" w:rsidR="00F53140" w:rsidRDefault="00F53140" w:rsidP="00A247C5">
            <w:pPr>
              <w:pStyle w:val="Table1"/>
            </w:pPr>
            <w:r>
              <w:t>Policy 7</w:t>
            </w:r>
          </w:p>
        </w:tc>
        <w:tc>
          <w:tcPr>
            <w:tcW w:w="6894" w:type="dxa"/>
          </w:tcPr>
          <w:p w14:paraId="68B6BEEE" w14:textId="78E4A156" w:rsidR="00F53140" w:rsidRPr="0023769B" w:rsidRDefault="005E2508" w:rsidP="00A247C5">
            <w:pPr>
              <w:pStyle w:val="Table1"/>
            </w:pPr>
            <w:r>
              <w:t xml:space="preserve">This policy seeks to </w:t>
            </w:r>
            <w:r w:rsidR="00AC1B7D">
              <w:t xml:space="preserve">minimise adverse effects on urban amenity and </w:t>
            </w:r>
            <w:r w:rsidR="00850198">
              <w:t xml:space="preserve">avoid adverse effects on town centres, areas of high recreational or amenity value, and existing sensitive activities.  </w:t>
            </w:r>
            <w:r w:rsidR="00F53140">
              <w:t>This policy is given effect to by EIT-INF-P1</w:t>
            </w:r>
            <w:r w:rsidR="003E6FD7">
              <w:t>6(5).</w:t>
            </w:r>
          </w:p>
        </w:tc>
      </w:tr>
      <w:tr w:rsidR="00F53140" w:rsidRPr="0023769B" w14:paraId="70CA415A" w14:textId="77777777" w:rsidTr="0093339F">
        <w:tc>
          <w:tcPr>
            <w:tcW w:w="1402" w:type="dxa"/>
          </w:tcPr>
          <w:p w14:paraId="18F3B9E1" w14:textId="77777777" w:rsidR="00F53140" w:rsidRDefault="00F53140" w:rsidP="00A247C5">
            <w:pPr>
              <w:pStyle w:val="Table1"/>
            </w:pPr>
            <w:r>
              <w:t>Policy 8</w:t>
            </w:r>
          </w:p>
        </w:tc>
        <w:tc>
          <w:tcPr>
            <w:tcW w:w="6894" w:type="dxa"/>
          </w:tcPr>
          <w:p w14:paraId="592EBB0A" w14:textId="39EF0CDB" w:rsidR="00F53140" w:rsidRPr="0023769B" w:rsidRDefault="00B07B19" w:rsidP="00A247C5">
            <w:pPr>
              <w:pStyle w:val="Table1"/>
            </w:pPr>
            <w:r>
              <w:t>Policy 8 provides that in rural areas, development of the transmission network should seek to avoid adverse effects on outstanding natural landscapes, areas, of high natural character</w:t>
            </w:r>
            <w:r w:rsidR="00817111">
              <w:t xml:space="preserve"> and areas of high recreation value and amenity and existing sensitive activities.  </w:t>
            </w:r>
            <w:r w:rsidR="00F53140">
              <w:t>This policy is given effect to by EIT-INF-</w:t>
            </w:r>
            <w:r w:rsidR="00817111">
              <w:t>P13, which also addresses a range of other important resources in EIT-INF-P13</w:t>
            </w:r>
            <w:r w:rsidR="00B46C5F">
              <w:t>(1)(a)-(h).  Further discussion is provided on this in relation to the cost benefit analysis of the provisions.</w:t>
            </w:r>
          </w:p>
        </w:tc>
      </w:tr>
      <w:tr w:rsidR="00F53140" w:rsidRPr="0023769B" w14:paraId="412B4A92" w14:textId="77777777" w:rsidTr="0093339F">
        <w:tc>
          <w:tcPr>
            <w:tcW w:w="1402" w:type="dxa"/>
          </w:tcPr>
          <w:p w14:paraId="1A3A07EB" w14:textId="77777777" w:rsidR="00F53140" w:rsidRDefault="00F53140" w:rsidP="00A247C5">
            <w:pPr>
              <w:pStyle w:val="Table1"/>
            </w:pPr>
            <w:r>
              <w:t>Policy 9</w:t>
            </w:r>
          </w:p>
        </w:tc>
        <w:tc>
          <w:tcPr>
            <w:tcW w:w="6894" w:type="dxa"/>
          </w:tcPr>
          <w:p w14:paraId="3F4E7D57" w14:textId="77777777" w:rsidR="00F53140" w:rsidRPr="0023769B" w:rsidRDefault="00F53140" w:rsidP="00A247C5">
            <w:pPr>
              <w:pStyle w:val="Table1"/>
            </w:pPr>
            <w:r>
              <w:t>This policy applies to territorial authorities only and is not relevant for the PORPS 2021.</w:t>
            </w:r>
          </w:p>
        </w:tc>
      </w:tr>
      <w:tr w:rsidR="00F53140" w:rsidRPr="0023769B" w14:paraId="7740F4C1" w14:textId="77777777" w:rsidTr="0093339F">
        <w:tc>
          <w:tcPr>
            <w:tcW w:w="1402" w:type="dxa"/>
          </w:tcPr>
          <w:p w14:paraId="34D8A652" w14:textId="77777777" w:rsidR="00F53140" w:rsidRDefault="00F53140" w:rsidP="00A247C5">
            <w:pPr>
              <w:pStyle w:val="Table1"/>
            </w:pPr>
            <w:r>
              <w:t>Policy 10</w:t>
            </w:r>
          </w:p>
        </w:tc>
        <w:tc>
          <w:tcPr>
            <w:tcW w:w="6894" w:type="dxa"/>
          </w:tcPr>
          <w:p w14:paraId="7671651D" w14:textId="46F84BBE" w:rsidR="00F53140" w:rsidRPr="0023769B" w:rsidRDefault="00B46C5F" w:rsidP="00A247C5">
            <w:pPr>
              <w:pStyle w:val="Table1"/>
            </w:pPr>
            <w:r>
              <w:t>Policy 10 addresses reverse sensitivity effects</w:t>
            </w:r>
            <w:r w:rsidR="00D80CEA">
              <w:t xml:space="preserve"> on the electricity transmission network</w:t>
            </w:r>
            <w:r>
              <w:t xml:space="preserve">.  </w:t>
            </w:r>
            <w:r w:rsidR="00F53140">
              <w:t>Policy EIT-INF-P15, EIT-INF-M4 and EIT-INF-M5 give effect to this policy.</w:t>
            </w:r>
          </w:p>
        </w:tc>
      </w:tr>
      <w:tr w:rsidR="00F53140" w:rsidRPr="0023769B" w14:paraId="2FA6A548" w14:textId="77777777" w:rsidTr="0093339F">
        <w:tc>
          <w:tcPr>
            <w:tcW w:w="1402" w:type="dxa"/>
          </w:tcPr>
          <w:p w14:paraId="11FA8D9F" w14:textId="77777777" w:rsidR="00F53140" w:rsidRDefault="00F53140" w:rsidP="00A247C5">
            <w:pPr>
              <w:pStyle w:val="Table1"/>
            </w:pPr>
            <w:r>
              <w:t>Policy 11</w:t>
            </w:r>
          </w:p>
        </w:tc>
        <w:tc>
          <w:tcPr>
            <w:tcW w:w="6894" w:type="dxa"/>
          </w:tcPr>
          <w:p w14:paraId="5417C9D4" w14:textId="7AD59852" w:rsidR="00F53140" w:rsidRPr="0023769B" w:rsidRDefault="00D80CEA" w:rsidP="00A247C5">
            <w:pPr>
              <w:pStyle w:val="Table1"/>
            </w:pPr>
            <w:r>
              <w:t xml:space="preserve">This </w:t>
            </w:r>
            <w:r w:rsidR="00005370">
              <w:t>p</w:t>
            </w:r>
            <w:r>
              <w:t xml:space="preserve">olicy requires local authorities to identify appropriate buffer corridors within which it can be expected that sensitive activities will generally not be provided for.  </w:t>
            </w:r>
            <w:r w:rsidR="00F53140">
              <w:t>EIT-INF-M5 gives effect to this policy.</w:t>
            </w:r>
          </w:p>
        </w:tc>
      </w:tr>
      <w:tr w:rsidR="00F53140" w:rsidRPr="0023769B" w14:paraId="049C7ABC" w14:textId="77777777" w:rsidTr="0093339F">
        <w:tc>
          <w:tcPr>
            <w:tcW w:w="1402" w:type="dxa"/>
          </w:tcPr>
          <w:p w14:paraId="271F77C6" w14:textId="77777777" w:rsidR="00F53140" w:rsidRDefault="00F53140" w:rsidP="00A247C5">
            <w:pPr>
              <w:pStyle w:val="Table1"/>
            </w:pPr>
            <w:r>
              <w:t>Policy 12</w:t>
            </w:r>
          </w:p>
        </w:tc>
        <w:tc>
          <w:tcPr>
            <w:tcW w:w="6894" w:type="dxa"/>
          </w:tcPr>
          <w:p w14:paraId="7D42BEBE" w14:textId="4F2BAF79" w:rsidR="00F53140" w:rsidRPr="0023769B" w:rsidRDefault="00005370" w:rsidP="00A247C5">
            <w:pPr>
              <w:pStyle w:val="Table1"/>
            </w:pPr>
            <w:r>
              <w:t xml:space="preserve">This policy requires territorial authorities to identify the electricity transmission network on their planning maps.  </w:t>
            </w:r>
            <w:r w:rsidR="00F53140">
              <w:t>This is given effect to by EIT-INF-M5.</w:t>
            </w:r>
          </w:p>
        </w:tc>
      </w:tr>
      <w:tr w:rsidR="00F53140" w:rsidRPr="0023769B" w14:paraId="6DD2A575" w14:textId="77777777" w:rsidTr="0093339F">
        <w:tc>
          <w:tcPr>
            <w:tcW w:w="1402" w:type="dxa"/>
          </w:tcPr>
          <w:p w14:paraId="021D2D95" w14:textId="13536F7D" w:rsidR="00F53140" w:rsidRDefault="00F53140" w:rsidP="00A247C5">
            <w:pPr>
              <w:pStyle w:val="Table1"/>
            </w:pPr>
            <w:r>
              <w:t>Policy 13</w:t>
            </w:r>
            <w:r w:rsidR="00F27FF0">
              <w:t xml:space="preserve"> and 14</w:t>
            </w:r>
          </w:p>
        </w:tc>
        <w:tc>
          <w:tcPr>
            <w:tcW w:w="6894" w:type="dxa"/>
          </w:tcPr>
          <w:p w14:paraId="346A51D8" w14:textId="2EB00515" w:rsidR="00F53140" w:rsidRPr="0023769B" w:rsidRDefault="00F27FF0" w:rsidP="00A247C5">
            <w:pPr>
              <w:pStyle w:val="Table1"/>
            </w:pPr>
            <w:r>
              <w:t>These policies seek a long-term strategic planning</w:t>
            </w:r>
            <w:r w:rsidR="00340048">
              <w:t xml:space="preserve"> approach for transmission assets, recognising the designation process is available and to facilitate long term planning for investment in transmission infrastructure.    </w:t>
            </w:r>
            <w:r w:rsidR="00F53140">
              <w:t>Objective EIT-INF-0</w:t>
            </w:r>
            <w:r>
              <w:t>6</w:t>
            </w:r>
            <w:r w:rsidR="00340048">
              <w:t xml:space="preserve"> and</w:t>
            </w:r>
            <w:r w:rsidR="00F53140">
              <w:t xml:space="preserve"> EIT-IN-P16, EIT-INF-M5 give effect to this policy. </w:t>
            </w:r>
          </w:p>
        </w:tc>
      </w:tr>
    </w:tbl>
    <w:p w14:paraId="32EAC501" w14:textId="77777777" w:rsidR="004A7A26" w:rsidRDefault="004A7A26" w:rsidP="0082271A">
      <w:pPr>
        <w:pStyle w:val="Heading3"/>
      </w:pPr>
      <w:r>
        <w:lastRenderedPageBreak/>
        <w:t>Proposed National Policy Statement for Indigenous Biodiversity (</w:t>
      </w:r>
      <w:proofErr w:type="spellStart"/>
      <w:r>
        <w:t>pNPSIB</w:t>
      </w:r>
      <w:proofErr w:type="spellEnd"/>
      <w:r>
        <w:t>)</w:t>
      </w:r>
    </w:p>
    <w:p w14:paraId="7394928C" w14:textId="55153806" w:rsidR="004A7A26" w:rsidRDefault="004A7A26" w:rsidP="00A247C5">
      <w:pPr>
        <w:pStyle w:val="Normal2"/>
      </w:pPr>
      <w:r>
        <w:t xml:space="preserve">In November 2019, the Government released the </w:t>
      </w:r>
      <w:proofErr w:type="spellStart"/>
      <w:r>
        <w:t>pNPSIB</w:t>
      </w:r>
      <w:proofErr w:type="spellEnd"/>
      <w:r>
        <w:t xml:space="preserve"> for public consultation. The submission period was extended due to the COVID-19 pandemic and submissions are currently being analysed. At the time of writing, the Ministry for the Environment anticipated the NPSIB coming into effect in July 2021 </w:t>
      </w:r>
      <w:sdt>
        <w:sdtPr>
          <w:id w:val="756098249"/>
          <w:placeholder>
            <w:docPart w:val="DefaultPlaceholder_1081868574"/>
          </w:placeholder>
          <w:citation/>
        </w:sdtPr>
        <w:sdtContent>
          <w:r>
            <w:fldChar w:fldCharType="begin"/>
          </w:r>
          <w:r>
            <w:instrText xml:space="preserve"> CITATION Min202 \l 5129 </w:instrText>
          </w:r>
          <w:r>
            <w:fldChar w:fldCharType="separate"/>
          </w:r>
          <w:r>
            <w:rPr>
              <w:noProof/>
            </w:rPr>
            <w:t>(Ministry for the Environment, 2020)</w:t>
          </w:r>
          <w:r>
            <w:fldChar w:fldCharType="end"/>
          </w:r>
        </w:sdtContent>
      </w:sdt>
      <w:r>
        <w:t xml:space="preserve">. The release of the </w:t>
      </w:r>
      <w:proofErr w:type="spellStart"/>
      <w:r>
        <w:t>pNPSIB</w:t>
      </w:r>
      <w:proofErr w:type="spellEnd"/>
      <w:r>
        <w:t xml:space="preserve"> may therefore be a matter for the PORPS 2021 to consider later in the process.</w:t>
      </w:r>
    </w:p>
    <w:p w14:paraId="25C7073D" w14:textId="77777777" w:rsidR="004A7A26" w:rsidRDefault="004A7A26" w:rsidP="00A247C5">
      <w:pPr>
        <w:pStyle w:val="Normal2"/>
      </w:pPr>
      <w:r>
        <w:t xml:space="preserve">The </w:t>
      </w:r>
      <w:proofErr w:type="spellStart"/>
      <w:r>
        <w:t>pNPSIB</w:t>
      </w:r>
      <w:proofErr w:type="spellEnd"/>
      <w:r>
        <w:t xml:space="preserve"> applies to all indigenous biodiversity except:</w:t>
      </w:r>
    </w:p>
    <w:p w14:paraId="5F6D64BB" w14:textId="77777777" w:rsidR="004A7A26" w:rsidRDefault="004A7A26" w:rsidP="00A247C5">
      <w:pPr>
        <w:pStyle w:val="Normal3"/>
      </w:pPr>
      <w:r>
        <w:t>Indigenous biodiversity in the coastal marine area, and</w:t>
      </w:r>
    </w:p>
    <w:p w14:paraId="02BE5545" w14:textId="77777777" w:rsidR="004A7A26" w:rsidRDefault="004A7A26" w:rsidP="00A247C5">
      <w:pPr>
        <w:pStyle w:val="Normal3"/>
      </w:pPr>
      <w:r>
        <w:t>Indigenous biodiversity in waterbodies and freshwater ecosystems (as those terms are defined in the NPSFM).</w:t>
      </w:r>
    </w:p>
    <w:p w14:paraId="5AD9EACB" w14:textId="77777777" w:rsidR="004A7A26" w:rsidRDefault="004A7A26" w:rsidP="00A247C5">
      <w:pPr>
        <w:pStyle w:val="Normal2"/>
      </w:pPr>
      <w:r>
        <w:t xml:space="preserve">In essence, this means that the </w:t>
      </w:r>
      <w:proofErr w:type="spellStart"/>
      <w:r>
        <w:t>pNPSIB</w:t>
      </w:r>
      <w:proofErr w:type="spellEnd"/>
      <w:r>
        <w:t xml:space="preserve"> applies to terrestrial biodiversity. There are six objectives and 15 policies which outline the outcomes sought for biodiversity and the actions required to achieve those outcomes. Part 3 sets out how councils are to implement the </w:t>
      </w:r>
      <w:proofErr w:type="spellStart"/>
      <w:r>
        <w:t>pNPSIB</w:t>
      </w:r>
      <w:proofErr w:type="spellEnd"/>
      <w:r>
        <w:t xml:space="preserve">, including a requirement for city and district councils to identify significant indigenous vegetation and significant habitats of indigenous fauna, based on specified criteria (which are </w:t>
      </w:r>
      <w:proofErr w:type="gramStart"/>
      <w:r>
        <w:t>similar to</w:t>
      </w:r>
      <w:proofErr w:type="gramEnd"/>
      <w:r>
        <w:t xml:space="preserve"> those contained in the PORPS 2019). The </w:t>
      </w:r>
      <w:proofErr w:type="spellStart"/>
      <w:r>
        <w:t>pNPSIB</w:t>
      </w:r>
      <w:proofErr w:type="spellEnd"/>
      <w:r>
        <w:t xml:space="preserve"> mandates the use of an effects management hierarchy for some activities, which requires avoiding, mitigating, then remedying adverse effects before considering offsetting and finally compensation. </w:t>
      </w:r>
    </w:p>
    <w:p w14:paraId="75114676" w14:textId="3E6AEFEE" w:rsidR="004A7A26" w:rsidRDefault="00803F44" w:rsidP="00A247C5">
      <w:pPr>
        <w:pStyle w:val="Normal2"/>
      </w:pPr>
      <w:r>
        <w:t>There</w:t>
      </w:r>
      <w:r w:rsidR="004A7A26">
        <w:t xml:space="preserve"> are concepts in the </w:t>
      </w:r>
      <w:proofErr w:type="spellStart"/>
      <w:r w:rsidR="004A7A26">
        <w:t>pNPSIB</w:t>
      </w:r>
      <w:proofErr w:type="spellEnd"/>
      <w:r w:rsidR="004A7A26">
        <w:t xml:space="preserve"> that are </w:t>
      </w:r>
      <w:proofErr w:type="gramStart"/>
      <w:r w:rsidR="004A7A26">
        <w:t>similar to</w:t>
      </w:r>
      <w:proofErr w:type="gramEnd"/>
      <w:r w:rsidR="004A7A26">
        <w:t xml:space="preserve"> those in the PORPS 2019 (for example, setting out the use of offsetting and compensation, and the identification criteria for significant natural areas). </w:t>
      </w:r>
      <w:r>
        <w:t xml:space="preserve">While the </w:t>
      </w:r>
      <w:proofErr w:type="spellStart"/>
      <w:r>
        <w:t>pNPSIB</w:t>
      </w:r>
      <w:proofErr w:type="spellEnd"/>
      <w:r>
        <w:t xml:space="preserve"> provides an outline of where </w:t>
      </w:r>
      <w:r w:rsidR="000C59FB">
        <w:t xml:space="preserve">current thinking </w:t>
      </w:r>
    </w:p>
    <w:p w14:paraId="32C9101C" w14:textId="77777777" w:rsidR="004A7A26" w:rsidRDefault="004A7A26" w:rsidP="0082271A">
      <w:pPr>
        <w:pStyle w:val="Heading3"/>
      </w:pPr>
      <w:r>
        <w:t>Proposed National Policy Statement for Highly Productive Land (</w:t>
      </w:r>
      <w:proofErr w:type="spellStart"/>
      <w:r>
        <w:t>pNPSHPL</w:t>
      </w:r>
      <w:proofErr w:type="spellEnd"/>
      <w:r>
        <w:t>)</w:t>
      </w:r>
    </w:p>
    <w:p w14:paraId="667BC3BB" w14:textId="77777777" w:rsidR="004A7A26" w:rsidRDefault="004A7A26" w:rsidP="00A247C5">
      <w:pPr>
        <w:pStyle w:val="Normal2"/>
      </w:pPr>
      <w:r>
        <w:t xml:space="preserve">In 2019, the Government consulted on the </w:t>
      </w:r>
      <w:proofErr w:type="spellStart"/>
      <w:r>
        <w:t>pNPSHPL</w:t>
      </w:r>
      <w:proofErr w:type="spellEnd"/>
      <w:r>
        <w:t xml:space="preserve">. A summary of submissions was released in July </w:t>
      </w:r>
      <w:proofErr w:type="gramStart"/>
      <w:r>
        <w:t>2020</w:t>
      </w:r>
      <w:proofErr w:type="gramEnd"/>
      <w:r>
        <w:t xml:space="preserve"> and, at the time of writing, the Government is continuing to work on the document with a view to finalising it and bringing it into effect in the second half of 2021.</w:t>
      </w:r>
    </w:p>
    <w:p w14:paraId="3510DAAA" w14:textId="77777777" w:rsidR="004A7A26" w:rsidRDefault="004A7A26" w:rsidP="00A247C5">
      <w:pPr>
        <w:pStyle w:val="Normal2"/>
      </w:pPr>
      <w:r>
        <w:t xml:space="preserve">The </w:t>
      </w:r>
      <w:proofErr w:type="spellStart"/>
      <w:r>
        <w:t>pNPSHPL</w:t>
      </w:r>
      <w:proofErr w:type="spellEnd"/>
      <w:r>
        <w:t xml:space="preserve"> recognises that New Zealand has lost, and is continuing to lose, significant amounts of productive land, primarily to urban growth and development. It requires councils to identify highly productive land using a consistent set of criteria, by default relying on the Land Use Capability classification system but requiring a more nuanced assessment at the region or district level incorporating other criteria </w:t>
      </w:r>
      <w:proofErr w:type="gramStart"/>
      <w:r>
        <w:t>in order to</w:t>
      </w:r>
      <w:proofErr w:type="gramEnd"/>
      <w:r>
        <w:t xml:space="preserve"> capture other areas that are valued for reasons not recognised by the Land Use Capability classification system.</w:t>
      </w:r>
    </w:p>
    <w:p w14:paraId="62A17DA7" w14:textId="77777777" w:rsidR="004A7A26" w:rsidRDefault="004A7A26" w:rsidP="00A247C5">
      <w:pPr>
        <w:pStyle w:val="Normal2"/>
      </w:pPr>
      <w:r>
        <w:t xml:space="preserve">The objectives and policies set out a management framework to protect this land, including by recognising its long-term benefits and avoiding land fragmentation and uncoordinated urban expansion. The </w:t>
      </w:r>
      <w:proofErr w:type="spellStart"/>
      <w:r>
        <w:t>pNPSHPL</w:t>
      </w:r>
      <w:proofErr w:type="spellEnd"/>
      <w:r>
        <w:t xml:space="preserve"> also requires prioritising the use of highly productive land for primary production and establishes a stringent evaluation process for assessing whether it is appropriate to allow for urban expansion onto highly productive land if it responding to a shortage of development capacity (in accordance with the NPSUD). There is targeted direction for decision-making on plan change requests and resource consent applications.</w:t>
      </w:r>
    </w:p>
    <w:p w14:paraId="685E5DF6" w14:textId="77777777" w:rsidR="004A7A26" w:rsidRDefault="004A7A26" w:rsidP="00A247C5">
      <w:pPr>
        <w:pStyle w:val="Normal2"/>
      </w:pPr>
      <w:r>
        <w:t xml:space="preserve">Although the </w:t>
      </w:r>
      <w:proofErr w:type="spellStart"/>
      <w:r>
        <w:t>pNPSHPL</w:t>
      </w:r>
      <w:proofErr w:type="spellEnd"/>
      <w:r>
        <w:t xml:space="preserve"> has no legal weight, and therefore the PORPS 2021 is not required to give effect to it, parts of the policy direction have been adopted in the PORPS 2021 where this aligns with feedback from the community and/or the provisions of the PORPS 2019. Clause 3 feedback and consultation on the freshwater visions highlighted the importance of productive </w:t>
      </w:r>
      <w:r>
        <w:lastRenderedPageBreak/>
        <w:t xml:space="preserve">land to Otago’s communities. The general principles in the </w:t>
      </w:r>
      <w:proofErr w:type="spellStart"/>
      <w:r>
        <w:t>pNPSHPL</w:t>
      </w:r>
      <w:proofErr w:type="spellEnd"/>
      <w:r>
        <w:t>, including the identification criteria, have been incorporated into the LF and UFD chapters as a result.</w:t>
      </w:r>
    </w:p>
    <w:p w14:paraId="07478E99" w14:textId="77777777" w:rsidR="004A7A26" w:rsidRDefault="004A7A26" w:rsidP="008E6DDB">
      <w:pPr>
        <w:pStyle w:val="Heading2"/>
        <w:shd w:val="clear" w:color="auto" w:fill="DEEAF6" w:themeFill="accent5" w:themeFillTint="33"/>
      </w:pPr>
      <w:bookmarkStart w:id="172" w:name="_Toc52780471"/>
      <w:bookmarkStart w:id="173" w:name="_Toc72507653"/>
      <w:r>
        <w:t>National planning standards</w:t>
      </w:r>
      <w:bookmarkEnd w:id="172"/>
      <w:bookmarkEnd w:id="173"/>
    </w:p>
    <w:p w14:paraId="5F362A18" w14:textId="77777777" w:rsidR="004A7A26" w:rsidRDefault="004A7A26" w:rsidP="008E6DDB">
      <w:pPr>
        <w:pStyle w:val="Normal2"/>
        <w:shd w:val="clear" w:color="auto" w:fill="DEEAF6" w:themeFill="accent5" w:themeFillTint="33"/>
      </w:pPr>
      <w:r>
        <w:t xml:space="preserve">The purpose of national planning standards is to improve consistency in plan and policy statement structure, </w:t>
      </w:r>
      <w:proofErr w:type="gramStart"/>
      <w:r>
        <w:t>format</w:t>
      </w:r>
      <w:proofErr w:type="gramEnd"/>
      <w:r>
        <w:t xml:space="preserve"> and content. The first set of standards came into force in May 2019. </w:t>
      </w:r>
    </w:p>
    <w:p w14:paraId="3BF9C27F" w14:textId="06C45ABA" w:rsidR="004A7A26" w:rsidRDefault="004A7A26" w:rsidP="008E6DDB">
      <w:pPr>
        <w:pStyle w:val="Caption"/>
        <w:keepNext/>
        <w:shd w:val="clear" w:color="auto" w:fill="DEEAF6" w:themeFill="accent5" w:themeFillTint="33"/>
      </w:pPr>
      <w:r>
        <w:t xml:space="preserve">Table </w:t>
      </w:r>
      <w:r>
        <w:fldChar w:fldCharType="begin"/>
      </w:r>
      <w:r>
        <w:instrText>SEQ Table \* ARABIC</w:instrText>
      </w:r>
      <w:r>
        <w:fldChar w:fldCharType="separate"/>
      </w:r>
      <w:r w:rsidR="002A7A16">
        <w:rPr>
          <w:noProof/>
        </w:rPr>
        <w:t>74</w:t>
      </w:r>
      <w:r>
        <w:fldChar w:fldCharType="end"/>
      </w:r>
      <w:r>
        <w:t>: Assessment against national planning standards</w:t>
      </w:r>
    </w:p>
    <w:tbl>
      <w:tblPr>
        <w:tblStyle w:val="TableGrid"/>
        <w:tblW w:w="0" w:type="auto"/>
        <w:tblInd w:w="720" w:type="dxa"/>
        <w:shd w:val="clear" w:color="auto" w:fill="DEEAF6" w:themeFill="accent5" w:themeFillTint="33"/>
        <w:tblLook w:val="04A0" w:firstRow="1" w:lastRow="0" w:firstColumn="1" w:lastColumn="0" w:noHBand="0" w:noVBand="1"/>
      </w:tblPr>
      <w:tblGrid>
        <w:gridCol w:w="3811"/>
        <w:gridCol w:w="4485"/>
      </w:tblGrid>
      <w:tr w:rsidR="004A7A26" w14:paraId="026CC030"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7A74B90" w14:textId="77777777" w:rsidR="004A7A26" w:rsidRDefault="004A7A26" w:rsidP="00A247C5">
            <w:pPr>
              <w:pStyle w:val="Table1"/>
            </w:pPr>
            <w:r>
              <w:t>Standard</w:t>
            </w:r>
          </w:p>
        </w:tc>
        <w:tc>
          <w:tcPr>
            <w:tcW w:w="448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80AD3D0" w14:textId="77777777" w:rsidR="004A7A26" w:rsidRDefault="004A7A26" w:rsidP="00A247C5">
            <w:pPr>
              <w:pStyle w:val="Table1"/>
            </w:pPr>
            <w:r>
              <w:t>Assessment</w:t>
            </w:r>
          </w:p>
        </w:tc>
      </w:tr>
      <w:tr w:rsidR="004A7A26" w14:paraId="1C94DE26"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1159AF3" w14:textId="77777777" w:rsidR="004A7A26" w:rsidRDefault="004A7A26" w:rsidP="00A247C5">
            <w:pPr>
              <w:pStyle w:val="Table1"/>
            </w:pPr>
            <w:r>
              <w:t>2 – Regional policy statement structure</w:t>
            </w:r>
          </w:p>
        </w:tc>
        <w:tc>
          <w:tcPr>
            <w:tcW w:w="448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4E627E2" w14:textId="792CB9A8" w:rsidR="004A7A26" w:rsidRDefault="004A7A26" w:rsidP="00A247C5">
            <w:pPr>
              <w:pStyle w:val="Table1"/>
            </w:pPr>
            <w:r>
              <w:t xml:space="preserve">The PORPS </w:t>
            </w:r>
            <w:r w:rsidR="009B793D">
              <w:t xml:space="preserve">2021 </w:t>
            </w:r>
            <w:r>
              <w:t>has been prepared in accordance with these standards and is therefore fully compliant.</w:t>
            </w:r>
          </w:p>
        </w:tc>
      </w:tr>
      <w:tr w:rsidR="004A7A26" w14:paraId="3BF0E555"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61B1181" w14:textId="77777777" w:rsidR="004A7A26" w:rsidRDefault="004A7A26" w:rsidP="00A247C5">
            <w:pPr>
              <w:pStyle w:val="Table1"/>
            </w:pPr>
            <w:r>
              <w:t>6 – Introduction and general provisions</w:t>
            </w: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277B3019" w14:textId="77777777" w:rsidR="004A7A26" w:rsidRDefault="004A7A26">
            <w:pPr>
              <w:rPr>
                <w:rFonts w:cstheme="minorHAnsi"/>
                <w:sz w:val="20"/>
                <w:szCs w:val="20"/>
              </w:rPr>
            </w:pPr>
          </w:p>
        </w:tc>
      </w:tr>
      <w:tr w:rsidR="004A7A26" w14:paraId="1CC5F7E6"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39AB4D7" w14:textId="77777777" w:rsidR="004A7A26" w:rsidRDefault="004A7A26" w:rsidP="00A247C5">
            <w:pPr>
              <w:pStyle w:val="Table1"/>
            </w:pPr>
            <w:r>
              <w:t xml:space="preserve">10 – Format </w:t>
            </w: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118501C" w14:textId="77777777" w:rsidR="004A7A26" w:rsidRDefault="004A7A26">
            <w:pPr>
              <w:rPr>
                <w:rFonts w:cstheme="minorHAnsi"/>
                <w:sz w:val="20"/>
                <w:szCs w:val="20"/>
              </w:rPr>
            </w:pPr>
          </w:p>
        </w:tc>
      </w:tr>
      <w:tr w:rsidR="004A7A26" w14:paraId="32715A30"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1C3EF18" w14:textId="77777777" w:rsidR="004A7A26" w:rsidRDefault="004A7A26" w:rsidP="00A247C5">
            <w:pPr>
              <w:pStyle w:val="Table1"/>
            </w:pPr>
            <w:r>
              <w:t>11 – Regional spatial layers</w:t>
            </w:r>
          </w:p>
        </w:tc>
        <w:tc>
          <w:tcPr>
            <w:tcW w:w="4485" w:type="dxa"/>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04B86E6F" w14:textId="77777777" w:rsidR="004A7A26" w:rsidRDefault="004A7A26" w:rsidP="00A247C5">
            <w:pPr>
              <w:pStyle w:val="Table1"/>
            </w:pPr>
            <w:r>
              <w:t>These standards are not relevant for the PORPS.</w:t>
            </w:r>
          </w:p>
        </w:tc>
      </w:tr>
      <w:tr w:rsidR="004A7A26" w14:paraId="64CF0589"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19DB050" w14:textId="77777777" w:rsidR="004A7A26" w:rsidRDefault="004A7A26" w:rsidP="00A247C5">
            <w:pPr>
              <w:pStyle w:val="Table1"/>
            </w:pPr>
            <w:r>
              <w:t>13 – Mapping</w:t>
            </w: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5981D4D6" w14:textId="77777777" w:rsidR="004A7A26" w:rsidRDefault="004A7A26">
            <w:pPr>
              <w:rPr>
                <w:rFonts w:cstheme="minorHAnsi"/>
                <w:sz w:val="20"/>
                <w:szCs w:val="20"/>
              </w:rPr>
            </w:pPr>
          </w:p>
        </w:tc>
      </w:tr>
      <w:tr w:rsidR="004A7A26" w14:paraId="338B1D12"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51432E8" w14:textId="77777777" w:rsidR="004A7A26" w:rsidRDefault="004A7A26" w:rsidP="00A247C5">
            <w:pPr>
              <w:pStyle w:val="Table1"/>
            </w:pPr>
            <w:r>
              <w:t xml:space="preserve">14 – Definitions </w:t>
            </w:r>
          </w:p>
        </w:tc>
        <w:tc>
          <w:tcPr>
            <w:tcW w:w="448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22F1DBD4" w14:textId="62688292" w:rsidR="004A7A26" w:rsidRDefault="004A7A26" w:rsidP="00A247C5">
            <w:pPr>
              <w:pStyle w:val="Table1"/>
            </w:pPr>
            <w:r>
              <w:t xml:space="preserve">The PORPS </w:t>
            </w:r>
            <w:r w:rsidR="009B793D">
              <w:t xml:space="preserve">2021 </w:t>
            </w:r>
            <w:r>
              <w:t>has used the definitions provided in Standard 14.</w:t>
            </w:r>
          </w:p>
        </w:tc>
      </w:tr>
      <w:tr w:rsidR="004A7A26" w14:paraId="40730B88" w14:textId="77777777" w:rsidTr="008E6DDB">
        <w:tc>
          <w:tcPr>
            <w:tcW w:w="38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AE71932" w14:textId="77777777" w:rsidR="004A7A26" w:rsidRDefault="004A7A26" w:rsidP="00A247C5">
            <w:pPr>
              <w:pStyle w:val="Table1"/>
            </w:pPr>
            <w:r>
              <w:t>16 – Electronic accessibility and functionality</w:t>
            </w:r>
          </w:p>
        </w:tc>
        <w:tc>
          <w:tcPr>
            <w:tcW w:w="4485"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EBE9551" w14:textId="50CE0561" w:rsidR="004A7A26" w:rsidRDefault="004A7A26" w:rsidP="00A247C5">
            <w:pPr>
              <w:pStyle w:val="Table1"/>
            </w:pPr>
            <w:r>
              <w:t>This standard has staged require</w:t>
            </w:r>
            <w:r w:rsidR="00692D4E">
              <w:t>ments</w:t>
            </w:r>
            <w:r>
              <w:t xml:space="preserve">, with the first step required by May 2020 and full implementation by May 2029. The PORPS </w:t>
            </w:r>
            <w:r w:rsidR="009B793D">
              <w:t xml:space="preserve">2021 </w:t>
            </w:r>
            <w:r>
              <w:t>complies with the first step (part A of Standard 16). It does not comply with Part B of Standard 16 as those requirements are for an ‘e-plan’. There is a longer timeframe for implementing Part B due to the significant work required by councils, including ORC, to develop the necessary information technology systems to support e-planning.</w:t>
            </w:r>
          </w:p>
        </w:tc>
      </w:tr>
    </w:tbl>
    <w:p w14:paraId="188E48B6" w14:textId="77777777" w:rsidR="004A7A26" w:rsidRDefault="004A7A26" w:rsidP="008E6DDB">
      <w:pPr>
        <w:pStyle w:val="Normal2"/>
        <w:numPr>
          <w:ilvl w:val="0"/>
          <w:numId w:val="0"/>
        </w:numPr>
        <w:shd w:val="clear" w:color="auto" w:fill="DEEAF6" w:themeFill="accent5" w:themeFillTint="33"/>
        <w:ind w:left="720"/>
      </w:pPr>
    </w:p>
    <w:p w14:paraId="25881B9A" w14:textId="77777777" w:rsidR="004A7A26" w:rsidRDefault="004A7A26" w:rsidP="008E6DDB">
      <w:pPr>
        <w:pStyle w:val="Normal2"/>
        <w:shd w:val="clear" w:color="auto" w:fill="DEEAF6" w:themeFill="accent5" w:themeFillTint="33"/>
      </w:pPr>
      <w:r>
        <w:t>Overall, the PORPS 2021 complies with the standards it is required to comply with at this time.</w:t>
      </w:r>
    </w:p>
    <w:p w14:paraId="7197A03C" w14:textId="77777777" w:rsidR="004A7A26" w:rsidRDefault="004A7A26" w:rsidP="00CB405E">
      <w:pPr>
        <w:pStyle w:val="Heading2"/>
      </w:pPr>
      <w:bookmarkStart w:id="174" w:name="_Toc52780472"/>
      <w:bookmarkStart w:id="175" w:name="_Toc72507654"/>
      <w:r>
        <w:t>Regulations (including National Environmental Standards)</w:t>
      </w:r>
      <w:bookmarkEnd w:id="174"/>
      <w:bookmarkEnd w:id="175"/>
    </w:p>
    <w:p w14:paraId="60EB0DF6" w14:textId="77777777" w:rsidR="004A7A26" w:rsidRDefault="004A7A26" w:rsidP="00A247C5">
      <w:pPr>
        <w:pStyle w:val="Normal2"/>
      </w:pPr>
      <w:r>
        <w:t>Regional policy statements must be prepared in accordance with any regulations, including any national environmental standards.</w:t>
      </w:r>
      <w:r>
        <w:rPr>
          <w:rStyle w:val="FootnoteReference"/>
        </w:rPr>
        <w:footnoteReference w:id="69"/>
      </w:r>
      <w:r>
        <w:t xml:space="preserve"> Additionally, local authorities must observe national environmental standards. Regulations and national environmental standards contain provisions that are essentially rules, so they are more directly relevant to plans than policy statements, however they do provide guidance to policy statements in terms of the policy direction that can be supported in plans. There are currently seven national environmental standards in force: </w:t>
      </w:r>
    </w:p>
    <w:p w14:paraId="3483936C" w14:textId="77777777" w:rsidR="004A7A26" w:rsidRDefault="004A7A26" w:rsidP="00A247C5">
      <w:pPr>
        <w:pStyle w:val="Normal3"/>
      </w:pPr>
      <w:r>
        <w:t>National Environmental Standards for Freshwater 2020 (NESF</w:t>
      </w:r>
      <w:proofErr w:type="gramStart"/>
      <w:r>
        <w:t>);</w:t>
      </w:r>
      <w:proofErr w:type="gramEnd"/>
    </w:p>
    <w:p w14:paraId="36BB7625" w14:textId="77777777" w:rsidR="004A7A26" w:rsidRDefault="004A7A26" w:rsidP="00A247C5">
      <w:pPr>
        <w:pStyle w:val="Normal3"/>
      </w:pPr>
      <w:r>
        <w:t>National Environmental Standards for Air Quality 2004 (NESAQ</w:t>
      </w:r>
      <w:proofErr w:type="gramStart"/>
      <w:r>
        <w:t>);</w:t>
      </w:r>
      <w:proofErr w:type="gramEnd"/>
      <w:r>
        <w:t xml:space="preserve"> </w:t>
      </w:r>
    </w:p>
    <w:p w14:paraId="50B03019" w14:textId="77777777" w:rsidR="004A7A26" w:rsidRDefault="004A7A26" w:rsidP="00A247C5">
      <w:pPr>
        <w:pStyle w:val="Normal3"/>
      </w:pPr>
      <w:r>
        <w:t>National Environmental Standard for Sources of Human Drinking Water 2007 (NESHDW</w:t>
      </w:r>
      <w:proofErr w:type="gramStart"/>
      <w:r>
        <w:t>);</w:t>
      </w:r>
      <w:proofErr w:type="gramEnd"/>
      <w:r>
        <w:t xml:space="preserve"> </w:t>
      </w:r>
    </w:p>
    <w:p w14:paraId="123213F0" w14:textId="77777777" w:rsidR="004A7A26" w:rsidRDefault="004A7A26" w:rsidP="00A247C5">
      <w:pPr>
        <w:pStyle w:val="Normal3"/>
      </w:pPr>
      <w:r>
        <w:lastRenderedPageBreak/>
        <w:t>National Environmental Standards for Telecommunication Facilities 2008 (NESTF</w:t>
      </w:r>
      <w:proofErr w:type="gramStart"/>
      <w:r>
        <w:t>);</w:t>
      </w:r>
      <w:proofErr w:type="gramEnd"/>
      <w:r>
        <w:t xml:space="preserve"> </w:t>
      </w:r>
    </w:p>
    <w:p w14:paraId="2633A466" w14:textId="77777777" w:rsidR="004A7A26" w:rsidRDefault="004A7A26" w:rsidP="00A247C5">
      <w:pPr>
        <w:pStyle w:val="Normal3"/>
      </w:pPr>
      <w:r>
        <w:t>National Environmental Standard for Electricity Transmission Activities 2009 (NESETA); and</w:t>
      </w:r>
    </w:p>
    <w:p w14:paraId="2636981A" w14:textId="77777777" w:rsidR="004A7A26" w:rsidRDefault="004A7A26" w:rsidP="00A247C5">
      <w:pPr>
        <w:pStyle w:val="Normal3"/>
      </w:pPr>
      <w:r>
        <w:t>National Environmental Standards for Assessing and Managing Contaminants in Soil to Protect Human Health 2011 (NESCS</w:t>
      </w:r>
      <w:proofErr w:type="gramStart"/>
      <w:r>
        <w:t>);</w:t>
      </w:r>
      <w:proofErr w:type="gramEnd"/>
      <w:r>
        <w:t xml:space="preserve"> </w:t>
      </w:r>
    </w:p>
    <w:p w14:paraId="1775D605" w14:textId="77777777" w:rsidR="004A7A26" w:rsidRDefault="004A7A26" w:rsidP="00A247C5">
      <w:pPr>
        <w:pStyle w:val="Normal3"/>
      </w:pPr>
      <w:r>
        <w:t>National Environmental Standards for Plantation Forestry 2017 (NESPF); and</w:t>
      </w:r>
    </w:p>
    <w:p w14:paraId="1EA0369D" w14:textId="77777777" w:rsidR="004A7A26" w:rsidRDefault="004A7A26" w:rsidP="00A247C5">
      <w:pPr>
        <w:pStyle w:val="Normal3"/>
      </w:pPr>
      <w:r>
        <w:t>National Environmental Standards for Marine Aquaculture 2020 (NESMA).</w:t>
      </w:r>
    </w:p>
    <w:p w14:paraId="035BF2BD" w14:textId="77777777" w:rsidR="004A7A26" w:rsidRDefault="004A7A26" w:rsidP="00A247C5">
      <w:pPr>
        <w:pStyle w:val="Normal2"/>
      </w:pPr>
      <w:r>
        <w:t>The Government has recently proposed amendments to existing national environmental standards and new national environmental standards for some matters. Although there is no requirement for regional policy statements to consider these documents, they provide an insight into future policy direction that the regional policy statement may be required to observe. The proposals are:</w:t>
      </w:r>
    </w:p>
    <w:p w14:paraId="797BFDFF" w14:textId="77777777" w:rsidR="004A7A26" w:rsidRDefault="004A7A26" w:rsidP="00A247C5">
      <w:pPr>
        <w:pStyle w:val="Normal3"/>
      </w:pPr>
      <w:r>
        <w:t xml:space="preserve">Proposed amendments to the National Environmental Standards for Air Quality </w:t>
      </w:r>
      <w:proofErr w:type="gramStart"/>
      <w:r>
        <w:t>2004;</w:t>
      </w:r>
      <w:proofErr w:type="gramEnd"/>
    </w:p>
    <w:p w14:paraId="24CC0877" w14:textId="77777777" w:rsidR="004A7A26" w:rsidRDefault="004A7A26" w:rsidP="00A247C5">
      <w:pPr>
        <w:pStyle w:val="Normal3"/>
      </w:pPr>
      <w:r>
        <w:t>Proposed National Environmental Standards for the Outdoor Storage of Tyres; and</w:t>
      </w:r>
    </w:p>
    <w:p w14:paraId="426D7534" w14:textId="77777777" w:rsidR="004A7A26" w:rsidRDefault="004A7A26" w:rsidP="00A247C5">
      <w:pPr>
        <w:pStyle w:val="Normal2"/>
      </w:pPr>
      <w:r>
        <w:t>There are ten regulations in force, however only three are relevant to the PORPS 2021:</w:t>
      </w:r>
    </w:p>
    <w:p w14:paraId="7C3619AA" w14:textId="77777777" w:rsidR="004A7A26" w:rsidRDefault="004A7A26" w:rsidP="00A247C5">
      <w:pPr>
        <w:pStyle w:val="Normal3"/>
      </w:pPr>
      <w:r>
        <w:t xml:space="preserve">Resource Management (Stock Exclusion) Regulations </w:t>
      </w:r>
      <w:proofErr w:type="gramStart"/>
      <w:r>
        <w:t>2020;</w:t>
      </w:r>
      <w:proofErr w:type="gramEnd"/>
    </w:p>
    <w:p w14:paraId="42837D6D" w14:textId="77777777" w:rsidR="004A7A26" w:rsidRDefault="004A7A26" w:rsidP="00A247C5">
      <w:pPr>
        <w:pStyle w:val="Normal3"/>
      </w:pPr>
      <w:r>
        <w:t>Resource Management (Measurement and Reporting of Water Takes) Regulations 2020; and</w:t>
      </w:r>
    </w:p>
    <w:p w14:paraId="496FA360" w14:textId="77777777" w:rsidR="004A7A26" w:rsidRDefault="004A7A26" w:rsidP="00A247C5">
      <w:pPr>
        <w:pStyle w:val="Normal3"/>
      </w:pPr>
      <w:r>
        <w:t>Resource Management (Exemption) Regulations 1996 and 2017.</w:t>
      </w:r>
    </w:p>
    <w:p w14:paraId="5ADB7F7A" w14:textId="77777777" w:rsidR="004A7A26" w:rsidRDefault="004A7A26" w:rsidP="00A247C5">
      <w:pPr>
        <w:pStyle w:val="Normal2"/>
      </w:pPr>
      <w:r>
        <w:t>This section summarises how the PORPS 2021 observes these national environmental standards and regulations.</w:t>
      </w:r>
    </w:p>
    <w:p w14:paraId="31B650D9" w14:textId="77777777" w:rsidR="004A7A26" w:rsidRDefault="004A7A26" w:rsidP="000F043E">
      <w:pPr>
        <w:pStyle w:val="Heading3"/>
        <w:shd w:val="clear" w:color="auto" w:fill="DEEAF6" w:themeFill="accent5" w:themeFillTint="33"/>
      </w:pPr>
      <w:r>
        <w:t>National Environmental Standards for Freshwater 2020 (NESF)</w:t>
      </w:r>
    </w:p>
    <w:p w14:paraId="3A487364" w14:textId="77777777" w:rsidR="004A7A26" w:rsidRDefault="004A7A26" w:rsidP="000F043E">
      <w:pPr>
        <w:pStyle w:val="Normal2"/>
        <w:shd w:val="clear" w:color="auto" w:fill="DEEAF6" w:themeFill="accent5" w:themeFillTint="33"/>
      </w:pPr>
      <w:r>
        <w:t>The NESF sets requirements for carrying out certain activities that pose risks to freshwater and freshwater ecosystems and are designed to:</w:t>
      </w:r>
    </w:p>
    <w:p w14:paraId="087FA603" w14:textId="77777777" w:rsidR="004A7A26" w:rsidRDefault="004A7A26" w:rsidP="000F043E">
      <w:pPr>
        <w:pStyle w:val="Normal3"/>
        <w:shd w:val="clear" w:color="auto" w:fill="DEEAF6" w:themeFill="accent5" w:themeFillTint="33"/>
      </w:pPr>
      <w:r>
        <w:t xml:space="preserve">Protect existing inland and coastal </w:t>
      </w:r>
      <w:proofErr w:type="gramStart"/>
      <w:r>
        <w:t>wetlands;</w:t>
      </w:r>
      <w:proofErr w:type="gramEnd"/>
    </w:p>
    <w:p w14:paraId="24107D09" w14:textId="77777777" w:rsidR="004A7A26" w:rsidRDefault="004A7A26" w:rsidP="000F043E">
      <w:pPr>
        <w:pStyle w:val="Normal3"/>
        <w:shd w:val="clear" w:color="auto" w:fill="DEEAF6" w:themeFill="accent5" w:themeFillTint="33"/>
      </w:pPr>
      <w:r>
        <w:t>Protect urban and rural streams from in-</w:t>
      </w:r>
      <w:proofErr w:type="gramStart"/>
      <w:r>
        <w:t>filling;</w:t>
      </w:r>
      <w:proofErr w:type="gramEnd"/>
    </w:p>
    <w:p w14:paraId="279981BC" w14:textId="77777777" w:rsidR="004A7A26" w:rsidRDefault="004A7A26" w:rsidP="000F043E">
      <w:pPr>
        <w:pStyle w:val="Normal3"/>
        <w:shd w:val="clear" w:color="auto" w:fill="DEEAF6" w:themeFill="accent5" w:themeFillTint="33"/>
      </w:pPr>
      <w:r>
        <w:t>Ensure connectivity of fish habitat (fish passage</w:t>
      </w:r>
      <w:proofErr w:type="gramStart"/>
      <w:r>
        <w:t>);</w:t>
      </w:r>
      <w:proofErr w:type="gramEnd"/>
    </w:p>
    <w:p w14:paraId="4712DD5E" w14:textId="77777777" w:rsidR="004A7A26" w:rsidRDefault="004A7A26" w:rsidP="000F043E">
      <w:pPr>
        <w:pStyle w:val="Normal3"/>
        <w:shd w:val="clear" w:color="auto" w:fill="DEEAF6" w:themeFill="accent5" w:themeFillTint="33"/>
      </w:pPr>
      <w:r>
        <w:t xml:space="preserve">Set minimum requirements for feedlots and other stockholding </w:t>
      </w:r>
      <w:proofErr w:type="gramStart"/>
      <w:r>
        <w:t>areas;</w:t>
      </w:r>
      <w:proofErr w:type="gramEnd"/>
    </w:p>
    <w:p w14:paraId="39C33158" w14:textId="77777777" w:rsidR="004A7A26" w:rsidRDefault="004A7A26" w:rsidP="000F043E">
      <w:pPr>
        <w:pStyle w:val="Normal3"/>
        <w:shd w:val="clear" w:color="auto" w:fill="DEEAF6" w:themeFill="accent5" w:themeFillTint="33"/>
      </w:pPr>
      <w:r>
        <w:t xml:space="preserve">Improve poor practice intensive winter grazing of forage </w:t>
      </w:r>
      <w:proofErr w:type="gramStart"/>
      <w:r>
        <w:t>crops;</w:t>
      </w:r>
      <w:proofErr w:type="gramEnd"/>
    </w:p>
    <w:p w14:paraId="1048E0C7" w14:textId="77777777" w:rsidR="004A7A26" w:rsidRDefault="004A7A26" w:rsidP="000F043E">
      <w:pPr>
        <w:pStyle w:val="Normal3"/>
        <w:shd w:val="clear" w:color="auto" w:fill="DEEAF6" w:themeFill="accent5" w:themeFillTint="33"/>
      </w:pPr>
      <w:r>
        <w:t xml:space="preserve">Restrict further agricultural intensification until the end of </w:t>
      </w:r>
      <w:proofErr w:type="gramStart"/>
      <w:r>
        <w:t>2024;</w:t>
      </w:r>
      <w:proofErr w:type="gramEnd"/>
    </w:p>
    <w:p w14:paraId="56E3E3AB" w14:textId="77777777" w:rsidR="004A7A26" w:rsidRDefault="004A7A26" w:rsidP="000F043E">
      <w:pPr>
        <w:pStyle w:val="Normal3"/>
        <w:shd w:val="clear" w:color="auto" w:fill="DEEAF6" w:themeFill="accent5" w:themeFillTint="33"/>
      </w:pPr>
      <w:r>
        <w:t>Limit the discharge of synthetic nitrogen fertiliser to land and require reporting of fertiliser use.</w:t>
      </w:r>
    </w:p>
    <w:p w14:paraId="7FA20BDB" w14:textId="77777777" w:rsidR="004A7A26" w:rsidRDefault="004A7A26" w:rsidP="000F043E">
      <w:pPr>
        <w:pStyle w:val="Normal2"/>
        <w:shd w:val="clear" w:color="auto" w:fill="DEEAF6" w:themeFill="accent5" w:themeFillTint="33"/>
      </w:pPr>
      <w:r>
        <w:t>These activities are generally managed through a permitted activity framework initially, with thresholds over which resource consent is required. These are most relevant for Otago’s regional plans, however until the new Land and Water Regional Plan is prepared there is likely to be a policy deficient for consenting activities under the NESF. This is because many of the activities managed under the NESF are not currently managed under the Regional Plan: Water for Otago. Where there are deficiencies or gaps in regional plans, decision-makers are required to look to the next document in the hierarchy for policy direction. That will be the PORPS 2021.</w:t>
      </w:r>
    </w:p>
    <w:p w14:paraId="06ADD09D" w14:textId="77777777" w:rsidR="004A7A26" w:rsidRDefault="004A7A26" w:rsidP="000F043E">
      <w:pPr>
        <w:pStyle w:val="Normal2"/>
        <w:shd w:val="clear" w:color="auto" w:fill="DEEAF6" w:themeFill="accent5" w:themeFillTint="33"/>
      </w:pPr>
      <w:r>
        <w:t xml:space="preserve">It would not be appropriate for the PORPS 2021 to contain the type of specific policy direction ordinarily incorporated into regional plans to assist with decision-making on resource consent applications, however the drafting of the Land and Freshwater chapter has recognised that </w:t>
      </w:r>
      <w:r>
        <w:lastRenderedPageBreak/>
        <w:t xml:space="preserve">those provisions will likely be relied on during decision-making in the interim period until the new Land and Water Regional Plan is notified. </w:t>
      </w:r>
    </w:p>
    <w:p w14:paraId="5528DAD8" w14:textId="77777777" w:rsidR="004A7A26" w:rsidRDefault="004A7A26" w:rsidP="0082271A">
      <w:pPr>
        <w:pStyle w:val="Heading3"/>
      </w:pPr>
      <w:r>
        <w:t>National Environmental Standards for Air Quality 2004 (NESAQ)</w:t>
      </w:r>
    </w:p>
    <w:p w14:paraId="1B607912" w14:textId="77777777" w:rsidR="004A7A26" w:rsidRDefault="004A7A26" w:rsidP="00A247C5">
      <w:pPr>
        <w:pStyle w:val="Normal2"/>
      </w:pPr>
      <w:r>
        <w:t xml:space="preserve">The NESAQ aims to set a guaranteed minimum level of health protection for all New Zealanders. The NESAQ came into effect in 2004 and was subject to amendments in 2011. There are 14 separate, but related standards that include: </w:t>
      </w:r>
    </w:p>
    <w:p w14:paraId="5F1170E4" w14:textId="77777777" w:rsidR="004A7A26" w:rsidRDefault="004A7A26" w:rsidP="00A247C5">
      <w:pPr>
        <w:pStyle w:val="Normal3"/>
      </w:pPr>
      <w:r>
        <w:t xml:space="preserve">Standards prohibiting activities that discharge significant quantities of dioxins and other toxins into the </w:t>
      </w:r>
      <w:proofErr w:type="gramStart"/>
      <w:r>
        <w:t>air;</w:t>
      </w:r>
      <w:proofErr w:type="gramEnd"/>
      <w:r>
        <w:t xml:space="preserve"> </w:t>
      </w:r>
    </w:p>
    <w:p w14:paraId="3B24D45D" w14:textId="77777777" w:rsidR="004A7A26" w:rsidRDefault="004A7A26" w:rsidP="00A247C5">
      <w:pPr>
        <w:pStyle w:val="Normal3"/>
      </w:pPr>
      <w:r>
        <w:t xml:space="preserve">Standards for ambient air quality carbon monoxide, nitrogen dioxide, ozone, PM10 and sulphur </w:t>
      </w:r>
      <w:proofErr w:type="gramStart"/>
      <w:r>
        <w:t>dioxide;</w:t>
      </w:r>
      <w:proofErr w:type="gramEnd"/>
      <w:r>
        <w:t xml:space="preserve"> </w:t>
      </w:r>
    </w:p>
    <w:p w14:paraId="0EF3BF17" w14:textId="77777777" w:rsidR="004A7A26" w:rsidRDefault="004A7A26" w:rsidP="00A247C5">
      <w:pPr>
        <w:pStyle w:val="Normal3"/>
      </w:pPr>
      <w:r>
        <w:t>A design standard for new wood burners installed in urban areas; and</w:t>
      </w:r>
    </w:p>
    <w:p w14:paraId="37F69DE3" w14:textId="77777777" w:rsidR="004A7A26" w:rsidRDefault="004A7A26" w:rsidP="00A247C5">
      <w:pPr>
        <w:pStyle w:val="Normal3"/>
      </w:pPr>
      <w:r>
        <w:t xml:space="preserve">A requirement for some landfills to collect greenhouse gas emissions.  </w:t>
      </w:r>
    </w:p>
    <w:p w14:paraId="0B13E0B7" w14:textId="77777777" w:rsidR="004A7A26" w:rsidRPr="009E2A36" w:rsidRDefault="004A7A26" w:rsidP="00A247C5">
      <w:pPr>
        <w:pStyle w:val="Normal2"/>
        <w:rPr>
          <w:rFonts w:ascii="Times New Roman" w:hAnsi="Times New Roman" w:cs="Times New Roman"/>
          <w:sz w:val="24"/>
          <w:szCs w:val="24"/>
          <w:lang w:eastAsia="en-NZ"/>
        </w:rPr>
      </w:pPr>
      <w:r>
        <w:rPr>
          <w:lang w:eastAsia="en-NZ"/>
        </w:rPr>
        <w:t>The PORPS 2021 sets out the framework for future reviews of the Regional Air Plan to assist in ORC’s obligation to both observe and enforce the NESAQ</w:t>
      </w:r>
      <w:r>
        <w:rPr>
          <w:rStyle w:val="FootnoteReference"/>
          <w:lang w:eastAsia="en-NZ"/>
        </w:rPr>
        <w:footnoteReference w:id="70"/>
      </w:r>
      <w:r>
        <w:rPr>
          <w:lang w:eastAsia="en-NZ"/>
        </w:rPr>
        <w:t xml:space="preserve"> and to prepare a regional plan </w:t>
      </w:r>
      <w:r w:rsidRPr="29589E8D">
        <w:rPr>
          <w:i/>
          <w:iCs/>
          <w:lang w:eastAsia="en-NZ"/>
        </w:rPr>
        <w:t>“in accordance with… any regulation”.</w:t>
      </w:r>
      <w:r>
        <w:rPr>
          <w:rStyle w:val="FootnoteReference"/>
          <w:lang w:eastAsia="en-NZ"/>
        </w:rPr>
        <w:footnoteReference w:id="71"/>
      </w:r>
      <w:r>
        <w:rPr>
          <w:lang w:eastAsia="en-NZ"/>
        </w:rPr>
        <w:t xml:space="preserve"> To provide for this and ensure clarity, the NESAQ has informed the drafting of the PORPS 2021. </w:t>
      </w:r>
    </w:p>
    <w:p w14:paraId="14A07864" w14:textId="77777777" w:rsidR="004A7A26" w:rsidRDefault="004A7A26" w:rsidP="000F043E">
      <w:pPr>
        <w:pStyle w:val="Heading3"/>
        <w:shd w:val="clear" w:color="auto" w:fill="DEEAF6" w:themeFill="accent5" w:themeFillTint="33"/>
      </w:pPr>
      <w:r>
        <w:t>National Environmental Standard for Sources of Human Drinking Water 2007 (NESHDW)</w:t>
      </w:r>
    </w:p>
    <w:p w14:paraId="6B3758BC" w14:textId="77777777" w:rsidR="004A7A26" w:rsidRDefault="004A7A26" w:rsidP="000F043E">
      <w:pPr>
        <w:pStyle w:val="Normal2"/>
        <w:shd w:val="clear" w:color="auto" w:fill="DEEAF6" w:themeFill="accent5" w:themeFillTint="33"/>
      </w:pPr>
      <w:r>
        <w:t xml:space="preserve">The NESHDW came into effect on 20 June 2008 and sets requirements for protecting sources of human drinking water from becoming contaminated. The NESHDW requires regional councils to ensure that effects of activities on drinking water sources are considered in decisions on resource consents and regional plans. Specifically, regional councils are required to: </w:t>
      </w:r>
    </w:p>
    <w:p w14:paraId="45541E48" w14:textId="77777777" w:rsidR="004A7A26" w:rsidRDefault="004A7A26" w:rsidP="000F043E">
      <w:pPr>
        <w:pStyle w:val="Normal3"/>
        <w:shd w:val="clear" w:color="auto" w:fill="DEEAF6" w:themeFill="accent5" w:themeFillTint="33"/>
      </w:pPr>
      <w:r>
        <w:t xml:space="preserve">decline discharge or water permits that are likely to result in community drinking water becoming unsafe for human consumption following existing </w:t>
      </w:r>
      <w:proofErr w:type="gramStart"/>
      <w:r>
        <w:t>treatment;</w:t>
      </w:r>
      <w:proofErr w:type="gramEnd"/>
      <w:r>
        <w:t xml:space="preserve"> </w:t>
      </w:r>
    </w:p>
    <w:p w14:paraId="471A7EE8" w14:textId="77777777" w:rsidR="004A7A26" w:rsidRDefault="004A7A26" w:rsidP="000F043E">
      <w:pPr>
        <w:pStyle w:val="Normal3"/>
        <w:shd w:val="clear" w:color="auto" w:fill="DEEAF6" w:themeFill="accent5" w:themeFillTint="33"/>
      </w:pPr>
      <w:r>
        <w:t xml:space="preserve">be satisfied that permitted activities in regional plans will not result in community drinking water supplies being unsafe for human consumption following existing treatment; and </w:t>
      </w:r>
    </w:p>
    <w:p w14:paraId="5E836072" w14:textId="77777777" w:rsidR="004A7A26" w:rsidRDefault="004A7A26" w:rsidP="000F043E">
      <w:pPr>
        <w:pStyle w:val="Normal3"/>
        <w:shd w:val="clear" w:color="auto" w:fill="DEEAF6" w:themeFill="accent5" w:themeFillTint="33"/>
      </w:pPr>
      <w:r>
        <w:t>place conditions on relevant resource consents that require notification of drinking water suppliers if significant unintended events occur (</w:t>
      </w:r>
      <w:proofErr w:type="gramStart"/>
      <w:r>
        <w:t>e.g.</w:t>
      </w:r>
      <w:proofErr w:type="gramEnd"/>
      <w:r>
        <w:t xml:space="preserve"> spills) that may adversely affect sources of human drinking water. </w:t>
      </w:r>
    </w:p>
    <w:p w14:paraId="7117F145" w14:textId="77777777" w:rsidR="004A7A26" w:rsidRDefault="004A7A26" w:rsidP="000F043E">
      <w:pPr>
        <w:pStyle w:val="Normal2"/>
        <w:shd w:val="clear" w:color="auto" w:fill="DEEAF6" w:themeFill="accent5" w:themeFillTint="33"/>
      </w:pPr>
      <w:r>
        <w:t>The specific restrictions in the NESDW are not relevant for the PORPS 2021, however they have informed the drafting of provisions relating to drinking water.</w:t>
      </w:r>
    </w:p>
    <w:p w14:paraId="3E8FC792" w14:textId="77777777" w:rsidR="004A7A26" w:rsidRDefault="004A7A26" w:rsidP="0082271A">
      <w:pPr>
        <w:pStyle w:val="Heading3"/>
      </w:pPr>
      <w:r>
        <w:t>National Environmental Standards for Telecommunications Facilities 2016 (NESTF)</w:t>
      </w:r>
    </w:p>
    <w:p w14:paraId="2CE80E46" w14:textId="77777777" w:rsidR="004A7A26" w:rsidRDefault="004A7A26" w:rsidP="00A247C5">
      <w:pPr>
        <w:pStyle w:val="Normal2"/>
      </w:pPr>
      <w:r>
        <w:t>The NESTF provides rules for telecommunications infrastructure, covering the following activities:</w:t>
      </w:r>
    </w:p>
    <w:p w14:paraId="5D784BED" w14:textId="77777777" w:rsidR="004A7A26" w:rsidRDefault="004A7A26" w:rsidP="00A247C5">
      <w:pPr>
        <w:pStyle w:val="Normal3"/>
      </w:pPr>
      <w:r>
        <w:t xml:space="preserve">cabinets in the road reserve, outside the road reserve and on buildings antennas on existing poles in the road </w:t>
      </w:r>
      <w:proofErr w:type="gramStart"/>
      <w:r>
        <w:t>reserve;</w:t>
      </w:r>
      <w:proofErr w:type="gramEnd"/>
    </w:p>
    <w:p w14:paraId="6B059B49" w14:textId="77777777" w:rsidR="004A7A26" w:rsidRDefault="004A7A26" w:rsidP="00A247C5">
      <w:pPr>
        <w:pStyle w:val="Normal3"/>
      </w:pPr>
      <w:r>
        <w:lastRenderedPageBreak/>
        <w:t xml:space="preserve">antennas on new poles in the road </w:t>
      </w:r>
      <w:proofErr w:type="gramStart"/>
      <w:r>
        <w:t>reserve;</w:t>
      </w:r>
      <w:proofErr w:type="gramEnd"/>
    </w:p>
    <w:p w14:paraId="512337B4" w14:textId="77777777" w:rsidR="004A7A26" w:rsidRDefault="004A7A26" w:rsidP="00A247C5">
      <w:pPr>
        <w:pStyle w:val="Normal3"/>
      </w:pPr>
      <w:r>
        <w:t>replacement, upgrading and co-location of existing poles and antennas outside road reserve (with different conditions in residential and non-residential areas</w:t>
      </w:r>
      <w:proofErr w:type="gramStart"/>
      <w:r>
        <w:t>);</w:t>
      </w:r>
      <w:proofErr w:type="gramEnd"/>
    </w:p>
    <w:p w14:paraId="4F1CDBB7" w14:textId="77777777" w:rsidR="004A7A26" w:rsidRDefault="004A7A26" w:rsidP="00A247C5">
      <w:pPr>
        <w:pStyle w:val="Normal3"/>
      </w:pPr>
      <w:r>
        <w:t xml:space="preserve">new poles and antennas in rural </w:t>
      </w:r>
      <w:proofErr w:type="gramStart"/>
      <w:r>
        <w:t>areas;</w:t>
      </w:r>
      <w:proofErr w:type="gramEnd"/>
    </w:p>
    <w:p w14:paraId="2125E7D4" w14:textId="77777777" w:rsidR="004A7A26" w:rsidRDefault="004A7A26" w:rsidP="00A247C5">
      <w:pPr>
        <w:pStyle w:val="Normal3"/>
      </w:pPr>
      <w:r>
        <w:t>antennas on buildings (above a permitted height in residential areas</w:t>
      </w:r>
      <w:proofErr w:type="gramStart"/>
      <w:r>
        <w:t>);</w:t>
      </w:r>
      <w:proofErr w:type="gramEnd"/>
    </w:p>
    <w:p w14:paraId="463B7C84" w14:textId="77777777" w:rsidR="004A7A26" w:rsidRDefault="004A7A26" w:rsidP="00A247C5">
      <w:pPr>
        <w:pStyle w:val="Normal3"/>
      </w:pPr>
      <w:r>
        <w:t xml:space="preserve">small-cell units on existing </w:t>
      </w:r>
      <w:proofErr w:type="gramStart"/>
      <w:r>
        <w:t>structures;</w:t>
      </w:r>
      <w:proofErr w:type="gramEnd"/>
    </w:p>
    <w:p w14:paraId="7324BF3F" w14:textId="77777777" w:rsidR="004A7A26" w:rsidRDefault="004A7A26" w:rsidP="00A247C5">
      <w:pPr>
        <w:pStyle w:val="Normal3"/>
      </w:pPr>
      <w:r>
        <w:t>telecommunications lines (underground, on the ground and overhead).</w:t>
      </w:r>
    </w:p>
    <w:p w14:paraId="63C9D848" w14:textId="77777777" w:rsidR="004A7A26" w:rsidRDefault="004A7A26" w:rsidP="00A247C5">
      <w:pPr>
        <w:pStyle w:val="Normal2"/>
      </w:pPr>
      <w:r>
        <w:t>These are primarily managed through district plans and are therefore not directly relevant to the PORPS 2021, however the NESTF has informed the drafting of provisions relating to telecommunications facilities.</w:t>
      </w:r>
    </w:p>
    <w:p w14:paraId="517B40DC" w14:textId="77777777" w:rsidR="004A7A26" w:rsidRDefault="004A7A26" w:rsidP="0082271A">
      <w:pPr>
        <w:pStyle w:val="Heading3"/>
      </w:pPr>
      <w:r>
        <w:t>National Environmental Standard for Electricity Transmission Activities 2009 (NESETA)</w:t>
      </w:r>
    </w:p>
    <w:p w14:paraId="007417AF" w14:textId="77777777" w:rsidR="004A7A26" w:rsidRDefault="004A7A26" w:rsidP="00A247C5">
      <w:pPr>
        <w:pStyle w:val="Normal2"/>
      </w:pPr>
      <w:r>
        <w:t>The NESETA applies to high voltage electricity transmission lines and covers activities related to the operation, maintenance and upgrading of existing lines, but does not apply to the construction of new lines or to substations. The restrictions primarily apply to district plans so are not directly relevant to the PORPS 2021, however they have informed the drafting of provisions relating to electricity transmission.</w:t>
      </w:r>
    </w:p>
    <w:p w14:paraId="00BD4D4D" w14:textId="77777777" w:rsidR="004A7A26" w:rsidRDefault="004A7A26" w:rsidP="0082271A">
      <w:pPr>
        <w:pStyle w:val="Heading3"/>
      </w:pPr>
      <w:r>
        <w:t>National Environmental Standards for Assessing and Managing Contaminants in Soil to Protect Human Health 2011 (NESCS)</w:t>
      </w:r>
    </w:p>
    <w:p w14:paraId="794B2357" w14:textId="77777777" w:rsidR="004A7A26" w:rsidRDefault="004A7A26" w:rsidP="00A247C5">
      <w:pPr>
        <w:pStyle w:val="Normal2"/>
      </w:pPr>
      <w:r>
        <w:t>The NESCS manages land affected by contaminants in soil by setting out how that land is to be identified and assessed before it is developed, including (if necessary) remediation. Territorial authorities are responsible for implementing the majority of the NESCS, with regional councils responsible for investigating land for the purpose of identifying and monitoring contaminated land. The NESCS has informed the drafting of PORPS 2021 provisions relating to contaminated land.</w:t>
      </w:r>
    </w:p>
    <w:p w14:paraId="5297B7ED" w14:textId="77777777" w:rsidR="004A7A26" w:rsidRDefault="004A7A26" w:rsidP="0082271A">
      <w:pPr>
        <w:pStyle w:val="Heading3"/>
      </w:pPr>
      <w:r>
        <w:t>National Environmental Standards for Plantation Forestry 2017 (NESPF)</w:t>
      </w:r>
    </w:p>
    <w:p w14:paraId="2177DF3C" w14:textId="77777777" w:rsidR="004A7A26" w:rsidRDefault="004A7A26" w:rsidP="00A247C5">
      <w:pPr>
        <w:pStyle w:val="Normal2"/>
      </w:pPr>
      <w:r>
        <w:t xml:space="preserve">The objectives of the NESPF are to: </w:t>
      </w:r>
    </w:p>
    <w:p w14:paraId="0EBBB600" w14:textId="77777777" w:rsidR="004A7A26" w:rsidRDefault="004A7A26" w:rsidP="00A247C5">
      <w:pPr>
        <w:pStyle w:val="Normal3"/>
      </w:pPr>
      <w:r>
        <w:t xml:space="preserve">maintain or improve environmental outcomes associated with plantation forestry activities nationally; and </w:t>
      </w:r>
    </w:p>
    <w:p w14:paraId="5241D020" w14:textId="77777777" w:rsidR="004A7A26" w:rsidRDefault="004A7A26" w:rsidP="00A247C5">
      <w:pPr>
        <w:pStyle w:val="Normal3"/>
      </w:pPr>
      <w:r>
        <w:t xml:space="preserve">increase certainty and efficiency in the management of plantation forestry activities. </w:t>
      </w:r>
    </w:p>
    <w:p w14:paraId="41DA4952" w14:textId="77777777" w:rsidR="004A7A26" w:rsidRDefault="004A7A26" w:rsidP="00A247C5">
      <w:pPr>
        <w:pStyle w:val="Normal2"/>
      </w:pPr>
      <w:r>
        <w:t xml:space="preserve">The regulations apply to any forest larger than one hectare that has been planted specifically for harvesting. Eight core plantation forestry activities are covered by the standards: afforestation; pruning and thinning to waste; earthworks; river crossings; forestry quarrying; harvesting mechanical land preparation and replanting. The regulations generally prevail over regional and district plan provisions that apply to plantation forestry. Plan rules cannot be more lenient than the regulations and can only be more stringent where they relate to managing the unique and sensitive environments defined in the NESPF. </w:t>
      </w:r>
    </w:p>
    <w:p w14:paraId="6E3BA5A1" w14:textId="66FC20B7" w:rsidR="004A7A26" w:rsidRDefault="004A7A26" w:rsidP="00A247C5">
      <w:pPr>
        <w:pStyle w:val="Normal2"/>
      </w:pPr>
      <w:r>
        <w:t xml:space="preserve">The restrictions in the NESPF are most relevant to regional and district plans, however the management regime set up in the NESPF informs the type of direction the PORPS 2021 can contain. Wilding </w:t>
      </w:r>
      <w:r w:rsidR="00692D4E">
        <w:t>conifers</w:t>
      </w:r>
      <w:r>
        <w:t xml:space="preserve"> are a particular issue in Otago and there have been many suggestions about their control through consultation on the PORPS 2021. The NESPF allows rules in plans to be more stringent than the NESPF where they recognise and provide for the protection of </w:t>
      </w:r>
      <w:r>
        <w:lastRenderedPageBreak/>
        <w:t>outstanding natural features or landscapes from inappropriate use and development or significant natural areas. Accordingly, in response to considerable community feedback on the issue, Policies ECO–P</w:t>
      </w:r>
      <w:r w:rsidR="00692D4E">
        <w:t>9</w:t>
      </w:r>
      <w:r>
        <w:t xml:space="preserve"> and NFL–P6 require a prohibition on afforestation of species prone to wilding spread within areas identified as outstanding natural features, outstanding natural </w:t>
      </w:r>
      <w:proofErr w:type="gramStart"/>
      <w:r>
        <w:t>landscapes</w:t>
      </w:r>
      <w:proofErr w:type="gramEnd"/>
      <w:r>
        <w:t xml:space="preserve"> or significant natural areas. </w:t>
      </w:r>
    </w:p>
    <w:p w14:paraId="717FEC03" w14:textId="32B4BC0A" w:rsidR="00692D4E" w:rsidRDefault="00692D4E" w:rsidP="00A247C5">
      <w:pPr>
        <w:pStyle w:val="Normal2"/>
      </w:pPr>
      <w:r>
        <w:t xml:space="preserve">Reference Group (Ecosystems and </w:t>
      </w:r>
      <w:r w:rsidR="002F3EA2">
        <w:t xml:space="preserve">Indigenous </w:t>
      </w:r>
      <w:r>
        <w:t xml:space="preserve">Biodiversity) </w:t>
      </w:r>
      <w:r w:rsidR="002F3EA2">
        <w:t xml:space="preserve">members expressed a strong preference to extend this prohibition into buffer zones along the edges of significant natural areas, on the basis that allowing wilding conifers to establish immediately alongside a significant natural area would still result in conifer spread into the significant natural area. The ORC sought legal advice on this proposal which confirmed that prohibiting planting in buffer zones would recognise and provide for the protection of significant natural areas and therefore be consistent with regulation 6 of the NESPF. </w:t>
      </w:r>
    </w:p>
    <w:p w14:paraId="284944CF" w14:textId="77777777" w:rsidR="004A7A26" w:rsidRDefault="004A7A26" w:rsidP="0082271A">
      <w:pPr>
        <w:pStyle w:val="Heading3"/>
      </w:pPr>
      <w:r>
        <w:t>National Environmental Standards for Marine Aquaculture 2020 (NESMA)</w:t>
      </w:r>
    </w:p>
    <w:p w14:paraId="1DE18661" w14:textId="7B24B33E" w:rsidR="004A7A26" w:rsidRDefault="004A7A26" w:rsidP="00A247C5">
      <w:pPr>
        <w:pStyle w:val="Normal2"/>
      </w:pPr>
      <w:r>
        <w:t>The NESMA was released in July 2020 and c</w:t>
      </w:r>
      <w:r w:rsidR="00431A92">
        <w:t>ame</w:t>
      </w:r>
      <w:r>
        <w:t xml:space="preserve"> into force on 1 December 2020. Its primary purpose is to provide a consistent framework for re-consenting existing marine farms across New Zealand, </w:t>
      </w:r>
      <w:proofErr w:type="gramStart"/>
      <w:r>
        <w:t>a large number of</w:t>
      </w:r>
      <w:proofErr w:type="gramEnd"/>
      <w:r>
        <w:t xml:space="preserve"> which have resource consents expiring over the next five years. Its content is relevant primarily for the regional coastal </w:t>
      </w:r>
      <w:proofErr w:type="gramStart"/>
      <w:r>
        <w:t>plan,</w:t>
      </w:r>
      <w:proofErr w:type="gramEnd"/>
      <w:r>
        <w:t xml:space="preserve"> however the NESMA has been considered when drafting PORPS 2021 provisions for aquaculture. </w:t>
      </w:r>
    </w:p>
    <w:p w14:paraId="6FECF9A9" w14:textId="77777777" w:rsidR="004A7A26" w:rsidRDefault="004A7A26" w:rsidP="0082271A">
      <w:pPr>
        <w:pStyle w:val="Heading3"/>
      </w:pPr>
      <w:r>
        <w:t>Proposed amendments to the NESAQ</w:t>
      </w:r>
    </w:p>
    <w:p w14:paraId="7132B659" w14:textId="77777777" w:rsidR="004A7A26" w:rsidRPr="009E2A36" w:rsidRDefault="004A7A26" w:rsidP="00A247C5">
      <w:pPr>
        <w:pStyle w:val="Normal2"/>
        <w:rPr>
          <w:i/>
          <w:iCs/>
        </w:rPr>
      </w:pPr>
      <w:r>
        <w:t>During 2020, the Government consulted on the following proposed amendments to the NESAQ:</w:t>
      </w:r>
    </w:p>
    <w:p w14:paraId="418A76C8" w14:textId="77777777" w:rsidR="004A7A26" w:rsidRDefault="004A7A26" w:rsidP="00A247C5">
      <w:pPr>
        <w:pStyle w:val="Normal3"/>
      </w:pPr>
      <w:r>
        <w:t>Amendments for ambient particulate matter (including for PM10 and PM2.5) and solid-fuel burner design in the current NESAQ; and</w:t>
      </w:r>
    </w:p>
    <w:p w14:paraId="77FBB9A2" w14:textId="77777777" w:rsidR="004A7A26" w:rsidRDefault="004A7A26" w:rsidP="00A247C5">
      <w:pPr>
        <w:pStyle w:val="Normal3"/>
      </w:pPr>
      <w:r>
        <w:t>New standards for mercury emissions to air.</w:t>
      </w:r>
    </w:p>
    <w:p w14:paraId="0F0D7A09" w14:textId="56E5C701" w:rsidR="004A7A26" w:rsidRPr="009E2A36" w:rsidRDefault="004A7A26" w:rsidP="00A247C5">
      <w:pPr>
        <w:pStyle w:val="Normal2"/>
        <w:rPr>
          <w:i/>
          <w:iCs/>
        </w:rPr>
      </w:pPr>
      <w:r>
        <w:t>A key aspect of the proposed amendments is the use of PM</w:t>
      </w:r>
      <w:r w:rsidRPr="009E2A36">
        <w:rPr>
          <w:vertAlign w:val="subscript"/>
        </w:rPr>
        <w:t>2.5</w:t>
      </w:r>
      <w:r>
        <w:t xml:space="preserve"> as a primary regulatory tool. As a result of this amendment, there will be a higher number of exceedances of the NESAQ ambient air quality standards in the Otago Region than currently</w:t>
      </w:r>
      <w:r w:rsidR="002F3EA2">
        <w:t xml:space="preserve"> (see </w:t>
      </w:r>
      <w:r w:rsidR="00DF6F2A">
        <w:t xml:space="preserve">technical report attached as </w:t>
      </w:r>
      <w:r w:rsidR="002F3EA2">
        <w:t>Appendix 10)</w:t>
      </w:r>
      <w:r>
        <w:t xml:space="preserve">. </w:t>
      </w:r>
    </w:p>
    <w:p w14:paraId="130F5A41" w14:textId="77777777" w:rsidR="004A7A26" w:rsidRDefault="004A7A26" w:rsidP="0082271A">
      <w:pPr>
        <w:pStyle w:val="Heading3"/>
      </w:pPr>
      <w:r>
        <w:t>Proposed National Environmental Standards for the Outdoor Storage of Tyres</w:t>
      </w:r>
    </w:p>
    <w:p w14:paraId="4F061ED1" w14:textId="77777777" w:rsidR="004A7A26" w:rsidRPr="009E2A36" w:rsidRDefault="004A7A26" w:rsidP="00A247C5">
      <w:pPr>
        <w:pStyle w:val="Normal2"/>
        <w:rPr>
          <w:i/>
          <w:iCs/>
        </w:rPr>
      </w:pPr>
      <w:r>
        <w:t>During 2020, the Government consulted on a proposed National Environmental Standard for the Outdoor Storage of Tyres and</w:t>
      </w:r>
      <w:proofErr w:type="gramStart"/>
      <w:r>
        <w:t>, in particular, sought</w:t>
      </w:r>
      <w:proofErr w:type="gramEnd"/>
      <w:r>
        <w:t xml:space="preserve"> feedback on:</w:t>
      </w:r>
    </w:p>
    <w:p w14:paraId="38D92266" w14:textId="77777777" w:rsidR="004A7A26" w:rsidRDefault="004A7A26" w:rsidP="00A247C5">
      <w:pPr>
        <w:pStyle w:val="Normal3"/>
      </w:pPr>
      <w:r>
        <w:t xml:space="preserve">Regional councils taking responsibility for administering the </w:t>
      </w:r>
      <w:proofErr w:type="gramStart"/>
      <w:r>
        <w:t>NES;</w:t>
      </w:r>
      <w:proofErr w:type="gramEnd"/>
    </w:p>
    <w:p w14:paraId="7D098129" w14:textId="77777777" w:rsidR="004A7A26" w:rsidRDefault="004A7A26" w:rsidP="00A247C5">
      <w:pPr>
        <w:pStyle w:val="Normal3"/>
      </w:pPr>
      <w:r>
        <w:t xml:space="preserve">Thresholds for resource </w:t>
      </w:r>
      <w:proofErr w:type="gramStart"/>
      <w:r>
        <w:t>consent;</w:t>
      </w:r>
      <w:proofErr w:type="gramEnd"/>
    </w:p>
    <w:p w14:paraId="70AD077D" w14:textId="77777777" w:rsidR="004A7A26" w:rsidRDefault="004A7A26" w:rsidP="00A247C5">
      <w:pPr>
        <w:pStyle w:val="Normal3"/>
      </w:pPr>
      <w:r>
        <w:t>Permitted activity rules and conditions.</w:t>
      </w:r>
    </w:p>
    <w:p w14:paraId="39054185" w14:textId="77777777" w:rsidR="004A7A26" w:rsidRDefault="004A7A26" w:rsidP="00A247C5">
      <w:pPr>
        <w:pStyle w:val="Normal2"/>
      </w:pPr>
      <w:r>
        <w:t>This NES will predominantly apply to regional plans and does not require any direction from the PORPS 2021.</w:t>
      </w:r>
    </w:p>
    <w:p w14:paraId="19AF4F94" w14:textId="77777777" w:rsidR="004A7A26" w:rsidRDefault="004A7A26" w:rsidP="000F043E">
      <w:pPr>
        <w:pStyle w:val="Heading3"/>
        <w:shd w:val="clear" w:color="auto" w:fill="DEEAF6" w:themeFill="accent5" w:themeFillTint="33"/>
      </w:pPr>
      <w:r>
        <w:t>Resource Management (Stock Exclusion) Regulations 2020</w:t>
      </w:r>
    </w:p>
    <w:p w14:paraId="758CA672" w14:textId="77777777" w:rsidR="004A7A26" w:rsidRPr="009E2A36" w:rsidRDefault="004A7A26" w:rsidP="000F043E">
      <w:pPr>
        <w:pStyle w:val="Normal2"/>
        <w:shd w:val="clear" w:color="auto" w:fill="DEEAF6" w:themeFill="accent5" w:themeFillTint="33"/>
        <w:rPr>
          <w:i/>
          <w:iCs/>
        </w:rPr>
      </w:pPr>
      <w:r>
        <w:t xml:space="preserve">These regulations require people who own or control cattle, </w:t>
      </w:r>
      <w:proofErr w:type="gramStart"/>
      <w:r>
        <w:t>deer</w:t>
      </w:r>
      <w:proofErr w:type="gramEnd"/>
      <w:r>
        <w:t xml:space="preserve"> or pigs to exclude them from specified wetlands, lakes and rivers. There are different requirements for different stock types </w:t>
      </w:r>
      <w:r>
        <w:lastRenderedPageBreak/>
        <w:t xml:space="preserve">and, in some cases, different types of terrain. Their content controls activities that would ordinarily be controlled through a regional </w:t>
      </w:r>
      <w:proofErr w:type="gramStart"/>
      <w:r>
        <w:t>plan</w:t>
      </w:r>
      <w:proofErr w:type="gramEnd"/>
      <w:r>
        <w:t xml:space="preserve"> so they are not directly relevant to the PORPS 2021, however the general intent has been recognised through drafting. </w:t>
      </w:r>
    </w:p>
    <w:p w14:paraId="2FDA60C5" w14:textId="77777777" w:rsidR="004A7A26" w:rsidRDefault="004A7A26" w:rsidP="000F043E">
      <w:pPr>
        <w:pStyle w:val="Heading3"/>
        <w:shd w:val="clear" w:color="auto" w:fill="DEEAF6" w:themeFill="accent5" w:themeFillTint="33"/>
        <w:rPr>
          <w:i/>
          <w:iCs/>
        </w:rPr>
      </w:pPr>
      <w:r>
        <w:t>Resource Management (Measurement and Reporting of Water Takes) Regulations 2010</w:t>
      </w:r>
    </w:p>
    <w:p w14:paraId="67BF3B0F" w14:textId="77777777" w:rsidR="004A7A26" w:rsidRDefault="004A7A26" w:rsidP="000F043E">
      <w:pPr>
        <w:pStyle w:val="Normal2"/>
        <w:shd w:val="clear" w:color="auto" w:fill="DEEAF6" w:themeFill="accent5" w:themeFillTint="33"/>
      </w:pPr>
      <w:r>
        <w:t xml:space="preserve">These regulations were introduced to ensure consistent measuring and reporting of actual water taken (over five litres per second) at national, regional and catchment levels. They have recently been reviewed as part of the Government’s </w:t>
      </w:r>
      <w:r w:rsidRPr="29589E8D">
        <w:rPr>
          <w:i/>
          <w:iCs/>
        </w:rPr>
        <w:t>Action for Healthy Waterways</w:t>
      </w:r>
      <w:r>
        <w:t xml:space="preserve"> programme and are expected to be amended to require real-time reporting of water use to councils. Their content is not directly relevant to the PORPS 2021 as it concerns water permits, which are managed through regional plans.</w:t>
      </w:r>
    </w:p>
    <w:p w14:paraId="2E4991F5" w14:textId="77777777" w:rsidR="004A7A26" w:rsidRDefault="004A7A26" w:rsidP="000F043E">
      <w:pPr>
        <w:pStyle w:val="Heading3"/>
        <w:shd w:val="clear" w:color="auto" w:fill="DEEAF6" w:themeFill="accent5" w:themeFillTint="33"/>
      </w:pPr>
      <w:r>
        <w:t>Resource Management (Exemption) Regulations 1996 and 2017</w:t>
      </w:r>
    </w:p>
    <w:p w14:paraId="57711FDF" w14:textId="77777777" w:rsidR="004A7A26" w:rsidRPr="009E2A36" w:rsidRDefault="004A7A26" w:rsidP="000F043E">
      <w:pPr>
        <w:pStyle w:val="Normal2"/>
        <w:shd w:val="clear" w:color="auto" w:fill="DEEAF6" w:themeFill="accent5" w:themeFillTint="33"/>
        <w:rPr>
          <w:i/>
          <w:iCs/>
        </w:rPr>
      </w:pPr>
      <w:r>
        <w:t>These regulations exempt the discharge of the following substances from being managed under section 15 of the RMA and sets up an alternative management framework:</w:t>
      </w:r>
    </w:p>
    <w:p w14:paraId="29E08CDF" w14:textId="77777777" w:rsidR="004A7A26" w:rsidRDefault="004A7A26" w:rsidP="000F043E">
      <w:pPr>
        <w:pStyle w:val="Normal3"/>
        <w:shd w:val="clear" w:color="auto" w:fill="DEEAF6" w:themeFill="accent5" w:themeFillTint="33"/>
      </w:pPr>
      <w:r>
        <w:t xml:space="preserve">Biological insecticide containing Bacillus thuringiensis var. </w:t>
      </w:r>
      <w:proofErr w:type="spellStart"/>
      <w:proofErr w:type="gramStart"/>
      <w:r>
        <w:t>kurstaki</w:t>
      </w:r>
      <w:proofErr w:type="spellEnd"/>
      <w:r>
        <w:t>;</w:t>
      </w:r>
      <w:proofErr w:type="gramEnd"/>
    </w:p>
    <w:p w14:paraId="26891F34" w14:textId="77777777" w:rsidR="004A7A26" w:rsidRDefault="004A7A26" w:rsidP="000F043E">
      <w:pPr>
        <w:pStyle w:val="Normal3"/>
        <w:shd w:val="clear" w:color="auto" w:fill="DEEAF6" w:themeFill="accent5" w:themeFillTint="33"/>
      </w:pPr>
      <w:proofErr w:type="gramStart"/>
      <w:r>
        <w:t>Brodifacoum;</w:t>
      </w:r>
      <w:proofErr w:type="gramEnd"/>
    </w:p>
    <w:p w14:paraId="757EDFB6" w14:textId="77777777" w:rsidR="004A7A26" w:rsidRDefault="004A7A26" w:rsidP="000F043E">
      <w:pPr>
        <w:pStyle w:val="Normal3"/>
        <w:shd w:val="clear" w:color="auto" w:fill="DEEAF6" w:themeFill="accent5" w:themeFillTint="33"/>
      </w:pPr>
      <w:proofErr w:type="gramStart"/>
      <w:r>
        <w:t>Rotenone;</w:t>
      </w:r>
      <w:proofErr w:type="gramEnd"/>
    </w:p>
    <w:p w14:paraId="1F593072" w14:textId="77777777" w:rsidR="004A7A26" w:rsidRDefault="004A7A26" w:rsidP="000F043E">
      <w:pPr>
        <w:pStyle w:val="Normal3"/>
        <w:shd w:val="clear" w:color="auto" w:fill="DEEAF6" w:themeFill="accent5" w:themeFillTint="33"/>
      </w:pPr>
      <w:r>
        <w:t xml:space="preserve">Sodium </w:t>
      </w:r>
      <w:proofErr w:type="gramStart"/>
      <w:r>
        <w:t>fluoroacetate;</w:t>
      </w:r>
      <w:proofErr w:type="gramEnd"/>
    </w:p>
    <w:p w14:paraId="3BA44B79" w14:textId="77777777" w:rsidR="004A7A26" w:rsidRDefault="004A7A26" w:rsidP="000F043E">
      <w:pPr>
        <w:pStyle w:val="Normal3"/>
        <w:shd w:val="clear" w:color="auto" w:fill="DEEAF6" w:themeFill="accent5" w:themeFillTint="33"/>
      </w:pPr>
      <w:r>
        <w:t>Pre-feed; and</w:t>
      </w:r>
    </w:p>
    <w:p w14:paraId="28F0346E" w14:textId="77777777" w:rsidR="004A7A26" w:rsidRDefault="004A7A26" w:rsidP="000F043E">
      <w:pPr>
        <w:pStyle w:val="Normal3"/>
        <w:shd w:val="clear" w:color="auto" w:fill="DEEAF6" w:themeFill="accent5" w:themeFillTint="33"/>
      </w:pPr>
      <w:proofErr w:type="spellStart"/>
      <w:r>
        <w:t>Repellant</w:t>
      </w:r>
      <w:proofErr w:type="spellEnd"/>
      <w:r>
        <w:t>.</w:t>
      </w:r>
    </w:p>
    <w:p w14:paraId="221820C7" w14:textId="77777777" w:rsidR="004A7A26" w:rsidRDefault="004A7A26" w:rsidP="000F043E">
      <w:pPr>
        <w:pStyle w:val="Normal2"/>
        <w:shd w:val="clear" w:color="auto" w:fill="DEEAF6" w:themeFill="accent5" w:themeFillTint="33"/>
      </w:pPr>
      <w:r>
        <w:t>Their content is not directly relevant to the PORPS 2021 as it concerns discharges, which are managed through regional plans.</w:t>
      </w:r>
    </w:p>
    <w:p w14:paraId="12AE2A58" w14:textId="77777777" w:rsidR="004A7A26" w:rsidRDefault="004A7A26" w:rsidP="000F043E">
      <w:pPr>
        <w:pStyle w:val="Heading2"/>
        <w:shd w:val="clear" w:color="auto" w:fill="DEEAF6" w:themeFill="accent5" w:themeFillTint="33"/>
      </w:pPr>
      <w:bookmarkStart w:id="176" w:name="_Toc52780473"/>
      <w:bookmarkStart w:id="177" w:name="_Toc72507655"/>
      <w:r>
        <w:t>Water Conservation (Kawarau) Order 1997 (Kawarau WCO)</w:t>
      </w:r>
      <w:bookmarkEnd w:id="176"/>
      <w:bookmarkEnd w:id="177"/>
    </w:p>
    <w:p w14:paraId="3E9B205A" w14:textId="77777777" w:rsidR="004A7A26" w:rsidRDefault="004A7A26" w:rsidP="000F043E">
      <w:pPr>
        <w:pStyle w:val="Normal2"/>
        <w:shd w:val="clear" w:color="auto" w:fill="DEEAF6" w:themeFill="accent5" w:themeFillTint="33"/>
      </w:pPr>
      <w:r>
        <w:t>Regional policy statements must not be inconsistent with water conservation orders.</w:t>
      </w:r>
      <w:r>
        <w:rPr>
          <w:rStyle w:val="FootnoteReference"/>
        </w:rPr>
        <w:footnoteReference w:id="72"/>
      </w:r>
      <w:r>
        <w:t xml:space="preserve"> There is one relevant Water Conservation Order in Otago for the Kawarau River and its tributaries. The Kawarau WCO lists water bodies and their outstanding values that are to be preserved in their natural state in Schedule 1. The Order also lists waterbodies that are no longer in their natural state but still contain some values considered to be outstanding which must be protected. The Order places restrictions on the exercise of ORC’s functions under the RMA in relation to these water bodies, </w:t>
      </w:r>
      <w:proofErr w:type="gramStart"/>
      <w:r>
        <w:t>in order to</w:t>
      </w:r>
      <w:proofErr w:type="gramEnd"/>
      <w:r>
        <w:t xml:space="preserve"> preserve them in their natural state or protect their outstanding values, which mostly relate to consenting.</w:t>
      </w:r>
    </w:p>
    <w:p w14:paraId="6034E0E1" w14:textId="03DF76FB" w:rsidR="004A7A26" w:rsidRDefault="004A7A26" w:rsidP="000F043E">
      <w:pPr>
        <w:pStyle w:val="Normal2"/>
        <w:shd w:val="clear" w:color="auto" w:fill="DEEAF6" w:themeFill="accent5" w:themeFillTint="33"/>
      </w:pPr>
      <w:r>
        <w:t>While the specific restrictions in the Kawarau WCO are more relevant for regional plans, the provisions in the PORPS 2021 have been drafted in consideration of the protections afforded to these water bodies and the restrictions implemented through the subsequent regional plans.</w:t>
      </w:r>
      <w:r w:rsidR="002F3EA2">
        <w:t xml:space="preserve"> Policy LF–FW–P11 recognises the Kawarau River and its tributaries as escribed in the WCO as outstanding water bodies </w:t>
      </w:r>
      <w:r w:rsidR="00F44ACB">
        <w:t xml:space="preserve">due to the WCO and the matters it protects, </w:t>
      </w:r>
      <w:r w:rsidR="002F3EA2">
        <w:t xml:space="preserve">and Policy LF–FW–P13 </w:t>
      </w:r>
      <w:r w:rsidR="008464DB">
        <w:t>requires recognising and implementing the restrictions in the WCO to preserve the natural character of the water bodies.</w:t>
      </w:r>
    </w:p>
    <w:p w14:paraId="67A3FCD0" w14:textId="77777777" w:rsidR="004A7A26" w:rsidRDefault="004A7A26" w:rsidP="000F043E">
      <w:pPr>
        <w:pStyle w:val="Heading2"/>
        <w:shd w:val="clear" w:color="auto" w:fill="DEEAF6" w:themeFill="accent5" w:themeFillTint="33"/>
      </w:pPr>
      <w:bookmarkStart w:id="178" w:name="_Toc52780474"/>
      <w:bookmarkStart w:id="179" w:name="_Toc72507656"/>
      <w:r>
        <w:lastRenderedPageBreak/>
        <w:t>Lake Wanaka Preservation Act 1973</w:t>
      </w:r>
      <w:bookmarkEnd w:id="178"/>
      <w:bookmarkEnd w:id="179"/>
    </w:p>
    <w:p w14:paraId="1926B90B" w14:textId="77777777" w:rsidR="004A7A26" w:rsidRDefault="004A7A26" w:rsidP="000F043E">
      <w:pPr>
        <w:pStyle w:val="Normal2"/>
        <w:shd w:val="clear" w:color="auto" w:fill="DEEAF6" w:themeFill="accent5" w:themeFillTint="33"/>
      </w:pPr>
      <w:r>
        <w:t>When exercising functions under the RMA, including the development of regional policy statements, ORC is required to have regard to the purposes of the Lake Wanaka Preservation Act 1973 and shall give effect to the policy of the government in relation to those functions as communicated by the Minister of Conservation.</w:t>
      </w:r>
      <w:r>
        <w:rPr>
          <w:rStyle w:val="FootnoteReference"/>
        </w:rPr>
        <w:footnoteReference w:id="73"/>
      </w:r>
    </w:p>
    <w:p w14:paraId="7D9589AC" w14:textId="77777777" w:rsidR="004A7A26" w:rsidRDefault="004A7A26" w:rsidP="000F043E">
      <w:pPr>
        <w:pStyle w:val="Normal2"/>
        <w:shd w:val="clear" w:color="auto" w:fill="DEEAF6" w:themeFill="accent5" w:themeFillTint="33"/>
      </w:pPr>
      <w:r>
        <w:t>The Lake Wanaka Preservation Act 1973 has the following purposes:</w:t>
      </w:r>
    </w:p>
    <w:p w14:paraId="6CCF91E7" w14:textId="77777777" w:rsidR="004A7A26" w:rsidRDefault="004A7A26" w:rsidP="000F043E">
      <w:pPr>
        <w:pStyle w:val="Normal3"/>
        <w:shd w:val="clear" w:color="auto" w:fill="DEEAF6" w:themeFill="accent5" w:themeFillTint="33"/>
      </w:pPr>
      <w:r>
        <w:t xml:space="preserve">To prevent the water in the body of the lake from being impounded or controlled by, or, as far as possible, obstructed by, any works except in an </w:t>
      </w:r>
      <w:proofErr w:type="gramStart"/>
      <w:r>
        <w:t>emergency;</w:t>
      </w:r>
      <w:proofErr w:type="gramEnd"/>
    </w:p>
    <w:p w14:paraId="721D4606" w14:textId="77777777" w:rsidR="004A7A26" w:rsidRDefault="004A7A26" w:rsidP="000F043E">
      <w:pPr>
        <w:pStyle w:val="Normal3"/>
        <w:shd w:val="clear" w:color="auto" w:fill="DEEAF6" w:themeFill="accent5" w:themeFillTint="33"/>
      </w:pPr>
      <w:r>
        <w:t xml:space="preserve">To prevent the natural rate of flow of lake water between the outlet of the lake which forms the source of the Clutha River and the confluence of that river and the Cardrona River from being varied or controlled by any works except in an </w:t>
      </w:r>
      <w:proofErr w:type="gramStart"/>
      <w:r>
        <w:t>emergency;</w:t>
      </w:r>
      <w:proofErr w:type="gramEnd"/>
    </w:p>
    <w:p w14:paraId="68143ECD" w14:textId="77777777" w:rsidR="004A7A26" w:rsidRDefault="004A7A26" w:rsidP="000F043E">
      <w:pPr>
        <w:pStyle w:val="Normal3"/>
        <w:shd w:val="clear" w:color="auto" w:fill="DEEAF6" w:themeFill="accent5" w:themeFillTint="33"/>
      </w:pPr>
      <w:r>
        <w:t>To preserve, as far as possible, the water levels of the lake and its shoreline in their natural state; and</w:t>
      </w:r>
    </w:p>
    <w:p w14:paraId="6BBA2A98" w14:textId="77777777" w:rsidR="004A7A26" w:rsidRDefault="004A7A26" w:rsidP="000F043E">
      <w:pPr>
        <w:pStyle w:val="Normal3"/>
        <w:shd w:val="clear" w:color="auto" w:fill="DEEAF6" w:themeFill="accent5" w:themeFillTint="33"/>
      </w:pPr>
      <w:r>
        <w:t>To maintain and, as far as possible, to improve the quality of water in the lake.</w:t>
      </w:r>
    </w:p>
    <w:p w14:paraId="6000E72D" w14:textId="18B0B5C1" w:rsidR="004A7A26" w:rsidRDefault="004A7A26" w:rsidP="000F043E">
      <w:pPr>
        <w:pStyle w:val="Normal2"/>
        <w:shd w:val="clear" w:color="auto" w:fill="DEEAF6" w:themeFill="accent5" w:themeFillTint="33"/>
      </w:pPr>
      <w:r>
        <w:t>This Act has been considered in the preparation of the PORPS</w:t>
      </w:r>
      <w:r w:rsidR="002F3EA2">
        <w:t>. Lake Wanaka and the outflow and tributaries described in the Act are identified as outstanding water bodies under Policy LF–FW–P1</w:t>
      </w:r>
      <w:r w:rsidR="008464DB">
        <w:t>1 and the impounding or control of the level of Lake Wanaka is prevented under Policy LF–FW–P13.</w:t>
      </w:r>
    </w:p>
    <w:p w14:paraId="1DB1A129" w14:textId="77777777" w:rsidR="004A7A26" w:rsidRDefault="004A7A26" w:rsidP="000F043E">
      <w:pPr>
        <w:pStyle w:val="Heading2"/>
        <w:shd w:val="clear" w:color="auto" w:fill="DEEAF6" w:themeFill="accent5" w:themeFillTint="33"/>
      </w:pPr>
      <w:bookmarkStart w:id="180" w:name="_Toc52780475"/>
      <w:bookmarkStart w:id="181" w:name="_Toc72507657"/>
      <w:r>
        <w:t>Iwi Management Plans</w:t>
      </w:r>
      <w:bookmarkEnd w:id="180"/>
      <w:bookmarkEnd w:id="181"/>
    </w:p>
    <w:p w14:paraId="42806661" w14:textId="4AE37238" w:rsidR="004A7A26" w:rsidRDefault="004A7A26" w:rsidP="000F043E">
      <w:pPr>
        <w:pStyle w:val="Normal2"/>
        <w:shd w:val="clear" w:color="auto" w:fill="DEEAF6" w:themeFill="accent5" w:themeFillTint="33"/>
      </w:pPr>
      <w:r>
        <w:t xml:space="preserve">When preparing regional policy statements, ORC must </w:t>
      </w:r>
      <w:proofErr w:type="gramStart"/>
      <w:r>
        <w:t>take into account</w:t>
      </w:r>
      <w:proofErr w:type="gramEnd"/>
      <w:r>
        <w:t xml:space="preserve"> any relevant planning document recognised by an iwi authority that has been lodged with ORC, to the extent that their content has a bearing on resource management issues of the region.</w:t>
      </w:r>
      <w:r>
        <w:rPr>
          <w:rStyle w:val="FootnoteReference"/>
        </w:rPr>
        <w:footnoteReference w:id="74"/>
      </w:r>
      <w:r>
        <w:t xml:space="preserve"> There are </w:t>
      </w:r>
      <w:r w:rsidR="005F0324">
        <w:t>four</w:t>
      </w:r>
      <w:r>
        <w:t xml:space="preserve"> iwi management plans in place in Otago </w:t>
      </w:r>
      <w:r w:rsidR="005F0324">
        <w:t>which are discussed below.</w:t>
      </w:r>
    </w:p>
    <w:p w14:paraId="24724C05" w14:textId="6C933CD4" w:rsidR="005F0324" w:rsidRDefault="005F0324" w:rsidP="000F043E">
      <w:pPr>
        <w:pStyle w:val="Heading3"/>
        <w:shd w:val="clear" w:color="auto" w:fill="DEEAF6" w:themeFill="accent5" w:themeFillTint="33"/>
      </w:pPr>
      <w:r>
        <w:t xml:space="preserve">Te </w:t>
      </w:r>
      <w:proofErr w:type="spellStart"/>
      <w:r>
        <w:t>Rūnanga</w:t>
      </w:r>
      <w:proofErr w:type="spellEnd"/>
      <w:r>
        <w:t xml:space="preserve"> o Ngāi </w:t>
      </w:r>
      <w:proofErr w:type="spellStart"/>
      <w:r>
        <w:t>Tahu</w:t>
      </w:r>
      <w:proofErr w:type="spellEnd"/>
      <w:r>
        <w:t xml:space="preserve"> Freshwater Policy 1999</w:t>
      </w:r>
    </w:p>
    <w:p w14:paraId="67918155" w14:textId="55E0F38B" w:rsidR="005F0324" w:rsidRDefault="003B7FF3" w:rsidP="000F043E">
      <w:pPr>
        <w:pStyle w:val="Normal2"/>
        <w:shd w:val="clear" w:color="auto" w:fill="DEEAF6" w:themeFill="accent5" w:themeFillTint="33"/>
      </w:pPr>
      <w:r>
        <w:t xml:space="preserve">This </w:t>
      </w:r>
      <w:r w:rsidR="006E612F">
        <w:t xml:space="preserve">document describes Ngāi </w:t>
      </w:r>
      <w:proofErr w:type="spellStart"/>
      <w:r w:rsidR="006E612F">
        <w:t>Tahu’s</w:t>
      </w:r>
      <w:proofErr w:type="spellEnd"/>
      <w:r w:rsidR="006E612F">
        <w:t xml:space="preserve"> association with freshwater resources, the ways in which Ngāi </w:t>
      </w:r>
      <w:proofErr w:type="spellStart"/>
      <w:r w:rsidR="006E612F">
        <w:t>Tahu</w:t>
      </w:r>
      <w:proofErr w:type="spellEnd"/>
      <w:r w:rsidR="006E612F">
        <w:t xml:space="preserve"> (as tangata </w:t>
      </w:r>
      <w:proofErr w:type="spellStart"/>
      <w:r w:rsidR="006E612F">
        <w:t>tiaki</w:t>
      </w:r>
      <w:proofErr w:type="spellEnd"/>
      <w:r w:rsidR="006E612F">
        <w:t xml:space="preserve">) want to participate in freshwater management and the environmental outcomes sought for freshwater. </w:t>
      </w:r>
      <w:r w:rsidR="001D7884">
        <w:t xml:space="preserve">The Policy prefers integrated catchment management and seeks to afford protection to waters that are of </w:t>
      </w:r>
      <w:proofErr w:type="gramStart"/>
      <w:r w:rsidR="001D7884">
        <w:t>particular spiritual</w:t>
      </w:r>
      <w:proofErr w:type="gramEnd"/>
      <w:r w:rsidR="001D7884">
        <w:t xml:space="preserve"> significance to Ngāi </w:t>
      </w:r>
      <w:proofErr w:type="spellStart"/>
      <w:r w:rsidR="001D7884">
        <w:t>Tahu</w:t>
      </w:r>
      <w:proofErr w:type="spellEnd"/>
      <w:r w:rsidR="001D7884">
        <w:t xml:space="preserve">. </w:t>
      </w:r>
      <w:r w:rsidR="00B67598">
        <w:t xml:space="preserve">The policy also seeks to restore, </w:t>
      </w:r>
      <w:proofErr w:type="gramStart"/>
      <w:r w:rsidR="00B67598">
        <w:t>maintain</w:t>
      </w:r>
      <w:proofErr w:type="gramEnd"/>
      <w:r w:rsidR="00B67598">
        <w:t xml:space="preserve"> and protect the mauri of freshwater resources and to maintain vital, healthy </w:t>
      </w:r>
      <w:proofErr w:type="spellStart"/>
      <w:r w:rsidR="00B67598">
        <w:t>mahinga</w:t>
      </w:r>
      <w:proofErr w:type="spellEnd"/>
      <w:r w:rsidR="00B67598">
        <w:t xml:space="preserve"> kai populations and habitats that sustain harvesting activities. </w:t>
      </w:r>
      <w:r w:rsidR="00B44DFE">
        <w:t xml:space="preserve">To ensure Ngāi </w:t>
      </w:r>
      <w:proofErr w:type="spellStart"/>
      <w:r w:rsidR="00B44DFE">
        <w:t>Tahu</w:t>
      </w:r>
      <w:proofErr w:type="spellEnd"/>
      <w:r w:rsidR="00B44DFE">
        <w:t xml:space="preserve"> involvement in freshwater management, the policy promotes collaborative management initiatives that enable active participation by Ngāi </w:t>
      </w:r>
      <w:proofErr w:type="spellStart"/>
      <w:r w:rsidR="00B44DFE">
        <w:t>Tahu</w:t>
      </w:r>
      <w:proofErr w:type="spellEnd"/>
      <w:r w:rsidR="00B44DFE">
        <w:t xml:space="preserve">. </w:t>
      </w:r>
    </w:p>
    <w:p w14:paraId="31EBFB08" w14:textId="32C25522" w:rsidR="00B443AF" w:rsidRDefault="00B443AF" w:rsidP="000F043E">
      <w:pPr>
        <w:pStyle w:val="Normal2"/>
        <w:shd w:val="clear" w:color="auto" w:fill="DEEAF6" w:themeFill="accent5" w:themeFillTint="33"/>
      </w:pPr>
      <w:r>
        <w:t xml:space="preserve">The Policy has been </w:t>
      </w:r>
      <w:proofErr w:type="gramStart"/>
      <w:r>
        <w:t>taken into account</w:t>
      </w:r>
      <w:proofErr w:type="gramEnd"/>
      <w:r>
        <w:t xml:space="preserve"> when preparing the PORPS 2021 and particularly informs the provisions in the </w:t>
      </w:r>
      <w:r>
        <w:rPr>
          <w:i/>
          <w:iCs/>
        </w:rPr>
        <w:t xml:space="preserve">LF – Land and freshwater </w:t>
      </w:r>
      <w:r>
        <w:t>chapter.</w:t>
      </w:r>
    </w:p>
    <w:p w14:paraId="52E471D3" w14:textId="77777777" w:rsidR="004A7A26" w:rsidRDefault="004A7A26" w:rsidP="000F043E">
      <w:pPr>
        <w:pStyle w:val="Heading3"/>
        <w:shd w:val="clear" w:color="auto" w:fill="DEEAF6" w:themeFill="accent5" w:themeFillTint="33"/>
      </w:pPr>
      <w:r>
        <w:lastRenderedPageBreak/>
        <w:t xml:space="preserve">Kāi </w:t>
      </w:r>
      <w:proofErr w:type="spellStart"/>
      <w:r>
        <w:t>Tahu</w:t>
      </w:r>
      <w:proofErr w:type="spellEnd"/>
      <w:r>
        <w:t xml:space="preserve"> ki Otago Natural Resources Management Plan 2005</w:t>
      </w:r>
    </w:p>
    <w:p w14:paraId="20EF9CA5" w14:textId="1F86FE8D" w:rsidR="004A7A26" w:rsidRDefault="004A7A26" w:rsidP="000F043E">
      <w:pPr>
        <w:pStyle w:val="Normal2"/>
        <w:shd w:val="clear" w:color="auto" w:fill="DEEAF6" w:themeFill="accent5" w:themeFillTint="33"/>
      </w:pPr>
      <w:r>
        <w:t xml:space="preserve">This is the principal planning document for Kāi </w:t>
      </w:r>
      <w:proofErr w:type="spellStart"/>
      <w:r>
        <w:t>Tahu</w:t>
      </w:r>
      <w:proofErr w:type="spellEnd"/>
      <w:r>
        <w:t xml:space="preserve"> ki Otago (Te </w:t>
      </w:r>
      <w:proofErr w:type="spellStart"/>
      <w:r>
        <w:t>Rūnanga</w:t>
      </w:r>
      <w:proofErr w:type="spellEnd"/>
      <w:r>
        <w:t xml:space="preserve"> o Moeraki, Kāi </w:t>
      </w:r>
      <w:proofErr w:type="spellStart"/>
      <w:r>
        <w:t>Huirapa</w:t>
      </w:r>
      <w:proofErr w:type="spellEnd"/>
      <w:r>
        <w:t xml:space="preserve"> </w:t>
      </w:r>
      <w:proofErr w:type="spellStart"/>
      <w:r>
        <w:t>Rūnaka</w:t>
      </w:r>
      <w:proofErr w:type="spellEnd"/>
      <w:r>
        <w:t xml:space="preserve"> ki </w:t>
      </w:r>
      <w:proofErr w:type="spellStart"/>
      <w:r>
        <w:t>Puketeraki</w:t>
      </w:r>
      <w:proofErr w:type="spellEnd"/>
      <w:r>
        <w:t xml:space="preserve">, Te </w:t>
      </w:r>
      <w:proofErr w:type="spellStart"/>
      <w:r>
        <w:t>Rūnanga</w:t>
      </w:r>
      <w:proofErr w:type="spellEnd"/>
      <w:r>
        <w:t xml:space="preserve"> o </w:t>
      </w:r>
      <w:proofErr w:type="spellStart"/>
      <w:r>
        <w:t>Ōtākou</w:t>
      </w:r>
      <w:proofErr w:type="spellEnd"/>
      <w:r>
        <w:t xml:space="preserve"> and </w:t>
      </w:r>
      <w:proofErr w:type="spellStart"/>
      <w:r>
        <w:t>Hokonui</w:t>
      </w:r>
      <w:proofErr w:type="spellEnd"/>
      <w:r>
        <w:t xml:space="preserve"> </w:t>
      </w:r>
      <w:proofErr w:type="spellStart"/>
      <w:r>
        <w:t>Rūnanga</w:t>
      </w:r>
      <w:proofErr w:type="spellEnd"/>
      <w:r>
        <w:t xml:space="preserve">). The </w:t>
      </w:r>
      <w:proofErr w:type="spellStart"/>
      <w:r>
        <w:t>kaupapa</w:t>
      </w:r>
      <w:proofErr w:type="spellEnd"/>
      <w:r>
        <w:t xml:space="preserve"> of this Plan is ‘</w:t>
      </w:r>
      <w:r w:rsidR="008464DB">
        <w:t>k</w:t>
      </w:r>
      <w:r>
        <w:t xml:space="preserve">i </w:t>
      </w:r>
      <w:r w:rsidR="008464DB">
        <w:t>u</w:t>
      </w:r>
      <w:r>
        <w:t xml:space="preserve">ta ki </w:t>
      </w:r>
      <w:r w:rsidR="008464DB">
        <w:t>ta</w:t>
      </w:r>
      <w:r>
        <w:t>i’ (</w:t>
      </w:r>
      <w:r w:rsidR="008464DB">
        <w:t>m</w:t>
      </w:r>
      <w:r>
        <w:t xml:space="preserve">ountains to the </w:t>
      </w:r>
      <w:r w:rsidR="008464DB">
        <w:t>s</w:t>
      </w:r>
      <w:r>
        <w:t xml:space="preserve">ea) and is an expression of </w:t>
      </w:r>
      <w:proofErr w:type="spellStart"/>
      <w:r>
        <w:t>kaitiakitaka</w:t>
      </w:r>
      <w:proofErr w:type="spellEnd"/>
      <w:r>
        <w:t xml:space="preserve">. The plan describes in detail Kāi </w:t>
      </w:r>
      <w:proofErr w:type="spellStart"/>
      <w:r>
        <w:t>Tahu</w:t>
      </w:r>
      <w:proofErr w:type="spellEnd"/>
      <w:r>
        <w:t xml:space="preserve"> values, knowledge and perspectives on natural resource and environmental management issues. It was first used to inform the development of policy papers for topics to be covered in the RPS and has continued to inform policy development, particularly through the engagement with Kāi </w:t>
      </w:r>
      <w:proofErr w:type="spellStart"/>
      <w:r>
        <w:t>Tahu</w:t>
      </w:r>
      <w:proofErr w:type="spellEnd"/>
      <w:r>
        <w:t xml:space="preserve"> ki Otago.</w:t>
      </w:r>
    </w:p>
    <w:p w14:paraId="23593C7C" w14:textId="77777777" w:rsidR="004A7A26" w:rsidRDefault="004A7A26" w:rsidP="000F043E">
      <w:pPr>
        <w:pStyle w:val="Heading3"/>
        <w:shd w:val="clear" w:color="auto" w:fill="DEEAF6" w:themeFill="accent5" w:themeFillTint="33"/>
      </w:pPr>
      <w:r>
        <w:t xml:space="preserve">Ngāi </w:t>
      </w:r>
      <w:proofErr w:type="spellStart"/>
      <w:r>
        <w:t>Tahu</w:t>
      </w:r>
      <w:proofErr w:type="spellEnd"/>
      <w:r>
        <w:t xml:space="preserve"> ki Murihiku Natural Resource and Environmental Iwi Management Plan 2008 (Te Tangi a </w:t>
      </w:r>
      <w:proofErr w:type="spellStart"/>
      <w:r>
        <w:t>Tauira</w:t>
      </w:r>
      <w:proofErr w:type="spellEnd"/>
      <w:r>
        <w:t>)</w:t>
      </w:r>
    </w:p>
    <w:p w14:paraId="31723305" w14:textId="77777777" w:rsidR="004A7A26" w:rsidRDefault="004A7A26" w:rsidP="000F043E">
      <w:pPr>
        <w:pStyle w:val="Normal2"/>
        <w:shd w:val="clear" w:color="auto" w:fill="DEEAF6" w:themeFill="accent5" w:themeFillTint="33"/>
      </w:pPr>
      <w:r>
        <w:t xml:space="preserve">This is the principal planning document for Ngāi </w:t>
      </w:r>
      <w:proofErr w:type="spellStart"/>
      <w:r>
        <w:t>Tahu</w:t>
      </w:r>
      <w:proofErr w:type="spellEnd"/>
      <w:r>
        <w:t xml:space="preserve"> ki Murihiku (Te </w:t>
      </w:r>
      <w:proofErr w:type="spellStart"/>
      <w:r>
        <w:t>Rūnanga</w:t>
      </w:r>
      <w:proofErr w:type="spellEnd"/>
      <w:r>
        <w:t xml:space="preserve"> o </w:t>
      </w:r>
      <w:proofErr w:type="spellStart"/>
      <w:r>
        <w:t>Awarua</w:t>
      </w:r>
      <w:proofErr w:type="spellEnd"/>
      <w:r>
        <w:t xml:space="preserve">, Te </w:t>
      </w:r>
      <w:proofErr w:type="spellStart"/>
      <w:r>
        <w:t>Rūnanga</w:t>
      </w:r>
      <w:proofErr w:type="spellEnd"/>
      <w:r>
        <w:t xml:space="preserve"> o </w:t>
      </w:r>
      <w:proofErr w:type="spellStart"/>
      <w:r>
        <w:t>Oraka</w:t>
      </w:r>
      <w:proofErr w:type="spellEnd"/>
      <w:r>
        <w:t xml:space="preserve">/Aparima, Te </w:t>
      </w:r>
      <w:proofErr w:type="spellStart"/>
      <w:r>
        <w:t>Rūnanga</w:t>
      </w:r>
      <w:proofErr w:type="spellEnd"/>
      <w:r>
        <w:t xml:space="preserve"> o </w:t>
      </w:r>
      <w:proofErr w:type="spellStart"/>
      <w:r>
        <w:t>Hokonui</w:t>
      </w:r>
      <w:proofErr w:type="spellEnd"/>
      <w:r>
        <w:t xml:space="preserve"> and Te </w:t>
      </w:r>
      <w:proofErr w:type="spellStart"/>
      <w:r>
        <w:t>Rūnaka</w:t>
      </w:r>
      <w:proofErr w:type="spellEnd"/>
      <w:r>
        <w:t xml:space="preserve"> o </w:t>
      </w:r>
      <w:proofErr w:type="spellStart"/>
      <w:r>
        <w:t>Waihōpai</w:t>
      </w:r>
      <w:proofErr w:type="spellEnd"/>
      <w:r>
        <w:t xml:space="preserve">. The Kaupapa of Te Tangi a </w:t>
      </w:r>
      <w:proofErr w:type="spellStart"/>
      <w:r>
        <w:t>Tauira</w:t>
      </w:r>
      <w:proofErr w:type="spellEnd"/>
      <w:r>
        <w:t xml:space="preserve"> is ‘Ki Uta Ki Tai’ from the Mountains to the Sea, representing the connection of natural resources and the need to manage them as such. The purpose of Te Tangi a </w:t>
      </w:r>
      <w:proofErr w:type="spellStart"/>
      <w:r>
        <w:t>Tauira</w:t>
      </w:r>
      <w:proofErr w:type="spellEnd"/>
      <w:r>
        <w:t xml:space="preserve"> is to: </w:t>
      </w:r>
    </w:p>
    <w:p w14:paraId="051C15B8" w14:textId="77777777" w:rsidR="004A7A26" w:rsidRDefault="004A7A26" w:rsidP="000F043E">
      <w:pPr>
        <w:pStyle w:val="Normal3"/>
        <w:shd w:val="clear" w:color="auto" w:fill="DEEAF6" w:themeFill="accent5" w:themeFillTint="33"/>
      </w:pPr>
      <w:r>
        <w:t xml:space="preserve">Describe the value underpinning the relationship between Ngāi </w:t>
      </w:r>
      <w:proofErr w:type="spellStart"/>
      <w:r>
        <w:t>Tahu</w:t>
      </w:r>
      <w:proofErr w:type="spellEnd"/>
      <w:r>
        <w:t xml:space="preserve"> ki Murihiku and the natural </w:t>
      </w:r>
      <w:proofErr w:type="gramStart"/>
      <w:r>
        <w:t>environment;</w:t>
      </w:r>
      <w:proofErr w:type="gramEnd"/>
      <w:r>
        <w:t xml:space="preserve"> </w:t>
      </w:r>
    </w:p>
    <w:p w14:paraId="2179F196" w14:textId="77777777" w:rsidR="004A7A26" w:rsidRDefault="004A7A26" w:rsidP="000F043E">
      <w:pPr>
        <w:pStyle w:val="Normal3"/>
        <w:shd w:val="clear" w:color="auto" w:fill="DEEAF6" w:themeFill="accent5" w:themeFillTint="33"/>
      </w:pPr>
      <w:r>
        <w:t xml:space="preserve">Identify the primary issues associated with natural resource and environmental management in the takiwā, from the perspective of Ngāi </w:t>
      </w:r>
      <w:proofErr w:type="spellStart"/>
      <w:r>
        <w:t>tahu</w:t>
      </w:r>
      <w:proofErr w:type="spellEnd"/>
      <w:r>
        <w:t xml:space="preserve"> ki </w:t>
      </w:r>
      <w:proofErr w:type="gramStart"/>
      <w:r>
        <w:t>Murihiku;</w:t>
      </w:r>
      <w:proofErr w:type="gramEnd"/>
      <w:r>
        <w:t xml:space="preserve"> </w:t>
      </w:r>
    </w:p>
    <w:p w14:paraId="5E35D4BE" w14:textId="77777777" w:rsidR="004A7A26" w:rsidRDefault="004A7A26" w:rsidP="000F043E">
      <w:pPr>
        <w:pStyle w:val="Normal3"/>
        <w:shd w:val="clear" w:color="auto" w:fill="DEEAF6" w:themeFill="accent5" w:themeFillTint="33"/>
      </w:pPr>
      <w:r>
        <w:t xml:space="preserve">Articulate Ngāi </w:t>
      </w:r>
      <w:proofErr w:type="spellStart"/>
      <w:r>
        <w:t>Tahu</w:t>
      </w:r>
      <w:proofErr w:type="spellEnd"/>
      <w:r>
        <w:t xml:space="preserve"> ki Murihiku policies and management guidelines for natural resource and environmental management, </w:t>
      </w:r>
      <w:proofErr w:type="spellStart"/>
      <w:r>
        <w:t>wāhi</w:t>
      </w:r>
      <w:proofErr w:type="spellEnd"/>
      <w:r>
        <w:t xml:space="preserve"> </w:t>
      </w:r>
      <w:proofErr w:type="spellStart"/>
      <w:r>
        <w:t>tapu</w:t>
      </w:r>
      <w:proofErr w:type="spellEnd"/>
      <w:r>
        <w:t xml:space="preserve"> and </w:t>
      </w:r>
      <w:proofErr w:type="spellStart"/>
      <w:r>
        <w:t>wāhi</w:t>
      </w:r>
      <w:proofErr w:type="spellEnd"/>
      <w:r>
        <w:t xml:space="preserve"> taonga. </w:t>
      </w:r>
    </w:p>
    <w:p w14:paraId="522F6147" w14:textId="4C043927" w:rsidR="004A7A26" w:rsidRDefault="004A7A26" w:rsidP="000F043E">
      <w:pPr>
        <w:pStyle w:val="Normal2"/>
        <w:shd w:val="clear" w:color="auto" w:fill="DEEAF6" w:themeFill="accent5" w:themeFillTint="33"/>
      </w:pPr>
      <w:r>
        <w:t xml:space="preserve">Te Tangi a </w:t>
      </w:r>
      <w:proofErr w:type="spellStart"/>
      <w:r>
        <w:t>Tauira</w:t>
      </w:r>
      <w:proofErr w:type="spellEnd"/>
      <w:r>
        <w:t xml:space="preserve"> was first used to inform the development of policy papers for topics to be covered in the RPS and has continued to inform policy development, particularly through the engagement with </w:t>
      </w:r>
      <w:r w:rsidR="008464DB">
        <w:t xml:space="preserve">Ngāi </w:t>
      </w:r>
      <w:proofErr w:type="spellStart"/>
      <w:r w:rsidR="008464DB">
        <w:t>Tahu</w:t>
      </w:r>
      <w:proofErr w:type="spellEnd"/>
      <w:r w:rsidR="008464DB">
        <w:t xml:space="preserve"> </w:t>
      </w:r>
      <w:r>
        <w:t>ki Murihiku.</w:t>
      </w:r>
    </w:p>
    <w:p w14:paraId="7EB3BBFA" w14:textId="77777777" w:rsidR="004A7A26" w:rsidRDefault="004A7A26" w:rsidP="000F043E">
      <w:pPr>
        <w:pStyle w:val="Heading3"/>
        <w:shd w:val="clear" w:color="auto" w:fill="DEEAF6" w:themeFill="accent5" w:themeFillTint="33"/>
      </w:pPr>
      <w:r>
        <w:t>Waitaki Iwi Management Plan 2019</w:t>
      </w:r>
    </w:p>
    <w:p w14:paraId="503F6832" w14:textId="77777777" w:rsidR="004A7A26" w:rsidRDefault="004A7A26" w:rsidP="000F043E">
      <w:pPr>
        <w:pStyle w:val="Normal2"/>
        <w:shd w:val="clear" w:color="auto" w:fill="DEEAF6" w:themeFill="accent5" w:themeFillTint="33"/>
      </w:pPr>
      <w:r>
        <w:t xml:space="preserve">The Waitaki Iwi Management Plan has been developed by Te </w:t>
      </w:r>
      <w:proofErr w:type="spellStart"/>
      <w:r>
        <w:t>Rūnanga</w:t>
      </w:r>
      <w:proofErr w:type="spellEnd"/>
      <w:r>
        <w:t xml:space="preserve"> o Moeraki as an expression of </w:t>
      </w:r>
      <w:proofErr w:type="spellStart"/>
      <w:r>
        <w:t>rakatirataka</w:t>
      </w:r>
      <w:proofErr w:type="spellEnd"/>
      <w:r>
        <w:t xml:space="preserve"> and in fulfilment of their kaitiaki responsibilities within the Waitaki Catchment. The Waitaki Iwi Management Plan has been developed to: </w:t>
      </w:r>
    </w:p>
    <w:p w14:paraId="2B8D221A" w14:textId="77777777" w:rsidR="004A7A26" w:rsidRDefault="004A7A26" w:rsidP="000F043E">
      <w:pPr>
        <w:pStyle w:val="Normal3"/>
        <w:shd w:val="clear" w:color="auto" w:fill="DEEAF6" w:themeFill="accent5" w:themeFillTint="33"/>
      </w:pPr>
      <w:r>
        <w:t xml:space="preserve"> Describe the values held by </w:t>
      </w:r>
      <w:proofErr w:type="spellStart"/>
      <w:r>
        <w:t>Kā</w:t>
      </w:r>
      <w:proofErr w:type="spellEnd"/>
      <w:r>
        <w:t xml:space="preserve"> Papatipu </w:t>
      </w:r>
      <w:proofErr w:type="spellStart"/>
      <w:r>
        <w:t>Rūnaka</w:t>
      </w:r>
      <w:proofErr w:type="spellEnd"/>
      <w:r>
        <w:t xml:space="preserve"> relating to Aoraki, wai, </w:t>
      </w:r>
      <w:proofErr w:type="spellStart"/>
      <w:r>
        <w:t>mahika</w:t>
      </w:r>
      <w:proofErr w:type="spellEnd"/>
      <w:r>
        <w:t xml:space="preserve"> kai and </w:t>
      </w:r>
      <w:proofErr w:type="spellStart"/>
      <w:r>
        <w:t>wāhi</w:t>
      </w:r>
      <w:proofErr w:type="spellEnd"/>
      <w:r>
        <w:t xml:space="preserve"> tūpuna in the Waitaki </w:t>
      </w:r>
      <w:proofErr w:type="gramStart"/>
      <w:r>
        <w:t>catchment;</w:t>
      </w:r>
      <w:proofErr w:type="gramEnd"/>
    </w:p>
    <w:p w14:paraId="6062146A" w14:textId="77777777" w:rsidR="004A7A26" w:rsidRDefault="004A7A26" w:rsidP="000F043E">
      <w:pPr>
        <w:pStyle w:val="Normal3"/>
        <w:shd w:val="clear" w:color="auto" w:fill="DEEAF6" w:themeFill="accent5" w:themeFillTint="33"/>
      </w:pPr>
      <w:r>
        <w:t xml:space="preserve">Identify the primary issues </w:t>
      </w:r>
      <w:proofErr w:type="spellStart"/>
      <w:r>
        <w:t>Kā</w:t>
      </w:r>
      <w:proofErr w:type="spellEnd"/>
      <w:r>
        <w:t xml:space="preserve"> Papatipu </w:t>
      </w:r>
      <w:proofErr w:type="spellStart"/>
      <w:r>
        <w:t>Rūnaka</w:t>
      </w:r>
      <w:proofErr w:type="spellEnd"/>
      <w:r>
        <w:t xml:space="preserve"> have regarding these matters in the Waitaki </w:t>
      </w:r>
      <w:proofErr w:type="gramStart"/>
      <w:r>
        <w:t>catchment;</w:t>
      </w:r>
      <w:proofErr w:type="gramEnd"/>
      <w:r>
        <w:t xml:space="preserve"> </w:t>
      </w:r>
    </w:p>
    <w:p w14:paraId="2DB5FF99" w14:textId="77777777" w:rsidR="004A7A26" w:rsidRDefault="004A7A26" w:rsidP="000F043E">
      <w:pPr>
        <w:pStyle w:val="Normal3"/>
        <w:shd w:val="clear" w:color="auto" w:fill="DEEAF6" w:themeFill="accent5" w:themeFillTint="33"/>
      </w:pPr>
      <w:r>
        <w:t xml:space="preserve">Articulate </w:t>
      </w:r>
      <w:proofErr w:type="spellStart"/>
      <w:r>
        <w:t>Kā</w:t>
      </w:r>
      <w:proofErr w:type="spellEnd"/>
      <w:r>
        <w:t xml:space="preserve"> Papatipu </w:t>
      </w:r>
      <w:proofErr w:type="spellStart"/>
      <w:r>
        <w:t>Rūnaka</w:t>
      </w:r>
      <w:proofErr w:type="spellEnd"/>
      <w:r>
        <w:t xml:space="preserve"> policies and management guidelines for these </w:t>
      </w:r>
      <w:proofErr w:type="gramStart"/>
      <w:r>
        <w:t>matters;</w:t>
      </w:r>
      <w:proofErr w:type="gramEnd"/>
    </w:p>
    <w:p w14:paraId="3A1B694C" w14:textId="77777777" w:rsidR="004A7A26" w:rsidRDefault="004A7A26" w:rsidP="000F043E">
      <w:pPr>
        <w:pStyle w:val="Normal3"/>
        <w:shd w:val="clear" w:color="auto" w:fill="DEEAF6" w:themeFill="accent5" w:themeFillTint="33"/>
      </w:pPr>
      <w:r>
        <w:t xml:space="preserve">Provide for the relationship that </w:t>
      </w:r>
      <w:proofErr w:type="spellStart"/>
      <w:r>
        <w:t>Kā</w:t>
      </w:r>
      <w:proofErr w:type="spellEnd"/>
      <w:r>
        <w:t xml:space="preserve"> Papatipu </w:t>
      </w:r>
      <w:proofErr w:type="spellStart"/>
      <w:r>
        <w:t>Rūnanka</w:t>
      </w:r>
      <w:proofErr w:type="spellEnd"/>
      <w:r>
        <w:t xml:space="preserve"> have with these resources. </w:t>
      </w:r>
    </w:p>
    <w:p w14:paraId="48A364D9" w14:textId="77777777" w:rsidR="004A7A26" w:rsidRDefault="004A7A26" w:rsidP="000F043E">
      <w:pPr>
        <w:pStyle w:val="Normal2"/>
        <w:shd w:val="clear" w:color="auto" w:fill="DEEAF6" w:themeFill="accent5" w:themeFillTint="33"/>
      </w:pPr>
      <w:r>
        <w:t>This Plan covers the entirety of the Waitaki catchment, most of which is within the Canterbury region. The parts that relevant to Otago have been considered in the preparation of the PORPS 2021.</w:t>
      </w:r>
    </w:p>
    <w:p w14:paraId="3F60A350" w14:textId="77777777" w:rsidR="004A7A26" w:rsidRDefault="004A7A26" w:rsidP="00CB405E">
      <w:pPr>
        <w:pStyle w:val="Heading2"/>
      </w:pPr>
      <w:bookmarkStart w:id="182" w:name="_Toc52780476"/>
      <w:bookmarkStart w:id="183" w:name="_Toc72507658"/>
      <w:r>
        <w:lastRenderedPageBreak/>
        <w:t>Planning document prepared under the Marine and Coastal Area (</w:t>
      </w:r>
      <w:proofErr w:type="spellStart"/>
      <w:r>
        <w:t>Takutai</w:t>
      </w:r>
      <w:proofErr w:type="spellEnd"/>
      <w:r>
        <w:t xml:space="preserve"> Moana) Act 2011</w:t>
      </w:r>
      <w:bookmarkEnd w:id="182"/>
      <w:bookmarkEnd w:id="183"/>
    </w:p>
    <w:p w14:paraId="7965FCAA" w14:textId="77777777" w:rsidR="004A7A26" w:rsidRDefault="004A7A26" w:rsidP="00A247C5">
      <w:pPr>
        <w:pStyle w:val="Normal2"/>
      </w:pPr>
      <w:r>
        <w:t>When preparing or changing a regional policy statement, ORC must, in relation to a planning document prepared by a customary marine title group under the Marine and Coastal Area (</w:t>
      </w:r>
      <w:proofErr w:type="spellStart"/>
      <w:r>
        <w:t>Takutai</w:t>
      </w:r>
      <w:proofErr w:type="spellEnd"/>
      <w:r>
        <w:t xml:space="preserve"> Moana) Act 2011, recognise and provide for the matters in that document (to the extent that they relate to the relevant customary marine title area), and take into account the matters in that document (to the extent that they relate to a part of the common marine and coastal area outside the customary marine title area).</w:t>
      </w:r>
      <w:r>
        <w:rPr>
          <w:rStyle w:val="FootnoteReference"/>
        </w:rPr>
        <w:footnoteReference w:id="75"/>
      </w:r>
      <w:r>
        <w:t xml:space="preserve"> </w:t>
      </w:r>
    </w:p>
    <w:p w14:paraId="589B0655" w14:textId="77777777" w:rsidR="004A7A26" w:rsidRDefault="004A7A26" w:rsidP="00A247C5">
      <w:pPr>
        <w:pStyle w:val="Normal2"/>
      </w:pPr>
      <w:r>
        <w:t>No customary marine title group planning documents exist in the Otago region.</w:t>
      </w:r>
    </w:p>
    <w:p w14:paraId="4E4EDF64" w14:textId="77777777" w:rsidR="004A7A26" w:rsidRDefault="004A7A26" w:rsidP="00CB405E">
      <w:pPr>
        <w:pStyle w:val="Heading2"/>
      </w:pPr>
      <w:bookmarkStart w:id="184" w:name="_Toc52780477"/>
      <w:bookmarkStart w:id="185" w:name="_Toc72507659"/>
      <w:r>
        <w:t>Other Management Plans and Strategies</w:t>
      </w:r>
      <w:bookmarkEnd w:id="184"/>
      <w:bookmarkEnd w:id="185"/>
      <w:r>
        <w:t xml:space="preserve"> </w:t>
      </w:r>
    </w:p>
    <w:p w14:paraId="42DCEA7A" w14:textId="77777777" w:rsidR="004A7A26" w:rsidRDefault="004A7A26" w:rsidP="00A247C5">
      <w:pPr>
        <w:pStyle w:val="Normal2"/>
      </w:pPr>
      <w:r>
        <w:t>Section 66(2)(c)(</w:t>
      </w:r>
      <w:proofErr w:type="spellStart"/>
      <w:r>
        <w:t>i</w:t>
      </w:r>
      <w:proofErr w:type="spellEnd"/>
      <w:r>
        <w:t xml:space="preserve">) requires regional councils to have regard to any management plans and strategies prepared under other Acts. </w:t>
      </w:r>
    </w:p>
    <w:p w14:paraId="301C1A6C" w14:textId="77777777" w:rsidR="004A7A26" w:rsidRDefault="004A7A26" w:rsidP="000F043E">
      <w:pPr>
        <w:pStyle w:val="Heading3"/>
        <w:shd w:val="clear" w:color="auto" w:fill="DEEAF6" w:themeFill="accent5" w:themeFillTint="33"/>
      </w:pPr>
      <w:r>
        <w:t>Otago Conservation Management Strategy 2016</w:t>
      </w:r>
    </w:p>
    <w:p w14:paraId="412E5B61" w14:textId="77777777" w:rsidR="004A7A26" w:rsidRDefault="004A7A26" w:rsidP="000F043E">
      <w:pPr>
        <w:pStyle w:val="Normal2"/>
        <w:shd w:val="clear" w:color="auto" w:fill="DEEAF6" w:themeFill="accent5" w:themeFillTint="33"/>
      </w:pPr>
      <w:r>
        <w:t xml:space="preserve">The Conservation Act 1987 requires the Department of Conservation to prepare a conservation management strategy for each region. The Otago Conservation Management Strategy (CMS) describes the conservation values present in Otago and provides guidance for the Department’s work in the form of a vision supported by objectives, outcomes, </w:t>
      </w:r>
      <w:proofErr w:type="gramStart"/>
      <w:r>
        <w:t>policies</w:t>
      </w:r>
      <w:proofErr w:type="gramEnd"/>
      <w:r>
        <w:t xml:space="preserve"> and milestones. The CMS applies to all public conservation land and waters in Otago (noting that this is based on the old Otago conservancy boundary which now covers parts of Eastern South Island and Southern South Island regions). </w:t>
      </w:r>
    </w:p>
    <w:p w14:paraId="2A747048" w14:textId="77777777" w:rsidR="004A7A26" w:rsidRDefault="004A7A26" w:rsidP="000F043E">
      <w:pPr>
        <w:pStyle w:val="Normal2"/>
        <w:shd w:val="clear" w:color="auto" w:fill="DEEAF6" w:themeFill="accent5" w:themeFillTint="33"/>
      </w:pPr>
      <w:r>
        <w:t>The CMS contains a vision for Otago out to 2066 which is the overarching goal of the document. The vision includes:</w:t>
      </w:r>
    </w:p>
    <w:p w14:paraId="50043E0A" w14:textId="77777777" w:rsidR="004A7A26" w:rsidRDefault="004A7A26" w:rsidP="000F043E">
      <w:pPr>
        <w:pStyle w:val="Normal3"/>
        <w:shd w:val="clear" w:color="auto" w:fill="DEEAF6" w:themeFill="accent5" w:themeFillTint="33"/>
      </w:pPr>
      <w:r>
        <w:t xml:space="preserve">Recognising Ngāi </w:t>
      </w:r>
      <w:proofErr w:type="spellStart"/>
      <w:r>
        <w:t>Tahu</w:t>
      </w:r>
      <w:proofErr w:type="spellEnd"/>
      <w:r>
        <w:t xml:space="preserve"> </w:t>
      </w:r>
      <w:proofErr w:type="spellStart"/>
      <w:r>
        <w:t>tino</w:t>
      </w:r>
      <w:proofErr w:type="spellEnd"/>
      <w:r>
        <w:t xml:space="preserve"> rangatiratanga over their taonga </w:t>
      </w:r>
      <w:proofErr w:type="spellStart"/>
      <w:r>
        <w:t>tuku</w:t>
      </w:r>
      <w:proofErr w:type="spellEnd"/>
      <w:r>
        <w:t xml:space="preserve"> </w:t>
      </w:r>
      <w:proofErr w:type="spellStart"/>
      <w:r>
        <w:t>iho</w:t>
      </w:r>
      <w:proofErr w:type="spellEnd"/>
      <w:r>
        <w:t xml:space="preserve"> and enabling exercise of </w:t>
      </w:r>
      <w:proofErr w:type="spellStart"/>
      <w:r>
        <w:t>kaitiakitanga</w:t>
      </w:r>
      <w:proofErr w:type="spellEnd"/>
      <w:r>
        <w:t xml:space="preserve"> </w:t>
      </w:r>
      <w:proofErr w:type="spellStart"/>
      <w:proofErr w:type="gramStart"/>
      <w:r>
        <w:t>repsonsibilities</w:t>
      </w:r>
      <w:proofErr w:type="spellEnd"/>
      <w:r>
        <w:t>;</w:t>
      </w:r>
      <w:proofErr w:type="gramEnd"/>
    </w:p>
    <w:p w14:paraId="4DCCF533" w14:textId="77777777" w:rsidR="004A7A26" w:rsidRDefault="004A7A26" w:rsidP="000F043E">
      <w:pPr>
        <w:pStyle w:val="Normal3"/>
        <w:shd w:val="clear" w:color="auto" w:fill="DEEAF6" w:themeFill="accent5" w:themeFillTint="33"/>
      </w:pPr>
      <w:r>
        <w:t xml:space="preserve">Thriving marine ecosystems and species, with marine mammals and birds successfully breeding along the </w:t>
      </w:r>
      <w:proofErr w:type="gramStart"/>
      <w:r>
        <w:t>coast;</w:t>
      </w:r>
      <w:proofErr w:type="gramEnd"/>
    </w:p>
    <w:p w14:paraId="4AE79120" w14:textId="77777777" w:rsidR="004A7A26" w:rsidRDefault="004A7A26" w:rsidP="000F043E">
      <w:pPr>
        <w:pStyle w:val="Normal3"/>
        <w:shd w:val="clear" w:color="auto" w:fill="DEEAF6" w:themeFill="accent5" w:themeFillTint="33"/>
      </w:pPr>
      <w:r>
        <w:t xml:space="preserve">Otago’s freshwater systems supporting healthy aquatic </w:t>
      </w:r>
      <w:proofErr w:type="gramStart"/>
      <w:r>
        <w:t>ecosystems;</w:t>
      </w:r>
      <w:proofErr w:type="gramEnd"/>
    </w:p>
    <w:p w14:paraId="30B74C2C" w14:textId="77777777" w:rsidR="004A7A26" w:rsidRDefault="004A7A26" w:rsidP="000F043E">
      <w:pPr>
        <w:pStyle w:val="Normal3"/>
        <w:shd w:val="clear" w:color="auto" w:fill="DEEAF6" w:themeFill="accent5" w:themeFillTint="33"/>
      </w:pPr>
      <w:r>
        <w:t xml:space="preserve">People safely swimming in and gathering food from all freshwater </w:t>
      </w:r>
      <w:proofErr w:type="gramStart"/>
      <w:r>
        <w:t>systems;</w:t>
      </w:r>
      <w:proofErr w:type="gramEnd"/>
    </w:p>
    <w:p w14:paraId="02F1FBC5" w14:textId="77777777" w:rsidR="004A7A26" w:rsidRDefault="004A7A26" w:rsidP="000F043E">
      <w:pPr>
        <w:pStyle w:val="Normal3"/>
        <w:shd w:val="clear" w:color="auto" w:fill="DEEAF6" w:themeFill="accent5" w:themeFillTint="33"/>
      </w:pPr>
      <w:r>
        <w:t xml:space="preserve">Increased wetland extent and intact braided river </w:t>
      </w:r>
      <w:proofErr w:type="gramStart"/>
      <w:r>
        <w:t>systems;</w:t>
      </w:r>
      <w:proofErr w:type="gramEnd"/>
    </w:p>
    <w:p w14:paraId="1854687F" w14:textId="77777777" w:rsidR="004A7A26" w:rsidRDefault="004A7A26" w:rsidP="000F043E">
      <w:pPr>
        <w:pStyle w:val="Normal3"/>
        <w:shd w:val="clear" w:color="auto" w:fill="DEEAF6" w:themeFill="accent5" w:themeFillTint="33"/>
      </w:pPr>
      <w:r>
        <w:t xml:space="preserve">Thriving terrestrial ecosystems and </w:t>
      </w:r>
      <w:proofErr w:type="gramStart"/>
      <w:r>
        <w:t>species;</w:t>
      </w:r>
      <w:proofErr w:type="gramEnd"/>
    </w:p>
    <w:p w14:paraId="79397EE4" w14:textId="77777777" w:rsidR="004A7A26" w:rsidRDefault="004A7A26" w:rsidP="000F043E">
      <w:pPr>
        <w:pStyle w:val="Normal3"/>
        <w:shd w:val="clear" w:color="auto" w:fill="DEEAF6" w:themeFill="accent5" w:themeFillTint="33"/>
      </w:pPr>
      <w:r>
        <w:t>Otago’s rich history visible and accessible with communities actively involved in sharing their stories; and</w:t>
      </w:r>
    </w:p>
    <w:p w14:paraId="2DC5EEDC" w14:textId="77777777" w:rsidR="004A7A26" w:rsidRDefault="004A7A26" w:rsidP="000F043E">
      <w:pPr>
        <w:pStyle w:val="Normal3"/>
        <w:shd w:val="clear" w:color="auto" w:fill="DEEAF6" w:themeFill="accent5" w:themeFillTint="33"/>
      </w:pPr>
      <w:r>
        <w:t>People enjoy public conservation lands and waters.</w:t>
      </w:r>
    </w:p>
    <w:p w14:paraId="1D69357B" w14:textId="77777777" w:rsidR="004A7A26" w:rsidRDefault="004A7A26" w:rsidP="000F043E">
      <w:pPr>
        <w:pStyle w:val="Normal2"/>
        <w:shd w:val="clear" w:color="auto" w:fill="DEEAF6" w:themeFill="accent5" w:themeFillTint="33"/>
      </w:pPr>
      <w:r>
        <w:t xml:space="preserve">The Otago Conservation Management Strategy has been given regard in the preparation of the PORPS 2021. Although it has a different application, many of the outcomes sought are consistent with the objectives of the PORPS 2021. </w:t>
      </w:r>
    </w:p>
    <w:p w14:paraId="68357511" w14:textId="77777777" w:rsidR="004A7A26" w:rsidRDefault="004A7A26" w:rsidP="000F043E">
      <w:pPr>
        <w:pStyle w:val="Heading3"/>
        <w:shd w:val="clear" w:color="auto" w:fill="DEEAF6" w:themeFill="accent5" w:themeFillTint="33"/>
      </w:pPr>
      <w:bookmarkStart w:id="186" w:name="_Hlk71715997"/>
      <w:r>
        <w:lastRenderedPageBreak/>
        <w:t>Otago Sports Fish and Game Management Plan 2015-2025</w:t>
      </w:r>
    </w:p>
    <w:p w14:paraId="65D8EEA8" w14:textId="6E79A7FE" w:rsidR="004A7A26" w:rsidRPr="009E2A36" w:rsidRDefault="004A7A26" w:rsidP="000F043E">
      <w:pPr>
        <w:pStyle w:val="Normal2"/>
        <w:shd w:val="clear" w:color="auto" w:fill="DEEAF6" w:themeFill="accent5" w:themeFillTint="33"/>
        <w:rPr>
          <w:i/>
          <w:iCs/>
          <w:sz w:val="20"/>
          <w:szCs w:val="20"/>
        </w:rPr>
      </w:pPr>
      <w:r>
        <w:t xml:space="preserve">The Conservation Act 1987 requires each Fish and Game Council to prepare any sports fish and game management plans that are necessary for the management of sports fish and game birds within its region of jurisdiction, for approval by the Minister of Conservation. There is one Fish and Game Council that falls wholly within the Otago region: the Otago Fish and Game Council. There is one management plan produced for Otago: the Otago Sports Fish and Game Management Plan 2015-2025. This Plan lists </w:t>
      </w:r>
      <w:proofErr w:type="gramStart"/>
      <w:r>
        <w:t>a number of</w:t>
      </w:r>
      <w:proofErr w:type="gramEnd"/>
      <w:r>
        <w:t xml:space="preserve"> environmental outcomes, including:</w:t>
      </w:r>
    </w:p>
    <w:p w14:paraId="4E4888EF" w14:textId="77777777" w:rsidR="004A7A26" w:rsidRDefault="004A7A26" w:rsidP="000F043E">
      <w:pPr>
        <w:pStyle w:val="Normal3"/>
        <w:shd w:val="clear" w:color="auto" w:fill="DEEAF6" w:themeFill="accent5" w:themeFillTint="33"/>
      </w:pPr>
      <w:r>
        <w:t xml:space="preserve">Wild fish and game resources maintain a population which produces sufficient numbers for a self-sustaining annual harvest in the long </w:t>
      </w:r>
      <w:proofErr w:type="gramStart"/>
      <w:r>
        <w:t>term;</w:t>
      </w:r>
      <w:proofErr w:type="gramEnd"/>
    </w:p>
    <w:p w14:paraId="4FBA13DD" w14:textId="77777777" w:rsidR="004A7A26" w:rsidRDefault="004A7A26" w:rsidP="000F043E">
      <w:pPr>
        <w:pStyle w:val="Normal3"/>
        <w:shd w:val="clear" w:color="auto" w:fill="DEEAF6" w:themeFill="accent5" w:themeFillTint="33"/>
      </w:pPr>
      <w:r>
        <w:t xml:space="preserve">Water quality ranges between good and excellent in lakes, rivers and </w:t>
      </w:r>
      <w:proofErr w:type="gramStart"/>
      <w:r>
        <w:t>wetlands;</w:t>
      </w:r>
      <w:proofErr w:type="gramEnd"/>
    </w:p>
    <w:p w14:paraId="3098D35D" w14:textId="77777777" w:rsidR="004A7A26" w:rsidRDefault="004A7A26" w:rsidP="000F043E">
      <w:pPr>
        <w:pStyle w:val="Normal3"/>
        <w:shd w:val="clear" w:color="auto" w:fill="DEEAF6" w:themeFill="accent5" w:themeFillTint="33"/>
      </w:pPr>
      <w:r>
        <w:t xml:space="preserve">Flows and levels combine with the natural characteristics of waterways to support natural ecosystems functioning at a level that support productive and diverse fish and game </w:t>
      </w:r>
      <w:proofErr w:type="gramStart"/>
      <w:r>
        <w:t>populations;</w:t>
      </w:r>
      <w:proofErr w:type="gramEnd"/>
    </w:p>
    <w:p w14:paraId="71F15499" w14:textId="77777777" w:rsidR="004A7A26" w:rsidRDefault="004A7A26" w:rsidP="000F043E">
      <w:pPr>
        <w:pStyle w:val="Normal3"/>
        <w:shd w:val="clear" w:color="auto" w:fill="DEEAF6" w:themeFill="accent5" w:themeFillTint="33"/>
      </w:pPr>
      <w:r>
        <w:t xml:space="preserve">Rivers are swimmable, </w:t>
      </w:r>
      <w:proofErr w:type="gramStart"/>
      <w:r>
        <w:t>fishable</w:t>
      </w:r>
      <w:proofErr w:type="gramEnd"/>
      <w:r>
        <w:t xml:space="preserve"> and safe for food gathering; and</w:t>
      </w:r>
    </w:p>
    <w:p w14:paraId="52476C2A" w14:textId="77777777" w:rsidR="004A7A26" w:rsidRDefault="004A7A26" w:rsidP="000F043E">
      <w:pPr>
        <w:pStyle w:val="Normal3"/>
        <w:shd w:val="clear" w:color="auto" w:fill="DEEAF6" w:themeFill="accent5" w:themeFillTint="33"/>
      </w:pPr>
      <w:r>
        <w:t>Otago’s wetlands have improved in terms of their quality, diversity, species productivity and overall area.</w:t>
      </w:r>
    </w:p>
    <w:p w14:paraId="190D6765" w14:textId="77777777" w:rsidR="004A7A26" w:rsidRDefault="004A7A26" w:rsidP="000F043E">
      <w:pPr>
        <w:pStyle w:val="Normal2"/>
        <w:shd w:val="clear" w:color="auto" w:fill="DEEAF6" w:themeFill="accent5" w:themeFillTint="33"/>
      </w:pPr>
      <w:r>
        <w:t>This management plan has been given regard in the preparation of the PORPS 2021, to the extent that its content is relevant. Many of the provisions are not inconsistent with the provisions of the PORPS.</w:t>
      </w:r>
    </w:p>
    <w:p w14:paraId="324442E4" w14:textId="36691B93" w:rsidR="004A7A26" w:rsidRDefault="004A7A26" w:rsidP="00CB405E">
      <w:pPr>
        <w:pStyle w:val="Heading2"/>
      </w:pPr>
      <w:bookmarkStart w:id="187" w:name="_Toc52780478"/>
      <w:bookmarkStart w:id="188" w:name="_Toc72507660"/>
      <w:bookmarkEnd w:id="186"/>
      <w:r>
        <w:t>Relevant entry on the New Zealand Heritage List/</w:t>
      </w:r>
      <w:bookmarkStart w:id="189" w:name="_Hlk50554690"/>
      <w:proofErr w:type="spellStart"/>
      <w:r>
        <w:t>R</w:t>
      </w:r>
      <w:r>
        <w:rPr>
          <w:rFonts w:cstheme="minorHAnsi"/>
        </w:rPr>
        <w:t>ā</w:t>
      </w:r>
      <w:r>
        <w:t>rangi</w:t>
      </w:r>
      <w:proofErr w:type="spellEnd"/>
      <w:r>
        <w:t xml:space="preserve"> </w:t>
      </w:r>
      <w:proofErr w:type="spellStart"/>
      <w:r>
        <w:t>K</w:t>
      </w:r>
      <w:r>
        <w:rPr>
          <w:rFonts w:cstheme="minorHAnsi"/>
        </w:rPr>
        <w:t>ō</w:t>
      </w:r>
      <w:r>
        <w:t>rero</w:t>
      </w:r>
      <w:bookmarkEnd w:id="187"/>
      <w:bookmarkEnd w:id="188"/>
      <w:bookmarkEnd w:id="189"/>
      <w:proofErr w:type="spellEnd"/>
    </w:p>
    <w:p w14:paraId="7FC6FD51" w14:textId="77777777" w:rsidR="004A7A26" w:rsidRDefault="004A7A26" w:rsidP="00A247C5">
      <w:pPr>
        <w:pStyle w:val="Normal2"/>
      </w:pPr>
      <w:r>
        <w:t>Section 61(2)(</w:t>
      </w:r>
      <w:proofErr w:type="gramStart"/>
      <w:r>
        <w:t>a)(</w:t>
      </w:r>
      <w:proofErr w:type="spellStart"/>
      <w:proofErr w:type="gramEnd"/>
      <w:r>
        <w:t>iia</w:t>
      </w:r>
      <w:proofErr w:type="spellEnd"/>
      <w:r>
        <w:t>) requires ORC to have regard to relevant entries on the New Zealand Heritage List/</w:t>
      </w:r>
      <w:proofErr w:type="spellStart"/>
      <w:r>
        <w:t>Rārangi</w:t>
      </w:r>
      <w:proofErr w:type="spellEnd"/>
      <w:r>
        <w:t xml:space="preserve"> </w:t>
      </w:r>
      <w:proofErr w:type="spellStart"/>
      <w:r>
        <w:t>Kōrero</w:t>
      </w:r>
      <w:proofErr w:type="spellEnd"/>
      <w:r>
        <w:t xml:space="preserve"> (the List) to the extent that they have a bearing on resource management issues of the region. There are no specific references in the PORPS 2021 to entries on the List, however the provisions in the </w:t>
      </w:r>
      <w:r w:rsidRPr="29589E8D">
        <w:rPr>
          <w:i/>
          <w:iCs/>
        </w:rPr>
        <w:t>Historical and cultural values</w:t>
      </w:r>
      <w:r>
        <w:t xml:space="preserve"> chapter are relevant to the management of entries on the List. These provisions, particularly for identification of historic heritage, have been based on guidelines prepared by Heritage New Zealand </w:t>
      </w:r>
      <w:proofErr w:type="spellStart"/>
      <w:r>
        <w:t>Pouhere</w:t>
      </w:r>
      <w:proofErr w:type="spellEnd"/>
      <w:r>
        <w:t xml:space="preserve"> Taonga for assessing places and areas for inclusion on the List. </w:t>
      </w:r>
    </w:p>
    <w:p w14:paraId="0FF0FA20" w14:textId="77777777" w:rsidR="004A7A26" w:rsidRDefault="004A7A26" w:rsidP="00CB405E">
      <w:pPr>
        <w:pStyle w:val="Heading2"/>
      </w:pPr>
      <w:bookmarkStart w:id="190" w:name="_Toc52780479"/>
      <w:bookmarkStart w:id="191" w:name="_Toc72507661"/>
      <w:r>
        <w:t>Regulations relating to fisheries resources</w:t>
      </w:r>
      <w:bookmarkEnd w:id="190"/>
      <w:bookmarkEnd w:id="191"/>
    </w:p>
    <w:p w14:paraId="2AB84E1B" w14:textId="2A483B17" w:rsidR="004A7A26" w:rsidRDefault="004A7A26" w:rsidP="00A247C5">
      <w:pPr>
        <w:pStyle w:val="Normal2"/>
      </w:pPr>
      <w:r>
        <w:t xml:space="preserve">Section 61(2)(a)(iii) requires ORC to have regard to regulations relating to ensuring sustainability, or the conservation, </w:t>
      </w:r>
      <w:proofErr w:type="gramStart"/>
      <w:r>
        <w:t>management</w:t>
      </w:r>
      <w:proofErr w:type="gramEnd"/>
      <w:r>
        <w:t xml:space="preserve"> or sustainability of fisheries resources, including regulations or bylaws relating to </w:t>
      </w:r>
      <w:proofErr w:type="spellStart"/>
      <w:r w:rsidR="008464DB">
        <w:t>taiāpure</w:t>
      </w:r>
      <w:proofErr w:type="spellEnd"/>
      <w:r>
        <w:t xml:space="preserve">, </w:t>
      </w:r>
      <w:proofErr w:type="spellStart"/>
      <w:r>
        <w:t>mahi</w:t>
      </w:r>
      <w:r w:rsidR="008464DB">
        <w:t>k</w:t>
      </w:r>
      <w:r>
        <w:t>a</w:t>
      </w:r>
      <w:proofErr w:type="spellEnd"/>
      <w:r>
        <w:t xml:space="preserve"> </w:t>
      </w:r>
      <w:proofErr w:type="spellStart"/>
      <w:r w:rsidR="008464DB">
        <w:t>mātaitai</w:t>
      </w:r>
      <w:proofErr w:type="spellEnd"/>
      <w:r>
        <w:t xml:space="preserve"> or other non-commercial Māori customary fishing, to the extent that their content has a bearing on resource management issues of the region. The PORPS 2021 does not manage fisheries resources directly but does manage the physical environment within which fisheries are located. ORC has had regard to the relevant regulations for fisheries resources.</w:t>
      </w:r>
    </w:p>
    <w:p w14:paraId="7B992949" w14:textId="77777777" w:rsidR="004A7A26" w:rsidRDefault="004A7A26" w:rsidP="00CB405E">
      <w:pPr>
        <w:pStyle w:val="Heading2"/>
      </w:pPr>
      <w:bookmarkStart w:id="192" w:name="_Toc52780480"/>
      <w:bookmarkStart w:id="193" w:name="_Toc72507662"/>
      <w:r>
        <w:t>Adjacent regional policy statements</w:t>
      </w:r>
      <w:bookmarkEnd w:id="192"/>
      <w:bookmarkEnd w:id="193"/>
    </w:p>
    <w:p w14:paraId="3DD1E0A9" w14:textId="72E4DD67" w:rsidR="004A7A26" w:rsidRDefault="004A7A26" w:rsidP="00A247C5">
      <w:pPr>
        <w:pStyle w:val="Normal2"/>
      </w:pPr>
      <w:r>
        <w:t xml:space="preserve">Section 61(2)(b) requires ORC to have regard to the extent to which the PORPS 2021 needs to be consistent with the policy statements and plans of adjacent regional councils. The Otago region is adjacent to three other regions: Southland, </w:t>
      </w:r>
      <w:proofErr w:type="gramStart"/>
      <w:r>
        <w:t>Canterbury</w:t>
      </w:r>
      <w:proofErr w:type="gramEnd"/>
      <w:r>
        <w:t xml:space="preserve"> and West Coast. </w:t>
      </w:r>
      <w:r w:rsidR="008464DB">
        <w:t xml:space="preserve">Environment Southland </w:t>
      </w:r>
      <w:r w:rsidR="003B374E">
        <w:t xml:space="preserve">provided feedback through clause 3 consultation on two minor matters, which were adopted in the PORPS 2021. No response was received by West Coast Regional Council, </w:t>
      </w:r>
      <w:r w:rsidR="003B374E">
        <w:lastRenderedPageBreak/>
        <w:t>however the boundary between the Otago and West Coast regions is on conservation land so there are unlikely to be significant cross-boundary issues.</w:t>
      </w:r>
      <w:r w:rsidR="003B374E" w:rsidRPr="003B374E">
        <w:t xml:space="preserve"> </w:t>
      </w:r>
      <w:r w:rsidR="003B374E">
        <w:t>Generally, these boundaries follow catchment areas so there is limited opportunity for more than one regional policy statement to come into play.</w:t>
      </w:r>
    </w:p>
    <w:p w14:paraId="37A49913" w14:textId="19B7D588" w:rsidR="004A7A26" w:rsidRDefault="004A7A26" w:rsidP="00A247C5">
      <w:pPr>
        <w:pStyle w:val="Normal2"/>
      </w:pPr>
      <w:r>
        <w:t xml:space="preserve">The notable exception is the Waitaki district, which spans both the Canterbury and Otago regions. While there are differences between the Canterbury and Otago regional policy statements, and therefore in the regional and district plans underneath them, it is considered that the PORPS 2021 </w:t>
      </w:r>
      <w:r w:rsidR="008464DB">
        <w:t xml:space="preserve">has been </w:t>
      </w:r>
      <w:proofErr w:type="spellStart"/>
      <w:r w:rsidR="008464DB">
        <w:t>rpeapred</w:t>
      </w:r>
      <w:proofErr w:type="spellEnd"/>
      <w:r w:rsidR="008464DB">
        <w:t xml:space="preserve"> with consideration of the outcomes sought by the Canterbury Regional Policy Statement. Environment Canterbury confirmed in its clause 3 consultation feedback that it considered the cross-boundary provisions in the PORPS 2021 were generally consistent with the Canterbury regional planning framework. </w:t>
      </w:r>
      <w:proofErr w:type="gramStart"/>
      <w:r w:rsidR="008464DB">
        <w:t>A number of</w:t>
      </w:r>
      <w:proofErr w:type="gramEnd"/>
      <w:r w:rsidR="008464DB">
        <w:t xml:space="preserve"> amendments were proposed </w:t>
      </w:r>
      <w:r w:rsidR="003B374E">
        <w:t>by Environment Canterbury to improve the alignment between the PORPS 2021 and the Canterbury regional planning framework with respect to the Waitaki district, which were adopted.</w:t>
      </w:r>
    </w:p>
    <w:p w14:paraId="40913409" w14:textId="77777777" w:rsidR="004A7A26" w:rsidRDefault="004A7A26" w:rsidP="00CB405E">
      <w:pPr>
        <w:pStyle w:val="Heading2"/>
      </w:pPr>
      <w:bookmarkStart w:id="194" w:name="_Toc52780481"/>
      <w:bookmarkStart w:id="195" w:name="_Toc72507663"/>
      <w:r>
        <w:t>Exclusive Economic Zone regulations</w:t>
      </w:r>
      <w:bookmarkEnd w:id="194"/>
      <w:bookmarkEnd w:id="195"/>
    </w:p>
    <w:p w14:paraId="1D8617B6" w14:textId="77777777" w:rsidR="004A7A26" w:rsidRDefault="004A7A26" w:rsidP="00A247C5">
      <w:pPr>
        <w:pStyle w:val="Normal2"/>
      </w:pPr>
      <w:r>
        <w:t>Section 61(2)(b) requires ORC to have regard to the extent to which the PORPS 2021 needs to be consistent with regulations made under the Exclusive Economic Zone and Continental Shelf (Environmental Effects) Act 2012 (the EEZ Act). There are currently four such regulations:</w:t>
      </w:r>
    </w:p>
    <w:p w14:paraId="3C485DCF" w14:textId="77777777" w:rsidR="004A7A26" w:rsidRDefault="004A7A26" w:rsidP="00A247C5">
      <w:pPr>
        <w:pStyle w:val="Normal3"/>
      </w:pPr>
      <w:r>
        <w:t xml:space="preserve">Exclusive Economic Zone and Continental Shelf (Environmental Effects – Permitted Activities) Regulations </w:t>
      </w:r>
      <w:proofErr w:type="gramStart"/>
      <w:r>
        <w:t>2013;</w:t>
      </w:r>
      <w:proofErr w:type="gramEnd"/>
    </w:p>
    <w:p w14:paraId="3F43ACFC" w14:textId="77777777" w:rsidR="004A7A26" w:rsidRDefault="004A7A26" w:rsidP="00A247C5">
      <w:pPr>
        <w:pStyle w:val="Normal3"/>
      </w:pPr>
      <w:r>
        <w:t xml:space="preserve">Exclusive Economic Zone and Continental Shelf (Environmental Effects – Non-notified Activities) Regulations </w:t>
      </w:r>
      <w:proofErr w:type="gramStart"/>
      <w:r>
        <w:t>2014;</w:t>
      </w:r>
      <w:proofErr w:type="gramEnd"/>
    </w:p>
    <w:p w14:paraId="225010C5" w14:textId="77777777" w:rsidR="004A7A26" w:rsidRDefault="004A7A26" w:rsidP="00A247C5">
      <w:pPr>
        <w:pStyle w:val="Normal3"/>
      </w:pPr>
      <w:r>
        <w:t>Exclusive Economic Zone and Continental Shelf (Environmental Effects – Discharge and Dumping) Regulations 2015; and</w:t>
      </w:r>
    </w:p>
    <w:p w14:paraId="74A02B82" w14:textId="77777777" w:rsidR="004A7A26" w:rsidRDefault="004A7A26" w:rsidP="00A247C5">
      <w:pPr>
        <w:pStyle w:val="Normal3"/>
      </w:pPr>
      <w:r>
        <w:t>Exclusive Economic Zone and Continental Shelf (Environmental Effects – Burial at Sea) Regulations 2015.</w:t>
      </w:r>
    </w:p>
    <w:p w14:paraId="3FB2012E" w14:textId="77777777" w:rsidR="004A7A26" w:rsidRDefault="004A7A26" w:rsidP="00A247C5">
      <w:pPr>
        <w:pStyle w:val="Normal2"/>
      </w:pPr>
      <w:r>
        <w:t>These regulations apply from the 12 nautical mile limit out to the boundary of New Zealand’s exclusive economic zone and manage some activities that are also managed under regional plans inside the 12 nautical mile limit. They are therefore more relevant to regional plan provisions than the PORPS, however their content has been given regard in the development of the PORPS 2021.</w:t>
      </w:r>
    </w:p>
    <w:p w14:paraId="2AE40B5E" w14:textId="77777777" w:rsidR="004A7A26" w:rsidRDefault="004A7A26" w:rsidP="004A7A26"/>
    <w:p w14:paraId="108FF874" w14:textId="6ACCAD23" w:rsidR="00FB5072" w:rsidRDefault="00FB5072">
      <w:r>
        <w:br w:type="page"/>
      </w:r>
    </w:p>
    <w:bookmarkStart w:id="196" w:name="_Toc72507664" w:displacedByCustomXml="next"/>
    <w:sdt>
      <w:sdtPr>
        <w:rPr>
          <w:rFonts w:asciiTheme="minorHAnsi" w:eastAsiaTheme="minorHAnsi" w:hAnsiTheme="minorHAnsi" w:cstheme="minorBidi"/>
          <w:color w:val="auto"/>
          <w:sz w:val="22"/>
          <w:szCs w:val="22"/>
        </w:rPr>
        <w:id w:val="1818532802"/>
        <w:docPartObj>
          <w:docPartGallery w:val="Bibliographies"/>
          <w:docPartUnique/>
        </w:docPartObj>
      </w:sdtPr>
      <w:sdtContent>
        <w:p w14:paraId="14F9E8E1" w14:textId="01D3D22C" w:rsidR="0057186E" w:rsidRDefault="0057186E" w:rsidP="000F043E">
          <w:pPr>
            <w:pStyle w:val="Heading1"/>
            <w:shd w:val="clear" w:color="auto" w:fill="DEEAF6" w:themeFill="accent5" w:themeFillTint="33"/>
          </w:pPr>
          <w:r>
            <w:t>References</w:t>
          </w:r>
          <w:bookmarkEnd w:id="196"/>
        </w:p>
        <w:sdt>
          <w:sdtPr>
            <w:id w:val="-573587230"/>
            <w:bibliography/>
          </w:sdtPr>
          <w:sdtContent>
            <w:p w14:paraId="71733266" w14:textId="77777777" w:rsidR="00200E58" w:rsidRDefault="0057186E" w:rsidP="000F043E">
              <w:pPr>
                <w:pStyle w:val="Bibliography"/>
                <w:shd w:val="clear" w:color="auto" w:fill="DEEAF6" w:themeFill="accent5" w:themeFillTint="33"/>
                <w:ind w:left="720" w:hanging="720"/>
                <w:rPr>
                  <w:noProof/>
                  <w:sz w:val="24"/>
                  <w:szCs w:val="24"/>
                </w:rPr>
              </w:pPr>
              <w:r>
                <w:fldChar w:fldCharType="begin"/>
              </w:r>
              <w:r>
                <w:instrText xml:space="preserve"> BIBLIOGRAPHY </w:instrText>
              </w:r>
              <w:r>
                <w:fldChar w:fldCharType="separate"/>
              </w:r>
              <w:r w:rsidR="00200E58">
                <w:rPr>
                  <w:noProof/>
                </w:rPr>
                <w:t xml:space="preserve">4sight &amp; ME. (2019). </w:t>
              </w:r>
              <w:r w:rsidR="00200E58">
                <w:rPr>
                  <w:i/>
                  <w:iCs/>
                  <w:noProof/>
                </w:rPr>
                <w:t>National policy statement for indigenous biodiversity - section 32 evaluation and cost benefit analysis.</w:t>
              </w:r>
              <w:r w:rsidR="00200E58">
                <w:rPr>
                  <w:noProof/>
                </w:rPr>
                <w:t xml:space="preserve"> Wellington: Department of Conservation &amp; Ministry for the Environment.</w:t>
              </w:r>
            </w:p>
            <w:p w14:paraId="6B615CA0" w14:textId="77777777" w:rsidR="00200E58" w:rsidRDefault="00200E58" w:rsidP="000F043E">
              <w:pPr>
                <w:pStyle w:val="Bibliography"/>
                <w:shd w:val="clear" w:color="auto" w:fill="DEEAF6" w:themeFill="accent5" w:themeFillTint="33"/>
                <w:ind w:left="720" w:hanging="720"/>
                <w:rPr>
                  <w:noProof/>
                </w:rPr>
              </w:pPr>
              <w:r>
                <w:rPr>
                  <w:noProof/>
                </w:rPr>
                <w:t xml:space="preserve">Atkin, E. B. (2019). </w:t>
              </w:r>
              <w:r>
                <w:rPr>
                  <w:i/>
                  <w:iCs/>
                  <w:noProof/>
                </w:rPr>
                <w:t>Management Guidelines for Surfing Resources.</w:t>
              </w:r>
              <w:r>
                <w:rPr>
                  <w:noProof/>
                </w:rPr>
                <w:t xml:space="preserve"> Raglan, Aotearoa New Zealand: Aotearoa New Zealand Association for Surfing Research .</w:t>
              </w:r>
            </w:p>
            <w:p w14:paraId="112B63C8" w14:textId="77777777" w:rsidR="00200E58" w:rsidRDefault="00200E58" w:rsidP="000F043E">
              <w:pPr>
                <w:pStyle w:val="Bibliography"/>
                <w:shd w:val="clear" w:color="auto" w:fill="DEEAF6" w:themeFill="accent5" w:themeFillTint="33"/>
                <w:ind w:left="720" w:hanging="720"/>
                <w:rPr>
                  <w:noProof/>
                </w:rPr>
              </w:pPr>
              <w:r>
                <w:rPr>
                  <w:noProof/>
                </w:rPr>
                <w:t xml:space="preserve">Climate Change Commission. (2021). </w:t>
              </w:r>
              <w:r>
                <w:rPr>
                  <w:i/>
                  <w:iCs/>
                  <w:noProof/>
                </w:rPr>
                <w:t>2021 Draft advice for consultation.</w:t>
              </w:r>
              <w:r>
                <w:rPr>
                  <w:noProof/>
                </w:rPr>
                <w:t xml:space="preserve"> Wellington: Climate Change Commission. Retrieved from https://haveyoursay.climatecommission.govt.nz/comms-and-engagement/future-climate-action-for-aotearoa/supporting_documents/CCCADVICETOGOVT31JAN2021pdf.pdf</w:t>
              </w:r>
            </w:p>
            <w:p w14:paraId="489FBAA9" w14:textId="77777777" w:rsidR="00200E58" w:rsidRDefault="00200E58" w:rsidP="000F043E">
              <w:pPr>
                <w:pStyle w:val="Bibliography"/>
                <w:shd w:val="clear" w:color="auto" w:fill="DEEAF6" w:themeFill="accent5" w:themeFillTint="33"/>
                <w:ind w:left="720" w:hanging="720"/>
                <w:rPr>
                  <w:noProof/>
                </w:rPr>
              </w:pPr>
              <w:r>
                <w:rPr>
                  <w:noProof/>
                </w:rPr>
                <w:t xml:space="preserve">Constanza et al. (2014). Changes in the global value of ecosystem services. </w:t>
              </w:r>
              <w:r>
                <w:rPr>
                  <w:i/>
                  <w:iCs/>
                  <w:noProof/>
                </w:rPr>
                <w:t>Global Environmental Change 26</w:t>
              </w:r>
              <w:r>
                <w:rPr>
                  <w:noProof/>
                </w:rPr>
                <w:t>, 152-158.</w:t>
              </w:r>
            </w:p>
            <w:p w14:paraId="32C8B86B" w14:textId="77777777" w:rsidR="00200E58" w:rsidRDefault="00200E58" w:rsidP="000F043E">
              <w:pPr>
                <w:pStyle w:val="Bibliography"/>
                <w:shd w:val="clear" w:color="auto" w:fill="DEEAF6" w:themeFill="accent5" w:themeFillTint="33"/>
                <w:ind w:left="720" w:hanging="720"/>
                <w:rPr>
                  <w:noProof/>
                </w:rPr>
              </w:pPr>
              <w:r>
                <w:rPr>
                  <w:noProof/>
                </w:rPr>
                <w:t xml:space="preserve">Department of Conservation. (2016). </w:t>
              </w:r>
              <w:r>
                <w:rPr>
                  <w:i/>
                  <w:iCs/>
                  <w:noProof/>
                </w:rPr>
                <w:t>Otago Conservation Management Strategy.</w:t>
              </w:r>
              <w:r>
                <w:rPr>
                  <w:noProof/>
                </w:rPr>
                <w:t xml:space="preserve"> </w:t>
              </w:r>
            </w:p>
            <w:p w14:paraId="59579E3C" w14:textId="77777777" w:rsidR="00200E58" w:rsidRDefault="00200E58" w:rsidP="000F043E">
              <w:pPr>
                <w:pStyle w:val="Bibliography"/>
                <w:shd w:val="clear" w:color="auto" w:fill="DEEAF6" w:themeFill="accent5" w:themeFillTint="33"/>
                <w:ind w:left="720" w:hanging="720"/>
                <w:rPr>
                  <w:noProof/>
                </w:rPr>
              </w:pPr>
              <w:r>
                <w:rPr>
                  <w:noProof/>
                </w:rPr>
                <w:t xml:space="preserve">Everett-Hincks, J. (2020). </w:t>
              </w:r>
              <w:r>
                <w:rPr>
                  <w:i/>
                  <w:iCs/>
                  <w:noProof/>
                </w:rPr>
                <w:t>Plan Change 7 - Statement of evidence of Dr Julie Marie Everett-Hincks on behalf of the Otago Regional Council.</w:t>
              </w:r>
              <w:r>
                <w:rPr>
                  <w:noProof/>
                </w:rPr>
                <w:t xml:space="preserve"> Dunedin: Otago Regional Council. Retrieved from https://environmentcourt.govt.nz/assets/Documents/Publications/2020-12-07-Statement-of-Evidence-of-Julie-Everett-Hincks-on-behalf-of-the-ORC.pdf</w:t>
              </w:r>
            </w:p>
            <w:p w14:paraId="115E5AF0" w14:textId="77777777" w:rsidR="00200E58" w:rsidRDefault="00200E58" w:rsidP="000F043E">
              <w:pPr>
                <w:pStyle w:val="Bibliography"/>
                <w:shd w:val="clear" w:color="auto" w:fill="DEEAF6" w:themeFill="accent5" w:themeFillTint="33"/>
                <w:ind w:left="720" w:hanging="720"/>
                <w:rPr>
                  <w:noProof/>
                </w:rPr>
              </w:pPr>
              <w:r>
                <w:rPr>
                  <w:noProof/>
                </w:rPr>
                <w:t>Harrison, S. (2020, May 4). Technical implications of the 2020 NESAQ proposal. Technical report ID A1334295.</w:t>
              </w:r>
            </w:p>
            <w:p w14:paraId="6BD35551" w14:textId="77777777" w:rsidR="00200E58" w:rsidRDefault="00200E58" w:rsidP="000F043E">
              <w:pPr>
                <w:pStyle w:val="Bibliography"/>
                <w:shd w:val="clear" w:color="auto" w:fill="DEEAF6" w:themeFill="accent5" w:themeFillTint="33"/>
                <w:ind w:left="720" w:hanging="720"/>
                <w:rPr>
                  <w:noProof/>
                </w:rPr>
              </w:pPr>
              <w:r>
                <w:rPr>
                  <w:noProof/>
                </w:rPr>
                <w:t xml:space="preserve">Infometrics. (2019). </w:t>
              </w:r>
              <w:r>
                <w:rPr>
                  <w:i/>
                  <w:iCs/>
                  <w:noProof/>
                </w:rPr>
                <w:t>Structure of tourism spending</w:t>
              </w:r>
              <w:r>
                <w:rPr>
                  <w:noProof/>
                </w:rPr>
                <w:t>. Retrieved from Infometrics: https://ecoprofile.infometrics.co.nz/Dunedin%20City/Tourism/TourismSpendStructure</w:t>
              </w:r>
            </w:p>
            <w:p w14:paraId="257D041B" w14:textId="77777777" w:rsidR="00200E58" w:rsidRDefault="00200E58" w:rsidP="000F043E">
              <w:pPr>
                <w:pStyle w:val="Bibliography"/>
                <w:shd w:val="clear" w:color="auto" w:fill="DEEAF6" w:themeFill="accent5" w:themeFillTint="33"/>
                <w:ind w:left="720" w:hanging="720"/>
                <w:rPr>
                  <w:noProof/>
                </w:rPr>
              </w:pPr>
              <w:r>
                <w:rPr>
                  <w:noProof/>
                </w:rPr>
                <w:t xml:space="preserve">Kuschel, G., &amp; al., e. (March 2012). </w:t>
              </w:r>
              <w:r>
                <w:rPr>
                  <w:i/>
                  <w:iCs/>
                  <w:noProof/>
                </w:rPr>
                <w:t>Updated Health and Air Pollution in New Zealand Study Volume 1: Summary Report .</w:t>
              </w:r>
              <w:r>
                <w:rPr>
                  <w:noProof/>
                </w:rPr>
                <w:t xml:space="preserve"> Wellington : Health Research Council of New Zealand, Ministry of Transport, Ministry for the Environment and New Zealand Transport Agency.</w:t>
              </w:r>
            </w:p>
            <w:p w14:paraId="48134711" w14:textId="77777777" w:rsidR="00200E58" w:rsidRDefault="00200E58" w:rsidP="000F043E">
              <w:pPr>
                <w:pStyle w:val="Bibliography"/>
                <w:shd w:val="clear" w:color="auto" w:fill="DEEAF6" w:themeFill="accent5" w:themeFillTint="33"/>
                <w:ind w:left="720" w:hanging="720"/>
                <w:rPr>
                  <w:noProof/>
                </w:rPr>
              </w:pPr>
              <w:r>
                <w:rPr>
                  <w:noProof/>
                </w:rPr>
                <w:t xml:space="preserve">Lee, D. (2020). </w:t>
              </w:r>
              <w:r>
                <w:rPr>
                  <w:i/>
                  <w:iCs/>
                  <w:noProof/>
                </w:rPr>
                <w:t>Key issues report - Plan Change 8 to the Regional Plan: Water for Otago.</w:t>
              </w:r>
              <w:r>
                <w:rPr>
                  <w:noProof/>
                </w:rPr>
                <w:t xml:space="preserve"> Dunedin: Otago Regional Council. Retrieved from https://www.epa.govt.nz/assets/FileAPI/proposal/NSP000045/External-advice-and-reports-External-reports/Key_Issues_Report_Plan_Change-8_Plan_Change_1_9_Oct_2020.pdf</w:t>
              </w:r>
            </w:p>
            <w:p w14:paraId="269A270D" w14:textId="77777777" w:rsidR="00200E58" w:rsidRDefault="00200E58" w:rsidP="000F043E">
              <w:pPr>
                <w:pStyle w:val="Bibliography"/>
                <w:shd w:val="clear" w:color="auto" w:fill="DEEAF6" w:themeFill="accent5" w:themeFillTint="33"/>
                <w:ind w:left="720" w:hanging="720"/>
                <w:rPr>
                  <w:noProof/>
                </w:rPr>
              </w:pPr>
              <w:r>
                <w:rPr>
                  <w:noProof/>
                </w:rPr>
                <w:t>Minister for the Environment. (2019). Letter to ORC regarding investigation of freshwater management and allocation functions .</w:t>
              </w:r>
            </w:p>
            <w:p w14:paraId="02D8E954" w14:textId="77777777" w:rsidR="00200E58" w:rsidRDefault="00200E58" w:rsidP="000F043E">
              <w:pPr>
                <w:pStyle w:val="Bibliography"/>
                <w:shd w:val="clear" w:color="auto" w:fill="DEEAF6" w:themeFill="accent5" w:themeFillTint="33"/>
                <w:ind w:left="720" w:hanging="720"/>
                <w:rPr>
                  <w:noProof/>
                </w:rPr>
              </w:pPr>
              <w:r>
                <w:rPr>
                  <w:noProof/>
                </w:rPr>
                <w:t xml:space="preserve">Ministry for the Environment &amp; Stats NZ. (2018). </w:t>
              </w:r>
              <w:r>
                <w:rPr>
                  <w:i/>
                  <w:iCs/>
                  <w:noProof/>
                </w:rPr>
                <w:t>New Zealand's environmentla reporting series: Our air 2018.</w:t>
              </w:r>
              <w:r>
                <w:rPr>
                  <w:noProof/>
                </w:rPr>
                <w:t xml:space="preserve"> Wellington: Ministry for the Environment &amp; Stats NZ. Retrieved from https://www.mfe.govt.nz/sites/default/files/media/Environmental%20reporting/our-air-2018.pdf</w:t>
              </w:r>
            </w:p>
            <w:p w14:paraId="567BF98E" w14:textId="77777777" w:rsidR="00200E58" w:rsidRDefault="00200E58" w:rsidP="000F043E">
              <w:pPr>
                <w:pStyle w:val="Bibliography"/>
                <w:shd w:val="clear" w:color="auto" w:fill="DEEAF6" w:themeFill="accent5" w:themeFillTint="33"/>
                <w:ind w:left="720" w:hanging="720"/>
                <w:rPr>
                  <w:noProof/>
                </w:rPr>
              </w:pPr>
              <w:r>
                <w:rPr>
                  <w:noProof/>
                </w:rPr>
                <w:t xml:space="preserve">Ministry for the Environment &amp; Stats NZ. (2019). </w:t>
              </w:r>
              <w:r>
                <w:rPr>
                  <w:i/>
                  <w:iCs/>
                  <w:noProof/>
                </w:rPr>
                <w:t>Environment Aotearoa 2019.</w:t>
              </w:r>
              <w:r>
                <w:rPr>
                  <w:noProof/>
                </w:rPr>
                <w:t xml:space="preserve"> Wellington: Ministry for the Environment &amp; Stats NZ. Retrieved from http://www.mfe.govt.nz/sites/default/media/Environmental%reporting/environment-aotearoa-2019.pdf</w:t>
              </w:r>
            </w:p>
            <w:p w14:paraId="6D21A5B6" w14:textId="77777777" w:rsidR="00200E58" w:rsidRDefault="00200E58" w:rsidP="000F043E">
              <w:pPr>
                <w:pStyle w:val="Bibliography"/>
                <w:shd w:val="clear" w:color="auto" w:fill="DEEAF6" w:themeFill="accent5" w:themeFillTint="33"/>
                <w:ind w:left="720" w:hanging="720"/>
                <w:rPr>
                  <w:noProof/>
                </w:rPr>
              </w:pPr>
              <w:r>
                <w:rPr>
                  <w:noProof/>
                </w:rPr>
                <w:lastRenderedPageBreak/>
                <w:t xml:space="preserve">Ministry for the Environment &amp; Stats NZ. (2020). </w:t>
              </w:r>
              <w:r>
                <w:rPr>
                  <w:i/>
                  <w:iCs/>
                  <w:noProof/>
                </w:rPr>
                <w:t>Our freshwater 2020.</w:t>
              </w:r>
              <w:r>
                <w:rPr>
                  <w:noProof/>
                </w:rPr>
                <w:t xml:space="preserve"> Wellington: Ministry for the Environment &amp; Stats NZ. Retrieved from https://environment.govt.nz/assets/Publications/Files/our-freshwater-report-2020.pdf</w:t>
              </w:r>
            </w:p>
            <w:p w14:paraId="3EDF21E4" w14:textId="77777777" w:rsidR="00200E58" w:rsidRDefault="00200E58" w:rsidP="000F043E">
              <w:pPr>
                <w:pStyle w:val="Bibliography"/>
                <w:shd w:val="clear" w:color="auto" w:fill="DEEAF6" w:themeFill="accent5" w:themeFillTint="33"/>
                <w:ind w:left="720" w:hanging="720"/>
                <w:rPr>
                  <w:noProof/>
                </w:rPr>
              </w:pPr>
              <w:r>
                <w:rPr>
                  <w:noProof/>
                </w:rPr>
                <w:t xml:space="preserve">Ministry for the Environment. (2017). </w:t>
              </w:r>
              <w:r>
                <w:rPr>
                  <w:i/>
                  <w:iCs/>
                  <w:noProof/>
                </w:rPr>
                <w:t>A guide to section 32 of the Resource Management Act: incorporating changes as a result of the Resource Legislation Amendments Act 2017.</w:t>
              </w:r>
              <w:r>
                <w:rPr>
                  <w:noProof/>
                </w:rPr>
                <w:t xml:space="preserve"> Wellington: Ministry for the Environment. Retrieved from https://www.mfe.govt.nz/sites/default/files/media/RMA/guide-to-section-32-of-resource-manangemnt-amendment-act-1991.pdf</w:t>
              </w:r>
            </w:p>
            <w:p w14:paraId="1123FB87" w14:textId="77777777" w:rsidR="00200E58" w:rsidRDefault="00200E58" w:rsidP="000F043E">
              <w:pPr>
                <w:pStyle w:val="Bibliography"/>
                <w:shd w:val="clear" w:color="auto" w:fill="DEEAF6" w:themeFill="accent5" w:themeFillTint="33"/>
                <w:ind w:left="720" w:hanging="720"/>
                <w:rPr>
                  <w:noProof/>
                </w:rPr>
              </w:pPr>
              <w:r>
                <w:rPr>
                  <w:noProof/>
                </w:rPr>
                <w:t xml:space="preserve">Ministry for the Environment. (2020, August 19). </w:t>
              </w:r>
              <w:r>
                <w:rPr>
                  <w:i/>
                  <w:iCs/>
                  <w:noProof/>
                </w:rPr>
                <w:t>National direction instruments under the Resource Management Act 1991</w:t>
              </w:r>
              <w:r>
                <w:rPr>
                  <w:noProof/>
                </w:rPr>
                <w:t>. Retrieved from Ministry for the Environment: https://www.mfe.govt.nz/rma/national-direction/national-direction-instruments</w:t>
              </w:r>
            </w:p>
            <w:p w14:paraId="2C751966" w14:textId="77777777" w:rsidR="00200E58" w:rsidRDefault="00200E58" w:rsidP="000F043E">
              <w:pPr>
                <w:pStyle w:val="Bibliography"/>
                <w:shd w:val="clear" w:color="auto" w:fill="DEEAF6" w:themeFill="accent5" w:themeFillTint="33"/>
                <w:ind w:left="720" w:hanging="720"/>
                <w:rPr>
                  <w:noProof/>
                </w:rPr>
              </w:pPr>
              <w:r>
                <w:rPr>
                  <w:noProof/>
                </w:rPr>
                <w:t xml:space="preserve">Ministry for the Environment. (2020). </w:t>
              </w:r>
              <w:r>
                <w:rPr>
                  <w:i/>
                  <w:iCs/>
                  <w:noProof/>
                </w:rPr>
                <w:t>Regulatory impact analysis: Action for healthy waterways - Part II: Detailed analysis.</w:t>
              </w:r>
              <w:r>
                <w:rPr>
                  <w:noProof/>
                </w:rPr>
                <w:t xml:space="preserve"> Wellington: Ministry for the Environment. Retrieved from https://www.mfe.govt.nz/sites/default/files/media/Legislation/RIS/essential-freshwater-ria-part-II-detailed-analysis.docx</w:t>
              </w:r>
            </w:p>
            <w:p w14:paraId="235C301A" w14:textId="77777777" w:rsidR="00200E58" w:rsidRDefault="00200E58" w:rsidP="000F043E">
              <w:pPr>
                <w:pStyle w:val="Bibliography"/>
                <w:shd w:val="clear" w:color="auto" w:fill="DEEAF6" w:themeFill="accent5" w:themeFillTint="33"/>
                <w:ind w:left="720" w:hanging="720"/>
                <w:rPr>
                  <w:noProof/>
                </w:rPr>
              </w:pPr>
              <w:r>
                <w:rPr>
                  <w:noProof/>
                </w:rPr>
                <w:t xml:space="preserve">Ministry of Business, Innovation &amp; Employment. (2020). </w:t>
              </w:r>
              <w:r>
                <w:rPr>
                  <w:i/>
                  <w:iCs/>
                  <w:noProof/>
                </w:rPr>
                <w:t>Energy in New Zealand 2020.</w:t>
              </w:r>
              <w:r>
                <w:rPr>
                  <w:noProof/>
                </w:rPr>
                <w:t xml:space="preserve"> Wellington: Ministry of Business, Innovation &amp; Employment. Retrieved from https://www.mbie.govt.nz/dmsdocument/11679-energy-in-new-zealand-2020</w:t>
              </w:r>
            </w:p>
            <w:p w14:paraId="22AE2B51" w14:textId="77777777" w:rsidR="00200E58" w:rsidRDefault="00200E58" w:rsidP="000F043E">
              <w:pPr>
                <w:pStyle w:val="Bibliography"/>
                <w:shd w:val="clear" w:color="auto" w:fill="DEEAF6" w:themeFill="accent5" w:themeFillTint="33"/>
                <w:ind w:left="720" w:hanging="720"/>
                <w:rPr>
                  <w:noProof/>
                </w:rPr>
              </w:pPr>
              <w:r>
                <w:rPr>
                  <w:noProof/>
                </w:rPr>
                <w:t xml:space="preserve">Moyle, J. (2020). </w:t>
              </w:r>
              <w:r>
                <w:rPr>
                  <w:i/>
                  <w:iCs/>
                  <w:noProof/>
                </w:rPr>
                <w:t>Regional policy statement heritage advice - Otago Regional Council.</w:t>
              </w:r>
              <w:r>
                <w:rPr>
                  <w:noProof/>
                </w:rPr>
                <w:t xml:space="preserve"> Dunedin: Origin Consultants.</w:t>
              </w:r>
            </w:p>
            <w:p w14:paraId="0EC07C0D" w14:textId="77777777" w:rsidR="00200E58" w:rsidRDefault="00200E58" w:rsidP="000F043E">
              <w:pPr>
                <w:pStyle w:val="Bibliography"/>
                <w:shd w:val="clear" w:color="auto" w:fill="DEEAF6" w:themeFill="accent5" w:themeFillTint="33"/>
                <w:ind w:left="720" w:hanging="720"/>
                <w:rPr>
                  <w:noProof/>
                </w:rPr>
              </w:pPr>
              <w:r>
                <w:rPr>
                  <w:noProof/>
                </w:rPr>
                <w:t xml:space="preserve">Moyle, J. (2020). </w:t>
              </w:r>
              <w:r>
                <w:rPr>
                  <w:i/>
                  <w:iCs/>
                  <w:noProof/>
                </w:rPr>
                <w:t>Regional policy statement heritage advice - Otago Regional Council.</w:t>
              </w:r>
              <w:r>
                <w:rPr>
                  <w:noProof/>
                </w:rPr>
                <w:t xml:space="preserve"> Dunedin: Origin Consultants.</w:t>
              </w:r>
            </w:p>
            <w:p w14:paraId="0963A5FD" w14:textId="77777777" w:rsidR="00200E58" w:rsidRDefault="00200E58" w:rsidP="000F043E">
              <w:pPr>
                <w:pStyle w:val="Bibliography"/>
                <w:shd w:val="clear" w:color="auto" w:fill="DEEAF6" w:themeFill="accent5" w:themeFillTint="33"/>
                <w:ind w:left="720" w:hanging="720"/>
                <w:rPr>
                  <w:noProof/>
                </w:rPr>
              </w:pPr>
              <w:r>
                <w:rPr>
                  <w:noProof/>
                </w:rPr>
                <w:t xml:space="preserve">Mueller et al. (2019). Economic and ecosystem costs and benefits of alternative land use and management scenarios in Lake Rotorua, New Zealand, catchment. </w:t>
              </w:r>
              <w:r>
                <w:rPr>
                  <w:i/>
                  <w:iCs/>
                  <w:noProof/>
                </w:rPr>
                <w:t>Global Environmental Change 54</w:t>
              </w:r>
              <w:r>
                <w:rPr>
                  <w:noProof/>
                </w:rPr>
                <w:t>, 102-112.</w:t>
              </w:r>
            </w:p>
            <w:p w14:paraId="4EE39547" w14:textId="77777777" w:rsidR="00200E58" w:rsidRDefault="00200E58" w:rsidP="000F043E">
              <w:pPr>
                <w:pStyle w:val="Bibliography"/>
                <w:shd w:val="clear" w:color="auto" w:fill="DEEAF6" w:themeFill="accent5" w:themeFillTint="33"/>
                <w:ind w:left="720" w:hanging="720"/>
                <w:rPr>
                  <w:noProof/>
                </w:rPr>
              </w:pPr>
              <w:r>
                <w:rPr>
                  <w:noProof/>
                </w:rPr>
                <w:t xml:space="preserve">New Zealand Government. (2019, July 19). </w:t>
              </w:r>
              <w:r>
                <w:rPr>
                  <w:i/>
                  <w:iCs/>
                  <w:noProof/>
                </w:rPr>
                <w:t>NZ embracing renewable electricity future</w:t>
              </w:r>
              <w:r>
                <w:rPr>
                  <w:noProof/>
                </w:rPr>
                <w:t>. Retrieved from Beehive.govt.nz: https://www.beehive.govt.nz/release/nz-embracing-renewable-electricity-future</w:t>
              </w:r>
            </w:p>
            <w:p w14:paraId="0BE2B1BE" w14:textId="77777777" w:rsidR="00200E58" w:rsidRDefault="00200E58" w:rsidP="000F043E">
              <w:pPr>
                <w:pStyle w:val="Bibliography"/>
                <w:shd w:val="clear" w:color="auto" w:fill="DEEAF6" w:themeFill="accent5" w:themeFillTint="33"/>
                <w:ind w:left="720" w:hanging="720"/>
                <w:rPr>
                  <w:noProof/>
                </w:rPr>
              </w:pPr>
              <w:r>
                <w:rPr>
                  <w:noProof/>
                </w:rPr>
                <w:t xml:space="preserve">New Zealand Institute of Landscape Architects. (2010). </w:t>
              </w:r>
              <w:r>
                <w:rPr>
                  <w:i/>
                  <w:iCs/>
                  <w:noProof/>
                </w:rPr>
                <w:t>Best practice note: Landscape assessment and sustainable management 10.1.</w:t>
              </w:r>
              <w:r>
                <w:rPr>
                  <w:noProof/>
                </w:rPr>
                <w:t xml:space="preserve"> Wellington: New Zealand Institute of Landscape Architects. Retrieved from https://nzila.co.nz/media/uploads/2017_01/nzila_ldas_v3.pdf</w:t>
              </w:r>
            </w:p>
            <w:p w14:paraId="12C97D8C" w14:textId="77777777" w:rsidR="00200E58" w:rsidRDefault="00200E58" w:rsidP="000F043E">
              <w:pPr>
                <w:pStyle w:val="Bibliography"/>
                <w:shd w:val="clear" w:color="auto" w:fill="DEEAF6" w:themeFill="accent5" w:themeFillTint="33"/>
                <w:ind w:left="720" w:hanging="720"/>
                <w:rPr>
                  <w:noProof/>
                </w:rPr>
              </w:pPr>
              <w:r>
                <w:rPr>
                  <w:noProof/>
                </w:rPr>
                <w:t>ORC. (2018, June 13). An assessment of the Clean Heat Clean Air program's effectiveness. Tehcnical Committee Report.</w:t>
              </w:r>
            </w:p>
            <w:p w14:paraId="56E22E30" w14:textId="77777777" w:rsidR="00200E58" w:rsidRDefault="00200E58" w:rsidP="000F043E">
              <w:pPr>
                <w:pStyle w:val="Bibliography"/>
                <w:shd w:val="clear" w:color="auto" w:fill="DEEAF6" w:themeFill="accent5" w:themeFillTint="33"/>
                <w:ind w:left="720" w:hanging="720"/>
                <w:rPr>
                  <w:noProof/>
                </w:rPr>
              </w:pPr>
              <w:r>
                <w:rPr>
                  <w:noProof/>
                </w:rPr>
                <w:t>Otago Regional Airshed Notice. (2005, December 8). New Zealand Gazette, No 2005-go8236.</w:t>
              </w:r>
            </w:p>
            <w:p w14:paraId="3E12C878" w14:textId="77777777" w:rsidR="00200E58" w:rsidRDefault="00200E58" w:rsidP="000F043E">
              <w:pPr>
                <w:pStyle w:val="Bibliography"/>
                <w:shd w:val="clear" w:color="auto" w:fill="DEEAF6" w:themeFill="accent5" w:themeFillTint="33"/>
                <w:ind w:left="720" w:hanging="720"/>
                <w:rPr>
                  <w:noProof/>
                </w:rPr>
              </w:pPr>
              <w:r>
                <w:rPr>
                  <w:noProof/>
                </w:rPr>
                <w:t xml:space="preserve">Otago Regional Council. (2020). </w:t>
              </w:r>
              <w:r>
                <w:rPr>
                  <w:i/>
                  <w:iCs/>
                  <w:noProof/>
                </w:rPr>
                <w:t>Section 32 evaluation report for Plan Changes 8 and 1.</w:t>
              </w:r>
              <w:r>
                <w:rPr>
                  <w:noProof/>
                </w:rPr>
                <w:t xml:space="preserve"> Dunedin: Otago Regional Council. Retrieved from https://environmentcourt.govt.nz/assets/Documents/Publications/2020-04-09-Plan-Changes-1-8-s-32-Evaluation-Report.pdf</w:t>
              </w:r>
            </w:p>
            <w:p w14:paraId="71A1860C" w14:textId="77777777" w:rsidR="00200E58" w:rsidRDefault="00200E58" w:rsidP="000F043E">
              <w:pPr>
                <w:pStyle w:val="Bibliography"/>
                <w:shd w:val="clear" w:color="auto" w:fill="DEEAF6" w:themeFill="accent5" w:themeFillTint="33"/>
                <w:ind w:left="720" w:hanging="720"/>
                <w:rPr>
                  <w:noProof/>
                </w:rPr>
              </w:pPr>
              <w:r>
                <w:rPr>
                  <w:noProof/>
                </w:rPr>
                <w:t xml:space="preserve">Otago Regional Council. (2020). </w:t>
              </w:r>
              <w:r>
                <w:rPr>
                  <w:i/>
                  <w:iCs/>
                  <w:noProof/>
                </w:rPr>
                <w:t>Water quality in Otago.</w:t>
              </w:r>
              <w:r>
                <w:rPr>
                  <w:noProof/>
                </w:rPr>
                <w:t xml:space="preserve"> Dunedin: Otago Regional Council. Retrieved from https://environmentcourt.govt.nz/assets/Documents/Publications/Water-quality-in-Otago-July-2015-to-June-2020.pdf: </w:t>
              </w:r>
              <w:r>
                <w:rPr>
                  <w:noProof/>
                </w:rPr>
                <w:lastRenderedPageBreak/>
                <w:t>https://environmentcourt.govt.nz/assets/Documents/Publications/Water-quality-in-Otago-July-2015-to-June-2020.pdf</w:t>
              </w:r>
            </w:p>
            <w:p w14:paraId="5CA06E1F" w14:textId="77777777" w:rsidR="00200E58" w:rsidRDefault="00200E58" w:rsidP="000F043E">
              <w:pPr>
                <w:pStyle w:val="Bibliography"/>
                <w:shd w:val="clear" w:color="auto" w:fill="DEEAF6" w:themeFill="accent5" w:themeFillTint="33"/>
                <w:ind w:left="720" w:hanging="720"/>
                <w:rPr>
                  <w:noProof/>
                </w:rPr>
              </w:pPr>
              <w:r>
                <w:rPr>
                  <w:noProof/>
                </w:rPr>
                <w:t xml:space="preserve">Quality Planning. (2013). </w:t>
              </w:r>
              <w:r>
                <w:rPr>
                  <w:i/>
                  <w:iCs/>
                  <w:noProof/>
                </w:rPr>
                <w:t>Plan steps: writing provisions for regional and district plans.</w:t>
              </w:r>
              <w:r>
                <w:rPr>
                  <w:noProof/>
                </w:rPr>
                <w:t xml:space="preserve"> Wellington: Quality Planning. Retrieved from https://qualityplanning.org.nz/sites/default/files/2018-11/Writing%20Provisions%20for%20Plans.pdf</w:t>
              </w:r>
            </w:p>
            <w:p w14:paraId="11AD8D88" w14:textId="77777777" w:rsidR="00200E58" w:rsidRDefault="00200E58" w:rsidP="000F043E">
              <w:pPr>
                <w:pStyle w:val="Bibliography"/>
                <w:shd w:val="clear" w:color="auto" w:fill="DEEAF6" w:themeFill="accent5" w:themeFillTint="33"/>
                <w:ind w:left="720" w:hanging="720"/>
                <w:rPr>
                  <w:noProof/>
                </w:rPr>
              </w:pPr>
              <w:r>
                <w:rPr>
                  <w:noProof/>
                </w:rPr>
                <w:t>Rational Transport Soc Inc v New Zealand Transport Agency, CIV-2011-485-2259 (High Court December 15, 2011).</w:t>
              </w:r>
            </w:p>
            <w:p w14:paraId="4A1B4DF5" w14:textId="77777777" w:rsidR="00200E58" w:rsidRDefault="00200E58" w:rsidP="000F043E">
              <w:pPr>
                <w:pStyle w:val="Bibliography"/>
                <w:shd w:val="clear" w:color="auto" w:fill="DEEAF6" w:themeFill="accent5" w:themeFillTint="33"/>
                <w:ind w:left="720" w:hanging="720"/>
                <w:rPr>
                  <w:noProof/>
                </w:rPr>
              </w:pPr>
              <w:r>
                <w:rPr>
                  <w:noProof/>
                </w:rPr>
                <w:t xml:space="preserve">Shaping Our Future. (2019). </w:t>
              </w:r>
              <w:r>
                <w:rPr>
                  <w:i/>
                  <w:iCs/>
                  <w:noProof/>
                </w:rPr>
                <w:t>Upper Clutha Freshwater Taskforce Report.</w:t>
              </w:r>
              <w:r>
                <w:rPr>
                  <w:noProof/>
                </w:rPr>
                <w:t xml:space="preserve"> Queenstown: Shaping Our Future. Retrieved from https://www.shapingourfuture.org.nz/assets/Water-Forum/SoF-Final-Upper-Clutha-Freshwater-Report-2019.pdf</w:t>
              </w:r>
            </w:p>
            <w:p w14:paraId="148A88A6" w14:textId="77777777" w:rsidR="00200E58" w:rsidRDefault="00200E58" w:rsidP="000F043E">
              <w:pPr>
                <w:pStyle w:val="Bibliography"/>
                <w:shd w:val="clear" w:color="auto" w:fill="DEEAF6" w:themeFill="accent5" w:themeFillTint="33"/>
                <w:ind w:left="720" w:hanging="720"/>
                <w:rPr>
                  <w:noProof/>
                </w:rPr>
              </w:pPr>
              <w:r>
                <w:rPr>
                  <w:noProof/>
                </w:rPr>
                <w:t xml:space="preserve">Skelton, P. (2019). </w:t>
              </w:r>
              <w:r>
                <w:rPr>
                  <w:i/>
                  <w:iCs/>
                  <w:noProof/>
                </w:rPr>
                <w:t>Investigation of freshwater management and allocation functions at Otago Regional Council - report to the Minister for the Environment.</w:t>
              </w:r>
              <w:r>
                <w:rPr>
                  <w:noProof/>
                </w:rPr>
                <w:t xml:space="preserve"> Wellington: Ministry for the Environment.</w:t>
              </w:r>
            </w:p>
            <w:p w14:paraId="21A8F736" w14:textId="77777777" w:rsidR="00200E58" w:rsidRDefault="00200E58" w:rsidP="000F043E">
              <w:pPr>
                <w:pStyle w:val="Bibliography"/>
                <w:shd w:val="clear" w:color="auto" w:fill="DEEAF6" w:themeFill="accent5" w:themeFillTint="33"/>
                <w:ind w:left="720" w:hanging="720"/>
                <w:rPr>
                  <w:noProof/>
                </w:rPr>
              </w:pPr>
              <w:r>
                <w:rPr>
                  <w:noProof/>
                </w:rPr>
                <w:t>Statement of evidence of Tom de Pelsemaeker on behalf of Otago Regional Council, ENV-2020-CHC-127 (Environment Court December 7, 2020). Retrieved from https://environmentcourt.govt.nz/assets/Documents/Publications/2020-12-07-Statement-of-Evidence-of-Tom-de-Pelsemaeker-on-behalf-of-the-ORC.pdf</w:t>
              </w:r>
            </w:p>
            <w:p w14:paraId="6A20A137" w14:textId="77777777" w:rsidR="00200E58" w:rsidRDefault="00200E58" w:rsidP="000F043E">
              <w:pPr>
                <w:pStyle w:val="Bibliography"/>
                <w:shd w:val="clear" w:color="auto" w:fill="DEEAF6" w:themeFill="accent5" w:themeFillTint="33"/>
                <w:ind w:left="720" w:hanging="720"/>
                <w:rPr>
                  <w:noProof/>
                </w:rPr>
              </w:pPr>
              <w:r>
                <w:rPr>
                  <w:noProof/>
                </w:rPr>
                <w:t xml:space="preserve">Stats NZ. (2018, October 18). </w:t>
              </w:r>
              <w:r>
                <w:rPr>
                  <w:i/>
                  <w:iCs/>
                  <w:noProof/>
                </w:rPr>
                <w:t>Helath imapcts of PM10</w:t>
              </w:r>
              <w:r>
                <w:rPr>
                  <w:noProof/>
                </w:rPr>
                <w:t>. Retrieved from Stats NZ: http://www.stats.govt.nz/indicators/health-impacts-of-pm10</w:t>
              </w:r>
            </w:p>
            <w:p w14:paraId="00D5A994" w14:textId="77777777" w:rsidR="00200E58" w:rsidRDefault="00200E58" w:rsidP="000F043E">
              <w:pPr>
                <w:pStyle w:val="Bibliography"/>
                <w:shd w:val="clear" w:color="auto" w:fill="DEEAF6" w:themeFill="accent5" w:themeFillTint="33"/>
                <w:ind w:left="720" w:hanging="720"/>
                <w:rPr>
                  <w:noProof/>
                </w:rPr>
              </w:pPr>
              <w:r>
                <w:rPr>
                  <w:noProof/>
                </w:rPr>
                <w:t xml:space="preserve">Wildlands. (2017). </w:t>
              </w:r>
              <w:r>
                <w:rPr>
                  <w:i/>
                  <w:iCs/>
                  <w:noProof/>
                </w:rPr>
                <w:t>Strategic analysis of options to improve management of ecosystems and biodiversity for the Otago Region .</w:t>
              </w:r>
              <w:r>
                <w:rPr>
                  <w:noProof/>
                </w:rPr>
                <w:t xml:space="preserve"> Dunedin: Wildlands.</w:t>
              </w:r>
            </w:p>
            <w:p w14:paraId="1FD74A24" w14:textId="77777777" w:rsidR="00200E58" w:rsidRDefault="00200E58" w:rsidP="000F043E">
              <w:pPr>
                <w:pStyle w:val="Bibliography"/>
                <w:shd w:val="clear" w:color="auto" w:fill="DEEAF6" w:themeFill="accent5" w:themeFillTint="33"/>
                <w:ind w:left="720" w:hanging="720"/>
                <w:rPr>
                  <w:noProof/>
                </w:rPr>
              </w:pPr>
              <w:r>
                <w:rPr>
                  <w:noProof/>
                </w:rPr>
                <w:t xml:space="preserve">Wildlands. (2020a). </w:t>
              </w:r>
              <w:r>
                <w:rPr>
                  <w:i/>
                  <w:iCs/>
                  <w:noProof/>
                </w:rPr>
                <w:t>Mapping of significant habitats for indigneous fauna in terrestrial, freshwater and marine ecosystems in Otago Region.</w:t>
              </w:r>
              <w:r>
                <w:rPr>
                  <w:noProof/>
                </w:rPr>
                <w:t xml:space="preserve"> Dunedin: Wildlands.</w:t>
              </w:r>
            </w:p>
            <w:p w14:paraId="21440379" w14:textId="77777777" w:rsidR="00200E58" w:rsidRDefault="00200E58" w:rsidP="000F043E">
              <w:pPr>
                <w:pStyle w:val="Bibliography"/>
                <w:shd w:val="clear" w:color="auto" w:fill="DEEAF6" w:themeFill="accent5" w:themeFillTint="33"/>
                <w:ind w:left="720" w:hanging="720"/>
                <w:rPr>
                  <w:noProof/>
                </w:rPr>
              </w:pPr>
              <w:r>
                <w:rPr>
                  <w:noProof/>
                </w:rPr>
                <w:t xml:space="preserve">Wildlands. (2020b). </w:t>
              </w:r>
              <w:r>
                <w:rPr>
                  <w:i/>
                  <w:iCs/>
                  <w:noProof/>
                </w:rPr>
                <w:t>Mapping of potential natural ecosystems and current ecosystems in Otago Region.</w:t>
              </w:r>
              <w:r>
                <w:rPr>
                  <w:noProof/>
                </w:rPr>
                <w:t xml:space="preserve"> Dunedin: Wildlands.</w:t>
              </w:r>
            </w:p>
            <w:p w14:paraId="4946075F" w14:textId="77777777" w:rsidR="00200E58" w:rsidRDefault="00200E58" w:rsidP="000F043E">
              <w:pPr>
                <w:pStyle w:val="Bibliography"/>
                <w:shd w:val="clear" w:color="auto" w:fill="DEEAF6" w:themeFill="accent5" w:themeFillTint="33"/>
                <w:ind w:left="720" w:hanging="720"/>
                <w:rPr>
                  <w:noProof/>
                </w:rPr>
              </w:pPr>
              <w:r>
                <w:rPr>
                  <w:noProof/>
                </w:rPr>
                <w:t xml:space="preserve">Wildlands. (2021a). </w:t>
              </w:r>
              <w:r>
                <w:rPr>
                  <w:i/>
                  <w:iCs/>
                  <w:noProof/>
                </w:rPr>
                <w:t>Ecological advice on indigenous biodiversity provisions in the proposed Otago Regional Policy Statement.</w:t>
              </w:r>
              <w:r>
                <w:rPr>
                  <w:noProof/>
                </w:rPr>
                <w:t xml:space="preserve"> Dunedin: Wildlands.</w:t>
              </w:r>
            </w:p>
            <w:p w14:paraId="1E959181" w14:textId="77777777" w:rsidR="00200E58" w:rsidRDefault="00200E58" w:rsidP="000F043E">
              <w:pPr>
                <w:pStyle w:val="Bibliography"/>
                <w:shd w:val="clear" w:color="auto" w:fill="DEEAF6" w:themeFill="accent5" w:themeFillTint="33"/>
                <w:ind w:left="720" w:hanging="720"/>
                <w:rPr>
                  <w:noProof/>
                </w:rPr>
              </w:pPr>
              <w:r>
                <w:rPr>
                  <w:noProof/>
                </w:rPr>
                <w:t xml:space="preserve">Wildlands. (2021b). </w:t>
              </w:r>
              <w:r>
                <w:rPr>
                  <w:i/>
                  <w:iCs/>
                  <w:noProof/>
                </w:rPr>
                <w:t>An overview of the state of indigenous biodiversity in the Otago region.</w:t>
              </w:r>
              <w:r>
                <w:rPr>
                  <w:noProof/>
                </w:rPr>
                <w:t xml:space="preserve"> Dunedin: Wildlands.</w:t>
              </w:r>
            </w:p>
            <w:p w14:paraId="5267A9C6" w14:textId="1D5FDC55" w:rsidR="0057186E" w:rsidRDefault="0057186E" w:rsidP="000F043E">
              <w:pPr>
                <w:shd w:val="clear" w:color="auto" w:fill="DEEAF6" w:themeFill="accent5" w:themeFillTint="33"/>
              </w:pPr>
              <w:r>
                <w:rPr>
                  <w:b/>
                  <w:bCs/>
                  <w:noProof/>
                </w:rPr>
                <w:fldChar w:fldCharType="end"/>
              </w:r>
            </w:p>
          </w:sdtContent>
        </w:sdt>
      </w:sdtContent>
    </w:sdt>
    <w:p w14:paraId="759B146B" w14:textId="56AABA6F" w:rsidR="00611DC8" w:rsidRDefault="00611DC8" w:rsidP="000F043E">
      <w:pPr>
        <w:shd w:val="clear" w:color="auto" w:fill="DEEAF6" w:themeFill="accent5" w:themeFillTint="33"/>
        <w:spacing w:after="0" w:line="276" w:lineRule="auto"/>
        <w:ind w:left="567" w:hanging="567"/>
        <w:rPr>
          <w:rFonts w:cstheme="minorHAnsi"/>
        </w:rPr>
      </w:pPr>
    </w:p>
    <w:p w14:paraId="6EBF20EC" w14:textId="355EE68F" w:rsidR="004D5A98" w:rsidRDefault="004D5A98" w:rsidP="000F043E">
      <w:pPr>
        <w:shd w:val="clear" w:color="auto" w:fill="DEEAF6" w:themeFill="accent5" w:themeFillTint="33"/>
        <w:rPr>
          <w:rFonts w:cstheme="minorHAnsi"/>
        </w:rPr>
      </w:pPr>
      <w:r>
        <w:rPr>
          <w:rFonts w:cstheme="minorHAnsi"/>
        </w:rPr>
        <w:br w:type="page"/>
      </w:r>
    </w:p>
    <w:p w14:paraId="14BFDA49" w14:textId="37926924" w:rsidR="004D5A98" w:rsidRDefault="004D5A98" w:rsidP="007638FD">
      <w:pPr>
        <w:pStyle w:val="Heading1"/>
      </w:pPr>
      <w:bookmarkStart w:id="197" w:name="_Toc72507665"/>
      <w:r>
        <w:lastRenderedPageBreak/>
        <w:t>Appendices</w:t>
      </w:r>
      <w:bookmarkEnd w:id="197"/>
    </w:p>
    <w:p w14:paraId="792CC4FC" w14:textId="477E9732" w:rsidR="00555B6B" w:rsidRPr="00887D18" w:rsidRDefault="00887D18" w:rsidP="00813F30">
      <w:pPr>
        <w:spacing w:after="120"/>
        <w:ind w:left="1418" w:hanging="1418"/>
        <w:rPr>
          <w:i/>
          <w:iCs/>
          <w:noProof/>
        </w:rPr>
      </w:pPr>
      <w:r>
        <w:rPr>
          <w:i/>
          <w:iCs/>
          <w:noProof/>
        </w:rPr>
        <w:t>Provided as a separate document</w:t>
      </w:r>
    </w:p>
    <w:p w14:paraId="5CDD07C0" w14:textId="6207F500" w:rsidR="00B947E5" w:rsidRDefault="00B947E5">
      <w:pPr>
        <w:spacing w:after="0" w:line="276" w:lineRule="auto"/>
        <w:ind w:left="567" w:hanging="567"/>
      </w:pPr>
    </w:p>
    <w:p w14:paraId="35337B77" w14:textId="6207F500" w:rsidR="00BD08EF" w:rsidRDefault="00BD08EF">
      <w:pPr>
        <w:spacing w:after="0" w:line="276" w:lineRule="auto"/>
        <w:ind w:left="567" w:hanging="567"/>
      </w:pPr>
    </w:p>
    <w:p w14:paraId="58CB9E66" w14:textId="6207F500" w:rsidR="00465C34" w:rsidRDefault="00465C34">
      <w:pPr>
        <w:spacing w:after="0" w:line="276" w:lineRule="auto"/>
        <w:ind w:left="567" w:hanging="567"/>
      </w:pPr>
    </w:p>
    <w:sectPr w:rsidR="00465C34" w:rsidSect="00460B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99979" w14:textId="77777777" w:rsidR="00017F60" w:rsidRDefault="00017F60" w:rsidP="00A31364">
      <w:pPr>
        <w:spacing w:after="0" w:line="240" w:lineRule="auto"/>
      </w:pPr>
      <w:r>
        <w:separator/>
      </w:r>
    </w:p>
    <w:p w14:paraId="64918BB3" w14:textId="77777777" w:rsidR="00017F60" w:rsidRDefault="00017F60"/>
    <w:p w14:paraId="3EA93C93" w14:textId="77777777" w:rsidR="00017F60" w:rsidRDefault="00017F60"/>
    <w:p w14:paraId="7D85B87A" w14:textId="77777777" w:rsidR="00017F60" w:rsidRDefault="00017F60" w:rsidP="00486719"/>
    <w:p w14:paraId="0E0321CD" w14:textId="77777777" w:rsidR="00017F60" w:rsidRDefault="00017F60" w:rsidP="00961715"/>
    <w:p w14:paraId="29346428" w14:textId="77777777" w:rsidR="00017F60" w:rsidRDefault="00017F60" w:rsidP="00966EFA"/>
  </w:endnote>
  <w:endnote w:type="continuationSeparator" w:id="0">
    <w:p w14:paraId="5C28E1AA" w14:textId="77777777" w:rsidR="00017F60" w:rsidRDefault="00017F60" w:rsidP="00A31364">
      <w:pPr>
        <w:spacing w:after="0" w:line="240" w:lineRule="auto"/>
      </w:pPr>
      <w:r>
        <w:continuationSeparator/>
      </w:r>
    </w:p>
    <w:p w14:paraId="2766135F" w14:textId="77777777" w:rsidR="00017F60" w:rsidRDefault="00017F60"/>
    <w:p w14:paraId="1201EA79" w14:textId="77777777" w:rsidR="00017F60" w:rsidRDefault="00017F60"/>
    <w:p w14:paraId="6E8CD7F4" w14:textId="77777777" w:rsidR="00017F60" w:rsidRDefault="00017F60" w:rsidP="00486719"/>
    <w:p w14:paraId="2C45AE18" w14:textId="77777777" w:rsidR="00017F60" w:rsidRDefault="00017F60" w:rsidP="00961715"/>
    <w:p w14:paraId="08348B57" w14:textId="77777777" w:rsidR="00017F60" w:rsidRDefault="00017F60" w:rsidP="00966EFA"/>
  </w:endnote>
  <w:endnote w:type="continuationNotice" w:id="1">
    <w:p w14:paraId="360A26CB" w14:textId="77777777" w:rsidR="00017F60" w:rsidRDefault="00017F60">
      <w:pPr>
        <w:spacing w:after="0" w:line="240" w:lineRule="auto"/>
      </w:pPr>
    </w:p>
    <w:p w14:paraId="3E7F0F51" w14:textId="77777777" w:rsidR="00017F60" w:rsidRDefault="00017F60"/>
    <w:p w14:paraId="2B7B5A8A" w14:textId="77777777" w:rsidR="00017F60" w:rsidRDefault="00017F60" w:rsidP="00486719"/>
    <w:p w14:paraId="364D17E1" w14:textId="77777777" w:rsidR="00017F60" w:rsidRDefault="00017F60" w:rsidP="00961715"/>
    <w:p w14:paraId="4699F1F9" w14:textId="77777777" w:rsidR="00017F60" w:rsidRDefault="00017F60" w:rsidP="00966E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T1B0t00">
    <w:altName w:val="Calibri"/>
    <w:panose1 w:val="00000000000000000000"/>
    <w:charset w:val="00"/>
    <w:family w:val="auto"/>
    <w:notTrueType/>
    <w:pitch w:val="default"/>
    <w:sig w:usb0="00000003" w:usb1="00000000" w:usb2="00000000" w:usb3="00000000" w:csb0="00000001" w:csb1="00000000"/>
  </w:font>
  <w:font w:name="MBerkBo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2A7A16" w14:paraId="2103FAA8" w14:textId="77777777" w:rsidTr="54EA80C8">
      <w:tc>
        <w:tcPr>
          <w:tcW w:w="3009" w:type="dxa"/>
        </w:tcPr>
        <w:p w14:paraId="65E6A7F5" w14:textId="0E0F7F74" w:rsidR="002A7A16" w:rsidRDefault="002A7A16" w:rsidP="54EA80C8">
          <w:pPr>
            <w:pStyle w:val="Header"/>
            <w:ind w:left="-115"/>
          </w:pPr>
        </w:p>
      </w:tc>
      <w:tc>
        <w:tcPr>
          <w:tcW w:w="3009" w:type="dxa"/>
        </w:tcPr>
        <w:p w14:paraId="794382D6" w14:textId="512C9368" w:rsidR="002A7A16" w:rsidRDefault="002A7A16" w:rsidP="54EA80C8">
          <w:pPr>
            <w:pStyle w:val="Header"/>
            <w:jc w:val="center"/>
          </w:pPr>
        </w:p>
      </w:tc>
      <w:tc>
        <w:tcPr>
          <w:tcW w:w="3009" w:type="dxa"/>
        </w:tcPr>
        <w:p w14:paraId="3E0DA33D" w14:textId="23F5CF50" w:rsidR="002A7A16" w:rsidRDefault="002A7A16" w:rsidP="54EA80C8">
          <w:pPr>
            <w:pStyle w:val="Header"/>
            <w:ind w:right="-115"/>
            <w:jc w:val="right"/>
          </w:pPr>
        </w:p>
      </w:tc>
    </w:tr>
  </w:tbl>
  <w:p w14:paraId="53599865" w14:textId="4B1E8189" w:rsidR="002A7A16" w:rsidRDefault="002A7A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FE04B" w14:textId="4BE8E22A" w:rsidR="002A7A16" w:rsidRPr="00016051" w:rsidRDefault="002A7A16" w:rsidP="00BA45DC">
    <w:pPr>
      <w:pStyle w:val="Footer"/>
      <w:rPr>
        <w:rFonts w:asciiTheme="majorHAnsi" w:hAnsiTheme="majorHAnsi" w:cstheme="majorHAnsi"/>
        <w:sz w:val="18"/>
        <w:szCs w:val="18"/>
      </w:rPr>
    </w:pPr>
  </w:p>
  <w:p w14:paraId="7E942D97" w14:textId="54481B9D" w:rsidR="002A7A16" w:rsidRPr="00016051" w:rsidRDefault="002A7A16" w:rsidP="0035012C">
    <w:pPr>
      <w:pStyle w:val="Footer"/>
      <w:jc w:val="right"/>
      <w:rPr>
        <w:rFonts w:asciiTheme="majorHAnsi" w:hAnsiTheme="majorHAnsi" w:cstheme="maj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9E357" w14:textId="77777777" w:rsidR="002A7A16" w:rsidRPr="00016051" w:rsidRDefault="002A7A16" w:rsidP="00442EBE">
    <w:pPr>
      <w:pStyle w:val="Footer"/>
      <w:rPr>
        <w:rFonts w:asciiTheme="majorHAnsi" w:hAnsiTheme="majorHAnsi" w:cstheme="majorHAnsi"/>
        <w:sz w:val="18"/>
        <w:szCs w:val="18"/>
      </w:rPr>
    </w:pPr>
  </w:p>
  <w:p w14:paraId="209DED3F" w14:textId="1382F473" w:rsidR="002A7A16" w:rsidRPr="00611D5B" w:rsidRDefault="002A7A16" w:rsidP="00611D5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808388"/>
      <w:docPartObj>
        <w:docPartGallery w:val="Page Numbers (Bottom of Page)"/>
        <w:docPartUnique/>
      </w:docPartObj>
    </w:sdtPr>
    <w:sdtEndPr>
      <w:rPr>
        <w:noProof/>
      </w:rPr>
    </w:sdtEndPr>
    <w:sdtContent>
      <w:p w14:paraId="3FAA5F74" w14:textId="16B801CA" w:rsidR="002A7A16" w:rsidRDefault="002A7A16">
        <w:pPr>
          <w:pStyle w:val="Footer"/>
          <w:jc w:val="center"/>
        </w:pPr>
        <w:r w:rsidRPr="00EE6CC9">
          <w:rPr>
            <w:sz w:val="20"/>
            <w:szCs w:val="20"/>
          </w:rPr>
          <w:fldChar w:fldCharType="begin"/>
        </w:r>
        <w:r w:rsidRPr="00EE6CC9">
          <w:rPr>
            <w:sz w:val="20"/>
            <w:szCs w:val="20"/>
          </w:rPr>
          <w:instrText xml:space="preserve"> PAGE   \* MERGEFORMAT </w:instrText>
        </w:r>
        <w:r w:rsidRPr="00EE6CC9">
          <w:rPr>
            <w:sz w:val="20"/>
            <w:szCs w:val="20"/>
          </w:rPr>
          <w:fldChar w:fldCharType="separate"/>
        </w:r>
        <w:r w:rsidRPr="00EE6CC9">
          <w:rPr>
            <w:sz w:val="20"/>
            <w:szCs w:val="20"/>
          </w:rPr>
          <w:t>2</w:t>
        </w:r>
        <w:r w:rsidRPr="00EE6CC9">
          <w:rPr>
            <w:sz w:val="20"/>
            <w:szCs w:val="20"/>
          </w:rPr>
          <w:fldChar w:fldCharType="end"/>
        </w:r>
      </w:p>
    </w:sdtContent>
  </w:sdt>
  <w:p w14:paraId="309149CB" w14:textId="7665EFB8" w:rsidR="002A7A16" w:rsidRPr="00016051" w:rsidRDefault="002A7A16" w:rsidP="00BA45DC">
    <w:pPr>
      <w:pStyle w:val="Footer"/>
      <w:rPr>
        <w:rFonts w:asciiTheme="majorHAnsi" w:hAnsiTheme="majorHAnsi" w:cstheme="majorHAns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715779"/>
      <w:docPartObj>
        <w:docPartGallery w:val="Page Numbers (Bottom of Page)"/>
        <w:docPartUnique/>
      </w:docPartObj>
    </w:sdtPr>
    <w:sdtEndPr>
      <w:rPr>
        <w:noProof/>
        <w:sz w:val="20"/>
        <w:szCs w:val="20"/>
      </w:rPr>
    </w:sdtEndPr>
    <w:sdtContent>
      <w:p w14:paraId="513BE7C5" w14:textId="21C62012" w:rsidR="002A7A16" w:rsidRPr="00EE6CC9" w:rsidRDefault="002A7A16">
        <w:pPr>
          <w:pStyle w:val="Footer"/>
          <w:jc w:val="center"/>
          <w:rPr>
            <w:sz w:val="20"/>
            <w:szCs w:val="20"/>
          </w:rPr>
        </w:pPr>
        <w:r w:rsidRPr="00EE6CC9">
          <w:rPr>
            <w:sz w:val="20"/>
            <w:szCs w:val="20"/>
          </w:rPr>
          <w:fldChar w:fldCharType="begin"/>
        </w:r>
        <w:r w:rsidRPr="00EE6CC9">
          <w:rPr>
            <w:sz w:val="20"/>
            <w:szCs w:val="20"/>
          </w:rPr>
          <w:instrText xml:space="preserve"> PAGE   \* MERGEFORMAT </w:instrText>
        </w:r>
        <w:r w:rsidRPr="00EE6CC9">
          <w:rPr>
            <w:sz w:val="20"/>
            <w:szCs w:val="20"/>
          </w:rPr>
          <w:fldChar w:fldCharType="separate"/>
        </w:r>
        <w:r w:rsidRPr="00EE6CC9">
          <w:rPr>
            <w:sz w:val="20"/>
            <w:szCs w:val="20"/>
          </w:rPr>
          <w:t>2</w:t>
        </w:r>
        <w:r w:rsidRPr="00EE6CC9">
          <w:rPr>
            <w:sz w:val="20"/>
            <w:szCs w:val="20"/>
          </w:rPr>
          <w:fldChar w:fldCharType="end"/>
        </w:r>
      </w:p>
    </w:sdtContent>
  </w:sdt>
  <w:p w14:paraId="6BE79F15" w14:textId="77777777" w:rsidR="002A7A16" w:rsidRDefault="002A7A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33927" w14:textId="77777777" w:rsidR="00017F60" w:rsidRDefault="00017F60" w:rsidP="0035012C">
      <w:pPr>
        <w:spacing w:after="0" w:line="240" w:lineRule="auto"/>
      </w:pPr>
      <w:r>
        <w:separator/>
      </w:r>
    </w:p>
  </w:footnote>
  <w:footnote w:type="continuationSeparator" w:id="0">
    <w:p w14:paraId="4029336A" w14:textId="77777777" w:rsidR="00017F60" w:rsidRDefault="00017F60" w:rsidP="00667AE0">
      <w:pPr>
        <w:spacing w:after="0" w:line="240" w:lineRule="auto"/>
      </w:pPr>
      <w:r>
        <w:continuationSeparator/>
      </w:r>
    </w:p>
  </w:footnote>
  <w:footnote w:type="continuationNotice" w:id="1">
    <w:p w14:paraId="0EE0111D" w14:textId="77777777" w:rsidR="00017F60" w:rsidRDefault="00017F60">
      <w:pPr>
        <w:spacing w:after="0" w:line="240" w:lineRule="auto"/>
      </w:pPr>
    </w:p>
    <w:p w14:paraId="44FD3A0F" w14:textId="77777777" w:rsidR="00017F60" w:rsidRDefault="00017F60"/>
    <w:p w14:paraId="41A937F4" w14:textId="77777777" w:rsidR="00017F60" w:rsidRDefault="00017F60" w:rsidP="00486719"/>
    <w:p w14:paraId="13D451B4" w14:textId="77777777" w:rsidR="00017F60" w:rsidRDefault="00017F60" w:rsidP="00961715"/>
    <w:p w14:paraId="534F137F" w14:textId="77777777" w:rsidR="00017F60" w:rsidRDefault="00017F60" w:rsidP="00966EFA"/>
  </w:footnote>
  <w:footnote w:id="2">
    <w:p w14:paraId="01797798" w14:textId="1A4D4337" w:rsidR="002A7A16" w:rsidRDefault="002A7A16" w:rsidP="00EA4BAC">
      <w:pPr>
        <w:pStyle w:val="FootnoteText"/>
        <w:ind w:left="284" w:hanging="284"/>
      </w:pPr>
      <w:r>
        <w:rPr>
          <w:rStyle w:val="FootnoteReference"/>
        </w:rPr>
        <w:footnoteRef/>
      </w:r>
      <w:r>
        <w:t xml:space="preserve"> See </w:t>
      </w:r>
      <w:hyperlink r:id="rId1" w:history="1">
        <w:r>
          <w:rPr>
            <w:rStyle w:val="Hyperlink"/>
          </w:rPr>
          <w:t>https://www.orc.govt.nz/plans-policies-reports/regional-plans-and-policies/regional-policy-statement/regional-policy-statement-review</w:t>
        </w:r>
      </w:hyperlink>
    </w:p>
  </w:footnote>
  <w:footnote w:id="3">
    <w:p w14:paraId="165D670D" w14:textId="28D17B85" w:rsidR="002A7A16" w:rsidRDefault="002A7A16">
      <w:pPr>
        <w:pStyle w:val="FootnoteText"/>
      </w:pPr>
      <w:r>
        <w:rPr>
          <w:rStyle w:val="FootnoteReference"/>
        </w:rPr>
        <w:footnoteRef/>
      </w:r>
      <w:r>
        <w:t xml:space="preserve"> Policy 4.3.7, Methods 3.1.6, 3.1.10, 3.1.18, 4.1.3, 4.1.22, 5.1.2, and the definitions of “port activity” and “ship”.</w:t>
      </w:r>
    </w:p>
  </w:footnote>
  <w:footnote w:id="4">
    <w:p w14:paraId="4860A46B" w14:textId="17BDDE02" w:rsidR="002A7A16" w:rsidRDefault="002A7A16">
      <w:pPr>
        <w:pStyle w:val="FootnoteText"/>
      </w:pPr>
      <w:r>
        <w:rPr>
          <w:rStyle w:val="FootnoteReference"/>
        </w:rPr>
        <w:footnoteRef/>
      </w:r>
      <w:r>
        <w:t xml:space="preserve"> </w:t>
      </w:r>
      <w:r w:rsidRPr="00863EC5">
        <w:rPr>
          <w:i/>
        </w:rPr>
        <w:t>Alliance Group Limited v Otago Regional Council</w:t>
      </w:r>
      <w:r>
        <w:t xml:space="preserve"> [2019] </w:t>
      </w:r>
      <w:proofErr w:type="spellStart"/>
      <w:r>
        <w:t>NZEnvC</w:t>
      </w:r>
      <w:proofErr w:type="spellEnd"/>
      <w:r>
        <w:t xml:space="preserve"> 42 at [8].</w:t>
      </w:r>
    </w:p>
  </w:footnote>
  <w:footnote w:id="5">
    <w:p w14:paraId="1035626B" w14:textId="77777777" w:rsidR="002A7A16" w:rsidRDefault="002A7A16" w:rsidP="00A172C5">
      <w:pPr>
        <w:pStyle w:val="FootnoteText"/>
      </w:pPr>
      <w:r>
        <w:rPr>
          <w:rStyle w:val="FootnoteReference"/>
        </w:rPr>
        <w:footnoteRef/>
      </w:r>
      <w:r>
        <w:t xml:space="preserve"> </w:t>
      </w:r>
      <w:r w:rsidRPr="00022AE7">
        <w:t>https://www.beehive.govt.nz/release/rma-be-repealed-and-replaced</w:t>
      </w:r>
    </w:p>
  </w:footnote>
  <w:footnote w:id="6">
    <w:p w14:paraId="1D560CA4" w14:textId="77777777" w:rsidR="002A7A16" w:rsidRDefault="002A7A16" w:rsidP="003061FB">
      <w:pPr>
        <w:pStyle w:val="FootnoteText"/>
      </w:pPr>
      <w:r>
        <w:rPr>
          <w:rStyle w:val="FootnoteReference"/>
        </w:rPr>
        <w:footnoteRef/>
      </w:r>
      <w:r>
        <w:t xml:space="preserve"> Clause 5, Schedule 1 to the RMA</w:t>
      </w:r>
    </w:p>
  </w:footnote>
  <w:footnote w:id="7">
    <w:p w14:paraId="003B66D6" w14:textId="34F0629F" w:rsidR="002A7A16" w:rsidRDefault="002A7A16">
      <w:pPr>
        <w:pStyle w:val="FootnoteText"/>
      </w:pPr>
      <w:r>
        <w:rPr>
          <w:rStyle w:val="FootnoteReference"/>
        </w:rPr>
        <w:footnoteRef/>
      </w:r>
      <w:r>
        <w:t xml:space="preserve"> As described in section 5 of the Te </w:t>
      </w:r>
      <w:proofErr w:type="spellStart"/>
      <w:r>
        <w:t>Rūnanga</w:t>
      </w:r>
      <w:proofErr w:type="spellEnd"/>
      <w:r>
        <w:t xml:space="preserve"> o Ngāi </w:t>
      </w:r>
      <w:proofErr w:type="spellStart"/>
      <w:r>
        <w:t>Tahu</w:t>
      </w:r>
      <w:proofErr w:type="spellEnd"/>
      <w:r>
        <w:t xml:space="preserve"> Act 1996.</w:t>
      </w:r>
    </w:p>
  </w:footnote>
  <w:footnote w:id="8">
    <w:p w14:paraId="0DC4860D" w14:textId="57BDEE5F" w:rsidR="002A7A16" w:rsidRDefault="002A7A16">
      <w:pPr>
        <w:pStyle w:val="FootnoteText"/>
      </w:pPr>
      <w:r>
        <w:rPr>
          <w:rStyle w:val="FootnoteReference"/>
        </w:rPr>
        <w:footnoteRef/>
      </w:r>
      <w:r>
        <w:t xml:space="preserve"> See </w:t>
      </w:r>
      <w:hyperlink r:id="rId2" w:history="1">
        <w:r>
          <w:rPr>
            <w:rStyle w:val="Hyperlink"/>
          </w:rPr>
          <w:t>https://www.orc.govt.nz/media/8479/rps-reference-groups-tor.pdf</w:t>
        </w:r>
      </w:hyperlink>
    </w:p>
  </w:footnote>
  <w:footnote w:id="9">
    <w:p w14:paraId="78F68533" w14:textId="2A717F69" w:rsidR="002A7A16" w:rsidRDefault="002A7A16" w:rsidP="008945B5">
      <w:pPr>
        <w:pStyle w:val="FootnoteText"/>
        <w:ind w:left="142" w:hanging="142"/>
      </w:pPr>
      <w:r>
        <w:rPr>
          <w:rStyle w:val="FootnoteReference"/>
        </w:rPr>
        <w:footnoteRef/>
      </w:r>
      <w:r>
        <w:t xml:space="preserve"> The 11 topics to which the Groups corresponded were: Urban form and development; air; hazards and risks; historical and cultural values; natural character; natural features and landscapes; coastal environment; integrated management; energy, </w:t>
      </w:r>
      <w:proofErr w:type="gramStart"/>
      <w:r>
        <w:t>infrastructure</w:t>
      </w:r>
      <w:proofErr w:type="gramEnd"/>
      <w:r>
        <w:t xml:space="preserve"> and transport; land and freshwater; ecosystems and indigenous biodiversity. </w:t>
      </w:r>
    </w:p>
  </w:footnote>
  <w:footnote w:id="10">
    <w:p w14:paraId="612315DC" w14:textId="1E315EAE" w:rsidR="002A7A16" w:rsidRDefault="002A7A16">
      <w:pPr>
        <w:pStyle w:val="FootnoteText"/>
      </w:pPr>
      <w:r>
        <w:rPr>
          <w:rStyle w:val="FootnoteReference"/>
        </w:rPr>
        <w:footnoteRef/>
      </w:r>
      <w:r>
        <w:t xml:space="preserve"> Some members were not able to attend the workshops but provided feedback separately.</w:t>
      </w:r>
    </w:p>
  </w:footnote>
  <w:footnote w:id="11">
    <w:p w14:paraId="0AEFE188" w14:textId="69A80D5F" w:rsidR="002A7A16" w:rsidRDefault="002A7A16">
      <w:pPr>
        <w:pStyle w:val="FootnoteText"/>
      </w:pPr>
      <w:r>
        <w:rPr>
          <w:rStyle w:val="FootnoteReference"/>
        </w:rPr>
        <w:footnoteRef/>
      </w:r>
      <w:r>
        <w:t xml:space="preserve"> Clause 3.3(1) and (2)(a) of the NPSFM.</w:t>
      </w:r>
    </w:p>
  </w:footnote>
  <w:footnote w:id="12">
    <w:p w14:paraId="06661C8C" w14:textId="71D72BDA" w:rsidR="002A7A16" w:rsidRDefault="002A7A16">
      <w:pPr>
        <w:pStyle w:val="FootnoteText"/>
      </w:pPr>
      <w:r>
        <w:rPr>
          <w:rStyle w:val="FootnoteReference"/>
        </w:rPr>
        <w:footnoteRef/>
      </w:r>
      <w:r>
        <w:t xml:space="preserve"> Clause 3.3(2)(b) and (c) of the NPSFM.</w:t>
      </w:r>
    </w:p>
  </w:footnote>
  <w:footnote w:id="13">
    <w:p w14:paraId="357DE1D0" w14:textId="72B79F4F" w:rsidR="002A7A16" w:rsidRDefault="002A7A16">
      <w:pPr>
        <w:pStyle w:val="FootnoteText"/>
      </w:pPr>
      <w:r>
        <w:rPr>
          <w:rStyle w:val="FootnoteReference"/>
        </w:rPr>
        <w:footnoteRef/>
      </w:r>
      <w:r>
        <w:t xml:space="preserve"> Clause 3.3(3) of the NPSFM.</w:t>
      </w:r>
    </w:p>
  </w:footnote>
  <w:footnote w:id="14">
    <w:p w14:paraId="7DEE2AFD" w14:textId="7FD52D18" w:rsidR="002A7A16" w:rsidRDefault="002A7A16">
      <w:pPr>
        <w:pStyle w:val="FootnoteText"/>
      </w:pPr>
      <w:r>
        <w:rPr>
          <w:rStyle w:val="FootnoteReference"/>
        </w:rPr>
        <w:footnoteRef/>
      </w:r>
      <w:r>
        <w:t xml:space="preserve"> Section 62(1)(a), RMA.</w:t>
      </w:r>
    </w:p>
  </w:footnote>
  <w:footnote w:id="15">
    <w:p w14:paraId="3C0189A8" w14:textId="4B474882" w:rsidR="002A7A16" w:rsidRDefault="002A7A16">
      <w:pPr>
        <w:pStyle w:val="FootnoteText"/>
      </w:pPr>
      <w:r>
        <w:rPr>
          <w:rStyle w:val="FootnoteReference"/>
        </w:rPr>
        <w:footnoteRef/>
      </w:r>
      <w:r>
        <w:t xml:space="preserve"> Section 62(1)(b), RMA.</w:t>
      </w:r>
    </w:p>
  </w:footnote>
  <w:footnote w:id="16">
    <w:p w14:paraId="28E122BE" w14:textId="5A793F7D" w:rsidR="002A7A16" w:rsidRDefault="002A7A16">
      <w:pPr>
        <w:pStyle w:val="FootnoteText"/>
      </w:pPr>
      <w:r>
        <w:rPr>
          <w:rStyle w:val="FootnoteReference"/>
        </w:rPr>
        <w:footnoteRef/>
      </w:r>
      <w:r>
        <w:t xml:space="preserve"> Section 62(1)(a) f</w:t>
      </w:r>
    </w:p>
  </w:footnote>
  <w:footnote w:id="17">
    <w:p w14:paraId="05E0D7BF" w14:textId="7C0F19CA" w:rsidR="002A7A16" w:rsidRDefault="002A7A16">
      <w:pPr>
        <w:pStyle w:val="FootnoteText"/>
      </w:pPr>
      <w:r>
        <w:rPr>
          <w:rStyle w:val="FootnoteReference"/>
        </w:rPr>
        <w:footnoteRef/>
      </w:r>
      <w:r>
        <w:t xml:space="preserve"> See objective 5.5.3(vi) of the Kāi </w:t>
      </w:r>
      <w:proofErr w:type="spellStart"/>
      <w:r>
        <w:t>Tahu</w:t>
      </w:r>
      <w:proofErr w:type="spellEnd"/>
      <w:r>
        <w:t xml:space="preserve"> ki Otago Natural Resources Management Plan 2005.</w:t>
      </w:r>
    </w:p>
  </w:footnote>
  <w:footnote w:id="18">
    <w:p w14:paraId="71D4C016" w14:textId="2A577973" w:rsidR="002A7A16" w:rsidRDefault="002A7A16">
      <w:pPr>
        <w:pStyle w:val="FootnoteText"/>
      </w:pPr>
      <w:r>
        <w:rPr>
          <w:rStyle w:val="FootnoteReference"/>
        </w:rPr>
        <w:footnoteRef/>
      </w:r>
      <w:r>
        <w:t xml:space="preserve"> See policies 3.3.1.4(8), 3.3.1.6(7), 3.4.12(4) and (5), 3.5.17(1) and (5), and 3.6.2(10) of Te Tangi a </w:t>
      </w:r>
      <w:proofErr w:type="spellStart"/>
      <w:r>
        <w:t>Tauira</w:t>
      </w:r>
      <w:proofErr w:type="spellEnd"/>
      <w:r>
        <w:t xml:space="preserve">. </w:t>
      </w:r>
    </w:p>
  </w:footnote>
  <w:footnote w:id="19">
    <w:p w14:paraId="33DEC753" w14:textId="65810132" w:rsidR="002A7A16" w:rsidRDefault="002A7A16">
      <w:pPr>
        <w:pStyle w:val="FootnoteText"/>
      </w:pPr>
      <w:r>
        <w:rPr>
          <w:rStyle w:val="FootnoteReference"/>
        </w:rPr>
        <w:footnoteRef/>
      </w:r>
      <w:r>
        <w:t xml:space="preserve"> See clause 1.3(4)(b) and (e) of the NPSFM.</w:t>
      </w:r>
    </w:p>
  </w:footnote>
  <w:footnote w:id="20">
    <w:p w14:paraId="27605804" w14:textId="0DFF743C" w:rsidR="002A7A16" w:rsidRDefault="002A7A16">
      <w:pPr>
        <w:pStyle w:val="FootnoteText"/>
      </w:pPr>
      <w:r>
        <w:rPr>
          <w:rStyle w:val="FootnoteReference"/>
        </w:rPr>
        <w:footnoteRef/>
      </w:r>
      <w:r>
        <w:t xml:space="preserve"> See section 7.3.1 of Te Mana o te Taiao: Aotearoa New Zealand Biodiversity Strategy 2020. </w:t>
      </w:r>
    </w:p>
  </w:footnote>
  <w:footnote w:id="21">
    <w:p w14:paraId="0CA7C2E2" w14:textId="5E4FD66D" w:rsidR="002A7A16" w:rsidRDefault="002A7A16">
      <w:pPr>
        <w:pStyle w:val="FootnoteText"/>
      </w:pPr>
      <w:r>
        <w:rPr>
          <w:rStyle w:val="FootnoteReference"/>
        </w:rPr>
        <w:footnoteRef/>
      </w:r>
      <w:r>
        <w:t xml:space="preserve"> Section 59 of the RMA.</w:t>
      </w:r>
    </w:p>
  </w:footnote>
  <w:footnote w:id="22">
    <w:p w14:paraId="04815022" w14:textId="77777777" w:rsidR="002A7A16" w:rsidRDefault="002A7A16" w:rsidP="004B4BAF">
      <w:pPr>
        <w:pStyle w:val="FootnoteText"/>
      </w:pPr>
      <w:r>
        <w:rPr>
          <w:rStyle w:val="FootnoteReference"/>
        </w:rPr>
        <w:footnoteRef/>
      </w:r>
      <w:r>
        <w:t xml:space="preserve"> Alexandra, Arrowtown, Cromwell, Clyde, Milton, Mosgiel and Dunedin. </w:t>
      </w:r>
    </w:p>
  </w:footnote>
  <w:footnote w:id="23">
    <w:p w14:paraId="6FEBE8B6" w14:textId="77777777" w:rsidR="002A7A16" w:rsidRDefault="002A7A16" w:rsidP="00D96871">
      <w:pPr>
        <w:pStyle w:val="FootnoteText"/>
      </w:pPr>
      <w:r>
        <w:rPr>
          <w:rStyle w:val="FootnoteReference"/>
        </w:rPr>
        <w:footnoteRef/>
      </w:r>
      <w:r>
        <w:t xml:space="preserve"> Policy 3.1.6, Policy 5.4.1, Policy 5.4.4, Policy 5.4.7, Method 2.1.4, Method 3.1.9, Method 5.1.3a, Method 5.2.1c, Method 6.2.</w:t>
      </w:r>
    </w:p>
  </w:footnote>
  <w:footnote w:id="24">
    <w:p w14:paraId="484B8F71" w14:textId="77777777" w:rsidR="002A7A16" w:rsidRDefault="002A7A16" w:rsidP="00D96871">
      <w:pPr>
        <w:pStyle w:val="FootnoteText"/>
      </w:pPr>
      <w:r>
        <w:rPr>
          <w:rStyle w:val="FootnoteReference"/>
        </w:rPr>
        <w:footnoteRef/>
      </w:r>
      <w:r>
        <w:t xml:space="preserve"> https://www.mitre10.co.nz/shop/metrofires-ultra-tiny-rad-uleb-wood-fire-package/p/379578</w:t>
      </w:r>
    </w:p>
  </w:footnote>
  <w:footnote w:id="25">
    <w:p w14:paraId="731A8294" w14:textId="7C17EF63" w:rsidR="002A7A16" w:rsidRPr="00C3104A" w:rsidRDefault="002A7A16">
      <w:pPr>
        <w:pStyle w:val="FootnoteText"/>
        <w:rPr>
          <w:lang w:val="en-GB"/>
        </w:rPr>
      </w:pPr>
      <w:r>
        <w:rPr>
          <w:rStyle w:val="FootnoteReference"/>
        </w:rPr>
        <w:footnoteRef/>
      </w:r>
      <w:r>
        <w:t xml:space="preserve"> </w:t>
      </w:r>
      <w:r>
        <w:rPr>
          <w:lang w:val="en-GB"/>
        </w:rPr>
        <w:t>Section 44</w:t>
      </w:r>
      <w:proofErr w:type="gramStart"/>
      <w:r>
        <w:rPr>
          <w:lang w:val="en-GB"/>
        </w:rPr>
        <w:t>A(</w:t>
      </w:r>
      <w:proofErr w:type="gramEnd"/>
      <w:r>
        <w:rPr>
          <w:lang w:val="en-GB"/>
        </w:rPr>
        <w:t>7) and 44A(8) of the RMA.</w:t>
      </w:r>
    </w:p>
  </w:footnote>
  <w:footnote w:id="26">
    <w:p w14:paraId="05A23C69" w14:textId="4D0C37DC" w:rsidR="002A7A16" w:rsidRDefault="002A7A16">
      <w:pPr>
        <w:pStyle w:val="FootnoteText"/>
      </w:pPr>
      <w:r>
        <w:rPr>
          <w:rStyle w:val="FootnoteReference"/>
        </w:rPr>
        <w:footnoteRef/>
      </w:r>
      <w:r>
        <w:t xml:space="preserve"> </w:t>
      </w:r>
      <w:r w:rsidRPr="005B1A24">
        <w:rPr>
          <w:rFonts w:asciiTheme="minorHAnsi" w:hAnsiTheme="minorHAnsi" w:cstheme="minorHAnsi"/>
        </w:rPr>
        <w:t>Section 6(d) of the RMA.</w:t>
      </w:r>
    </w:p>
  </w:footnote>
  <w:footnote w:id="27">
    <w:p w14:paraId="5DF0D8F0" w14:textId="77777777" w:rsidR="002A7A16" w:rsidRDefault="002A7A16" w:rsidP="00A718E9">
      <w:pPr>
        <w:pStyle w:val="FootnoteText"/>
      </w:pPr>
      <w:r>
        <w:rPr>
          <w:rStyle w:val="FootnoteReference"/>
        </w:rPr>
        <w:footnoteRef/>
      </w:r>
      <w:r>
        <w:t xml:space="preserve"> </w:t>
      </w:r>
      <w:r w:rsidRPr="00245BAC">
        <w:rPr>
          <w:rFonts w:asciiTheme="minorHAnsi" w:hAnsiTheme="minorHAnsi" w:cstheme="minorHAnsi"/>
          <w:szCs w:val="18"/>
        </w:rPr>
        <w:t>Policy 8 of the NZCPS 2010.</w:t>
      </w:r>
    </w:p>
  </w:footnote>
  <w:footnote w:id="28">
    <w:p w14:paraId="7F4BED82" w14:textId="77777777" w:rsidR="002A7A16" w:rsidRDefault="002A7A16" w:rsidP="00471176">
      <w:pPr>
        <w:pStyle w:val="FootnoteText"/>
        <w:rPr>
          <w:rFonts w:asciiTheme="minorHAnsi" w:hAnsiTheme="minorHAnsi" w:cstheme="minorBidi"/>
          <w:sz w:val="20"/>
        </w:rPr>
      </w:pPr>
      <w:r>
        <w:rPr>
          <w:rStyle w:val="FootnoteReference"/>
        </w:rPr>
        <w:footnoteRef/>
      </w:r>
      <w:r>
        <w:t xml:space="preserve"> Sourced from </w:t>
      </w:r>
      <w:proofErr w:type="spellStart"/>
      <w:r>
        <w:t>infometrics</w:t>
      </w:r>
      <w:proofErr w:type="spellEnd"/>
      <w:r>
        <w:t xml:space="preserve"> data portal as </w:t>
      </w:r>
      <w:proofErr w:type="gramStart"/>
      <w:r>
        <w:t>at</w:t>
      </w:r>
      <w:proofErr w:type="gramEnd"/>
      <w:r>
        <w:t xml:space="preserve"> March 2021 </w:t>
      </w:r>
    </w:p>
  </w:footnote>
  <w:footnote w:id="29">
    <w:p w14:paraId="1EE3904F" w14:textId="77777777" w:rsidR="002A7A16" w:rsidRDefault="002A7A16" w:rsidP="00471176">
      <w:pPr>
        <w:pStyle w:val="FootnoteText"/>
        <w:rPr>
          <w:rFonts w:asciiTheme="minorHAnsi" w:hAnsiTheme="minorHAnsi" w:cstheme="minorBidi"/>
          <w:sz w:val="20"/>
        </w:rPr>
      </w:pPr>
      <w:r>
        <w:rPr>
          <w:rStyle w:val="FootnoteReference"/>
        </w:rPr>
        <w:footnoteRef/>
      </w:r>
      <w:r>
        <w:t xml:space="preserve"> Primary industries include agriculture, forestry, fishing, and mining.</w:t>
      </w:r>
    </w:p>
  </w:footnote>
  <w:footnote w:id="30">
    <w:p w14:paraId="0A475DC2" w14:textId="461FC9CB" w:rsidR="002A7A16" w:rsidRDefault="002A7A16">
      <w:pPr>
        <w:pStyle w:val="FootnoteText"/>
      </w:pPr>
      <w:r>
        <w:rPr>
          <w:rStyle w:val="FootnoteReference"/>
        </w:rPr>
        <w:footnoteRef/>
      </w:r>
      <w:r>
        <w:t xml:space="preserve"> Including licences under the Gold Fields Act 1862, Gold Fields Act 1866, Public Works Act 1876, Mining Act </w:t>
      </w:r>
      <w:proofErr w:type="gramStart"/>
      <w:r>
        <w:t>1891</w:t>
      </w:r>
      <w:proofErr w:type="gramEnd"/>
      <w:r>
        <w:t xml:space="preserve"> and the Mining Act 1926.</w:t>
      </w:r>
    </w:p>
  </w:footnote>
  <w:footnote w:id="31">
    <w:p w14:paraId="39C878C6" w14:textId="438F882B" w:rsidR="002A7A16" w:rsidRPr="00CF0878" w:rsidRDefault="002A7A16">
      <w:pPr>
        <w:pStyle w:val="FootnoteText"/>
        <w:rPr>
          <w:lang w:val="en-US"/>
        </w:rPr>
      </w:pPr>
      <w:r>
        <w:rPr>
          <w:rStyle w:val="FootnoteReference"/>
        </w:rPr>
        <w:footnoteRef/>
      </w:r>
      <w:r>
        <w:t xml:space="preserve"> </w:t>
      </w:r>
      <w:r>
        <w:rPr>
          <w:lang w:val="en-US"/>
        </w:rPr>
        <w:t>Plan Changes 7 (Water Permits) and 8 (Water Quality).</w:t>
      </w:r>
    </w:p>
  </w:footnote>
  <w:footnote w:id="32">
    <w:p w14:paraId="115C8A3F" w14:textId="78886BF9" w:rsidR="002A7A16" w:rsidRDefault="002A7A16">
      <w:pPr>
        <w:pStyle w:val="FootnoteText"/>
      </w:pPr>
      <w:r>
        <w:rPr>
          <w:rStyle w:val="FootnoteReference"/>
        </w:rPr>
        <w:footnoteRef/>
      </w:r>
      <w:r>
        <w:t xml:space="preserve"> As set out in clause 3.7(2)(b) to (f).</w:t>
      </w:r>
    </w:p>
  </w:footnote>
  <w:footnote w:id="33">
    <w:p w14:paraId="09587E67" w14:textId="6663C46B" w:rsidR="002A7A16" w:rsidRDefault="002A7A16">
      <w:pPr>
        <w:pStyle w:val="FootnoteText"/>
      </w:pPr>
      <w:r>
        <w:rPr>
          <w:rStyle w:val="FootnoteReference"/>
        </w:rPr>
        <w:footnoteRef/>
      </w:r>
      <w:r>
        <w:t xml:space="preserve"> </w:t>
      </w:r>
      <w:proofErr w:type="spellStart"/>
      <w:r w:rsidRPr="00CD039B">
        <w:t>Oceana</w:t>
      </w:r>
      <w:proofErr w:type="spellEnd"/>
      <w:r w:rsidRPr="00CD039B">
        <w:t xml:space="preserve"> Gold (New Zealand) Limited vs</w:t>
      </w:r>
      <w:r>
        <w:t xml:space="preserve"> </w:t>
      </w:r>
      <w:r w:rsidRPr="00CD039B">
        <w:t xml:space="preserve">Otago Regional Council [2019] </w:t>
      </w:r>
      <w:proofErr w:type="spellStart"/>
      <w:r w:rsidRPr="00CD039B">
        <w:t>NZEnvC</w:t>
      </w:r>
      <w:proofErr w:type="spellEnd"/>
      <w:r>
        <w:t xml:space="preserve"> </w:t>
      </w:r>
      <w:r w:rsidRPr="00CD039B">
        <w:t>41</w:t>
      </w:r>
      <w:r>
        <w:t xml:space="preserve"> and </w:t>
      </w:r>
      <w:proofErr w:type="spellStart"/>
      <w:r>
        <w:t>Oceana</w:t>
      </w:r>
      <w:proofErr w:type="spellEnd"/>
      <w:r>
        <w:t xml:space="preserve"> Gold (New Zealand) Limited vs Otago Regional Council [2020] </w:t>
      </w:r>
      <w:proofErr w:type="spellStart"/>
      <w:r>
        <w:t>NZEnvC</w:t>
      </w:r>
      <w:proofErr w:type="spellEnd"/>
      <w:r>
        <w:t xml:space="preserve"> 137.</w:t>
      </w:r>
    </w:p>
  </w:footnote>
  <w:footnote w:id="34">
    <w:p w14:paraId="0005CF92" w14:textId="29663124" w:rsidR="002A7A16" w:rsidRDefault="002A7A16">
      <w:pPr>
        <w:pStyle w:val="FootnoteText"/>
      </w:pPr>
      <w:r>
        <w:rPr>
          <w:rStyle w:val="FootnoteReference"/>
        </w:rPr>
        <w:footnoteRef/>
      </w:r>
      <w:r>
        <w:t xml:space="preserve"> Section 18A of the RMA 1991</w:t>
      </w:r>
    </w:p>
  </w:footnote>
  <w:footnote w:id="35">
    <w:p w14:paraId="1E349774" w14:textId="77777777" w:rsidR="002A7A16" w:rsidRDefault="002A7A16" w:rsidP="00AE66E3">
      <w:pPr>
        <w:pStyle w:val="FootnoteText"/>
        <w:rPr>
          <w:sz w:val="32"/>
          <w:szCs w:val="32"/>
        </w:rPr>
      </w:pPr>
      <w:r>
        <w:rPr>
          <w:rStyle w:val="FootnoteReference"/>
        </w:rPr>
        <w:footnoteRef/>
      </w:r>
      <w:r>
        <w:t xml:space="preserve"> </w:t>
      </w:r>
      <w:r>
        <w:rPr>
          <w:rFonts w:ascii="MBerkBoo" w:hAnsi="MBerkBoo" w:cs="MBerkBoo"/>
        </w:rPr>
        <w:t xml:space="preserve">The collective term </w:t>
      </w:r>
      <w:proofErr w:type="spellStart"/>
      <w:r>
        <w:rPr>
          <w:rFonts w:ascii="MBerkBoo" w:hAnsi="MBerkBoo" w:cs="MBerkBoo"/>
        </w:rPr>
        <w:t>Käi</w:t>
      </w:r>
      <w:proofErr w:type="spellEnd"/>
      <w:r>
        <w:rPr>
          <w:rFonts w:ascii="MBerkBoo" w:hAnsi="MBerkBoo" w:cs="MBerkBoo"/>
        </w:rPr>
        <w:t xml:space="preserve"> </w:t>
      </w:r>
      <w:proofErr w:type="spellStart"/>
      <w:r>
        <w:rPr>
          <w:rFonts w:ascii="MBerkBoo" w:hAnsi="MBerkBoo" w:cs="MBerkBoo"/>
        </w:rPr>
        <w:t>Tahu</w:t>
      </w:r>
      <w:proofErr w:type="spellEnd"/>
      <w:r>
        <w:rPr>
          <w:rFonts w:ascii="MBerkBoo" w:hAnsi="MBerkBoo" w:cs="MBerkBoo"/>
        </w:rPr>
        <w:t xml:space="preserve"> ki Otago is used to describe the four Papatipu </w:t>
      </w:r>
      <w:proofErr w:type="spellStart"/>
      <w:r>
        <w:rPr>
          <w:rFonts w:ascii="MBerkBoo" w:hAnsi="MBerkBoo" w:cs="MBerkBoo"/>
        </w:rPr>
        <w:t>Rūnanga</w:t>
      </w:r>
      <w:proofErr w:type="spellEnd"/>
      <w:r>
        <w:rPr>
          <w:rFonts w:ascii="MBerkBoo" w:hAnsi="MBerkBoo" w:cs="MBerkBoo"/>
        </w:rPr>
        <w:t xml:space="preserve"> and associated </w:t>
      </w:r>
      <w:proofErr w:type="spellStart"/>
      <w:r>
        <w:rPr>
          <w:rFonts w:ascii="MBerkBoo" w:hAnsi="MBerkBoo" w:cs="MBerkBoo"/>
        </w:rPr>
        <w:t>wh</w:t>
      </w:r>
      <w:r>
        <w:rPr>
          <w:rFonts w:ascii="Calibri" w:hAnsi="Calibri" w:cs="Calibri"/>
        </w:rPr>
        <w:t>ā</w:t>
      </w:r>
      <w:r>
        <w:rPr>
          <w:rFonts w:ascii="MBerkBoo" w:hAnsi="MBerkBoo" w:cs="MBerkBoo"/>
        </w:rPr>
        <w:t>nau</w:t>
      </w:r>
      <w:proofErr w:type="spellEnd"/>
      <w:r>
        <w:rPr>
          <w:rFonts w:ascii="MBerkBoo" w:hAnsi="MBerkBoo" w:cs="MBerkBoo"/>
        </w:rPr>
        <w:t xml:space="preserve"> and </w:t>
      </w:r>
      <w:proofErr w:type="spellStart"/>
      <w:r>
        <w:rPr>
          <w:rFonts w:ascii="MBerkBoo" w:hAnsi="MBerkBoo" w:cs="MBerkBoo"/>
        </w:rPr>
        <w:t>r</w:t>
      </w:r>
      <w:r>
        <w:rPr>
          <w:rFonts w:ascii="Calibri" w:hAnsi="Calibri" w:cs="Calibri"/>
        </w:rPr>
        <w:t>ō</w:t>
      </w:r>
      <w:r>
        <w:rPr>
          <w:rFonts w:ascii="MBerkBoo" w:hAnsi="MBerkBoo" w:cs="MBerkBoo"/>
        </w:rPr>
        <w:t>pu</w:t>
      </w:r>
      <w:proofErr w:type="spellEnd"/>
      <w:r>
        <w:rPr>
          <w:rFonts w:ascii="MBerkBoo" w:hAnsi="MBerkBoo" w:cs="MBerkBoo"/>
        </w:rPr>
        <w:t xml:space="preserve"> of the Otago region.</w:t>
      </w:r>
    </w:p>
  </w:footnote>
  <w:footnote w:id="36">
    <w:p w14:paraId="62DBAA53" w14:textId="77777777" w:rsidR="002A7A16" w:rsidRDefault="002A7A16" w:rsidP="000E4DFA">
      <w:pPr>
        <w:pStyle w:val="FootnoteText"/>
      </w:pPr>
      <w:r>
        <w:rPr>
          <w:rStyle w:val="FootnoteReference"/>
        </w:rPr>
        <w:footnoteRef/>
      </w:r>
      <w:r>
        <w:t xml:space="preserve"> Objective 2.2</w:t>
      </w:r>
    </w:p>
  </w:footnote>
  <w:footnote w:id="37">
    <w:p w14:paraId="59857F77" w14:textId="667ACF30" w:rsidR="002A7A16" w:rsidRDefault="002A7A16">
      <w:pPr>
        <w:pStyle w:val="FootnoteText"/>
      </w:pPr>
      <w:r>
        <w:rPr>
          <w:rStyle w:val="FootnoteReference"/>
        </w:rPr>
        <w:footnoteRef/>
      </w:r>
      <w:r>
        <w:t xml:space="preserve"> Dunedin City Council and Queenstown Lakes District Council</w:t>
      </w:r>
    </w:p>
  </w:footnote>
  <w:footnote w:id="38">
    <w:p w14:paraId="720525BB" w14:textId="77777777" w:rsidR="002A7A16" w:rsidRDefault="002A7A16" w:rsidP="00AA63EB">
      <w:pPr>
        <w:pStyle w:val="FootnoteText"/>
      </w:pPr>
      <w:r>
        <w:rPr>
          <w:rStyle w:val="FootnoteReference"/>
        </w:rPr>
        <w:footnoteRef/>
      </w:r>
      <w:r>
        <w:t xml:space="preserve"> Objective 5.2</w:t>
      </w:r>
    </w:p>
  </w:footnote>
  <w:footnote w:id="39">
    <w:p w14:paraId="4A857C15" w14:textId="77777777" w:rsidR="002A7A16" w:rsidRDefault="002A7A16" w:rsidP="00AA63EB">
      <w:pPr>
        <w:pStyle w:val="FootnoteText"/>
      </w:pPr>
      <w:r>
        <w:rPr>
          <w:rStyle w:val="FootnoteReference"/>
        </w:rPr>
        <w:footnoteRef/>
      </w:r>
      <w:r>
        <w:t xml:space="preserve"> For example, the policy does not provide clarification of the differences between regional and nationally significant sites. Also, sub-clause (d) refers to “minimising” effects, however the related sub-clauses (e) or (f) have been drafted on the presumption that effects will be “avoided”.  </w:t>
      </w:r>
    </w:p>
  </w:footnote>
  <w:footnote w:id="40">
    <w:p w14:paraId="3DC55B62" w14:textId="4ECAA811" w:rsidR="002A7A16" w:rsidRDefault="002A7A16">
      <w:pPr>
        <w:pStyle w:val="FootnoteText"/>
      </w:pPr>
      <w:r>
        <w:rPr>
          <w:rStyle w:val="FootnoteReference"/>
        </w:rPr>
        <w:footnoteRef/>
      </w:r>
      <w:r>
        <w:t xml:space="preserve"> O’Brian, R and Barnes-Wylie J,</w:t>
      </w:r>
      <w:r w:rsidRPr="00BA6024">
        <w:t xml:space="preserve"> </w:t>
      </w:r>
      <w:r w:rsidRPr="003E2D45">
        <w:rPr>
          <w:i/>
          <w:iCs/>
        </w:rPr>
        <w:t>Guidelines for Assessing Historic Places and Historic Areas for the New Zealand Heritage List/</w:t>
      </w:r>
      <w:proofErr w:type="spellStart"/>
      <w:r w:rsidRPr="003E2D45">
        <w:rPr>
          <w:i/>
          <w:iCs/>
        </w:rPr>
        <w:t>Rārangi</w:t>
      </w:r>
      <w:proofErr w:type="spellEnd"/>
      <w:r w:rsidRPr="003E2D45">
        <w:rPr>
          <w:i/>
          <w:iCs/>
        </w:rPr>
        <w:t xml:space="preserve"> </w:t>
      </w:r>
      <w:proofErr w:type="spellStart"/>
      <w:r w:rsidRPr="003E2D45">
        <w:rPr>
          <w:i/>
          <w:iCs/>
        </w:rPr>
        <w:t>Kōrero</w:t>
      </w:r>
      <w:proofErr w:type="spellEnd"/>
      <w:r>
        <w:rPr>
          <w:i/>
          <w:iCs/>
        </w:rPr>
        <w:t xml:space="preserve"> </w:t>
      </w:r>
      <w:r w:rsidRPr="00777A57">
        <w:t>(2019)</w:t>
      </w:r>
    </w:p>
  </w:footnote>
  <w:footnote w:id="41">
    <w:p w14:paraId="734EB9A5" w14:textId="77777777" w:rsidR="002A7A16" w:rsidRDefault="002A7A16" w:rsidP="00EE14E4">
      <w:pPr>
        <w:pStyle w:val="FootnoteText"/>
        <w:ind w:left="142" w:hanging="142"/>
      </w:pPr>
      <w:r>
        <w:rPr>
          <w:rStyle w:val="FootnoteReference"/>
        </w:rPr>
        <w:footnoteRef/>
      </w:r>
      <w:r>
        <w:t xml:space="preserve"> Department of Conservation. (2013). </w:t>
      </w:r>
      <w:r>
        <w:rPr>
          <w:i/>
          <w:iCs/>
        </w:rPr>
        <w:t xml:space="preserve">NZCPS 2010 guidance note – Policy 15: Natural features and natural landscapes. </w:t>
      </w:r>
      <w:r>
        <w:t xml:space="preserve">Retrieved from </w:t>
      </w:r>
      <w:hyperlink r:id="rId3" w:history="1">
        <w:r>
          <w:rPr>
            <w:rStyle w:val="Hyperlink"/>
          </w:rPr>
          <w:t>https://www.doc.govt.nz/globalassets/documents/conservation/marine-and-coastal/coastal-management/guidance/policy-15.pdf</w:t>
        </w:r>
      </w:hyperlink>
    </w:p>
  </w:footnote>
  <w:footnote w:id="42">
    <w:p w14:paraId="2E34F01F" w14:textId="77777777" w:rsidR="002A7A16" w:rsidRDefault="002A7A16" w:rsidP="00CC47A6">
      <w:pPr>
        <w:pStyle w:val="FootnoteText"/>
      </w:pPr>
      <w:r>
        <w:rPr>
          <w:rStyle w:val="FootnoteReference"/>
        </w:rPr>
        <w:footnoteRef/>
      </w:r>
      <w:r>
        <w:t xml:space="preserve"> </w:t>
      </w:r>
      <w:proofErr w:type="spellStart"/>
      <w:r>
        <w:t>Mainpower</w:t>
      </w:r>
      <w:proofErr w:type="spellEnd"/>
      <w:r>
        <w:t xml:space="preserve"> NZ Ltd v Hurunui District Council [2011] </w:t>
      </w:r>
      <w:proofErr w:type="spellStart"/>
      <w:r>
        <w:t>NZEnvC</w:t>
      </w:r>
      <w:proofErr w:type="spellEnd"/>
      <w:r>
        <w:t xml:space="preserve"> 384</w:t>
      </w:r>
    </w:p>
  </w:footnote>
  <w:footnote w:id="43">
    <w:p w14:paraId="3D78EE45" w14:textId="77777777" w:rsidR="002A7A16" w:rsidRDefault="002A7A16" w:rsidP="00940788">
      <w:pPr>
        <w:pStyle w:val="FootnoteText"/>
      </w:pPr>
      <w:r>
        <w:rPr>
          <w:rStyle w:val="FootnoteReference"/>
        </w:rPr>
        <w:footnoteRef/>
      </w:r>
      <w:r>
        <w:t xml:space="preserve"> For example, </w:t>
      </w:r>
      <w:r>
        <w:rPr>
          <w:i/>
          <w:iCs/>
        </w:rPr>
        <w:t>Unison Networks v Hastings District Council (c11/2009).</w:t>
      </w:r>
    </w:p>
  </w:footnote>
  <w:footnote w:id="44">
    <w:p w14:paraId="7792CB8F" w14:textId="225FC9C9" w:rsidR="002A7A16" w:rsidRDefault="002A7A16" w:rsidP="006B13B1">
      <w:pPr>
        <w:pStyle w:val="FootnoteText"/>
        <w:ind w:left="142" w:hanging="142"/>
      </w:pPr>
      <w:r>
        <w:rPr>
          <w:rStyle w:val="FootnoteReference"/>
        </w:rPr>
        <w:footnoteRef/>
      </w:r>
      <w:r>
        <w:t xml:space="preserve"> While information about employment numbers within the tourism industry in Otago are not available, in 2019 tourism contributed 55.6%, 8.0%, 7.4% and 3.0% to the GDP of Queenstown-Lakes, Central Otago, Dunedin City and Clutha districts respectively, relative to other industries (</w:t>
      </w:r>
      <w:proofErr w:type="spellStart"/>
      <w:r>
        <w:t>Infometrics</w:t>
      </w:r>
      <w:proofErr w:type="spellEnd"/>
      <w:r>
        <w:t>, 2019).</w:t>
      </w:r>
    </w:p>
  </w:footnote>
  <w:footnote w:id="45">
    <w:p w14:paraId="2E9EFAB5" w14:textId="2148A9BF" w:rsidR="002A7A16" w:rsidRDefault="002A7A16">
      <w:pPr>
        <w:pStyle w:val="FootnoteText"/>
      </w:pPr>
      <w:r>
        <w:rPr>
          <w:rStyle w:val="FootnoteReference"/>
        </w:rPr>
        <w:footnoteRef/>
      </w:r>
      <w:r>
        <w:t xml:space="preserve"> Based on</w:t>
      </w:r>
      <w:r w:rsidRPr="00660352">
        <w:t xml:space="preserve"> Statistics New Zealand Urban/Rural Classification at the SA2 geographic level from the 2018 Census</w:t>
      </w:r>
      <w:r>
        <w:t>.</w:t>
      </w:r>
    </w:p>
  </w:footnote>
  <w:footnote w:id="46">
    <w:p w14:paraId="744674BC" w14:textId="41BC45A9" w:rsidR="002A7A16" w:rsidRDefault="002A7A16">
      <w:pPr>
        <w:pStyle w:val="FootnoteText"/>
      </w:pPr>
      <w:r>
        <w:rPr>
          <w:rStyle w:val="FootnoteReference"/>
        </w:rPr>
        <w:footnoteRef/>
      </w:r>
      <w:r>
        <w:t xml:space="preserve"> </w:t>
      </w:r>
      <w:r w:rsidRPr="002C3353">
        <w:t>https://www.orc.govt.nz/media/1654/groundwater-contamination-risk.pdf</w:t>
      </w:r>
    </w:p>
  </w:footnote>
  <w:footnote w:id="47">
    <w:p w14:paraId="5935EB69" w14:textId="07CE514D" w:rsidR="002A7A16" w:rsidRDefault="002A7A16">
      <w:pPr>
        <w:pStyle w:val="FootnoteText"/>
      </w:pPr>
      <w:r>
        <w:rPr>
          <w:rStyle w:val="FootnoteReference"/>
        </w:rPr>
        <w:footnoteRef/>
      </w:r>
      <w:r>
        <w:t xml:space="preserve"> Including but not limited to </w:t>
      </w:r>
      <w:proofErr w:type="gramStart"/>
      <w:r>
        <w:t>a number of</w:t>
      </w:r>
      <w:proofErr w:type="gramEnd"/>
      <w:r>
        <w:t xml:space="preserve"> reports commissioned by central government from the Productivity Commission, the Urban Development Act 2020, the establishment of Kainga Ora, the Infrastructure Funding and Financing Act 2020, Urban Growth Partnerships including with QLDC, establishment of the Infrastructure Commission, the Urban Growth Agenda and Resource Management and three waters reform programmes.</w:t>
      </w:r>
    </w:p>
  </w:footnote>
  <w:footnote w:id="48">
    <w:p w14:paraId="0AA436FE" w14:textId="6F1C2999" w:rsidR="002A7A16" w:rsidRPr="00041573" w:rsidRDefault="002A7A16">
      <w:pPr>
        <w:pStyle w:val="FootnoteText"/>
      </w:pPr>
      <w:r>
        <w:rPr>
          <w:rStyle w:val="FootnoteReference"/>
        </w:rPr>
        <w:footnoteRef/>
      </w:r>
      <w:r>
        <w:t xml:space="preserve"> Noting that the Infrastructure Funding and Financing Act 2020, the Urban Development Act 2020, and the reform of three waters delivery system all highlight the increasing role for </w:t>
      </w:r>
      <w:r w:rsidRPr="00A333B6">
        <w:rPr>
          <w:i/>
        </w:rPr>
        <w:t>development infrastructure</w:t>
      </w:r>
      <w:r>
        <w:t xml:space="preserve"> to be funded, provided and or controlled by non-council actors. </w:t>
      </w:r>
      <w:r>
        <w:rPr>
          <w:i/>
          <w:iCs/>
        </w:rPr>
        <w:t>Additional infrastructure</w:t>
      </w:r>
      <w:r>
        <w:t xml:space="preserve"> already recognises and provides for a range of third parties and their infrastructure to be considered and involved in the process.</w:t>
      </w:r>
    </w:p>
  </w:footnote>
  <w:footnote w:id="49">
    <w:p w14:paraId="3280B21E" w14:textId="2162DFEC" w:rsidR="002A7A16" w:rsidRDefault="002A7A16">
      <w:pPr>
        <w:pStyle w:val="FootnoteText"/>
      </w:pPr>
      <w:r>
        <w:rPr>
          <w:rStyle w:val="FootnoteReference"/>
        </w:rPr>
        <w:footnoteRef/>
      </w:r>
      <w:r>
        <w:t xml:space="preserve"> See also </w:t>
      </w:r>
      <w:r w:rsidRPr="00774DC5">
        <w:t>https://environment.govt.nz/assets/Publications/Files/Understanding-and-implementing-responsive-planning-policies.pdf</w:t>
      </w:r>
    </w:p>
  </w:footnote>
  <w:footnote w:id="50">
    <w:p w14:paraId="30E955D4" w14:textId="77777777" w:rsidR="002A7A16" w:rsidRDefault="002A7A16" w:rsidP="00D362E2">
      <w:pPr>
        <w:pStyle w:val="FootnoteText"/>
      </w:pPr>
      <w:r>
        <w:rPr>
          <w:rStyle w:val="FootnoteReference"/>
        </w:rPr>
        <w:footnoteRef/>
      </w:r>
      <w:r>
        <w:t xml:space="preserve"> Ministry for the Environment. 2020. Introductory guide to the National Policy Statement on Urban Development 2020. Wellington: Ministry for the </w:t>
      </w:r>
      <w:proofErr w:type="gramStart"/>
      <w:r>
        <w:t>Environment ,</w:t>
      </w:r>
      <w:proofErr w:type="gramEnd"/>
      <w:r>
        <w:t xml:space="preserve"> Page 6, </w:t>
      </w:r>
    </w:p>
  </w:footnote>
  <w:footnote w:id="51">
    <w:p w14:paraId="37B37579" w14:textId="77777777" w:rsidR="002A7A16" w:rsidRDefault="002A7A16" w:rsidP="004A7A26">
      <w:pPr>
        <w:pStyle w:val="FootnoteText"/>
      </w:pPr>
      <w:r>
        <w:rPr>
          <w:rStyle w:val="FootnoteReference"/>
        </w:rPr>
        <w:footnoteRef/>
      </w:r>
      <w:r>
        <w:t xml:space="preserve"> Section 59, RMA</w:t>
      </w:r>
    </w:p>
  </w:footnote>
  <w:footnote w:id="52">
    <w:p w14:paraId="7AAE7BF8" w14:textId="77777777" w:rsidR="002A7A16" w:rsidRDefault="002A7A16" w:rsidP="004A7A26">
      <w:pPr>
        <w:pStyle w:val="FootnoteText"/>
      </w:pPr>
      <w:r>
        <w:rPr>
          <w:rStyle w:val="FootnoteReference"/>
        </w:rPr>
        <w:footnoteRef/>
      </w:r>
      <w:r>
        <w:t xml:space="preserve"> Sections 61 and 62, RMA; and Clause 8, Lake Wanaka Preservation Act 1973</w:t>
      </w:r>
    </w:p>
  </w:footnote>
  <w:footnote w:id="53">
    <w:p w14:paraId="12D6D135" w14:textId="77777777" w:rsidR="002A7A16" w:rsidRDefault="002A7A16" w:rsidP="004A7A26">
      <w:pPr>
        <w:pStyle w:val="FootnoteText"/>
      </w:pPr>
      <w:r>
        <w:rPr>
          <w:rStyle w:val="FootnoteReference"/>
        </w:rPr>
        <w:footnoteRef/>
      </w:r>
      <w:r>
        <w:t xml:space="preserve"> Section 61(1)(b), RMA</w:t>
      </w:r>
    </w:p>
  </w:footnote>
  <w:footnote w:id="54">
    <w:p w14:paraId="56249853" w14:textId="77777777" w:rsidR="002A7A16" w:rsidRDefault="002A7A16" w:rsidP="004A7A26">
      <w:pPr>
        <w:pStyle w:val="FootnoteText"/>
      </w:pPr>
      <w:r>
        <w:rPr>
          <w:rStyle w:val="FootnoteReference"/>
        </w:rPr>
        <w:footnoteRef/>
      </w:r>
      <w:r>
        <w:t xml:space="preserve"> Section 6(e), RMA</w:t>
      </w:r>
    </w:p>
  </w:footnote>
  <w:footnote w:id="55">
    <w:p w14:paraId="54F47939" w14:textId="77777777" w:rsidR="002A7A16" w:rsidRDefault="002A7A16" w:rsidP="004A7A26">
      <w:pPr>
        <w:pStyle w:val="FootnoteText"/>
      </w:pPr>
      <w:r>
        <w:rPr>
          <w:rStyle w:val="FootnoteReference"/>
        </w:rPr>
        <w:footnoteRef/>
      </w:r>
      <w:r>
        <w:t xml:space="preserve"> Section 61(1)(b), RMA</w:t>
      </w:r>
    </w:p>
  </w:footnote>
  <w:footnote w:id="56">
    <w:p w14:paraId="41DB6E14" w14:textId="77777777" w:rsidR="002A7A16" w:rsidRDefault="002A7A16" w:rsidP="004A7A26">
      <w:pPr>
        <w:pStyle w:val="FootnoteText"/>
      </w:pPr>
      <w:r>
        <w:rPr>
          <w:rStyle w:val="FootnoteReference"/>
        </w:rPr>
        <w:footnoteRef/>
      </w:r>
      <w:r>
        <w:t xml:space="preserve"> </w:t>
      </w:r>
      <w:proofErr w:type="gramStart"/>
      <w:r>
        <w:t>In particular, subsections</w:t>
      </w:r>
      <w:proofErr w:type="gramEnd"/>
      <w:r>
        <w:t xml:space="preserve"> (c) to (g) of section 30(1), RMA</w:t>
      </w:r>
    </w:p>
  </w:footnote>
  <w:footnote w:id="57">
    <w:p w14:paraId="1A1ABE19" w14:textId="77777777" w:rsidR="002A7A16" w:rsidRDefault="002A7A16" w:rsidP="004A7A26">
      <w:pPr>
        <w:pStyle w:val="FootnoteText"/>
      </w:pPr>
      <w:r>
        <w:rPr>
          <w:rStyle w:val="FootnoteReference"/>
        </w:rPr>
        <w:footnoteRef/>
      </w:r>
      <w:r>
        <w:t xml:space="preserve"> Section 30(1)(a), RMA</w:t>
      </w:r>
    </w:p>
  </w:footnote>
  <w:footnote w:id="58">
    <w:p w14:paraId="0EFB8DD7" w14:textId="77777777" w:rsidR="002A7A16" w:rsidRDefault="002A7A16" w:rsidP="004A7A26">
      <w:pPr>
        <w:pStyle w:val="FootnoteText"/>
      </w:pPr>
      <w:r>
        <w:rPr>
          <w:rStyle w:val="FootnoteReference"/>
        </w:rPr>
        <w:footnoteRef/>
      </w:r>
      <w:r>
        <w:t xml:space="preserve"> Section 30(1)(b), RMA</w:t>
      </w:r>
    </w:p>
  </w:footnote>
  <w:footnote w:id="59">
    <w:p w14:paraId="637D32E4" w14:textId="77777777" w:rsidR="002A7A16" w:rsidRDefault="002A7A16" w:rsidP="004A7A26">
      <w:pPr>
        <w:pStyle w:val="FootnoteText"/>
      </w:pPr>
      <w:r>
        <w:rPr>
          <w:rStyle w:val="FootnoteReference"/>
        </w:rPr>
        <w:footnoteRef/>
      </w:r>
      <w:r>
        <w:t xml:space="preserve"> Section 30(</w:t>
      </w:r>
      <w:proofErr w:type="gramStart"/>
      <w:r>
        <w:t>1)(</w:t>
      </w:r>
      <w:proofErr w:type="spellStart"/>
      <w:proofErr w:type="gramEnd"/>
      <w:r>
        <w:t>ba</w:t>
      </w:r>
      <w:proofErr w:type="spellEnd"/>
      <w:r>
        <w:t>), RMA</w:t>
      </w:r>
    </w:p>
  </w:footnote>
  <w:footnote w:id="60">
    <w:p w14:paraId="55164119" w14:textId="77777777" w:rsidR="002A7A16" w:rsidRDefault="002A7A16" w:rsidP="004A7A26">
      <w:pPr>
        <w:pStyle w:val="FootnoteText"/>
      </w:pPr>
      <w:r>
        <w:rPr>
          <w:rStyle w:val="FootnoteReference"/>
        </w:rPr>
        <w:footnoteRef/>
      </w:r>
      <w:r>
        <w:t xml:space="preserve"> Section 30(</w:t>
      </w:r>
      <w:proofErr w:type="gramStart"/>
      <w:r>
        <w:t>1)(</w:t>
      </w:r>
      <w:proofErr w:type="gramEnd"/>
      <w:r>
        <w:t>ga), RMA</w:t>
      </w:r>
    </w:p>
  </w:footnote>
  <w:footnote w:id="61">
    <w:p w14:paraId="51CC47FA" w14:textId="77777777" w:rsidR="002A7A16" w:rsidRDefault="002A7A16" w:rsidP="004A7A26">
      <w:pPr>
        <w:pStyle w:val="FootnoteText"/>
      </w:pPr>
      <w:r>
        <w:rPr>
          <w:rStyle w:val="FootnoteReference"/>
        </w:rPr>
        <w:footnoteRef/>
      </w:r>
      <w:r>
        <w:t xml:space="preserve"> Section 30(</w:t>
      </w:r>
      <w:proofErr w:type="gramStart"/>
      <w:r>
        <w:t>1)(</w:t>
      </w:r>
      <w:proofErr w:type="spellStart"/>
      <w:proofErr w:type="gramEnd"/>
      <w:r>
        <w:t>gb</w:t>
      </w:r>
      <w:proofErr w:type="spellEnd"/>
      <w:r>
        <w:t>), RMA</w:t>
      </w:r>
    </w:p>
  </w:footnote>
  <w:footnote w:id="62">
    <w:p w14:paraId="24F2313E" w14:textId="77777777" w:rsidR="002A7A16" w:rsidRDefault="002A7A16" w:rsidP="004A7A26">
      <w:pPr>
        <w:pStyle w:val="FootnoteText"/>
      </w:pPr>
      <w:r>
        <w:rPr>
          <w:rStyle w:val="FootnoteReference"/>
        </w:rPr>
        <w:footnoteRef/>
      </w:r>
      <w:r>
        <w:t xml:space="preserve"> Section 80</w:t>
      </w:r>
      <w:proofErr w:type="gramStart"/>
      <w:r>
        <w:t>A(</w:t>
      </w:r>
      <w:proofErr w:type="gramEnd"/>
      <w:r>
        <w:t>4)(2) of the RMA.</w:t>
      </w:r>
    </w:p>
  </w:footnote>
  <w:footnote w:id="63">
    <w:p w14:paraId="7A57CED1" w14:textId="77777777" w:rsidR="002A7A16" w:rsidRDefault="002A7A16" w:rsidP="004A7A26">
      <w:pPr>
        <w:pStyle w:val="FootnoteText"/>
      </w:pPr>
      <w:r>
        <w:rPr>
          <w:rStyle w:val="FootnoteReference"/>
        </w:rPr>
        <w:footnoteRef/>
      </w:r>
      <w:r>
        <w:t xml:space="preserve"> See Clause 1.4 Interpretation of tier 1 2 and 3 local authorities</w:t>
      </w:r>
    </w:p>
  </w:footnote>
  <w:footnote w:id="64">
    <w:p w14:paraId="15A62A14" w14:textId="77777777" w:rsidR="002A7A16" w:rsidRDefault="002A7A16" w:rsidP="004A7A26">
      <w:pPr>
        <w:pStyle w:val="FootnoteText"/>
      </w:pPr>
      <w:r>
        <w:rPr>
          <w:rStyle w:val="FootnoteReference"/>
        </w:rPr>
        <w:footnoteRef/>
      </w:r>
      <w:r>
        <w:t xml:space="preserve"> See Clause 1.5 Implementation by tier 3 local authorities</w:t>
      </w:r>
    </w:p>
  </w:footnote>
  <w:footnote w:id="65">
    <w:p w14:paraId="7FB5CE67" w14:textId="632FE918" w:rsidR="002A7A16" w:rsidRDefault="002A7A16">
      <w:pPr>
        <w:pStyle w:val="FootnoteText"/>
      </w:pPr>
      <w:r>
        <w:rPr>
          <w:rStyle w:val="FootnoteReference"/>
        </w:rPr>
        <w:footnoteRef/>
      </w:r>
      <w:r>
        <w:t xml:space="preserve"> Note: Indicative only. Central Otago District Council has yet to formally identify Cromwell and/or Alexandra/Clyde as urban environments, this list identifies that they could arguably meet one or both limbs, but further discussions are required.</w:t>
      </w:r>
    </w:p>
  </w:footnote>
  <w:footnote w:id="66">
    <w:p w14:paraId="22A90860" w14:textId="77777777" w:rsidR="002A7A16" w:rsidRDefault="002A7A16" w:rsidP="004A7A26">
      <w:pPr>
        <w:pStyle w:val="FootnoteText"/>
        <w:ind w:left="142" w:hanging="142"/>
      </w:pPr>
      <w:r>
        <w:rPr>
          <w:rStyle w:val="FootnoteReference"/>
        </w:rPr>
        <w:footnoteRef/>
      </w:r>
      <w:r>
        <w:t xml:space="preserve"> See </w:t>
      </w:r>
      <w:hyperlink r:id="rId4" w:history="1">
        <w:r>
          <w:rPr>
            <w:rStyle w:val="Hyperlink"/>
          </w:rPr>
          <w:t>https://www.mfe.govt.nz/sites/default/files/media/Towns%20and%20cities/AA%20Gazetted%20-%20NPSUD%2017.07.2020%20pdf.pdf</w:t>
        </w:r>
      </w:hyperlink>
      <w:r>
        <w:t xml:space="preserve"> </w:t>
      </w:r>
    </w:p>
  </w:footnote>
  <w:footnote w:id="67">
    <w:p w14:paraId="49B30CD0" w14:textId="77777777" w:rsidR="002A7A16" w:rsidRDefault="002A7A16" w:rsidP="004A7A26">
      <w:pPr>
        <w:pStyle w:val="FootnoteText"/>
      </w:pPr>
      <w:r>
        <w:rPr>
          <w:rStyle w:val="FootnoteReference"/>
        </w:rPr>
        <w:footnoteRef/>
      </w:r>
      <w:r>
        <w:t xml:space="preserve"> See </w:t>
      </w:r>
      <w:hyperlink r:id="rId5" w:history="1">
        <w:r>
          <w:rPr>
            <w:rStyle w:val="Hyperlink"/>
          </w:rPr>
          <w:t>https://www.mfe.govt.nz/sites/default/files/nps-reg-2011.pdf</w:t>
        </w:r>
      </w:hyperlink>
    </w:p>
  </w:footnote>
  <w:footnote w:id="68">
    <w:p w14:paraId="74FF5B68" w14:textId="77777777" w:rsidR="002A7A16" w:rsidRDefault="002A7A16" w:rsidP="004A7A26">
      <w:pPr>
        <w:pStyle w:val="FootnoteText"/>
      </w:pPr>
      <w:r>
        <w:rPr>
          <w:rStyle w:val="FootnoteReference"/>
        </w:rPr>
        <w:footnoteRef/>
      </w:r>
      <w:r>
        <w:t xml:space="preserve"> See </w:t>
      </w:r>
      <w:hyperlink r:id="rId6" w:history="1">
        <w:r>
          <w:rPr>
            <w:rStyle w:val="Hyperlink"/>
          </w:rPr>
          <w:t>https://www.mfe.govt.nz/sites/default/files/nps-electricity-transmission-mar08.pdf</w:t>
        </w:r>
      </w:hyperlink>
    </w:p>
  </w:footnote>
  <w:footnote w:id="69">
    <w:p w14:paraId="03628871" w14:textId="77777777" w:rsidR="002A7A16" w:rsidRDefault="002A7A16" w:rsidP="004A7A26">
      <w:pPr>
        <w:pStyle w:val="FootnoteText"/>
      </w:pPr>
      <w:r>
        <w:rPr>
          <w:rStyle w:val="FootnoteReference"/>
        </w:rPr>
        <w:footnoteRef/>
      </w:r>
      <w:r>
        <w:t xml:space="preserve"> Section 61(1)(e), RMA</w:t>
      </w:r>
    </w:p>
  </w:footnote>
  <w:footnote w:id="70">
    <w:p w14:paraId="7618FAA4" w14:textId="77777777" w:rsidR="002A7A16" w:rsidRDefault="002A7A16" w:rsidP="004A7A26">
      <w:pPr>
        <w:pStyle w:val="FootnoteText"/>
        <w:rPr>
          <w:lang w:val="en-GB"/>
        </w:rPr>
      </w:pPr>
      <w:r>
        <w:rPr>
          <w:rStyle w:val="FootnoteReference"/>
        </w:rPr>
        <w:footnoteRef/>
      </w:r>
      <w:r>
        <w:t xml:space="preserve"> </w:t>
      </w:r>
      <w:r>
        <w:rPr>
          <w:lang w:val="en-GB"/>
        </w:rPr>
        <w:t>Section 44</w:t>
      </w:r>
      <w:proofErr w:type="gramStart"/>
      <w:r>
        <w:rPr>
          <w:lang w:val="en-GB"/>
        </w:rPr>
        <w:t>A(</w:t>
      </w:r>
      <w:proofErr w:type="gramEnd"/>
      <w:r>
        <w:rPr>
          <w:lang w:val="en-GB"/>
        </w:rPr>
        <w:t>7) and 44A(8) of the RMA.</w:t>
      </w:r>
    </w:p>
  </w:footnote>
  <w:footnote w:id="71">
    <w:p w14:paraId="37544A22" w14:textId="780BEEBE" w:rsidR="002A7A16" w:rsidRDefault="002A7A16" w:rsidP="004A7A26">
      <w:pPr>
        <w:pStyle w:val="FootnoteText"/>
        <w:rPr>
          <w:lang w:val="en-GB"/>
        </w:rPr>
      </w:pPr>
      <w:r>
        <w:rPr>
          <w:rStyle w:val="FootnoteReference"/>
        </w:rPr>
        <w:footnoteRef/>
      </w:r>
      <w:r>
        <w:t xml:space="preserve"> </w:t>
      </w:r>
      <w:r>
        <w:rPr>
          <w:lang w:val="en-GB"/>
        </w:rPr>
        <w:t>Section 61(1)(e) of the RMA.</w:t>
      </w:r>
    </w:p>
  </w:footnote>
  <w:footnote w:id="72">
    <w:p w14:paraId="7AFC3CFD" w14:textId="77777777" w:rsidR="002A7A16" w:rsidRDefault="002A7A16" w:rsidP="004A7A26">
      <w:pPr>
        <w:pStyle w:val="FootnoteText"/>
      </w:pPr>
      <w:r>
        <w:rPr>
          <w:rStyle w:val="FootnoteReference"/>
        </w:rPr>
        <w:footnoteRef/>
      </w:r>
      <w:r>
        <w:t xml:space="preserve"> Section 62(3) of the RMA.</w:t>
      </w:r>
    </w:p>
  </w:footnote>
  <w:footnote w:id="73">
    <w:p w14:paraId="39BCB178" w14:textId="77777777" w:rsidR="002A7A16" w:rsidRDefault="002A7A16" w:rsidP="004A7A26">
      <w:pPr>
        <w:pStyle w:val="FootnoteText"/>
        <w:rPr>
          <w:rFonts w:asciiTheme="minorHAnsi" w:hAnsiTheme="minorHAnsi" w:cstheme="minorHAnsi"/>
        </w:rPr>
      </w:pPr>
      <w:r>
        <w:rPr>
          <w:rStyle w:val="FootnoteReference"/>
        </w:rPr>
        <w:footnoteRef/>
      </w:r>
      <w:r>
        <w:t xml:space="preserve"> Clause 8, Lake Wanaka Preservation Act 1973</w:t>
      </w:r>
    </w:p>
  </w:footnote>
  <w:footnote w:id="74">
    <w:p w14:paraId="16F1104E" w14:textId="77777777" w:rsidR="002A7A16" w:rsidRDefault="002A7A16" w:rsidP="004A7A26">
      <w:pPr>
        <w:pStyle w:val="FootnoteText"/>
      </w:pPr>
      <w:r>
        <w:rPr>
          <w:rStyle w:val="FootnoteReference"/>
        </w:rPr>
        <w:footnoteRef/>
      </w:r>
      <w:r>
        <w:t xml:space="preserve"> Section 61(2</w:t>
      </w:r>
      <w:proofErr w:type="gramStart"/>
      <w:r>
        <w:t>A)(</w:t>
      </w:r>
      <w:proofErr w:type="gramEnd"/>
      <w:r>
        <w:t>a), RMA</w:t>
      </w:r>
    </w:p>
  </w:footnote>
  <w:footnote w:id="75">
    <w:p w14:paraId="390B2D4B" w14:textId="77777777" w:rsidR="002A7A16" w:rsidRDefault="002A7A16" w:rsidP="004A7A26">
      <w:pPr>
        <w:pStyle w:val="FootnoteText"/>
        <w:rPr>
          <w:lang w:val="en-GB"/>
        </w:rPr>
      </w:pPr>
      <w:r>
        <w:rPr>
          <w:rStyle w:val="FootnoteReference"/>
        </w:rPr>
        <w:footnoteRef/>
      </w:r>
      <w:r>
        <w:t xml:space="preserve"> </w:t>
      </w:r>
      <w:r>
        <w:rPr>
          <w:lang w:val="en-GB"/>
        </w:rPr>
        <w:t>Section 61(2</w:t>
      </w:r>
      <w:proofErr w:type="gramStart"/>
      <w:r>
        <w:rPr>
          <w:lang w:val="en-GB"/>
        </w:rPr>
        <w:t>A)(</w:t>
      </w:r>
      <w:proofErr w:type="gramEnd"/>
      <w:r>
        <w:rPr>
          <w:lang w:val="en-GB"/>
        </w:rPr>
        <w:t>b), RMA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2A7A16" w14:paraId="419AF0F3" w14:textId="77777777" w:rsidTr="54EA80C8">
      <w:tc>
        <w:tcPr>
          <w:tcW w:w="3009" w:type="dxa"/>
        </w:tcPr>
        <w:p w14:paraId="3C99554B" w14:textId="44FB4F96" w:rsidR="002A7A16" w:rsidRDefault="002A7A16" w:rsidP="54EA80C8">
          <w:pPr>
            <w:pStyle w:val="Header"/>
            <w:ind w:left="-115"/>
          </w:pPr>
        </w:p>
      </w:tc>
      <w:tc>
        <w:tcPr>
          <w:tcW w:w="3009" w:type="dxa"/>
        </w:tcPr>
        <w:p w14:paraId="799E2E28" w14:textId="27DE993E" w:rsidR="002A7A16" w:rsidRDefault="002A7A16" w:rsidP="54EA80C8">
          <w:pPr>
            <w:pStyle w:val="Header"/>
            <w:jc w:val="center"/>
          </w:pPr>
        </w:p>
      </w:tc>
      <w:tc>
        <w:tcPr>
          <w:tcW w:w="3009" w:type="dxa"/>
        </w:tcPr>
        <w:p w14:paraId="6226C2BF" w14:textId="43A0B0E4" w:rsidR="002A7A16" w:rsidRDefault="002A7A16" w:rsidP="54EA80C8">
          <w:pPr>
            <w:pStyle w:val="Header"/>
            <w:ind w:right="-115"/>
            <w:jc w:val="right"/>
          </w:pPr>
        </w:p>
      </w:tc>
    </w:tr>
  </w:tbl>
  <w:p w14:paraId="27599D52" w14:textId="4A8A7052" w:rsidR="002A7A16" w:rsidRDefault="002A7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2A7A16" w14:paraId="46BD82EF" w14:textId="77777777" w:rsidTr="54EA80C8">
      <w:tc>
        <w:tcPr>
          <w:tcW w:w="3009" w:type="dxa"/>
        </w:tcPr>
        <w:p w14:paraId="0B9DDF44" w14:textId="55876024" w:rsidR="002A7A16" w:rsidRDefault="002A7A16" w:rsidP="54EA80C8">
          <w:pPr>
            <w:pStyle w:val="Header"/>
            <w:ind w:left="-115"/>
          </w:pPr>
        </w:p>
      </w:tc>
      <w:tc>
        <w:tcPr>
          <w:tcW w:w="3009" w:type="dxa"/>
        </w:tcPr>
        <w:p w14:paraId="4FC0C0F1" w14:textId="5F145C66" w:rsidR="002A7A16" w:rsidRDefault="002A7A16" w:rsidP="54EA80C8">
          <w:pPr>
            <w:pStyle w:val="Header"/>
            <w:jc w:val="center"/>
          </w:pPr>
        </w:p>
      </w:tc>
      <w:tc>
        <w:tcPr>
          <w:tcW w:w="3009" w:type="dxa"/>
        </w:tcPr>
        <w:p w14:paraId="65A5BB72" w14:textId="7C3A3024" w:rsidR="002A7A16" w:rsidRDefault="002A7A16" w:rsidP="54EA80C8">
          <w:pPr>
            <w:pStyle w:val="Header"/>
            <w:ind w:right="-115"/>
            <w:jc w:val="right"/>
          </w:pPr>
        </w:p>
      </w:tc>
    </w:tr>
  </w:tbl>
  <w:p w14:paraId="00120375" w14:textId="03A44277" w:rsidR="002A7A16" w:rsidRDefault="002A7A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C32D" w14:textId="77777777" w:rsidR="00533C28" w:rsidRDefault="00533C28" w:rsidP="00533C28">
    <w:pPr>
      <w:pStyle w:val="Header"/>
      <w:rPr>
        <w:sz w:val="18"/>
        <w:szCs w:val="18"/>
      </w:rPr>
    </w:pPr>
    <w:r w:rsidRPr="00BA45DC">
      <w:rPr>
        <w:sz w:val="18"/>
        <w:szCs w:val="18"/>
      </w:rPr>
      <w:t xml:space="preserve">Section 32 Evaluation Report – </w:t>
    </w:r>
    <w:r>
      <w:rPr>
        <w:sz w:val="18"/>
        <w:szCs w:val="18"/>
      </w:rPr>
      <w:t xml:space="preserve">Freshwater Planning Instrument parts of </w:t>
    </w:r>
  </w:p>
  <w:p w14:paraId="322671BC" w14:textId="77777777" w:rsidR="00533C28" w:rsidRPr="00BA45DC" w:rsidRDefault="00533C28" w:rsidP="00533C28">
    <w:pPr>
      <w:pStyle w:val="Header"/>
      <w:rPr>
        <w:sz w:val="18"/>
        <w:szCs w:val="18"/>
      </w:rPr>
    </w:pPr>
    <w:r>
      <w:rPr>
        <w:sz w:val="18"/>
        <w:szCs w:val="18"/>
      </w:rPr>
      <w:t xml:space="preserve">the </w:t>
    </w:r>
    <w:r w:rsidRPr="00BA45DC">
      <w:rPr>
        <w:sz w:val="18"/>
        <w:szCs w:val="18"/>
      </w:rPr>
      <w:t>Proposed Otago Regional Policy Statement</w:t>
    </w:r>
    <w:r>
      <w:rPr>
        <w:sz w:val="18"/>
        <w:szCs w:val="18"/>
      </w:rPr>
      <w:t xml:space="preserve"> 2021</w:t>
    </w:r>
    <w:r w:rsidRPr="00BA45DC">
      <w:rPr>
        <w:sz w:val="18"/>
        <w:szCs w:val="18"/>
      </w:rPr>
      <w:tab/>
    </w:r>
    <w:r>
      <w:rPr>
        <w:sz w:val="18"/>
        <w:szCs w:val="18"/>
      </w:rPr>
      <w:tab/>
      <w:t>September 2022</w:t>
    </w:r>
  </w:p>
  <w:p w14:paraId="73DDAF36" w14:textId="58EB22CC" w:rsidR="002A7A16" w:rsidRPr="00533C28" w:rsidRDefault="002A7A16" w:rsidP="00533C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5A02" w14:textId="77777777" w:rsidR="00533C28" w:rsidRDefault="00533C28" w:rsidP="00533C28">
    <w:pPr>
      <w:pStyle w:val="Header"/>
      <w:rPr>
        <w:sz w:val="18"/>
        <w:szCs w:val="18"/>
      </w:rPr>
    </w:pPr>
    <w:r w:rsidRPr="00BA45DC">
      <w:rPr>
        <w:sz w:val="18"/>
        <w:szCs w:val="18"/>
      </w:rPr>
      <w:t xml:space="preserve">Section 32 Evaluation Report – </w:t>
    </w:r>
    <w:r>
      <w:rPr>
        <w:sz w:val="18"/>
        <w:szCs w:val="18"/>
      </w:rPr>
      <w:t xml:space="preserve">Freshwater Planning Instrument parts of </w:t>
    </w:r>
  </w:p>
  <w:p w14:paraId="3229D63E" w14:textId="77777777" w:rsidR="00533C28" w:rsidRPr="00BA45DC" w:rsidRDefault="00533C28" w:rsidP="00533C28">
    <w:pPr>
      <w:pStyle w:val="Header"/>
      <w:rPr>
        <w:sz w:val="18"/>
        <w:szCs w:val="18"/>
      </w:rPr>
    </w:pPr>
    <w:r>
      <w:rPr>
        <w:sz w:val="18"/>
        <w:szCs w:val="18"/>
      </w:rPr>
      <w:t xml:space="preserve">the </w:t>
    </w:r>
    <w:r w:rsidRPr="00BA45DC">
      <w:rPr>
        <w:sz w:val="18"/>
        <w:szCs w:val="18"/>
      </w:rPr>
      <w:t>Proposed Otago Regional Policy Statement</w:t>
    </w:r>
    <w:r>
      <w:rPr>
        <w:sz w:val="18"/>
        <w:szCs w:val="18"/>
      </w:rPr>
      <w:t xml:space="preserve"> 2021</w:t>
    </w:r>
    <w:r w:rsidRPr="00BA45DC">
      <w:rPr>
        <w:sz w:val="18"/>
        <w:szCs w:val="18"/>
      </w:rPr>
      <w:tab/>
    </w:r>
    <w:r>
      <w:rPr>
        <w:sz w:val="18"/>
        <w:szCs w:val="18"/>
      </w:rPr>
      <w:tab/>
      <w:t>September 2022</w:t>
    </w:r>
  </w:p>
  <w:p w14:paraId="418068C8" w14:textId="2CE130F8" w:rsidR="002A7A16" w:rsidRPr="00533C28" w:rsidRDefault="002A7A16" w:rsidP="00533C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002A7A16" w14:paraId="5F3D7D29" w14:textId="77777777" w:rsidTr="54EA80C8">
      <w:tc>
        <w:tcPr>
          <w:tcW w:w="3009" w:type="dxa"/>
        </w:tcPr>
        <w:p w14:paraId="511EBF85" w14:textId="11720DC8" w:rsidR="002A7A16" w:rsidRDefault="002A7A16" w:rsidP="54EA80C8">
          <w:pPr>
            <w:pStyle w:val="Header"/>
            <w:ind w:left="-115"/>
          </w:pPr>
        </w:p>
      </w:tc>
      <w:tc>
        <w:tcPr>
          <w:tcW w:w="3009" w:type="dxa"/>
        </w:tcPr>
        <w:p w14:paraId="34F0F048" w14:textId="7DDCA126" w:rsidR="002A7A16" w:rsidRDefault="002A7A16" w:rsidP="54EA80C8">
          <w:pPr>
            <w:pStyle w:val="Header"/>
            <w:jc w:val="center"/>
          </w:pPr>
        </w:p>
      </w:tc>
      <w:tc>
        <w:tcPr>
          <w:tcW w:w="3009" w:type="dxa"/>
        </w:tcPr>
        <w:p w14:paraId="61E7507E" w14:textId="12994FEB" w:rsidR="002A7A16" w:rsidRDefault="002A7A16" w:rsidP="54EA80C8">
          <w:pPr>
            <w:pStyle w:val="Header"/>
            <w:ind w:right="-115"/>
            <w:jc w:val="right"/>
          </w:pPr>
        </w:p>
      </w:tc>
    </w:tr>
  </w:tbl>
  <w:p w14:paraId="20F44059" w14:textId="55F3B2D7" w:rsidR="002A7A16" w:rsidRDefault="002A7A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C63DA" w14:textId="77777777" w:rsidR="00533C28" w:rsidRDefault="00533C28" w:rsidP="00533C28">
    <w:pPr>
      <w:pStyle w:val="Header"/>
      <w:rPr>
        <w:sz w:val="18"/>
        <w:szCs w:val="18"/>
      </w:rPr>
    </w:pPr>
    <w:r w:rsidRPr="00BA45DC">
      <w:rPr>
        <w:sz w:val="18"/>
        <w:szCs w:val="18"/>
      </w:rPr>
      <w:t xml:space="preserve">Section 32 Evaluation Report – </w:t>
    </w:r>
    <w:r>
      <w:rPr>
        <w:sz w:val="18"/>
        <w:szCs w:val="18"/>
      </w:rPr>
      <w:t xml:space="preserve">Freshwater Planning Instrument parts of </w:t>
    </w:r>
  </w:p>
  <w:p w14:paraId="6A318679" w14:textId="19039989" w:rsidR="002A7A16" w:rsidRPr="00533C28" w:rsidRDefault="00533C28" w:rsidP="00533C28">
    <w:pPr>
      <w:pStyle w:val="Header"/>
      <w:rPr>
        <w:sz w:val="18"/>
        <w:szCs w:val="18"/>
      </w:rPr>
    </w:pPr>
    <w:r>
      <w:rPr>
        <w:sz w:val="18"/>
        <w:szCs w:val="18"/>
      </w:rPr>
      <w:t xml:space="preserve">the </w:t>
    </w:r>
    <w:r w:rsidRPr="00BA45DC">
      <w:rPr>
        <w:sz w:val="18"/>
        <w:szCs w:val="18"/>
      </w:rPr>
      <w:t>Proposed Otago Regional Policy Statement</w:t>
    </w:r>
    <w:r>
      <w:rPr>
        <w:sz w:val="18"/>
        <w:szCs w:val="18"/>
      </w:rPr>
      <w:t xml:space="preserve"> 2021</w:t>
    </w:r>
    <w:r w:rsidRPr="00BA45DC">
      <w:rPr>
        <w:sz w:val="18"/>
        <w:szCs w:val="18"/>
      </w:rPr>
      <w:tab/>
    </w:r>
    <w:r>
      <w:rPr>
        <w:sz w:val="18"/>
        <w:szCs w:val="18"/>
      </w:rPr>
      <w:tab/>
      <w:t>September 2022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0C2EA" w14:textId="77777777" w:rsidR="005653BF" w:rsidRDefault="002A7A16">
    <w:pPr>
      <w:pStyle w:val="Header"/>
      <w:rPr>
        <w:sz w:val="18"/>
        <w:szCs w:val="18"/>
      </w:rPr>
    </w:pPr>
    <w:r w:rsidRPr="00BA45DC">
      <w:rPr>
        <w:sz w:val="18"/>
        <w:szCs w:val="18"/>
      </w:rPr>
      <w:t xml:space="preserve">Section 32 Evaluation Report – </w:t>
    </w:r>
    <w:r w:rsidR="005653BF">
      <w:rPr>
        <w:sz w:val="18"/>
        <w:szCs w:val="18"/>
      </w:rPr>
      <w:t xml:space="preserve">Freshwater Planning Instrument parts of </w:t>
    </w:r>
  </w:p>
  <w:p w14:paraId="7DAE2AA6" w14:textId="4B1AEC1C" w:rsidR="002A7A16" w:rsidRPr="00BA45DC" w:rsidRDefault="005653BF">
    <w:pPr>
      <w:pStyle w:val="Header"/>
      <w:rPr>
        <w:sz w:val="18"/>
        <w:szCs w:val="18"/>
      </w:rPr>
    </w:pPr>
    <w:r>
      <w:rPr>
        <w:sz w:val="18"/>
        <w:szCs w:val="18"/>
      </w:rPr>
      <w:t xml:space="preserve">the </w:t>
    </w:r>
    <w:r w:rsidR="002A7A16" w:rsidRPr="00BA45DC">
      <w:rPr>
        <w:sz w:val="18"/>
        <w:szCs w:val="18"/>
      </w:rPr>
      <w:t>Proposed Otago Regional Policy Statement</w:t>
    </w:r>
    <w:r w:rsidR="002A7A16">
      <w:rPr>
        <w:sz w:val="18"/>
        <w:szCs w:val="18"/>
      </w:rPr>
      <w:t xml:space="preserve"> 2021</w:t>
    </w:r>
    <w:r w:rsidR="002A7A16" w:rsidRPr="00BA45DC">
      <w:rPr>
        <w:sz w:val="18"/>
        <w:szCs w:val="18"/>
      </w:rPr>
      <w:tab/>
    </w:r>
    <w:r>
      <w:rPr>
        <w:sz w:val="18"/>
        <w:szCs w:val="18"/>
      </w:rPr>
      <w:tab/>
      <w:t>September 2022</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990E" w14:textId="77777777" w:rsidR="005653BF" w:rsidRDefault="005653BF" w:rsidP="005653BF">
    <w:pPr>
      <w:pStyle w:val="Header"/>
      <w:rPr>
        <w:sz w:val="18"/>
        <w:szCs w:val="18"/>
      </w:rPr>
    </w:pPr>
    <w:r w:rsidRPr="00BA45DC">
      <w:rPr>
        <w:sz w:val="18"/>
        <w:szCs w:val="18"/>
      </w:rPr>
      <w:t xml:space="preserve">Section 32 Evaluation Report – </w:t>
    </w:r>
    <w:r>
      <w:rPr>
        <w:sz w:val="18"/>
        <w:szCs w:val="18"/>
      </w:rPr>
      <w:t xml:space="preserve">Freshwater Planning Instrument parts of </w:t>
    </w:r>
  </w:p>
  <w:p w14:paraId="74378E37" w14:textId="77777777" w:rsidR="005653BF" w:rsidRPr="00BA45DC" w:rsidRDefault="005653BF" w:rsidP="005653BF">
    <w:pPr>
      <w:pStyle w:val="Header"/>
      <w:rPr>
        <w:sz w:val="18"/>
        <w:szCs w:val="18"/>
      </w:rPr>
    </w:pPr>
    <w:r>
      <w:rPr>
        <w:sz w:val="18"/>
        <w:szCs w:val="18"/>
      </w:rPr>
      <w:t xml:space="preserve">the </w:t>
    </w:r>
    <w:r w:rsidRPr="00BA45DC">
      <w:rPr>
        <w:sz w:val="18"/>
        <w:szCs w:val="18"/>
      </w:rPr>
      <w:t>Proposed Otago Regional Policy Statement</w:t>
    </w:r>
    <w:r>
      <w:rPr>
        <w:sz w:val="18"/>
        <w:szCs w:val="18"/>
      </w:rPr>
      <w:t xml:space="preserve"> 2021</w:t>
    </w:r>
    <w:r w:rsidRPr="00BA45DC">
      <w:rPr>
        <w:sz w:val="18"/>
        <w:szCs w:val="18"/>
      </w:rPr>
      <w:tab/>
    </w:r>
    <w:r>
      <w:rPr>
        <w:sz w:val="18"/>
        <w:szCs w:val="18"/>
      </w:rPr>
      <w:tab/>
      <w:t>September 2022</w:t>
    </w:r>
  </w:p>
  <w:p w14:paraId="7186A32F" w14:textId="7F072DDE" w:rsidR="002A7A16" w:rsidRPr="005653BF" w:rsidRDefault="002A7A16" w:rsidP="005653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B85A9F5"/>
    <w:multiLevelType w:val="hybridMultilevel"/>
    <w:tmpl w:val="CCF4462B"/>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FFFFFF83"/>
    <w:multiLevelType w:val="singleLevel"/>
    <w:tmpl w:val="E6525640"/>
    <w:lvl w:ilvl="0">
      <w:start w:val="1"/>
      <w:numFmt w:val="bullet"/>
      <w:pStyle w:val="ListBullet2"/>
      <w:lvlText w:val="o"/>
      <w:lvlJc w:val="left"/>
      <w:pPr>
        <w:ind w:left="700" w:hanging="360"/>
      </w:pPr>
      <w:rPr>
        <w:rFonts w:ascii="Courier New" w:hAnsi="Courier New" w:cs="Courier New" w:hint="default"/>
      </w:rPr>
    </w:lvl>
  </w:abstractNum>
  <w:abstractNum w:abstractNumId="2" w15:restartNumberingAfterBreak="0">
    <w:nsid w:val="01CB7933"/>
    <w:multiLevelType w:val="hybridMultilevel"/>
    <w:tmpl w:val="FFFFFFFF"/>
    <w:lvl w:ilvl="0" w:tplc="FAAC53C4">
      <w:start w:val="1"/>
      <w:numFmt w:val="bullet"/>
      <w:lvlText w:val=""/>
      <w:lvlJc w:val="left"/>
      <w:pPr>
        <w:ind w:left="1080" w:hanging="360"/>
      </w:pPr>
      <w:rPr>
        <w:rFonts w:ascii="Symbol" w:hAnsi="Symbol" w:hint="default"/>
      </w:rPr>
    </w:lvl>
    <w:lvl w:ilvl="1" w:tplc="E7E00628">
      <w:start w:val="1"/>
      <w:numFmt w:val="bullet"/>
      <w:lvlText w:val="o"/>
      <w:lvlJc w:val="left"/>
      <w:pPr>
        <w:ind w:left="1800" w:hanging="360"/>
      </w:pPr>
      <w:rPr>
        <w:rFonts w:ascii="Courier New" w:hAnsi="Courier New" w:hint="default"/>
      </w:rPr>
    </w:lvl>
    <w:lvl w:ilvl="2" w:tplc="A42E2BB6">
      <w:start w:val="1"/>
      <w:numFmt w:val="bullet"/>
      <w:lvlText w:val=""/>
      <w:lvlJc w:val="left"/>
      <w:pPr>
        <w:ind w:left="2520" w:hanging="360"/>
      </w:pPr>
      <w:rPr>
        <w:rFonts w:ascii="Wingdings" w:hAnsi="Wingdings" w:hint="default"/>
      </w:rPr>
    </w:lvl>
    <w:lvl w:ilvl="3" w:tplc="2AC089E2">
      <w:start w:val="1"/>
      <w:numFmt w:val="bullet"/>
      <w:lvlText w:val=""/>
      <w:lvlJc w:val="left"/>
      <w:pPr>
        <w:ind w:left="3240" w:hanging="360"/>
      </w:pPr>
      <w:rPr>
        <w:rFonts w:ascii="Symbol" w:hAnsi="Symbol" w:hint="default"/>
      </w:rPr>
    </w:lvl>
    <w:lvl w:ilvl="4" w:tplc="4C2EE7E6">
      <w:start w:val="1"/>
      <w:numFmt w:val="bullet"/>
      <w:lvlText w:val="o"/>
      <w:lvlJc w:val="left"/>
      <w:pPr>
        <w:ind w:left="3960" w:hanging="360"/>
      </w:pPr>
      <w:rPr>
        <w:rFonts w:ascii="Courier New" w:hAnsi="Courier New" w:hint="default"/>
      </w:rPr>
    </w:lvl>
    <w:lvl w:ilvl="5" w:tplc="180ABFB8">
      <w:start w:val="1"/>
      <w:numFmt w:val="bullet"/>
      <w:lvlText w:val=""/>
      <w:lvlJc w:val="left"/>
      <w:pPr>
        <w:ind w:left="4680" w:hanging="360"/>
      </w:pPr>
      <w:rPr>
        <w:rFonts w:ascii="Wingdings" w:hAnsi="Wingdings" w:hint="default"/>
      </w:rPr>
    </w:lvl>
    <w:lvl w:ilvl="6" w:tplc="688A04D4">
      <w:start w:val="1"/>
      <w:numFmt w:val="bullet"/>
      <w:lvlText w:val=""/>
      <w:lvlJc w:val="left"/>
      <w:pPr>
        <w:ind w:left="5400" w:hanging="360"/>
      </w:pPr>
      <w:rPr>
        <w:rFonts w:ascii="Symbol" w:hAnsi="Symbol" w:hint="default"/>
      </w:rPr>
    </w:lvl>
    <w:lvl w:ilvl="7" w:tplc="B6161196">
      <w:start w:val="1"/>
      <w:numFmt w:val="bullet"/>
      <w:lvlText w:val="o"/>
      <w:lvlJc w:val="left"/>
      <w:pPr>
        <w:ind w:left="6120" w:hanging="360"/>
      </w:pPr>
      <w:rPr>
        <w:rFonts w:ascii="Courier New" w:hAnsi="Courier New" w:hint="default"/>
      </w:rPr>
    </w:lvl>
    <w:lvl w:ilvl="8" w:tplc="29CCD012">
      <w:start w:val="1"/>
      <w:numFmt w:val="bullet"/>
      <w:lvlText w:val=""/>
      <w:lvlJc w:val="left"/>
      <w:pPr>
        <w:ind w:left="6840" w:hanging="360"/>
      </w:pPr>
      <w:rPr>
        <w:rFonts w:ascii="Wingdings" w:hAnsi="Wingdings" w:hint="default"/>
      </w:rPr>
    </w:lvl>
  </w:abstractNum>
  <w:abstractNum w:abstractNumId="3" w15:restartNumberingAfterBreak="0">
    <w:nsid w:val="02220592"/>
    <w:multiLevelType w:val="hybridMultilevel"/>
    <w:tmpl w:val="A00A2BE2"/>
    <w:lvl w:ilvl="0" w:tplc="EE221AF0">
      <w:start w:val="1"/>
      <w:numFmt w:val="bullet"/>
      <w:lvlText w:val=""/>
      <w:lvlJc w:val="left"/>
      <w:pPr>
        <w:ind w:left="1080" w:hanging="360"/>
      </w:pPr>
      <w:rPr>
        <w:rFonts w:ascii="Symbol" w:hAnsi="Symbol" w:hint="default"/>
      </w:rPr>
    </w:lvl>
    <w:lvl w:ilvl="1" w:tplc="BAE0B766">
      <w:start w:val="1"/>
      <w:numFmt w:val="bullet"/>
      <w:lvlText w:val="o"/>
      <w:lvlJc w:val="left"/>
      <w:pPr>
        <w:ind w:left="1800" w:hanging="360"/>
      </w:pPr>
      <w:rPr>
        <w:rFonts w:ascii="Courier New" w:hAnsi="Courier New" w:hint="default"/>
      </w:rPr>
    </w:lvl>
    <w:lvl w:ilvl="2" w:tplc="6E08BC40">
      <w:start w:val="1"/>
      <w:numFmt w:val="bullet"/>
      <w:lvlText w:val=""/>
      <w:lvlJc w:val="left"/>
      <w:pPr>
        <w:ind w:left="2520" w:hanging="360"/>
      </w:pPr>
      <w:rPr>
        <w:rFonts w:ascii="Wingdings" w:hAnsi="Wingdings" w:hint="default"/>
      </w:rPr>
    </w:lvl>
    <w:lvl w:ilvl="3" w:tplc="56F08602">
      <w:start w:val="1"/>
      <w:numFmt w:val="bullet"/>
      <w:lvlText w:val=""/>
      <w:lvlJc w:val="left"/>
      <w:pPr>
        <w:ind w:left="3240" w:hanging="360"/>
      </w:pPr>
      <w:rPr>
        <w:rFonts w:ascii="Symbol" w:hAnsi="Symbol" w:hint="default"/>
      </w:rPr>
    </w:lvl>
    <w:lvl w:ilvl="4" w:tplc="7CD43700">
      <w:start w:val="1"/>
      <w:numFmt w:val="bullet"/>
      <w:lvlText w:val="o"/>
      <w:lvlJc w:val="left"/>
      <w:pPr>
        <w:ind w:left="3960" w:hanging="360"/>
      </w:pPr>
      <w:rPr>
        <w:rFonts w:ascii="Courier New" w:hAnsi="Courier New" w:hint="default"/>
      </w:rPr>
    </w:lvl>
    <w:lvl w:ilvl="5" w:tplc="6EB809DA">
      <w:start w:val="1"/>
      <w:numFmt w:val="bullet"/>
      <w:lvlText w:val=""/>
      <w:lvlJc w:val="left"/>
      <w:pPr>
        <w:ind w:left="4680" w:hanging="360"/>
      </w:pPr>
      <w:rPr>
        <w:rFonts w:ascii="Wingdings" w:hAnsi="Wingdings" w:hint="default"/>
      </w:rPr>
    </w:lvl>
    <w:lvl w:ilvl="6" w:tplc="4CDC18D4">
      <w:start w:val="1"/>
      <w:numFmt w:val="bullet"/>
      <w:lvlText w:val=""/>
      <w:lvlJc w:val="left"/>
      <w:pPr>
        <w:ind w:left="5400" w:hanging="360"/>
      </w:pPr>
      <w:rPr>
        <w:rFonts w:ascii="Symbol" w:hAnsi="Symbol" w:hint="default"/>
      </w:rPr>
    </w:lvl>
    <w:lvl w:ilvl="7" w:tplc="DF649F12">
      <w:start w:val="1"/>
      <w:numFmt w:val="bullet"/>
      <w:lvlText w:val="o"/>
      <w:lvlJc w:val="left"/>
      <w:pPr>
        <w:ind w:left="6120" w:hanging="360"/>
      </w:pPr>
      <w:rPr>
        <w:rFonts w:ascii="Courier New" w:hAnsi="Courier New" w:hint="default"/>
      </w:rPr>
    </w:lvl>
    <w:lvl w:ilvl="8" w:tplc="F9F4B408">
      <w:start w:val="1"/>
      <w:numFmt w:val="bullet"/>
      <w:lvlText w:val=""/>
      <w:lvlJc w:val="left"/>
      <w:pPr>
        <w:ind w:left="6840" w:hanging="360"/>
      </w:pPr>
      <w:rPr>
        <w:rFonts w:ascii="Wingdings" w:hAnsi="Wingdings" w:hint="default"/>
      </w:rPr>
    </w:lvl>
  </w:abstractNum>
  <w:abstractNum w:abstractNumId="4" w15:restartNumberingAfterBreak="0">
    <w:nsid w:val="049C7D1B"/>
    <w:multiLevelType w:val="hybridMultilevel"/>
    <w:tmpl w:val="A0EC29B0"/>
    <w:lvl w:ilvl="0" w:tplc="9546051E">
      <w:start w:val="1"/>
      <w:numFmt w:val="bullet"/>
      <w:lvlText w:val=""/>
      <w:lvlJc w:val="left"/>
      <w:pPr>
        <w:ind w:left="1080" w:hanging="360"/>
      </w:pPr>
      <w:rPr>
        <w:rFonts w:ascii="Symbol" w:hAnsi="Symbol" w:hint="default"/>
      </w:rPr>
    </w:lvl>
    <w:lvl w:ilvl="1" w:tplc="AC8E3592">
      <w:start w:val="1"/>
      <w:numFmt w:val="bullet"/>
      <w:lvlText w:val="o"/>
      <w:lvlJc w:val="left"/>
      <w:pPr>
        <w:ind w:left="1800" w:hanging="360"/>
      </w:pPr>
      <w:rPr>
        <w:rFonts w:ascii="Courier New" w:hAnsi="Courier New" w:hint="default"/>
      </w:rPr>
    </w:lvl>
    <w:lvl w:ilvl="2" w:tplc="ACD26746">
      <w:start w:val="1"/>
      <w:numFmt w:val="bullet"/>
      <w:lvlText w:val=""/>
      <w:lvlJc w:val="left"/>
      <w:pPr>
        <w:ind w:left="2520" w:hanging="360"/>
      </w:pPr>
      <w:rPr>
        <w:rFonts w:ascii="Wingdings" w:hAnsi="Wingdings" w:hint="default"/>
      </w:rPr>
    </w:lvl>
    <w:lvl w:ilvl="3" w:tplc="790E6C12">
      <w:start w:val="1"/>
      <w:numFmt w:val="bullet"/>
      <w:lvlText w:val=""/>
      <w:lvlJc w:val="left"/>
      <w:pPr>
        <w:ind w:left="3240" w:hanging="360"/>
      </w:pPr>
      <w:rPr>
        <w:rFonts w:ascii="Symbol" w:hAnsi="Symbol" w:hint="default"/>
      </w:rPr>
    </w:lvl>
    <w:lvl w:ilvl="4" w:tplc="8CCE5F4A">
      <w:start w:val="1"/>
      <w:numFmt w:val="bullet"/>
      <w:lvlText w:val="o"/>
      <w:lvlJc w:val="left"/>
      <w:pPr>
        <w:ind w:left="3960" w:hanging="360"/>
      </w:pPr>
      <w:rPr>
        <w:rFonts w:ascii="Courier New" w:hAnsi="Courier New" w:hint="default"/>
      </w:rPr>
    </w:lvl>
    <w:lvl w:ilvl="5" w:tplc="17B4AC4A">
      <w:start w:val="1"/>
      <w:numFmt w:val="bullet"/>
      <w:lvlText w:val=""/>
      <w:lvlJc w:val="left"/>
      <w:pPr>
        <w:ind w:left="4680" w:hanging="360"/>
      </w:pPr>
      <w:rPr>
        <w:rFonts w:ascii="Wingdings" w:hAnsi="Wingdings" w:hint="default"/>
      </w:rPr>
    </w:lvl>
    <w:lvl w:ilvl="6" w:tplc="396AE4D8">
      <w:start w:val="1"/>
      <w:numFmt w:val="bullet"/>
      <w:lvlText w:val=""/>
      <w:lvlJc w:val="left"/>
      <w:pPr>
        <w:ind w:left="5400" w:hanging="360"/>
      </w:pPr>
      <w:rPr>
        <w:rFonts w:ascii="Symbol" w:hAnsi="Symbol" w:hint="default"/>
      </w:rPr>
    </w:lvl>
    <w:lvl w:ilvl="7" w:tplc="CBA61A5E">
      <w:start w:val="1"/>
      <w:numFmt w:val="bullet"/>
      <w:lvlText w:val="o"/>
      <w:lvlJc w:val="left"/>
      <w:pPr>
        <w:ind w:left="6120" w:hanging="360"/>
      </w:pPr>
      <w:rPr>
        <w:rFonts w:ascii="Courier New" w:hAnsi="Courier New" w:hint="default"/>
      </w:rPr>
    </w:lvl>
    <w:lvl w:ilvl="8" w:tplc="F6F482D6">
      <w:start w:val="1"/>
      <w:numFmt w:val="bullet"/>
      <w:lvlText w:val=""/>
      <w:lvlJc w:val="left"/>
      <w:pPr>
        <w:ind w:left="6840" w:hanging="360"/>
      </w:pPr>
      <w:rPr>
        <w:rFonts w:ascii="Wingdings" w:hAnsi="Wingdings" w:hint="default"/>
      </w:rPr>
    </w:lvl>
  </w:abstractNum>
  <w:abstractNum w:abstractNumId="5" w15:restartNumberingAfterBreak="0">
    <w:nsid w:val="062B5873"/>
    <w:multiLevelType w:val="hybridMultilevel"/>
    <w:tmpl w:val="1B7CB8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77E18EE"/>
    <w:multiLevelType w:val="hybridMultilevel"/>
    <w:tmpl w:val="FFFFFFFF"/>
    <w:lvl w:ilvl="0" w:tplc="0C208B56">
      <w:start w:val="1"/>
      <w:numFmt w:val="bullet"/>
      <w:lvlText w:val=""/>
      <w:lvlJc w:val="left"/>
      <w:pPr>
        <w:ind w:left="1080" w:hanging="360"/>
      </w:pPr>
      <w:rPr>
        <w:rFonts w:ascii="Symbol" w:hAnsi="Symbol" w:hint="default"/>
      </w:rPr>
    </w:lvl>
    <w:lvl w:ilvl="1" w:tplc="0C080A08">
      <w:start w:val="1"/>
      <w:numFmt w:val="bullet"/>
      <w:lvlText w:val="o"/>
      <w:lvlJc w:val="left"/>
      <w:pPr>
        <w:ind w:left="1800" w:hanging="360"/>
      </w:pPr>
      <w:rPr>
        <w:rFonts w:ascii="Courier New" w:hAnsi="Courier New" w:hint="default"/>
      </w:rPr>
    </w:lvl>
    <w:lvl w:ilvl="2" w:tplc="296C84A4">
      <w:start w:val="1"/>
      <w:numFmt w:val="bullet"/>
      <w:lvlText w:val=""/>
      <w:lvlJc w:val="left"/>
      <w:pPr>
        <w:ind w:left="2520" w:hanging="360"/>
      </w:pPr>
      <w:rPr>
        <w:rFonts w:ascii="Wingdings" w:hAnsi="Wingdings" w:hint="default"/>
      </w:rPr>
    </w:lvl>
    <w:lvl w:ilvl="3" w:tplc="EDBCD5D2">
      <w:start w:val="1"/>
      <w:numFmt w:val="bullet"/>
      <w:lvlText w:val=""/>
      <w:lvlJc w:val="left"/>
      <w:pPr>
        <w:ind w:left="3240" w:hanging="360"/>
      </w:pPr>
      <w:rPr>
        <w:rFonts w:ascii="Symbol" w:hAnsi="Symbol" w:hint="default"/>
      </w:rPr>
    </w:lvl>
    <w:lvl w:ilvl="4" w:tplc="777427D0">
      <w:start w:val="1"/>
      <w:numFmt w:val="bullet"/>
      <w:lvlText w:val="o"/>
      <w:lvlJc w:val="left"/>
      <w:pPr>
        <w:ind w:left="3960" w:hanging="360"/>
      </w:pPr>
      <w:rPr>
        <w:rFonts w:ascii="Courier New" w:hAnsi="Courier New" w:hint="default"/>
      </w:rPr>
    </w:lvl>
    <w:lvl w:ilvl="5" w:tplc="AF6A1972">
      <w:start w:val="1"/>
      <w:numFmt w:val="bullet"/>
      <w:lvlText w:val=""/>
      <w:lvlJc w:val="left"/>
      <w:pPr>
        <w:ind w:left="4680" w:hanging="360"/>
      </w:pPr>
      <w:rPr>
        <w:rFonts w:ascii="Wingdings" w:hAnsi="Wingdings" w:hint="default"/>
      </w:rPr>
    </w:lvl>
    <w:lvl w:ilvl="6" w:tplc="B0485402">
      <w:start w:val="1"/>
      <w:numFmt w:val="bullet"/>
      <w:lvlText w:val=""/>
      <w:lvlJc w:val="left"/>
      <w:pPr>
        <w:ind w:left="5400" w:hanging="360"/>
      </w:pPr>
      <w:rPr>
        <w:rFonts w:ascii="Symbol" w:hAnsi="Symbol" w:hint="default"/>
      </w:rPr>
    </w:lvl>
    <w:lvl w:ilvl="7" w:tplc="46A21E4C">
      <w:start w:val="1"/>
      <w:numFmt w:val="bullet"/>
      <w:lvlText w:val="o"/>
      <w:lvlJc w:val="left"/>
      <w:pPr>
        <w:ind w:left="6120" w:hanging="360"/>
      </w:pPr>
      <w:rPr>
        <w:rFonts w:ascii="Courier New" w:hAnsi="Courier New" w:hint="default"/>
      </w:rPr>
    </w:lvl>
    <w:lvl w:ilvl="8" w:tplc="C324ED48">
      <w:start w:val="1"/>
      <w:numFmt w:val="bullet"/>
      <w:lvlText w:val=""/>
      <w:lvlJc w:val="left"/>
      <w:pPr>
        <w:ind w:left="6840" w:hanging="360"/>
      </w:pPr>
      <w:rPr>
        <w:rFonts w:ascii="Wingdings" w:hAnsi="Wingdings" w:hint="default"/>
      </w:rPr>
    </w:lvl>
  </w:abstractNum>
  <w:abstractNum w:abstractNumId="7" w15:restartNumberingAfterBreak="0">
    <w:nsid w:val="093027C6"/>
    <w:multiLevelType w:val="hybridMultilevel"/>
    <w:tmpl w:val="324C1D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965172A"/>
    <w:multiLevelType w:val="hybridMultilevel"/>
    <w:tmpl w:val="A5C26EC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9" w15:restartNumberingAfterBreak="0">
    <w:nsid w:val="098271D5"/>
    <w:multiLevelType w:val="multilevel"/>
    <w:tmpl w:val="D646F1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9C2BF5"/>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D9B2BC0"/>
    <w:multiLevelType w:val="hybridMultilevel"/>
    <w:tmpl w:val="39B06178"/>
    <w:lvl w:ilvl="0" w:tplc="AE9ACA46">
      <w:start w:val="1"/>
      <w:numFmt w:val="lowerLetter"/>
      <w:lvlText w:val="%1)"/>
      <w:lvlJc w:val="left"/>
      <w:pPr>
        <w:ind w:left="1080" w:hanging="360"/>
      </w:pPr>
    </w:lvl>
    <w:lvl w:ilvl="1" w:tplc="8C8A16DC">
      <w:start w:val="1"/>
      <w:numFmt w:val="lowerLetter"/>
      <w:lvlText w:val="%2."/>
      <w:lvlJc w:val="left"/>
      <w:pPr>
        <w:ind w:left="1800" w:hanging="360"/>
      </w:pPr>
    </w:lvl>
    <w:lvl w:ilvl="2" w:tplc="5854E3B0">
      <w:start w:val="1"/>
      <w:numFmt w:val="lowerRoman"/>
      <w:lvlText w:val="%3."/>
      <w:lvlJc w:val="right"/>
      <w:pPr>
        <w:ind w:left="2520" w:hanging="180"/>
      </w:pPr>
    </w:lvl>
    <w:lvl w:ilvl="3" w:tplc="8384E4C6">
      <w:start w:val="1"/>
      <w:numFmt w:val="decimal"/>
      <w:lvlText w:val="%4."/>
      <w:lvlJc w:val="left"/>
      <w:pPr>
        <w:ind w:left="3240" w:hanging="360"/>
      </w:pPr>
    </w:lvl>
    <w:lvl w:ilvl="4" w:tplc="30D6F4C0">
      <w:start w:val="1"/>
      <w:numFmt w:val="lowerLetter"/>
      <w:lvlText w:val="%5."/>
      <w:lvlJc w:val="left"/>
      <w:pPr>
        <w:ind w:left="3960" w:hanging="360"/>
      </w:pPr>
    </w:lvl>
    <w:lvl w:ilvl="5" w:tplc="354885AC">
      <w:start w:val="1"/>
      <w:numFmt w:val="lowerRoman"/>
      <w:lvlText w:val="%6."/>
      <w:lvlJc w:val="right"/>
      <w:pPr>
        <w:ind w:left="4680" w:hanging="180"/>
      </w:pPr>
    </w:lvl>
    <w:lvl w:ilvl="6" w:tplc="A0F8DBF2">
      <w:start w:val="1"/>
      <w:numFmt w:val="decimal"/>
      <w:lvlText w:val="%7."/>
      <w:lvlJc w:val="left"/>
      <w:pPr>
        <w:ind w:left="5400" w:hanging="360"/>
      </w:pPr>
    </w:lvl>
    <w:lvl w:ilvl="7" w:tplc="85BC2408">
      <w:start w:val="1"/>
      <w:numFmt w:val="lowerLetter"/>
      <w:lvlText w:val="%8."/>
      <w:lvlJc w:val="left"/>
      <w:pPr>
        <w:ind w:left="6120" w:hanging="360"/>
      </w:pPr>
    </w:lvl>
    <w:lvl w:ilvl="8" w:tplc="B002D5DE">
      <w:start w:val="1"/>
      <w:numFmt w:val="lowerRoman"/>
      <w:lvlText w:val="%9."/>
      <w:lvlJc w:val="right"/>
      <w:pPr>
        <w:ind w:left="6840" w:hanging="180"/>
      </w:pPr>
    </w:lvl>
  </w:abstractNum>
  <w:abstractNum w:abstractNumId="12" w15:restartNumberingAfterBreak="0">
    <w:nsid w:val="0E017689"/>
    <w:multiLevelType w:val="hybridMultilevel"/>
    <w:tmpl w:val="4A5E5C0E"/>
    <w:lvl w:ilvl="0" w:tplc="0B26115E">
      <w:start w:val="1"/>
      <w:numFmt w:val="lowerRoman"/>
      <w:lvlText w:val="(%1)"/>
      <w:lvlJc w:val="right"/>
      <w:pPr>
        <w:ind w:left="1800" w:hanging="360"/>
      </w:pPr>
    </w:lvl>
    <w:lvl w:ilvl="1" w:tplc="C3B45EFA">
      <w:start w:val="1"/>
      <w:numFmt w:val="lowerLetter"/>
      <w:lvlText w:val="%2."/>
      <w:lvlJc w:val="left"/>
      <w:pPr>
        <w:ind w:left="2520" w:hanging="360"/>
      </w:pPr>
    </w:lvl>
    <w:lvl w:ilvl="2" w:tplc="FA30C7F6">
      <w:start w:val="1"/>
      <w:numFmt w:val="lowerRoman"/>
      <w:lvlText w:val="%3."/>
      <w:lvlJc w:val="right"/>
      <w:pPr>
        <w:ind w:left="3240" w:hanging="180"/>
      </w:pPr>
    </w:lvl>
    <w:lvl w:ilvl="3" w:tplc="A5EC006E">
      <w:start w:val="1"/>
      <w:numFmt w:val="decimal"/>
      <w:lvlText w:val="%4."/>
      <w:lvlJc w:val="left"/>
      <w:pPr>
        <w:ind w:left="3960" w:hanging="360"/>
      </w:pPr>
    </w:lvl>
    <w:lvl w:ilvl="4" w:tplc="F584702C">
      <w:start w:val="1"/>
      <w:numFmt w:val="lowerLetter"/>
      <w:lvlText w:val="%5."/>
      <w:lvlJc w:val="left"/>
      <w:pPr>
        <w:ind w:left="4680" w:hanging="360"/>
      </w:pPr>
    </w:lvl>
    <w:lvl w:ilvl="5" w:tplc="AA2AAC2C">
      <w:start w:val="1"/>
      <w:numFmt w:val="lowerRoman"/>
      <w:lvlText w:val="%6."/>
      <w:lvlJc w:val="right"/>
      <w:pPr>
        <w:ind w:left="5400" w:hanging="180"/>
      </w:pPr>
    </w:lvl>
    <w:lvl w:ilvl="6" w:tplc="7EFAA08E">
      <w:start w:val="1"/>
      <w:numFmt w:val="decimal"/>
      <w:lvlText w:val="%7."/>
      <w:lvlJc w:val="left"/>
      <w:pPr>
        <w:ind w:left="6120" w:hanging="360"/>
      </w:pPr>
    </w:lvl>
    <w:lvl w:ilvl="7" w:tplc="DEBC7A62">
      <w:start w:val="1"/>
      <w:numFmt w:val="lowerLetter"/>
      <w:lvlText w:val="%8."/>
      <w:lvlJc w:val="left"/>
      <w:pPr>
        <w:ind w:left="6840" w:hanging="360"/>
      </w:pPr>
    </w:lvl>
    <w:lvl w:ilvl="8" w:tplc="A3FEF2CC">
      <w:start w:val="1"/>
      <w:numFmt w:val="lowerRoman"/>
      <w:lvlText w:val="%9."/>
      <w:lvlJc w:val="right"/>
      <w:pPr>
        <w:ind w:left="7560" w:hanging="180"/>
      </w:pPr>
    </w:lvl>
  </w:abstractNum>
  <w:abstractNum w:abstractNumId="13" w15:restartNumberingAfterBreak="0">
    <w:nsid w:val="0F137A73"/>
    <w:multiLevelType w:val="hybridMultilevel"/>
    <w:tmpl w:val="B65A2966"/>
    <w:lvl w:ilvl="0" w:tplc="BBB0DBCA">
      <w:start w:val="1"/>
      <w:numFmt w:val="lowerLetter"/>
      <w:lvlText w:val="(%1)"/>
      <w:lvlJc w:val="left"/>
      <w:pPr>
        <w:ind w:left="1080" w:hanging="360"/>
      </w:pPr>
    </w:lvl>
    <w:lvl w:ilvl="1" w:tplc="6936AE8C">
      <w:start w:val="1"/>
      <w:numFmt w:val="lowerLetter"/>
      <w:lvlText w:val="%2."/>
      <w:lvlJc w:val="left"/>
      <w:pPr>
        <w:ind w:left="1800" w:hanging="360"/>
      </w:pPr>
    </w:lvl>
    <w:lvl w:ilvl="2" w:tplc="AFBE7FC2">
      <w:start w:val="1"/>
      <w:numFmt w:val="lowerRoman"/>
      <w:lvlText w:val="%3."/>
      <w:lvlJc w:val="right"/>
      <w:pPr>
        <w:ind w:left="2520" w:hanging="180"/>
      </w:pPr>
    </w:lvl>
    <w:lvl w:ilvl="3" w:tplc="B6AEA466">
      <w:start w:val="1"/>
      <w:numFmt w:val="decimal"/>
      <w:lvlText w:val="%4."/>
      <w:lvlJc w:val="left"/>
      <w:pPr>
        <w:ind w:left="3240" w:hanging="360"/>
      </w:pPr>
    </w:lvl>
    <w:lvl w:ilvl="4" w:tplc="69207CC2">
      <w:start w:val="1"/>
      <w:numFmt w:val="lowerLetter"/>
      <w:lvlText w:val="%5."/>
      <w:lvlJc w:val="left"/>
      <w:pPr>
        <w:ind w:left="3960" w:hanging="360"/>
      </w:pPr>
    </w:lvl>
    <w:lvl w:ilvl="5" w:tplc="C3D094BA">
      <w:start w:val="1"/>
      <w:numFmt w:val="lowerRoman"/>
      <w:lvlText w:val="%6."/>
      <w:lvlJc w:val="right"/>
      <w:pPr>
        <w:ind w:left="4680" w:hanging="180"/>
      </w:pPr>
    </w:lvl>
    <w:lvl w:ilvl="6" w:tplc="35626D5A">
      <w:start w:val="1"/>
      <w:numFmt w:val="decimal"/>
      <w:lvlText w:val="%7."/>
      <w:lvlJc w:val="left"/>
      <w:pPr>
        <w:ind w:left="5400" w:hanging="360"/>
      </w:pPr>
    </w:lvl>
    <w:lvl w:ilvl="7" w:tplc="80B088E8">
      <w:start w:val="1"/>
      <w:numFmt w:val="lowerLetter"/>
      <w:lvlText w:val="%8."/>
      <w:lvlJc w:val="left"/>
      <w:pPr>
        <w:ind w:left="6120" w:hanging="360"/>
      </w:pPr>
    </w:lvl>
    <w:lvl w:ilvl="8" w:tplc="A89E2306">
      <w:start w:val="1"/>
      <w:numFmt w:val="lowerRoman"/>
      <w:lvlText w:val="%9."/>
      <w:lvlJc w:val="right"/>
      <w:pPr>
        <w:ind w:left="6840" w:hanging="180"/>
      </w:pPr>
    </w:lvl>
  </w:abstractNum>
  <w:abstractNum w:abstractNumId="14" w15:restartNumberingAfterBreak="0">
    <w:nsid w:val="10BC2B80"/>
    <w:multiLevelType w:val="hybridMultilevel"/>
    <w:tmpl w:val="223264DA"/>
    <w:lvl w:ilvl="0" w:tplc="9204188A">
      <w:start w:val="1"/>
      <w:numFmt w:val="lowerLetter"/>
      <w:lvlText w:val="(%1)"/>
      <w:lvlJc w:val="left"/>
      <w:pPr>
        <w:ind w:left="1080" w:hanging="360"/>
      </w:pPr>
    </w:lvl>
    <w:lvl w:ilvl="1" w:tplc="AC3AD872">
      <w:start w:val="1"/>
      <w:numFmt w:val="lowerLetter"/>
      <w:lvlText w:val="%2."/>
      <w:lvlJc w:val="left"/>
      <w:pPr>
        <w:ind w:left="1800" w:hanging="360"/>
      </w:pPr>
    </w:lvl>
    <w:lvl w:ilvl="2" w:tplc="48CAD91C">
      <w:start w:val="1"/>
      <w:numFmt w:val="lowerRoman"/>
      <w:lvlText w:val="%3."/>
      <w:lvlJc w:val="right"/>
      <w:pPr>
        <w:ind w:left="2520" w:hanging="180"/>
      </w:pPr>
    </w:lvl>
    <w:lvl w:ilvl="3" w:tplc="9F5029FC">
      <w:start w:val="1"/>
      <w:numFmt w:val="decimal"/>
      <w:lvlText w:val="%4."/>
      <w:lvlJc w:val="left"/>
      <w:pPr>
        <w:ind w:left="3240" w:hanging="360"/>
      </w:pPr>
    </w:lvl>
    <w:lvl w:ilvl="4" w:tplc="2FC6090E">
      <w:start w:val="1"/>
      <w:numFmt w:val="lowerLetter"/>
      <w:lvlText w:val="%5."/>
      <w:lvlJc w:val="left"/>
      <w:pPr>
        <w:ind w:left="3960" w:hanging="360"/>
      </w:pPr>
    </w:lvl>
    <w:lvl w:ilvl="5" w:tplc="982C7CC6">
      <w:start w:val="1"/>
      <w:numFmt w:val="lowerRoman"/>
      <w:lvlText w:val="%6."/>
      <w:lvlJc w:val="right"/>
      <w:pPr>
        <w:ind w:left="4680" w:hanging="180"/>
      </w:pPr>
    </w:lvl>
    <w:lvl w:ilvl="6" w:tplc="3F5E7912">
      <w:start w:val="1"/>
      <w:numFmt w:val="decimal"/>
      <w:lvlText w:val="%7."/>
      <w:lvlJc w:val="left"/>
      <w:pPr>
        <w:ind w:left="5400" w:hanging="360"/>
      </w:pPr>
    </w:lvl>
    <w:lvl w:ilvl="7" w:tplc="1668FC36">
      <w:start w:val="1"/>
      <w:numFmt w:val="lowerLetter"/>
      <w:lvlText w:val="%8."/>
      <w:lvlJc w:val="left"/>
      <w:pPr>
        <w:ind w:left="6120" w:hanging="360"/>
      </w:pPr>
    </w:lvl>
    <w:lvl w:ilvl="8" w:tplc="3B6E4B7A">
      <w:start w:val="1"/>
      <w:numFmt w:val="lowerRoman"/>
      <w:lvlText w:val="%9."/>
      <w:lvlJc w:val="right"/>
      <w:pPr>
        <w:ind w:left="6840" w:hanging="180"/>
      </w:pPr>
    </w:lvl>
  </w:abstractNum>
  <w:abstractNum w:abstractNumId="15" w15:restartNumberingAfterBreak="0">
    <w:nsid w:val="163E7191"/>
    <w:multiLevelType w:val="hybridMultilevel"/>
    <w:tmpl w:val="FFFFFFFF"/>
    <w:lvl w:ilvl="0" w:tplc="43A81AB0">
      <w:start w:val="1"/>
      <w:numFmt w:val="bullet"/>
      <w:lvlText w:val=""/>
      <w:lvlJc w:val="left"/>
      <w:pPr>
        <w:ind w:left="1080" w:hanging="360"/>
      </w:pPr>
      <w:rPr>
        <w:rFonts w:ascii="Symbol" w:hAnsi="Symbol" w:hint="default"/>
      </w:rPr>
    </w:lvl>
    <w:lvl w:ilvl="1" w:tplc="21F8A654">
      <w:start w:val="1"/>
      <w:numFmt w:val="bullet"/>
      <w:lvlText w:val="o"/>
      <w:lvlJc w:val="left"/>
      <w:pPr>
        <w:ind w:left="1800" w:hanging="360"/>
      </w:pPr>
      <w:rPr>
        <w:rFonts w:ascii="Courier New" w:hAnsi="Courier New" w:hint="default"/>
      </w:rPr>
    </w:lvl>
    <w:lvl w:ilvl="2" w:tplc="8EC6D4AC">
      <w:start w:val="1"/>
      <w:numFmt w:val="bullet"/>
      <w:lvlText w:val=""/>
      <w:lvlJc w:val="left"/>
      <w:pPr>
        <w:ind w:left="2520" w:hanging="360"/>
      </w:pPr>
      <w:rPr>
        <w:rFonts w:ascii="Wingdings" w:hAnsi="Wingdings" w:hint="default"/>
      </w:rPr>
    </w:lvl>
    <w:lvl w:ilvl="3" w:tplc="64BCDD52">
      <w:start w:val="1"/>
      <w:numFmt w:val="bullet"/>
      <w:lvlText w:val=""/>
      <w:lvlJc w:val="left"/>
      <w:pPr>
        <w:ind w:left="3240" w:hanging="360"/>
      </w:pPr>
      <w:rPr>
        <w:rFonts w:ascii="Symbol" w:hAnsi="Symbol" w:hint="default"/>
      </w:rPr>
    </w:lvl>
    <w:lvl w:ilvl="4" w:tplc="5524DFD6">
      <w:start w:val="1"/>
      <w:numFmt w:val="bullet"/>
      <w:lvlText w:val="o"/>
      <w:lvlJc w:val="left"/>
      <w:pPr>
        <w:ind w:left="3960" w:hanging="360"/>
      </w:pPr>
      <w:rPr>
        <w:rFonts w:ascii="Courier New" w:hAnsi="Courier New" w:hint="default"/>
      </w:rPr>
    </w:lvl>
    <w:lvl w:ilvl="5" w:tplc="CB924322">
      <w:start w:val="1"/>
      <w:numFmt w:val="bullet"/>
      <w:lvlText w:val=""/>
      <w:lvlJc w:val="left"/>
      <w:pPr>
        <w:ind w:left="4680" w:hanging="360"/>
      </w:pPr>
      <w:rPr>
        <w:rFonts w:ascii="Wingdings" w:hAnsi="Wingdings" w:hint="default"/>
      </w:rPr>
    </w:lvl>
    <w:lvl w:ilvl="6" w:tplc="F6E67896">
      <w:start w:val="1"/>
      <w:numFmt w:val="bullet"/>
      <w:lvlText w:val=""/>
      <w:lvlJc w:val="left"/>
      <w:pPr>
        <w:ind w:left="5400" w:hanging="360"/>
      </w:pPr>
      <w:rPr>
        <w:rFonts w:ascii="Symbol" w:hAnsi="Symbol" w:hint="default"/>
      </w:rPr>
    </w:lvl>
    <w:lvl w:ilvl="7" w:tplc="AB42B31E">
      <w:start w:val="1"/>
      <w:numFmt w:val="bullet"/>
      <w:lvlText w:val="o"/>
      <w:lvlJc w:val="left"/>
      <w:pPr>
        <w:ind w:left="6120" w:hanging="360"/>
      </w:pPr>
      <w:rPr>
        <w:rFonts w:ascii="Courier New" w:hAnsi="Courier New" w:hint="default"/>
      </w:rPr>
    </w:lvl>
    <w:lvl w:ilvl="8" w:tplc="30CED85A">
      <w:start w:val="1"/>
      <w:numFmt w:val="bullet"/>
      <w:lvlText w:val=""/>
      <w:lvlJc w:val="left"/>
      <w:pPr>
        <w:ind w:left="6840" w:hanging="360"/>
      </w:pPr>
      <w:rPr>
        <w:rFonts w:ascii="Wingdings" w:hAnsi="Wingdings" w:hint="default"/>
      </w:rPr>
    </w:lvl>
  </w:abstractNum>
  <w:abstractNum w:abstractNumId="16" w15:restartNumberingAfterBreak="0">
    <w:nsid w:val="168D5900"/>
    <w:multiLevelType w:val="hybridMultilevel"/>
    <w:tmpl w:val="6102E8C6"/>
    <w:lvl w:ilvl="0" w:tplc="BB52EDB2">
      <w:start w:val="1"/>
      <w:numFmt w:val="bullet"/>
      <w:lvlText w:val=""/>
      <w:lvlJc w:val="left"/>
      <w:pPr>
        <w:ind w:left="1080" w:hanging="360"/>
      </w:pPr>
      <w:rPr>
        <w:rFonts w:ascii="Symbol" w:hAnsi="Symbol" w:hint="default"/>
      </w:rPr>
    </w:lvl>
    <w:lvl w:ilvl="1" w:tplc="5F860674">
      <w:start w:val="1"/>
      <w:numFmt w:val="bullet"/>
      <w:lvlText w:val="o"/>
      <w:lvlJc w:val="left"/>
      <w:pPr>
        <w:ind w:left="1800" w:hanging="360"/>
      </w:pPr>
      <w:rPr>
        <w:rFonts w:ascii="Courier New" w:hAnsi="Courier New" w:hint="default"/>
      </w:rPr>
    </w:lvl>
    <w:lvl w:ilvl="2" w:tplc="FE301F68">
      <w:start w:val="1"/>
      <w:numFmt w:val="bullet"/>
      <w:lvlText w:val=""/>
      <w:lvlJc w:val="left"/>
      <w:pPr>
        <w:ind w:left="2520" w:hanging="360"/>
      </w:pPr>
      <w:rPr>
        <w:rFonts w:ascii="Wingdings" w:hAnsi="Wingdings" w:hint="default"/>
      </w:rPr>
    </w:lvl>
    <w:lvl w:ilvl="3" w:tplc="27BA8E50">
      <w:start w:val="1"/>
      <w:numFmt w:val="bullet"/>
      <w:lvlText w:val=""/>
      <w:lvlJc w:val="left"/>
      <w:pPr>
        <w:ind w:left="3240" w:hanging="360"/>
      </w:pPr>
      <w:rPr>
        <w:rFonts w:ascii="Symbol" w:hAnsi="Symbol" w:hint="default"/>
      </w:rPr>
    </w:lvl>
    <w:lvl w:ilvl="4" w:tplc="FEF239BA">
      <w:start w:val="1"/>
      <w:numFmt w:val="bullet"/>
      <w:lvlText w:val="o"/>
      <w:lvlJc w:val="left"/>
      <w:pPr>
        <w:ind w:left="3960" w:hanging="360"/>
      </w:pPr>
      <w:rPr>
        <w:rFonts w:ascii="Courier New" w:hAnsi="Courier New" w:hint="default"/>
      </w:rPr>
    </w:lvl>
    <w:lvl w:ilvl="5" w:tplc="E74AAFE2">
      <w:start w:val="1"/>
      <w:numFmt w:val="bullet"/>
      <w:lvlText w:val=""/>
      <w:lvlJc w:val="left"/>
      <w:pPr>
        <w:ind w:left="4680" w:hanging="360"/>
      </w:pPr>
      <w:rPr>
        <w:rFonts w:ascii="Wingdings" w:hAnsi="Wingdings" w:hint="default"/>
      </w:rPr>
    </w:lvl>
    <w:lvl w:ilvl="6" w:tplc="218C5EC2">
      <w:start w:val="1"/>
      <w:numFmt w:val="bullet"/>
      <w:lvlText w:val=""/>
      <w:lvlJc w:val="left"/>
      <w:pPr>
        <w:ind w:left="5400" w:hanging="360"/>
      </w:pPr>
      <w:rPr>
        <w:rFonts w:ascii="Symbol" w:hAnsi="Symbol" w:hint="default"/>
      </w:rPr>
    </w:lvl>
    <w:lvl w:ilvl="7" w:tplc="B5CC0192">
      <w:start w:val="1"/>
      <w:numFmt w:val="bullet"/>
      <w:lvlText w:val="o"/>
      <w:lvlJc w:val="left"/>
      <w:pPr>
        <w:ind w:left="6120" w:hanging="360"/>
      </w:pPr>
      <w:rPr>
        <w:rFonts w:ascii="Courier New" w:hAnsi="Courier New" w:hint="default"/>
      </w:rPr>
    </w:lvl>
    <w:lvl w:ilvl="8" w:tplc="BF78E9CC">
      <w:start w:val="1"/>
      <w:numFmt w:val="bullet"/>
      <w:lvlText w:val=""/>
      <w:lvlJc w:val="left"/>
      <w:pPr>
        <w:ind w:left="6840" w:hanging="360"/>
      </w:pPr>
      <w:rPr>
        <w:rFonts w:ascii="Wingdings" w:hAnsi="Wingdings" w:hint="default"/>
      </w:rPr>
    </w:lvl>
  </w:abstractNum>
  <w:abstractNum w:abstractNumId="17" w15:restartNumberingAfterBreak="0">
    <w:nsid w:val="18634191"/>
    <w:multiLevelType w:val="hybridMultilevel"/>
    <w:tmpl w:val="FFFFFFFF"/>
    <w:lvl w:ilvl="0" w:tplc="3842A19A">
      <w:start w:val="1"/>
      <w:numFmt w:val="bullet"/>
      <w:lvlText w:val=""/>
      <w:lvlJc w:val="left"/>
      <w:pPr>
        <w:ind w:left="720" w:hanging="360"/>
      </w:pPr>
      <w:rPr>
        <w:rFonts w:ascii="Symbol" w:hAnsi="Symbol" w:hint="default"/>
      </w:rPr>
    </w:lvl>
    <w:lvl w:ilvl="1" w:tplc="1B00516A">
      <w:start w:val="1"/>
      <w:numFmt w:val="bullet"/>
      <w:lvlText w:val="o"/>
      <w:lvlJc w:val="left"/>
      <w:pPr>
        <w:ind w:left="1440" w:hanging="360"/>
      </w:pPr>
      <w:rPr>
        <w:rFonts w:ascii="Courier New" w:hAnsi="Courier New" w:hint="default"/>
      </w:rPr>
    </w:lvl>
    <w:lvl w:ilvl="2" w:tplc="AA146BFC">
      <w:start w:val="1"/>
      <w:numFmt w:val="bullet"/>
      <w:lvlText w:val=""/>
      <w:lvlJc w:val="left"/>
      <w:pPr>
        <w:ind w:left="2160" w:hanging="360"/>
      </w:pPr>
      <w:rPr>
        <w:rFonts w:ascii="Wingdings" w:hAnsi="Wingdings" w:hint="default"/>
      </w:rPr>
    </w:lvl>
    <w:lvl w:ilvl="3" w:tplc="1F1865E6">
      <w:start w:val="1"/>
      <w:numFmt w:val="bullet"/>
      <w:lvlText w:val=""/>
      <w:lvlJc w:val="left"/>
      <w:pPr>
        <w:ind w:left="2880" w:hanging="360"/>
      </w:pPr>
      <w:rPr>
        <w:rFonts w:ascii="Symbol" w:hAnsi="Symbol" w:hint="default"/>
      </w:rPr>
    </w:lvl>
    <w:lvl w:ilvl="4" w:tplc="AEF21B0A">
      <w:start w:val="1"/>
      <w:numFmt w:val="bullet"/>
      <w:lvlText w:val="o"/>
      <w:lvlJc w:val="left"/>
      <w:pPr>
        <w:ind w:left="3600" w:hanging="360"/>
      </w:pPr>
      <w:rPr>
        <w:rFonts w:ascii="Courier New" w:hAnsi="Courier New" w:hint="default"/>
      </w:rPr>
    </w:lvl>
    <w:lvl w:ilvl="5" w:tplc="AD1ECAF2">
      <w:start w:val="1"/>
      <w:numFmt w:val="bullet"/>
      <w:lvlText w:val=""/>
      <w:lvlJc w:val="left"/>
      <w:pPr>
        <w:ind w:left="4320" w:hanging="360"/>
      </w:pPr>
      <w:rPr>
        <w:rFonts w:ascii="Wingdings" w:hAnsi="Wingdings" w:hint="default"/>
      </w:rPr>
    </w:lvl>
    <w:lvl w:ilvl="6" w:tplc="5E34491C">
      <w:start w:val="1"/>
      <w:numFmt w:val="bullet"/>
      <w:lvlText w:val=""/>
      <w:lvlJc w:val="left"/>
      <w:pPr>
        <w:ind w:left="5040" w:hanging="360"/>
      </w:pPr>
      <w:rPr>
        <w:rFonts w:ascii="Symbol" w:hAnsi="Symbol" w:hint="default"/>
      </w:rPr>
    </w:lvl>
    <w:lvl w:ilvl="7" w:tplc="259C4EA8">
      <w:start w:val="1"/>
      <w:numFmt w:val="bullet"/>
      <w:lvlText w:val="o"/>
      <w:lvlJc w:val="left"/>
      <w:pPr>
        <w:ind w:left="5760" w:hanging="360"/>
      </w:pPr>
      <w:rPr>
        <w:rFonts w:ascii="Courier New" w:hAnsi="Courier New" w:hint="default"/>
      </w:rPr>
    </w:lvl>
    <w:lvl w:ilvl="8" w:tplc="DECCE5E2">
      <w:start w:val="1"/>
      <w:numFmt w:val="bullet"/>
      <w:lvlText w:val=""/>
      <w:lvlJc w:val="left"/>
      <w:pPr>
        <w:ind w:left="6480" w:hanging="360"/>
      </w:pPr>
      <w:rPr>
        <w:rFonts w:ascii="Wingdings" w:hAnsi="Wingdings" w:hint="default"/>
      </w:rPr>
    </w:lvl>
  </w:abstractNum>
  <w:abstractNum w:abstractNumId="18" w15:restartNumberingAfterBreak="0">
    <w:nsid w:val="1C62033A"/>
    <w:multiLevelType w:val="hybridMultilevel"/>
    <w:tmpl w:val="D742950E"/>
    <w:lvl w:ilvl="0" w:tplc="B23C3364">
      <w:start w:val="1"/>
      <w:numFmt w:val="bullet"/>
      <w:lvlText w:val=""/>
      <w:lvlJc w:val="left"/>
      <w:pPr>
        <w:ind w:left="1080" w:hanging="360"/>
      </w:pPr>
      <w:rPr>
        <w:rFonts w:ascii="Symbol" w:hAnsi="Symbol" w:hint="default"/>
      </w:rPr>
    </w:lvl>
    <w:lvl w:ilvl="1" w:tplc="0FC0A6CA">
      <w:start w:val="1"/>
      <w:numFmt w:val="bullet"/>
      <w:lvlText w:val="o"/>
      <w:lvlJc w:val="left"/>
      <w:pPr>
        <w:ind w:left="1800" w:hanging="360"/>
      </w:pPr>
      <w:rPr>
        <w:rFonts w:ascii="Courier New" w:hAnsi="Courier New" w:hint="default"/>
      </w:rPr>
    </w:lvl>
    <w:lvl w:ilvl="2" w:tplc="42DC7EC8">
      <w:start w:val="1"/>
      <w:numFmt w:val="bullet"/>
      <w:lvlText w:val=""/>
      <w:lvlJc w:val="left"/>
      <w:pPr>
        <w:ind w:left="2520" w:hanging="360"/>
      </w:pPr>
      <w:rPr>
        <w:rFonts w:ascii="Wingdings" w:hAnsi="Wingdings" w:hint="default"/>
      </w:rPr>
    </w:lvl>
    <w:lvl w:ilvl="3" w:tplc="48FC54AC">
      <w:start w:val="1"/>
      <w:numFmt w:val="bullet"/>
      <w:lvlText w:val=""/>
      <w:lvlJc w:val="left"/>
      <w:pPr>
        <w:ind w:left="3240" w:hanging="360"/>
      </w:pPr>
      <w:rPr>
        <w:rFonts w:ascii="Symbol" w:hAnsi="Symbol" w:hint="default"/>
      </w:rPr>
    </w:lvl>
    <w:lvl w:ilvl="4" w:tplc="BAD8A920">
      <w:start w:val="1"/>
      <w:numFmt w:val="bullet"/>
      <w:lvlText w:val="o"/>
      <w:lvlJc w:val="left"/>
      <w:pPr>
        <w:ind w:left="3960" w:hanging="360"/>
      </w:pPr>
      <w:rPr>
        <w:rFonts w:ascii="Courier New" w:hAnsi="Courier New" w:hint="default"/>
      </w:rPr>
    </w:lvl>
    <w:lvl w:ilvl="5" w:tplc="ADFAFB14">
      <w:start w:val="1"/>
      <w:numFmt w:val="bullet"/>
      <w:lvlText w:val=""/>
      <w:lvlJc w:val="left"/>
      <w:pPr>
        <w:ind w:left="4680" w:hanging="360"/>
      </w:pPr>
      <w:rPr>
        <w:rFonts w:ascii="Wingdings" w:hAnsi="Wingdings" w:hint="default"/>
      </w:rPr>
    </w:lvl>
    <w:lvl w:ilvl="6" w:tplc="E2F2E984">
      <w:start w:val="1"/>
      <w:numFmt w:val="bullet"/>
      <w:lvlText w:val=""/>
      <w:lvlJc w:val="left"/>
      <w:pPr>
        <w:ind w:left="5400" w:hanging="360"/>
      </w:pPr>
      <w:rPr>
        <w:rFonts w:ascii="Symbol" w:hAnsi="Symbol" w:hint="default"/>
      </w:rPr>
    </w:lvl>
    <w:lvl w:ilvl="7" w:tplc="1ED8A3AA">
      <w:start w:val="1"/>
      <w:numFmt w:val="bullet"/>
      <w:lvlText w:val="o"/>
      <w:lvlJc w:val="left"/>
      <w:pPr>
        <w:ind w:left="6120" w:hanging="360"/>
      </w:pPr>
      <w:rPr>
        <w:rFonts w:ascii="Courier New" w:hAnsi="Courier New" w:hint="default"/>
      </w:rPr>
    </w:lvl>
    <w:lvl w:ilvl="8" w:tplc="23B07418">
      <w:start w:val="1"/>
      <w:numFmt w:val="bullet"/>
      <w:lvlText w:val=""/>
      <w:lvlJc w:val="left"/>
      <w:pPr>
        <w:ind w:left="6840" w:hanging="360"/>
      </w:pPr>
      <w:rPr>
        <w:rFonts w:ascii="Wingdings" w:hAnsi="Wingdings" w:hint="default"/>
      </w:rPr>
    </w:lvl>
  </w:abstractNum>
  <w:abstractNum w:abstractNumId="19" w15:restartNumberingAfterBreak="0">
    <w:nsid w:val="1F7164EC"/>
    <w:multiLevelType w:val="hybridMultilevel"/>
    <w:tmpl w:val="039605C8"/>
    <w:lvl w:ilvl="0" w:tplc="14090005">
      <w:start w:val="1"/>
      <w:numFmt w:val="bullet"/>
      <w:lvlText w:val=""/>
      <w:lvlJc w:val="left"/>
      <w:pPr>
        <w:ind w:left="360" w:hanging="360"/>
      </w:pPr>
      <w:rPr>
        <w:rFonts w:ascii="Wingdings" w:hAnsi="Wingdings"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231925D6"/>
    <w:multiLevelType w:val="hybridMultilevel"/>
    <w:tmpl w:val="90DA9CDE"/>
    <w:lvl w:ilvl="0" w:tplc="7D2A55CE">
      <w:start w:val="1"/>
      <w:numFmt w:val="none"/>
      <w:suff w:val="nothing"/>
      <w:lvlText w:val=""/>
      <w:lvlJc w:val="left"/>
      <w:pPr>
        <w:ind w:left="0" w:firstLine="0"/>
      </w:pPr>
    </w:lvl>
    <w:lvl w:ilvl="1" w:tplc="1D525E4C">
      <w:start w:val="1"/>
      <w:numFmt w:val="lowerLetter"/>
      <w:lvlText w:val="%2)"/>
      <w:lvlJc w:val="left"/>
      <w:pPr>
        <w:ind w:left="862" w:hanging="720"/>
      </w:pPr>
      <w:rPr>
        <w:rFonts w:ascii="Calibri" w:eastAsiaTheme="majorEastAsia" w:hAnsi="Calibri" w:cs="Times New Roman"/>
        <w:strike w:val="0"/>
        <w:dstrike w:val="0"/>
        <w:u w:val="none"/>
        <w:effect w:val="none"/>
      </w:rPr>
    </w:lvl>
    <w:lvl w:ilvl="2" w:tplc="EBC0E444">
      <w:start w:val="1"/>
      <w:numFmt w:val="lowerRoman"/>
      <w:pStyle w:val="Subtitle"/>
      <w:lvlText w:val="%3."/>
      <w:lvlJc w:val="left"/>
      <w:pPr>
        <w:ind w:left="1211" w:hanging="360"/>
      </w:pPr>
      <w:rPr>
        <w:i w:val="0"/>
        <w:strike w:val="0"/>
        <w:dstrike w:val="0"/>
        <w:color w:val="auto"/>
        <w:u w:val="none"/>
        <w:effect w:val="none"/>
      </w:rPr>
    </w:lvl>
    <w:lvl w:ilvl="3" w:tplc="AAE2278A">
      <w:start w:val="1"/>
      <w:numFmt w:val="decimal"/>
      <w:lvlText w:val="(%4)"/>
      <w:lvlJc w:val="left"/>
      <w:pPr>
        <w:ind w:left="360" w:hanging="360"/>
      </w:pPr>
    </w:lvl>
    <w:lvl w:ilvl="4" w:tplc="417466CA">
      <w:start w:val="7"/>
      <w:numFmt w:val="decimal"/>
      <w:lvlText w:val="(%5)"/>
      <w:lvlJc w:val="left"/>
      <w:pPr>
        <w:ind w:left="1800" w:hanging="360"/>
      </w:pPr>
    </w:lvl>
    <w:lvl w:ilvl="5" w:tplc="D0780EB2">
      <w:start w:val="1"/>
      <w:numFmt w:val="lowerRoman"/>
      <w:lvlText w:val="(%6)"/>
      <w:lvlJc w:val="left"/>
      <w:pPr>
        <w:ind w:left="2160" w:hanging="360"/>
      </w:pPr>
    </w:lvl>
    <w:lvl w:ilvl="6" w:tplc="148EEE02">
      <w:start w:val="1"/>
      <w:numFmt w:val="decimal"/>
      <w:lvlRestart w:val="2"/>
      <w:lvlText w:val="%7."/>
      <w:lvlJc w:val="left"/>
      <w:pPr>
        <w:ind w:left="2520" w:hanging="360"/>
      </w:pPr>
    </w:lvl>
    <w:lvl w:ilvl="7" w:tplc="88B4C20E">
      <w:start w:val="1"/>
      <w:numFmt w:val="lowerLetter"/>
      <w:lvlText w:val="%8."/>
      <w:lvlJc w:val="left"/>
      <w:pPr>
        <w:ind w:left="2880" w:hanging="360"/>
      </w:pPr>
    </w:lvl>
    <w:lvl w:ilvl="8" w:tplc="1D9EB886">
      <w:start w:val="1"/>
      <w:numFmt w:val="lowerRoman"/>
      <w:lvlRestart w:val="2"/>
      <w:lvlText w:val="%9."/>
      <w:lvlJc w:val="left"/>
      <w:pPr>
        <w:ind w:left="3240" w:hanging="360"/>
      </w:pPr>
    </w:lvl>
  </w:abstractNum>
  <w:abstractNum w:abstractNumId="21" w15:restartNumberingAfterBreak="0">
    <w:nsid w:val="297773E4"/>
    <w:multiLevelType w:val="hybridMultilevel"/>
    <w:tmpl w:val="FFFFFFFF"/>
    <w:lvl w:ilvl="0" w:tplc="A14416D6">
      <w:start w:val="1"/>
      <w:numFmt w:val="lowerLetter"/>
      <w:lvlText w:val="%1)"/>
      <w:lvlJc w:val="left"/>
      <w:pPr>
        <w:ind w:left="1080" w:hanging="360"/>
      </w:pPr>
    </w:lvl>
    <w:lvl w:ilvl="1" w:tplc="7BACE152">
      <w:start w:val="1"/>
      <w:numFmt w:val="lowerLetter"/>
      <w:lvlText w:val="%2."/>
      <w:lvlJc w:val="left"/>
      <w:pPr>
        <w:ind w:left="1800" w:hanging="360"/>
      </w:pPr>
    </w:lvl>
    <w:lvl w:ilvl="2" w:tplc="A9EC46A6">
      <w:start w:val="1"/>
      <w:numFmt w:val="lowerRoman"/>
      <w:lvlText w:val="%3."/>
      <w:lvlJc w:val="right"/>
      <w:pPr>
        <w:ind w:left="2520" w:hanging="180"/>
      </w:pPr>
    </w:lvl>
    <w:lvl w:ilvl="3" w:tplc="BDB0AB46">
      <w:start w:val="1"/>
      <w:numFmt w:val="decimal"/>
      <w:lvlText w:val="%4."/>
      <w:lvlJc w:val="left"/>
      <w:pPr>
        <w:ind w:left="3240" w:hanging="360"/>
      </w:pPr>
    </w:lvl>
    <w:lvl w:ilvl="4" w:tplc="1050527A">
      <w:start w:val="1"/>
      <w:numFmt w:val="lowerLetter"/>
      <w:lvlText w:val="%5."/>
      <w:lvlJc w:val="left"/>
      <w:pPr>
        <w:ind w:left="3960" w:hanging="360"/>
      </w:pPr>
    </w:lvl>
    <w:lvl w:ilvl="5" w:tplc="97A4F368">
      <w:start w:val="1"/>
      <w:numFmt w:val="lowerRoman"/>
      <w:lvlText w:val="%6."/>
      <w:lvlJc w:val="right"/>
      <w:pPr>
        <w:ind w:left="4680" w:hanging="180"/>
      </w:pPr>
    </w:lvl>
    <w:lvl w:ilvl="6" w:tplc="7C506FFA">
      <w:start w:val="1"/>
      <w:numFmt w:val="decimal"/>
      <w:lvlText w:val="%7."/>
      <w:lvlJc w:val="left"/>
      <w:pPr>
        <w:ind w:left="5400" w:hanging="360"/>
      </w:pPr>
    </w:lvl>
    <w:lvl w:ilvl="7" w:tplc="530094BC">
      <w:start w:val="1"/>
      <w:numFmt w:val="lowerLetter"/>
      <w:lvlText w:val="%8."/>
      <w:lvlJc w:val="left"/>
      <w:pPr>
        <w:ind w:left="6120" w:hanging="360"/>
      </w:pPr>
    </w:lvl>
    <w:lvl w:ilvl="8" w:tplc="60180EE4">
      <w:start w:val="1"/>
      <w:numFmt w:val="lowerRoman"/>
      <w:lvlText w:val="%9."/>
      <w:lvlJc w:val="right"/>
      <w:pPr>
        <w:ind w:left="6840" w:hanging="180"/>
      </w:pPr>
    </w:lvl>
  </w:abstractNum>
  <w:abstractNum w:abstractNumId="22" w15:restartNumberingAfterBreak="0">
    <w:nsid w:val="2B134168"/>
    <w:multiLevelType w:val="hybridMultilevel"/>
    <w:tmpl w:val="FFFFFFFF"/>
    <w:lvl w:ilvl="0" w:tplc="EA429D3A">
      <w:start w:val="1"/>
      <w:numFmt w:val="decimal"/>
      <w:lvlText w:val="%1."/>
      <w:lvlJc w:val="left"/>
      <w:pPr>
        <w:ind w:left="720" w:hanging="360"/>
      </w:pPr>
    </w:lvl>
    <w:lvl w:ilvl="1" w:tplc="2576AB34">
      <w:start w:val="1"/>
      <w:numFmt w:val="lowerRoman"/>
      <w:lvlText w:val="%2)"/>
      <w:lvlJc w:val="right"/>
      <w:pPr>
        <w:ind w:left="1440" w:hanging="360"/>
      </w:pPr>
    </w:lvl>
    <w:lvl w:ilvl="2" w:tplc="54440D8E">
      <w:start w:val="1"/>
      <w:numFmt w:val="lowerRoman"/>
      <w:lvlText w:val="%3."/>
      <w:lvlJc w:val="right"/>
      <w:pPr>
        <w:ind w:left="2160" w:hanging="180"/>
      </w:pPr>
    </w:lvl>
    <w:lvl w:ilvl="3" w:tplc="7F4AC678">
      <w:start w:val="1"/>
      <w:numFmt w:val="decimal"/>
      <w:lvlText w:val="%4."/>
      <w:lvlJc w:val="left"/>
      <w:pPr>
        <w:ind w:left="2880" w:hanging="360"/>
      </w:pPr>
    </w:lvl>
    <w:lvl w:ilvl="4" w:tplc="9236C2A0">
      <w:start w:val="1"/>
      <w:numFmt w:val="lowerLetter"/>
      <w:lvlText w:val="%5."/>
      <w:lvlJc w:val="left"/>
      <w:pPr>
        <w:ind w:left="3600" w:hanging="360"/>
      </w:pPr>
    </w:lvl>
    <w:lvl w:ilvl="5" w:tplc="E904EBE0">
      <w:start w:val="1"/>
      <w:numFmt w:val="lowerRoman"/>
      <w:lvlText w:val="%6."/>
      <w:lvlJc w:val="right"/>
      <w:pPr>
        <w:ind w:left="4320" w:hanging="180"/>
      </w:pPr>
    </w:lvl>
    <w:lvl w:ilvl="6" w:tplc="7B307314">
      <w:start w:val="1"/>
      <w:numFmt w:val="decimal"/>
      <w:lvlText w:val="%7."/>
      <w:lvlJc w:val="left"/>
      <w:pPr>
        <w:ind w:left="5040" w:hanging="360"/>
      </w:pPr>
    </w:lvl>
    <w:lvl w:ilvl="7" w:tplc="4E02F494">
      <w:start w:val="1"/>
      <w:numFmt w:val="lowerLetter"/>
      <w:lvlText w:val="%8."/>
      <w:lvlJc w:val="left"/>
      <w:pPr>
        <w:ind w:left="5760" w:hanging="360"/>
      </w:pPr>
    </w:lvl>
    <w:lvl w:ilvl="8" w:tplc="51B4E6A2">
      <w:start w:val="1"/>
      <w:numFmt w:val="lowerRoman"/>
      <w:lvlText w:val="%9."/>
      <w:lvlJc w:val="right"/>
      <w:pPr>
        <w:ind w:left="6480" w:hanging="180"/>
      </w:pPr>
    </w:lvl>
  </w:abstractNum>
  <w:abstractNum w:abstractNumId="23" w15:restartNumberingAfterBreak="0">
    <w:nsid w:val="2F934F8A"/>
    <w:multiLevelType w:val="hybridMultilevel"/>
    <w:tmpl w:val="FFFFFFFF"/>
    <w:lvl w:ilvl="0" w:tplc="65F03A72">
      <w:start w:val="1"/>
      <w:numFmt w:val="bullet"/>
      <w:lvlText w:val=""/>
      <w:lvlJc w:val="left"/>
      <w:pPr>
        <w:ind w:left="1080" w:hanging="360"/>
      </w:pPr>
      <w:rPr>
        <w:rFonts w:ascii="Symbol" w:hAnsi="Symbol" w:hint="default"/>
      </w:rPr>
    </w:lvl>
    <w:lvl w:ilvl="1" w:tplc="76DC683A">
      <w:start w:val="1"/>
      <w:numFmt w:val="bullet"/>
      <w:lvlText w:val="o"/>
      <w:lvlJc w:val="left"/>
      <w:pPr>
        <w:ind w:left="1800" w:hanging="360"/>
      </w:pPr>
      <w:rPr>
        <w:rFonts w:ascii="Courier New" w:hAnsi="Courier New" w:hint="default"/>
      </w:rPr>
    </w:lvl>
    <w:lvl w:ilvl="2" w:tplc="FE8E2D94">
      <w:start w:val="1"/>
      <w:numFmt w:val="bullet"/>
      <w:lvlText w:val=""/>
      <w:lvlJc w:val="left"/>
      <w:pPr>
        <w:ind w:left="2520" w:hanging="360"/>
      </w:pPr>
      <w:rPr>
        <w:rFonts w:ascii="Wingdings" w:hAnsi="Wingdings" w:hint="default"/>
      </w:rPr>
    </w:lvl>
    <w:lvl w:ilvl="3" w:tplc="F7BA4F22">
      <w:start w:val="1"/>
      <w:numFmt w:val="bullet"/>
      <w:lvlText w:val=""/>
      <w:lvlJc w:val="left"/>
      <w:pPr>
        <w:ind w:left="3240" w:hanging="360"/>
      </w:pPr>
      <w:rPr>
        <w:rFonts w:ascii="Symbol" w:hAnsi="Symbol" w:hint="default"/>
      </w:rPr>
    </w:lvl>
    <w:lvl w:ilvl="4" w:tplc="57524A80">
      <w:start w:val="1"/>
      <w:numFmt w:val="bullet"/>
      <w:lvlText w:val="o"/>
      <w:lvlJc w:val="left"/>
      <w:pPr>
        <w:ind w:left="3960" w:hanging="360"/>
      </w:pPr>
      <w:rPr>
        <w:rFonts w:ascii="Courier New" w:hAnsi="Courier New" w:hint="default"/>
      </w:rPr>
    </w:lvl>
    <w:lvl w:ilvl="5" w:tplc="76B81568">
      <w:start w:val="1"/>
      <w:numFmt w:val="bullet"/>
      <w:lvlText w:val=""/>
      <w:lvlJc w:val="left"/>
      <w:pPr>
        <w:ind w:left="4680" w:hanging="360"/>
      </w:pPr>
      <w:rPr>
        <w:rFonts w:ascii="Wingdings" w:hAnsi="Wingdings" w:hint="default"/>
      </w:rPr>
    </w:lvl>
    <w:lvl w:ilvl="6" w:tplc="B7827612">
      <w:start w:val="1"/>
      <w:numFmt w:val="bullet"/>
      <w:lvlText w:val=""/>
      <w:lvlJc w:val="left"/>
      <w:pPr>
        <w:ind w:left="5400" w:hanging="360"/>
      </w:pPr>
      <w:rPr>
        <w:rFonts w:ascii="Symbol" w:hAnsi="Symbol" w:hint="default"/>
      </w:rPr>
    </w:lvl>
    <w:lvl w:ilvl="7" w:tplc="2648EE36">
      <w:start w:val="1"/>
      <w:numFmt w:val="bullet"/>
      <w:lvlText w:val="o"/>
      <w:lvlJc w:val="left"/>
      <w:pPr>
        <w:ind w:left="6120" w:hanging="360"/>
      </w:pPr>
      <w:rPr>
        <w:rFonts w:ascii="Courier New" w:hAnsi="Courier New" w:hint="default"/>
      </w:rPr>
    </w:lvl>
    <w:lvl w:ilvl="8" w:tplc="11265BE0">
      <w:start w:val="1"/>
      <w:numFmt w:val="bullet"/>
      <w:lvlText w:val=""/>
      <w:lvlJc w:val="left"/>
      <w:pPr>
        <w:ind w:left="6840" w:hanging="360"/>
      </w:pPr>
      <w:rPr>
        <w:rFonts w:ascii="Wingdings" w:hAnsi="Wingdings" w:hint="default"/>
      </w:rPr>
    </w:lvl>
  </w:abstractNum>
  <w:abstractNum w:abstractNumId="24" w15:restartNumberingAfterBreak="0">
    <w:nsid w:val="2FBC71F5"/>
    <w:multiLevelType w:val="hybridMultilevel"/>
    <w:tmpl w:val="3BFA6B5E"/>
    <w:lvl w:ilvl="0" w:tplc="6E9CC28E">
      <w:start w:val="1"/>
      <w:numFmt w:val="bullet"/>
      <w:lvlText w:val=""/>
      <w:lvlJc w:val="left"/>
      <w:pPr>
        <w:ind w:left="1080" w:hanging="360"/>
      </w:pPr>
      <w:rPr>
        <w:rFonts w:ascii="Symbol" w:hAnsi="Symbol" w:hint="default"/>
      </w:rPr>
    </w:lvl>
    <w:lvl w:ilvl="1" w:tplc="7DA80D24">
      <w:start w:val="1"/>
      <w:numFmt w:val="bullet"/>
      <w:lvlText w:val="o"/>
      <w:lvlJc w:val="left"/>
      <w:pPr>
        <w:ind w:left="1800" w:hanging="360"/>
      </w:pPr>
      <w:rPr>
        <w:rFonts w:ascii="Courier New" w:hAnsi="Courier New" w:hint="default"/>
      </w:rPr>
    </w:lvl>
    <w:lvl w:ilvl="2" w:tplc="7376DDFE">
      <w:start w:val="1"/>
      <w:numFmt w:val="bullet"/>
      <w:lvlText w:val=""/>
      <w:lvlJc w:val="left"/>
      <w:pPr>
        <w:ind w:left="2520" w:hanging="360"/>
      </w:pPr>
      <w:rPr>
        <w:rFonts w:ascii="Wingdings" w:hAnsi="Wingdings" w:hint="default"/>
      </w:rPr>
    </w:lvl>
    <w:lvl w:ilvl="3" w:tplc="DA58DB72">
      <w:start w:val="1"/>
      <w:numFmt w:val="bullet"/>
      <w:lvlText w:val=""/>
      <w:lvlJc w:val="left"/>
      <w:pPr>
        <w:ind w:left="3240" w:hanging="360"/>
      </w:pPr>
      <w:rPr>
        <w:rFonts w:ascii="Symbol" w:hAnsi="Symbol" w:hint="default"/>
      </w:rPr>
    </w:lvl>
    <w:lvl w:ilvl="4" w:tplc="5316EF74">
      <w:start w:val="1"/>
      <w:numFmt w:val="bullet"/>
      <w:lvlText w:val="o"/>
      <w:lvlJc w:val="left"/>
      <w:pPr>
        <w:ind w:left="3960" w:hanging="360"/>
      </w:pPr>
      <w:rPr>
        <w:rFonts w:ascii="Courier New" w:hAnsi="Courier New" w:hint="default"/>
      </w:rPr>
    </w:lvl>
    <w:lvl w:ilvl="5" w:tplc="CAB88342">
      <w:start w:val="1"/>
      <w:numFmt w:val="bullet"/>
      <w:lvlText w:val=""/>
      <w:lvlJc w:val="left"/>
      <w:pPr>
        <w:ind w:left="4680" w:hanging="360"/>
      </w:pPr>
      <w:rPr>
        <w:rFonts w:ascii="Wingdings" w:hAnsi="Wingdings" w:hint="default"/>
      </w:rPr>
    </w:lvl>
    <w:lvl w:ilvl="6" w:tplc="F34891DC">
      <w:start w:val="1"/>
      <w:numFmt w:val="bullet"/>
      <w:lvlText w:val=""/>
      <w:lvlJc w:val="left"/>
      <w:pPr>
        <w:ind w:left="5400" w:hanging="360"/>
      </w:pPr>
      <w:rPr>
        <w:rFonts w:ascii="Symbol" w:hAnsi="Symbol" w:hint="default"/>
      </w:rPr>
    </w:lvl>
    <w:lvl w:ilvl="7" w:tplc="25D8377E">
      <w:start w:val="1"/>
      <w:numFmt w:val="bullet"/>
      <w:lvlText w:val="o"/>
      <w:lvlJc w:val="left"/>
      <w:pPr>
        <w:ind w:left="6120" w:hanging="360"/>
      </w:pPr>
      <w:rPr>
        <w:rFonts w:ascii="Courier New" w:hAnsi="Courier New" w:hint="default"/>
      </w:rPr>
    </w:lvl>
    <w:lvl w:ilvl="8" w:tplc="303CB490">
      <w:start w:val="1"/>
      <w:numFmt w:val="bullet"/>
      <w:lvlText w:val=""/>
      <w:lvlJc w:val="left"/>
      <w:pPr>
        <w:ind w:left="6840" w:hanging="360"/>
      </w:pPr>
      <w:rPr>
        <w:rFonts w:ascii="Wingdings" w:hAnsi="Wingdings" w:hint="default"/>
      </w:rPr>
    </w:lvl>
  </w:abstractNum>
  <w:abstractNum w:abstractNumId="25" w15:restartNumberingAfterBreak="0">
    <w:nsid w:val="31E26ED0"/>
    <w:multiLevelType w:val="hybridMultilevel"/>
    <w:tmpl w:val="BCB63404"/>
    <w:lvl w:ilvl="0" w:tplc="8AC2B6A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375A3F43"/>
    <w:multiLevelType w:val="hybridMultilevel"/>
    <w:tmpl w:val="FFFFFFFF"/>
    <w:lvl w:ilvl="0" w:tplc="7DB2796C">
      <w:start w:val="1"/>
      <w:numFmt w:val="lowerLetter"/>
      <w:lvlText w:val="(%1)"/>
      <w:lvlJc w:val="left"/>
      <w:pPr>
        <w:ind w:left="1080" w:hanging="360"/>
      </w:pPr>
    </w:lvl>
    <w:lvl w:ilvl="1" w:tplc="7F8C8870">
      <w:start w:val="1"/>
      <w:numFmt w:val="lowerLetter"/>
      <w:lvlText w:val="%2."/>
      <w:lvlJc w:val="left"/>
      <w:pPr>
        <w:ind w:left="1800" w:hanging="360"/>
      </w:pPr>
    </w:lvl>
    <w:lvl w:ilvl="2" w:tplc="C7F474D2">
      <w:start w:val="1"/>
      <w:numFmt w:val="lowerRoman"/>
      <w:lvlText w:val="%3."/>
      <w:lvlJc w:val="right"/>
      <w:pPr>
        <w:ind w:left="2520" w:hanging="180"/>
      </w:pPr>
    </w:lvl>
    <w:lvl w:ilvl="3" w:tplc="0694B78C">
      <w:start w:val="1"/>
      <w:numFmt w:val="decimal"/>
      <w:lvlText w:val="%4."/>
      <w:lvlJc w:val="left"/>
      <w:pPr>
        <w:ind w:left="3240" w:hanging="360"/>
      </w:pPr>
    </w:lvl>
    <w:lvl w:ilvl="4" w:tplc="14CAF1AC">
      <w:start w:val="1"/>
      <w:numFmt w:val="lowerLetter"/>
      <w:lvlText w:val="%5."/>
      <w:lvlJc w:val="left"/>
      <w:pPr>
        <w:ind w:left="3960" w:hanging="360"/>
      </w:pPr>
    </w:lvl>
    <w:lvl w:ilvl="5" w:tplc="E33AAEE6">
      <w:start w:val="1"/>
      <w:numFmt w:val="lowerRoman"/>
      <w:lvlText w:val="%6."/>
      <w:lvlJc w:val="right"/>
      <w:pPr>
        <w:ind w:left="4680" w:hanging="180"/>
      </w:pPr>
    </w:lvl>
    <w:lvl w:ilvl="6" w:tplc="5E847B7C">
      <w:start w:val="1"/>
      <w:numFmt w:val="decimal"/>
      <w:lvlText w:val="%7."/>
      <w:lvlJc w:val="left"/>
      <w:pPr>
        <w:ind w:left="5400" w:hanging="360"/>
      </w:pPr>
    </w:lvl>
    <w:lvl w:ilvl="7" w:tplc="D1E25978">
      <w:start w:val="1"/>
      <w:numFmt w:val="lowerLetter"/>
      <w:lvlText w:val="%8."/>
      <w:lvlJc w:val="left"/>
      <w:pPr>
        <w:ind w:left="6120" w:hanging="360"/>
      </w:pPr>
    </w:lvl>
    <w:lvl w:ilvl="8" w:tplc="CF8E27E2">
      <w:start w:val="1"/>
      <w:numFmt w:val="lowerRoman"/>
      <w:lvlText w:val="%9."/>
      <w:lvlJc w:val="right"/>
      <w:pPr>
        <w:ind w:left="6840" w:hanging="180"/>
      </w:pPr>
    </w:lvl>
  </w:abstractNum>
  <w:abstractNum w:abstractNumId="27" w15:restartNumberingAfterBreak="0">
    <w:nsid w:val="38DB5C31"/>
    <w:multiLevelType w:val="hybridMultilevel"/>
    <w:tmpl w:val="FFFFFFFF"/>
    <w:lvl w:ilvl="0" w:tplc="073CC87C">
      <w:start w:val="1"/>
      <w:numFmt w:val="lowerRoman"/>
      <w:lvlText w:val="(%1)"/>
      <w:lvlJc w:val="right"/>
      <w:pPr>
        <w:ind w:left="1800" w:hanging="360"/>
      </w:pPr>
    </w:lvl>
    <w:lvl w:ilvl="1" w:tplc="BC5A455C">
      <w:start w:val="1"/>
      <w:numFmt w:val="lowerLetter"/>
      <w:lvlText w:val="%2."/>
      <w:lvlJc w:val="left"/>
      <w:pPr>
        <w:ind w:left="2520" w:hanging="360"/>
      </w:pPr>
    </w:lvl>
    <w:lvl w:ilvl="2" w:tplc="4FC46EB2">
      <w:start w:val="1"/>
      <w:numFmt w:val="lowerRoman"/>
      <w:lvlText w:val="%3."/>
      <w:lvlJc w:val="right"/>
      <w:pPr>
        <w:ind w:left="3240" w:hanging="180"/>
      </w:pPr>
    </w:lvl>
    <w:lvl w:ilvl="3" w:tplc="210AE820">
      <w:start w:val="1"/>
      <w:numFmt w:val="decimal"/>
      <w:lvlText w:val="%4."/>
      <w:lvlJc w:val="left"/>
      <w:pPr>
        <w:ind w:left="3960" w:hanging="360"/>
      </w:pPr>
    </w:lvl>
    <w:lvl w:ilvl="4" w:tplc="9E6C2BA8">
      <w:start w:val="1"/>
      <w:numFmt w:val="lowerLetter"/>
      <w:lvlText w:val="%5."/>
      <w:lvlJc w:val="left"/>
      <w:pPr>
        <w:ind w:left="4680" w:hanging="360"/>
      </w:pPr>
    </w:lvl>
    <w:lvl w:ilvl="5" w:tplc="2CD2C5B8">
      <w:start w:val="1"/>
      <w:numFmt w:val="lowerRoman"/>
      <w:lvlText w:val="%6."/>
      <w:lvlJc w:val="right"/>
      <w:pPr>
        <w:ind w:left="5400" w:hanging="180"/>
      </w:pPr>
    </w:lvl>
    <w:lvl w:ilvl="6" w:tplc="BC7EB95C">
      <w:start w:val="1"/>
      <w:numFmt w:val="decimal"/>
      <w:lvlText w:val="%7."/>
      <w:lvlJc w:val="left"/>
      <w:pPr>
        <w:ind w:left="6120" w:hanging="360"/>
      </w:pPr>
    </w:lvl>
    <w:lvl w:ilvl="7" w:tplc="767C0BFA">
      <w:start w:val="1"/>
      <w:numFmt w:val="lowerLetter"/>
      <w:lvlText w:val="%8."/>
      <w:lvlJc w:val="left"/>
      <w:pPr>
        <w:ind w:left="6840" w:hanging="360"/>
      </w:pPr>
    </w:lvl>
    <w:lvl w:ilvl="8" w:tplc="CD6099B8">
      <w:start w:val="1"/>
      <w:numFmt w:val="lowerRoman"/>
      <w:lvlText w:val="%9."/>
      <w:lvlJc w:val="right"/>
      <w:pPr>
        <w:ind w:left="7560" w:hanging="180"/>
      </w:pPr>
    </w:lvl>
  </w:abstractNum>
  <w:abstractNum w:abstractNumId="28" w15:restartNumberingAfterBreak="0">
    <w:nsid w:val="397629AF"/>
    <w:multiLevelType w:val="hybridMultilevel"/>
    <w:tmpl w:val="C1929FDC"/>
    <w:lvl w:ilvl="0" w:tplc="1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9" w15:restartNumberingAfterBreak="0">
    <w:nsid w:val="3DCB57E6"/>
    <w:multiLevelType w:val="hybridMultilevel"/>
    <w:tmpl w:val="FFFFFFFF"/>
    <w:lvl w:ilvl="0" w:tplc="9D3CAAF4">
      <w:start w:val="1"/>
      <w:numFmt w:val="bullet"/>
      <w:lvlText w:val=""/>
      <w:lvlJc w:val="left"/>
      <w:pPr>
        <w:ind w:left="1080" w:hanging="360"/>
      </w:pPr>
      <w:rPr>
        <w:rFonts w:ascii="Symbol" w:hAnsi="Symbol" w:hint="default"/>
      </w:rPr>
    </w:lvl>
    <w:lvl w:ilvl="1" w:tplc="E8AE0322">
      <w:start w:val="1"/>
      <w:numFmt w:val="bullet"/>
      <w:lvlText w:val="o"/>
      <w:lvlJc w:val="left"/>
      <w:pPr>
        <w:ind w:left="1800" w:hanging="360"/>
      </w:pPr>
      <w:rPr>
        <w:rFonts w:ascii="Courier New" w:hAnsi="Courier New" w:hint="default"/>
      </w:rPr>
    </w:lvl>
    <w:lvl w:ilvl="2" w:tplc="6B94A874">
      <w:start w:val="1"/>
      <w:numFmt w:val="bullet"/>
      <w:lvlText w:val=""/>
      <w:lvlJc w:val="left"/>
      <w:pPr>
        <w:ind w:left="2520" w:hanging="360"/>
      </w:pPr>
      <w:rPr>
        <w:rFonts w:ascii="Wingdings" w:hAnsi="Wingdings" w:hint="default"/>
      </w:rPr>
    </w:lvl>
    <w:lvl w:ilvl="3" w:tplc="F8404050">
      <w:start w:val="1"/>
      <w:numFmt w:val="bullet"/>
      <w:lvlText w:val=""/>
      <w:lvlJc w:val="left"/>
      <w:pPr>
        <w:ind w:left="3240" w:hanging="360"/>
      </w:pPr>
      <w:rPr>
        <w:rFonts w:ascii="Symbol" w:hAnsi="Symbol" w:hint="default"/>
      </w:rPr>
    </w:lvl>
    <w:lvl w:ilvl="4" w:tplc="B4B4E9D0">
      <w:start w:val="1"/>
      <w:numFmt w:val="bullet"/>
      <w:lvlText w:val="o"/>
      <w:lvlJc w:val="left"/>
      <w:pPr>
        <w:ind w:left="3960" w:hanging="360"/>
      </w:pPr>
      <w:rPr>
        <w:rFonts w:ascii="Courier New" w:hAnsi="Courier New" w:hint="default"/>
      </w:rPr>
    </w:lvl>
    <w:lvl w:ilvl="5" w:tplc="7D48CCC4">
      <w:start w:val="1"/>
      <w:numFmt w:val="bullet"/>
      <w:lvlText w:val=""/>
      <w:lvlJc w:val="left"/>
      <w:pPr>
        <w:ind w:left="4680" w:hanging="360"/>
      </w:pPr>
      <w:rPr>
        <w:rFonts w:ascii="Wingdings" w:hAnsi="Wingdings" w:hint="default"/>
      </w:rPr>
    </w:lvl>
    <w:lvl w:ilvl="6" w:tplc="2B1C23B0">
      <w:start w:val="1"/>
      <w:numFmt w:val="bullet"/>
      <w:lvlText w:val=""/>
      <w:lvlJc w:val="left"/>
      <w:pPr>
        <w:ind w:left="5400" w:hanging="360"/>
      </w:pPr>
      <w:rPr>
        <w:rFonts w:ascii="Symbol" w:hAnsi="Symbol" w:hint="default"/>
      </w:rPr>
    </w:lvl>
    <w:lvl w:ilvl="7" w:tplc="A1DAD220">
      <w:start w:val="1"/>
      <w:numFmt w:val="bullet"/>
      <w:lvlText w:val="o"/>
      <w:lvlJc w:val="left"/>
      <w:pPr>
        <w:ind w:left="6120" w:hanging="360"/>
      </w:pPr>
      <w:rPr>
        <w:rFonts w:ascii="Courier New" w:hAnsi="Courier New" w:hint="default"/>
      </w:rPr>
    </w:lvl>
    <w:lvl w:ilvl="8" w:tplc="BD0881D0">
      <w:start w:val="1"/>
      <w:numFmt w:val="bullet"/>
      <w:lvlText w:val=""/>
      <w:lvlJc w:val="left"/>
      <w:pPr>
        <w:ind w:left="6840" w:hanging="360"/>
      </w:pPr>
      <w:rPr>
        <w:rFonts w:ascii="Wingdings" w:hAnsi="Wingdings" w:hint="default"/>
      </w:rPr>
    </w:lvl>
  </w:abstractNum>
  <w:abstractNum w:abstractNumId="30" w15:restartNumberingAfterBreak="0">
    <w:nsid w:val="40CB78A1"/>
    <w:multiLevelType w:val="hybridMultilevel"/>
    <w:tmpl w:val="FBEE9A2A"/>
    <w:lvl w:ilvl="0" w:tplc="17D002D8">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41576204"/>
    <w:multiLevelType w:val="hybridMultilevel"/>
    <w:tmpl w:val="3542A7F2"/>
    <w:lvl w:ilvl="0" w:tplc="9CA27410">
      <w:start w:val="1"/>
      <w:numFmt w:val="decimal"/>
      <w:lvlText w:val="(%1)"/>
      <w:lvlJc w:val="left"/>
      <w:pPr>
        <w:ind w:left="720" w:hanging="360"/>
      </w:pPr>
      <w:rPr>
        <w:rFonts w:hint="default"/>
        <w:i w:val="0"/>
        <w:i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46355A5"/>
    <w:multiLevelType w:val="hybridMultilevel"/>
    <w:tmpl w:val="FFFFFFFF"/>
    <w:lvl w:ilvl="0" w:tplc="CCA0CAA8">
      <w:start w:val="1"/>
      <w:numFmt w:val="bullet"/>
      <w:lvlText w:val=""/>
      <w:lvlJc w:val="left"/>
      <w:pPr>
        <w:ind w:left="1080" w:hanging="360"/>
      </w:pPr>
      <w:rPr>
        <w:rFonts w:ascii="Symbol" w:hAnsi="Symbol" w:hint="default"/>
      </w:rPr>
    </w:lvl>
    <w:lvl w:ilvl="1" w:tplc="34E006EA">
      <w:start w:val="1"/>
      <w:numFmt w:val="bullet"/>
      <w:lvlText w:val="o"/>
      <w:lvlJc w:val="left"/>
      <w:pPr>
        <w:ind w:left="1800" w:hanging="360"/>
      </w:pPr>
      <w:rPr>
        <w:rFonts w:ascii="Courier New" w:hAnsi="Courier New" w:hint="default"/>
      </w:rPr>
    </w:lvl>
    <w:lvl w:ilvl="2" w:tplc="A6940466">
      <w:start w:val="1"/>
      <w:numFmt w:val="bullet"/>
      <w:lvlText w:val=""/>
      <w:lvlJc w:val="left"/>
      <w:pPr>
        <w:ind w:left="2520" w:hanging="360"/>
      </w:pPr>
      <w:rPr>
        <w:rFonts w:ascii="Wingdings" w:hAnsi="Wingdings" w:hint="default"/>
      </w:rPr>
    </w:lvl>
    <w:lvl w:ilvl="3" w:tplc="19D0ACA4">
      <w:start w:val="1"/>
      <w:numFmt w:val="bullet"/>
      <w:lvlText w:val=""/>
      <w:lvlJc w:val="left"/>
      <w:pPr>
        <w:ind w:left="3240" w:hanging="360"/>
      </w:pPr>
      <w:rPr>
        <w:rFonts w:ascii="Symbol" w:hAnsi="Symbol" w:hint="default"/>
      </w:rPr>
    </w:lvl>
    <w:lvl w:ilvl="4" w:tplc="C61472F8">
      <w:start w:val="1"/>
      <w:numFmt w:val="bullet"/>
      <w:lvlText w:val="o"/>
      <w:lvlJc w:val="left"/>
      <w:pPr>
        <w:ind w:left="3960" w:hanging="360"/>
      </w:pPr>
      <w:rPr>
        <w:rFonts w:ascii="Courier New" w:hAnsi="Courier New" w:hint="default"/>
      </w:rPr>
    </w:lvl>
    <w:lvl w:ilvl="5" w:tplc="F892C126">
      <w:start w:val="1"/>
      <w:numFmt w:val="bullet"/>
      <w:lvlText w:val=""/>
      <w:lvlJc w:val="left"/>
      <w:pPr>
        <w:ind w:left="4680" w:hanging="360"/>
      </w:pPr>
      <w:rPr>
        <w:rFonts w:ascii="Wingdings" w:hAnsi="Wingdings" w:hint="default"/>
      </w:rPr>
    </w:lvl>
    <w:lvl w:ilvl="6" w:tplc="4D6819B6">
      <w:start w:val="1"/>
      <w:numFmt w:val="bullet"/>
      <w:lvlText w:val=""/>
      <w:lvlJc w:val="left"/>
      <w:pPr>
        <w:ind w:left="5400" w:hanging="360"/>
      </w:pPr>
      <w:rPr>
        <w:rFonts w:ascii="Symbol" w:hAnsi="Symbol" w:hint="default"/>
      </w:rPr>
    </w:lvl>
    <w:lvl w:ilvl="7" w:tplc="A1F230E4">
      <w:start w:val="1"/>
      <w:numFmt w:val="bullet"/>
      <w:lvlText w:val="o"/>
      <w:lvlJc w:val="left"/>
      <w:pPr>
        <w:ind w:left="6120" w:hanging="360"/>
      </w:pPr>
      <w:rPr>
        <w:rFonts w:ascii="Courier New" w:hAnsi="Courier New" w:hint="default"/>
      </w:rPr>
    </w:lvl>
    <w:lvl w:ilvl="8" w:tplc="F3D27DEA">
      <w:start w:val="1"/>
      <w:numFmt w:val="bullet"/>
      <w:lvlText w:val=""/>
      <w:lvlJc w:val="left"/>
      <w:pPr>
        <w:ind w:left="6840" w:hanging="360"/>
      </w:pPr>
      <w:rPr>
        <w:rFonts w:ascii="Wingdings" w:hAnsi="Wingdings" w:hint="default"/>
      </w:rPr>
    </w:lvl>
  </w:abstractNum>
  <w:abstractNum w:abstractNumId="33" w15:restartNumberingAfterBreak="0">
    <w:nsid w:val="45797246"/>
    <w:multiLevelType w:val="hybridMultilevel"/>
    <w:tmpl w:val="B72EDBD2"/>
    <w:lvl w:ilvl="0" w:tplc="F96EA872">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48F05E61"/>
    <w:multiLevelType w:val="hybridMultilevel"/>
    <w:tmpl w:val="FFFFFFFF"/>
    <w:lvl w:ilvl="0" w:tplc="ED1A7E68">
      <w:start w:val="1"/>
      <w:numFmt w:val="bullet"/>
      <w:lvlText w:val=""/>
      <w:lvlJc w:val="left"/>
      <w:pPr>
        <w:ind w:left="1080" w:hanging="360"/>
      </w:pPr>
      <w:rPr>
        <w:rFonts w:ascii="Symbol" w:hAnsi="Symbol" w:hint="default"/>
      </w:rPr>
    </w:lvl>
    <w:lvl w:ilvl="1" w:tplc="BDDE755E">
      <w:start w:val="1"/>
      <w:numFmt w:val="bullet"/>
      <w:lvlText w:val="o"/>
      <w:lvlJc w:val="left"/>
      <w:pPr>
        <w:ind w:left="1800" w:hanging="360"/>
      </w:pPr>
      <w:rPr>
        <w:rFonts w:ascii="Courier New" w:hAnsi="Courier New" w:hint="default"/>
      </w:rPr>
    </w:lvl>
    <w:lvl w:ilvl="2" w:tplc="1412602A">
      <w:start w:val="1"/>
      <w:numFmt w:val="bullet"/>
      <w:lvlText w:val=""/>
      <w:lvlJc w:val="left"/>
      <w:pPr>
        <w:ind w:left="2520" w:hanging="360"/>
      </w:pPr>
      <w:rPr>
        <w:rFonts w:ascii="Wingdings" w:hAnsi="Wingdings" w:hint="default"/>
      </w:rPr>
    </w:lvl>
    <w:lvl w:ilvl="3" w:tplc="8C08722C">
      <w:start w:val="1"/>
      <w:numFmt w:val="bullet"/>
      <w:lvlText w:val=""/>
      <w:lvlJc w:val="left"/>
      <w:pPr>
        <w:ind w:left="3240" w:hanging="360"/>
      </w:pPr>
      <w:rPr>
        <w:rFonts w:ascii="Symbol" w:hAnsi="Symbol" w:hint="default"/>
      </w:rPr>
    </w:lvl>
    <w:lvl w:ilvl="4" w:tplc="94F04B0E">
      <w:start w:val="1"/>
      <w:numFmt w:val="bullet"/>
      <w:lvlText w:val="o"/>
      <w:lvlJc w:val="left"/>
      <w:pPr>
        <w:ind w:left="3960" w:hanging="360"/>
      </w:pPr>
      <w:rPr>
        <w:rFonts w:ascii="Courier New" w:hAnsi="Courier New" w:hint="default"/>
      </w:rPr>
    </w:lvl>
    <w:lvl w:ilvl="5" w:tplc="D2640404">
      <w:start w:val="1"/>
      <w:numFmt w:val="bullet"/>
      <w:lvlText w:val=""/>
      <w:lvlJc w:val="left"/>
      <w:pPr>
        <w:ind w:left="4680" w:hanging="360"/>
      </w:pPr>
      <w:rPr>
        <w:rFonts w:ascii="Wingdings" w:hAnsi="Wingdings" w:hint="default"/>
      </w:rPr>
    </w:lvl>
    <w:lvl w:ilvl="6" w:tplc="4D0AF1EA">
      <w:start w:val="1"/>
      <w:numFmt w:val="bullet"/>
      <w:lvlText w:val=""/>
      <w:lvlJc w:val="left"/>
      <w:pPr>
        <w:ind w:left="5400" w:hanging="360"/>
      </w:pPr>
      <w:rPr>
        <w:rFonts w:ascii="Symbol" w:hAnsi="Symbol" w:hint="default"/>
      </w:rPr>
    </w:lvl>
    <w:lvl w:ilvl="7" w:tplc="204ED570">
      <w:start w:val="1"/>
      <w:numFmt w:val="bullet"/>
      <w:lvlText w:val="o"/>
      <w:lvlJc w:val="left"/>
      <w:pPr>
        <w:ind w:left="6120" w:hanging="360"/>
      </w:pPr>
      <w:rPr>
        <w:rFonts w:ascii="Courier New" w:hAnsi="Courier New" w:hint="default"/>
      </w:rPr>
    </w:lvl>
    <w:lvl w:ilvl="8" w:tplc="EC16BFE6">
      <w:start w:val="1"/>
      <w:numFmt w:val="bullet"/>
      <w:lvlText w:val=""/>
      <w:lvlJc w:val="left"/>
      <w:pPr>
        <w:ind w:left="6840" w:hanging="360"/>
      </w:pPr>
      <w:rPr>
        <w:rFonts w:ascii="Wingdings" w:hAnsi="Wingdings" w:hint="default"/>
      </w:rPr>
    </w:lvl>
  </w:abstractNum>
  <w:abstractNum w:abstractNumId="35" w15:restartNumberingAfterBreak="0">
    <w:nsid w:val="49307851"/>
    <w:multiLevelType w:val="hybridMultilevel"/>
    <w:tmpl w:val="E11C9BF0"/>
    <w:lvl w:ilvl="0" w:tplc="4252C8B8">
      <w:start w:val="1"/>
      <w:numFmt w:val="decimal"/>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4A5862DD"/>
    <w:multiLevelType w:val="hybridMultilevel"/>
    <w:tmpl w:val="FFFFFFFF"/>
    <w:lvl w:ilvl="0" w:tplc="E40C3F00">
      <w:start w:val="1"/>
      <w:numFmt w:val="bullet"/>
      <w:lvlText w:val=""/>
      <w:lvlJc w:val="left"/>
      <w:pPr>
        <w:ind w:left="1080" w:hanging="360"/>
      </w:pPr>
      <w:rPr>
        <w:rFonts w:ascii="Symbol" w:hAnsi="Symbol" w:hint="default"/>
      </w:rPr>
    </w:lvl>
    <w:lvl w:ilvl="1" w:tplc="501A6B6A">
      <w:start w:val="1"/>
      <w:numFmt w:val="bullet"/>
      <w:lvlText w:val="o"/>
      <w:lvlJc w:val="left"/>
      <w:pPr>
        <w:ind w:left="1800" w:hanging="360"/>
      </w:pPr>
      <w:rPr>
        <w:rFonts w:ascii="Courier New" w:hAnsi="Courier New" w:hint="default"/>
      </w:rPr>
    </w:lvl>
    <w:lvl w:ilvl="2" w:tplc="2AF09B20">
      <w:start w:val="1"/>
      <w:numFmt w:val="bullet"/>
      <w:lvlText w:val=""/>
      <w:lvlJc w:val="left"/>
      <w:pPr>
        <w:ind w:left="2520" w:hanging="360"/>
      </w:pPr>
      <w:rPr>
        <w:rFonts w:ascii="Wingdings" w:hAnsi="Wingdings" w:hint="default"/>
      </w:rPr>
    </w:lvl>
    <w:lvl w:ilvl="3" w:tplc="A426CC90">
      <w:start w:val="1"/>
      <w:numFmt w:val="bullet"/>
      <w:lvlText w:val=""/>
      <w:lvlJc w:val="left"/>
      <w:pPr>
        <w:ind w:left="3240" w:hanging="360"/>
      </w:pPr>
      <w:rPr>
        <w:rFonts w:ascii="Symbol" w:hAnsi="Symbol" w:hint="default"/>
      </w:rPr>
    </w:lvl>
    <w:lvl w:ilvl="4" w:tplc="62B8C40E">
      <w:start w:val="1"/>
      <w:numFmt w:val="bullet"/>
      <w:lvlText w:val="o"/>
      <w:lvlJc w:val="left"/>
      <w:pPr>
        <w:ind w:left="3960" w:hanging="360"/>
      </w:pPr>
      <w:rPr>
        <w:rFonts w:ascii="Courier New" w:hAnsi="Courier New" w:hint="default"/>
      </w:rPr>
    </w:lvl>
    <w:lvl w:ilvl="5" w:tplc="C5AE436E">
      <w:start w:val="1"/>
      <w:numFmt w:val="bullet"/>
      <w:lvlText w:val=""/>
      <w:lvlJc w:val="left"/>
      <w:pPr>
        <w:ind w:left="4680" w:hanging="360"/>
      </w:pPr>
      <w:rPr>
        <w:rFonts w:ascii="Wingdings" w:hAnsi="Wingdings" w:hint="default"/>
      </w:rPr>
    </w:lvl>
    <w:lvl w:ilvl="6" w:tplc="469671F8">
      <w:start w:val="1"/>
      <w:numFmt w:val="bullet"/>
      <w:lvlText w:val=""/>
      <w:lvlJc w:val="left"/>
      <w:pPr>
        <w:ind w:left="5400" w:hanging="360"/>
      </w:pPr>
      <w:rPr>
        <w:rFonts w:ascii="Symbol" w:hAnsi="Symbol" w:hint="default"/>
      </w:rPr>
    </w:lvl>
    <w:lvl w:ilvl="7" w:tplc="A894D1E4">
      <w:start w:val="1"/>
      <w:numFmt w:val="bullet"/>
      <w:lvlText w:val="o"/>
      <w:lvlJc w:val="left"/>
      <w:pPr>
        <w:ind w:left="6120" w:hanging="360"/>
      </w:pPr>
      <w:rPr>
        <w:rFonts w:ascii="Courier New" w:hAnsi="Courier New" w:hint="default"/>
      </w:rPr>
    </w:lvl>
    <w:lvl w:ilvl="8" w:tplc="9CBE9036">
      <w:start w:val="1"/>
      <w:numFmt w:val="bullet"/>
      <w:lvlText w:val=""/>
      <w:lvlJc w:val="left"/>
      <w:pPr>
        <w:ind w:left="6840" w:hanging="360"/>
      </w:pPr>
      <w:rPr>
        <w:rFonts w:ascii="Wingdings" w:hAnsi="Wingdings" w:hint="default"/>
      </w:rPr>
    </w:lvl>
  </w:abstractNum>
  <w:abstractNum w:abstractNumId="37" w15:restartNumberingAfterBreak="0">
    <w:nsid w:val="4C0F1B20"/>
    <w:multiLevelType w:val="hybridMultilevel"/>
    <w:tmpl w:val="507C2826"/>
    <w:lvl w:ilvl="0" w:tplc="7D189086">
      <w:numFmt w:val="none"/>
      <w:lvlText w:val=""/>
      <w:lvlJc w:val="left"/>
      <w:pPr>
        <w:tabs>
          <w:tab w:val="num" w:pos="360"/>
        </w:tabs>
      </w:pPr>
    </w:lvl>
    <w:lvl w:ilvl="1" w:tplc="E8708CFC">
      <w:start w:val="1"/>
      <w:numFmt w:val="lowerLetter"/>
      <w:lvlText w:val="%2."/>
      <w:lvlJc w:val="left"/>
      <w:pPr>
        <w:ind w:left="1440" w:hanging="360"/>
      </w:pPr>
    </w:lvl>
    <w:lvl w:ilvl="2" w:tplc="36B66F80">
      <w:start w:val="1"/>
      <w:numFmt w:val="lowerRoman"/>
      <w:lvlText w:val="%3."/>
      <w:lvlJc w:val="right"/>
      <w:pPr>
        <w:ind w:left="2160" w:hanging="180"/>
      </w:pPr>
    </w:lvl>
    <w:lvl w:ilvl="3" w:tplc="12047F12">
      <w:start w:val="1"/>
      <w:numFmt w:val="decimal"/>
      <w:lvlText w:val="%4."/>
      <w:lvlJc w:val="left"/>
      <w:pPr>
        <w:ind w:left="2880" w:hanging="360"/>
      </w:pPr>
    </w:lvl>
    <w:lvl w:ilvl="4" w:tplc="4AF03C20">
      <w:start w:val="1"/>
      <w:numFmt w:val="lowerLetter"/>
      <w:lvlText w:val="%5."/>
      <w:lvlJc w:val="left"/>
      <w:pPr>
        <w:ind w:left="3600" w:hanging="360"/>
      </w:pPr>
    </w:lvl>
    <w:lvl w:ilvl="5" w:tplc="E7D2DF7A">
      <w:start w:val="1"/>
      <w:numFmt w:val="lowerRoman"/>
      <w:lvlText w:val="%6."/>
      <w:lvlJc w:val="right"/>
      <w:pPr>
        <w:ind w:left="4320" w:hanging="180"/>
      </w:pPr>
    </w:lvl>
    <w:lvl w:ilvl="6" w:tplc="04BE66A8">
      <w:start w:val="1"/>
      <w:numFmt w:val="decimal"/>
      <w:lvlText w:val="%7."/>
      <w:lvlJc w:val="left"/>
      <w:pPr>
        <w:ind w:left="5040" w:hanging="360"/>
      </w:pPr>
    </w:lvl>
    <w:lvl w:ilvl="7" w:tplc="B178D7D6">
      <w:start w:val="1"/>
      <w:numFmt w:val="lowerLetter"/>
      <w:lvlText w:val="%8."/>
      <w:lvlJc w:val="left"/>
      <w:pPr>
        <w:ind w:left="5760" w:hanging="360"/>
      </w:pPr>
    </w:lvl>
    <w:lvl w:ilvl="8" w:tplc="C2CE1316">
      <w:start w:val="1"/>
      <w:numFmt w:val="lowerRoman"/>
      <w:lvlText w:val="%9."/>
      <w:lvlJc w:val="right"/>
      <w:pPr>
        <w:ind w:left="6480" w:hanging="180"/>
      </w:pPr>
    </w:lvl>
  </w:abstractNum>
  <w:abstractNum w:abstractNumId="38" w15:restartNumberingAfterBreak="0">
    <w:nsid w:val="4D83595C"/>
    <w:multiLevelType w:val="hybridMultilevel"/>
    <w:tmpl w:val="CD3C2626"/>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9" w15:restartNumberingAfterBreak="0">
    <w:nsid w:val="4E2D54F7"/>
    <w:multiLevelType w:val="hybridMultilevel"/>
    <w:tmpl w:val="FFFFFFFF"/>
    <w:lvl w:ilvl="0" w:tplc="83967CF4">
      <w:start w:val="1"/>
      <w:numFmt w:val="lowerLetter"/>
      <w:lvlText w:val="(%1)"/>
      <w:lvlJc w:val="left"/>
      <w:pPr>
        <w:ind w:left="1080" w:hanging="360"/>
      </w:pPr>
    </w:lvl>
    <w:lvl w:ilvl="1" w:tplc="3188B5A0">
      <w:start w:val="1"/>
      <w:numFmt w:val="lowerLetter"/>
      <w:lvlText w:val="%2."/>
      <w:lvlJc w:val="left"/>
      <w:pPr>
        <w:ind w:left="1800" w:hanging="360"/>
      </w:pPr>
    </w:lvl>
    <w:lvl w:ilvl="2" w:tplc="6720AC1C">
      <w:start w:val="1"/>
      <w:numFmt w:val="lowerRoman"/>
      <w:lvlText w:val="%3."/>
      <w:lvlJc w:val="right"/>
      <w:pPr>
        <w:ind w:left="2520" w:hanging="180"/>
      </w:pPr>
    </w:lvl>
    <w:lvl w:ilvl="3" w:tplc="3FB0D3AA">
      <w:start w:val="1"/>
      <w:numFmt w:val="decimal"/>
      <w:lvlText w:val="%4."/>
      <w:lvlJc w:val="left"/>
      <w:pPr>
        <w:ind w:left="3240" w:hanging="360"/>
      </w:pPr>
    </w:lvl>
    <w:lvl w:ilvl="4" w:tplc="C652B59A">
      <w:start w:val="1"/>
      <w:numFmt w:val="lowerLetter"/>
      <w:lvlText w:val="%5."/>
      <w:lvlJc w:val="left"/>
      <w:pPr>
        <w:ind w:left="3960" w:hanging="360"/>
      </w:pPr>
    </w:lvl>
    <w:lvl w:ilvl="5" w:tplc="42A05674">
      <w:start w:val="1"/>
      <w:numFmt w:val="lowerRoman"/>
      <w:lvlText w:val="%6."/>
      <w:lvlJc w:val="right"/>
      <w:pPr>
        <w:ind w:left="4680" w:hanging="180"/>
      </w:pPr>
    </w:lvl>
    <w:lvl w:ilvl="6" w:tplc="2D7C5738">
      <w:start w:val="1"/>
      <w:numFmt w:val="decimal"/>
      <w:lvlText w:val="%7."/>
      <w:lvlJc w:val="left"/>
      <w:pPr>
        <w:ind w:left="5400" w:hanging="360"/>
      </w:pPr>
    </w:lvl>
    <w:lvl w:ilvl="7" w:tplc="9732EBE4">
      <w:start w:val="1"/>
      <w:numFmt w:val="lowerLetter"/>
      <w:lvlText w:val="%8."/>
      <w:lvlJc w:val="left"/>
      <w:pPr>
        <w:ind w:left="6120" w:hanging="360"/>
      </w:pPr>
    </w:lvl>
    <w:lvl w:ilvl="8" w:tplc="3CA61E60">
      <w:start w:val="1"/>
      <w:numFmt w:val="lowerRoman"/>
      <w:lvlText w:val="%9."/>
      <w:lvlJc w:val="right"/>
      <w:pPr>
        <w:ind w:left="6840" w:hanging="180"/>
      </w:pPr>
    </w:lvl>
  </w:abstractNum>
  <w:abstractNum w:abstractNumId="40" w15:restartNumberingAfterBreak="0">
    <w:nsid w:val="4EBB1185"/>
    <w:multiLevelType w:val="hybridMultilevel"/>
    <w:tmpl w:val="893C51EC"/>
    <w:lvl w:ilvl="0" w:tplc="5B4E1ABA">
      <w:start w:val="1"/>
      <w:numFmt w:val="bullet"/>
      <w:lvlText w:val=""/>
      <w:lvlJc w:val="left"/>
      <w:pPr>
        <w:ind w:left="1080" w:hanging="360"/>
      </w:pPr>
      <w:rPr>
        <w:rFonts w:ascii="Symbol" w:hAnsi="Symbol" w:hint="default"/>
      </w:rPr>
    </w:lvl>
    <w:lvl w:ilvl="1" w:tplc="ADE482FE">
      <w:start w:val="1"/>
      <w:numFmt w:val="bullet"/>
      <w:lvlText w:val="o"/>
      <w:lvlJc w:val="left"/>
      <w:pPr>
        <w:ind w:left="1800" w:hanging="360"/>
      </w:pPr>
      <w:rPr>
        <w:rFonts w:ascii="Courier New" w:hAnsi="Courier New" w:hint="default"/>
      </w:rPr>
    </w:lvl>
    <w:lvl w:ilvl="2" w:tplc="C56C76F0">
      <w:start w:val="1"/>
      <w:numFmt w:val="bullet"/>
      <w:lvlText w:val=""/>
      <w:lvlJc w:val="left"/>
      <w:pPr>
        <w:ind w:left="2520" w:hanging="360"/>
      </w:pPr>
      <w:rPr>
        <w:rFonts w:ascii="Wingdings" w:hAnsi="Wingdings" w:hint="default"/>
      </w:rPr>
    </w:lvl>
    <w:lvl w:ilvl="3" w:tplc="3B1AC82C">
      <w:start w:val="1"/>
      <w:numFmt w:val="bullet"/>
      <w:lvlText w:val=""/>
      <w:lvlJc w:val="left"/>
      <w:pPr>
        <w:ind w:left="3240" w:hanging="360"/>
      </w:pPr>
      <w:rPr>
        <w:rFonts w:ascii="Symbol" w:hAnsi="Symbol" w:hint="default"/>
      </w:rPr>
    </w:lvl>
    <w:lvl w:ilvl="4" w:tplc="CD2A773E">
      <w:start w:val="1"/>
      <w:numFmt w:val="bullet"/>
      <w:lvlText w:val="o"/>
      <w:lvlJc w:val="left"/>
      <w:pPr>
        <w:ind w:left="3960" w:hanging="360"/>
      </w:pPr>
      <w:rPr>
        <w:rFonts w:ascii="Courier New" w:hAnsi="Courier New" w:hint="default"/>
      </w:rPr>
    </w:lvl>
    <w:lvl w:ilvl="5" w:tplc="EA64C63C">
      <w:start w:val="1"/>
      <w:numFmt w:val="bullet"/>
      <w:lvlText w:val=""/>
      <w:lvlJc w:val="left"/>
      <w:pPr>
        <w:ind w:left="4680" w:hanging="360"/>
      </w:pPr>
      <w:rPr>
        <w:rFonts w:ascii="Wingdings" w:hAnsi="Wingdings" w:hint="default"/>
      </w:rPr>
    </w:lvl>
    <w:lvl w:ilvl="6" w:tplc="708631F2">
      <w:start w:val="1"/>
      <w:numFmt w:val="bullet"/>
      <w:lvlText w:val=""/>
      <w:lvlJc w:val="left"/>
      <w:pPr>
        <w:ind w:left="5400" w:hanging="360"/>
      </w:pPr>
      <w:rPr>
        <w:rFonts w:ascii="Symbol" w:hAnsi="Symbol" w:hint="default"/>
      </w:rPr>
    </w:lvl>
    <w:lvl w:ilvl="7" w:tplc="90466A16">
      <w:start w:val="1"/>
      <w:numFmt w:val="bullet"/>
      <w:lvlText w:val="o"/>
      <w:lvlJc w:val="left"/>
      <w:pPr>
        <w:ind w:left="6120" w:hanging="360"/>
      </w:pPr>
      <w:rPr>
        <w:rFonts w:ascii="Courier New" w:hAnsi="Courier New" w:hint="default"/>
      </w:rPr>
    </w:lvl>
    <w:lvl w:ilvl="8" w:tplc="6F52F446">
      <w:start w:val="1"/>
      <w:numFmt w:val="bullet"/>
      <w:lvlText w:val=""/>
      <w:lvlJc w:val="left"/>
      <w:pPr>
        <w:ind w:left="6840" w:hanging="360"/>
      </w:pPr>
      <w:rPr>
        <w:rFonts w:ascii="Wingdings" w:hAnsi="Wingdings" w:hint="default"/>
      </w:rPr>
    </w:lvl>
  </w:abstractNum>
  <w:abstractNum w:abstractNumId="41" w15:restartNumberingAfterBreak="0">
    <w:nsid w:val="504B0A8C"/>
    <w:multiLevelType w:val="hybridMultilevel"/>
    <w:tmpl w:val="9230D63E"/>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2" w15:restartNumberingAfterBreak="0">
    <w:nsid w:val="50673DC9"/>
    <w:multiLevelType w:val="hybridMultilevel"/>
    <w:tmpl w:val="1632CC36"/>
    <w:lvl w:ilvl="0" w:tplc="E6C4AB0A">
      <w:start w:val="1"/>
      <w:numFmt w:val="bullet"/>
      <w:lvlText w:val=""/>
      <w:lvlJc w:val="left"/>
      <w:pPr>
        <w:ind w:left="1080" w:hanging="360"/>
      </w:pPr>
      <w:rPr>
        <w:rFonts w:ascii="Symbol" w:hAnsi="Symbol" w:hint="default"/>
      </w:rPr>
    </w:lvl>
    <w:lvl w:ilvl="1" w:tplc="1A0A4376">
      <w:start w:val="1"/>
      <w:numFmt w:val="bullet"/>
      <w:lvlText w:val="o"/>
      <w:lvlJc w:val="left"/>
      <w:pPr>
        <w:ind w:left="1800" w:hanging="360"/>
      </w:pPr>
      <w:rPr>
        <w:rFonts w:ascii="Courier New" w:hAnsi="Courier New" w:hint="default"/>
      </w:rPr>
    </w:lvl>
    <w:lvl w:ilvl="2" w:tplc="83AAABF0">
      <w:start w:val="1"/>
      <w:numFmt w:val="bullet"/>
      <w:lvlText w:val=""/>
      <w:lvlJc w:val="left"/>
      <w:pPr>
        <w:ind w:left="2520" w:hanging="360"/>
      </w:pPr>
      <w:rPr>
        <w:rFonts w:ascii="Wingdings" w:hAnsi="Wingdings" w:hint="default"/>
      </w:rPr>
    </w:lvl>
    <w:lvl w:ilvl="3" w:tplc="8FCCF7F2">
      <w:start w:val="1"/>
      <w:numFmt w:val="bullet"/>
      <w:lvlText w:val=""/>
      <w:lvlJc w:val="left"/>
      <w:pPr>
        <w:ind w:left="3240" w:hanging="360"/>
      </w:pPr>
      <w:rPr>
        <w:rFonts w:ascii="Symbol" w:hAnsi="Symbol" w:hint="default"/>
      </w:rPr>
    </w:lvl>
    <w:lvl w:ilvl="4" w:tplc="B5341F52">
      <w:start w:val="1"/>
      <w:numFmt w:val="bullet"/>
      <w:lvlText w:val="o"/>
      <w:lvlJc w:val="left"/>
      <w:pPr>
        <w:ind w:left="3960" w:hanging="360"/>
      </w:pPr>
      <w:rPr>
        <w:rFonts w:ascii="Courier New" w:hAnsi="Courier New" w:hint="default"/>
      </w:rPr>
    </w:lvl>
    <w:lvl w:ilvl="5" w:tplc="06984626">
      <w:start w:val="1"/>
      <w:numFmt w:val="bullet"/>
      <w:lvlText w:val=""/>
      <w:lvlJc w:val="left"/>
      <w:pPr>
        <w:ind w:left="4680" w:hanging="360"/>
      </w:pPr>
      <w:rPr>
        <w:rFonts w:ascii="Wingdings" w:hAnsi="Wingdings" w:hint="default"/>
      </w:rPr>
    </w:lvl>
    <w:lvl w:ilvl="6" w:tplc="AECEAE4A">
      <w:start w:val="1"/>
      <w:numFmt w:val="bullet"/>
      <w:lvlText w:val=""/>
      <w:lvlJc w:val="left"/>
      <w:pPr>
        <w:ind w:left="5400" w:hanging="360"/>
      </w:pPr>
      <w:rPr>
        <w:rFonts w:ascii="Symbol" w:hAnsi="Symbol" w:hint="default"/>
      </w:rPr>
    </w:lvl>
    <w:lvl w:ilvl="7" w:tplc="BBE8342C">
      <w:start w:val="1"/>
      <w:numFmt w:val="bullet"/>
      <w:lvlText w:val="o"/>
      <w:lvlJc w:val="left"/>
      <w:pPr>
        <w:ind w:left="6120" w:hanging="360"/>
      </w:pPr>
      <w:rPr>
        <w:rFonts w:ascii="Courier New" w:hAnsi="Courier New" w:hint="default"/>
      </w:rPr>
    </w:lvl>
    <w:lvl w:ilvl="8" w:tplc="DE7600D6">
      <w:start w:val="1"/>
      <w:numFmt w:val="bullet"/>
      <w:lvlText w:val=""/>
      <w:lvlJc w:val="left"/>
      <w:pPr>
        <w:ind w:left="6840" w:hanging="360"/>
      </w:pPr>
      <w:rPr>
        <w:rFonts w:ascii="Wingdings" w:hAnsi="Wingdings" w:hint="default"/>
      </w:rPr>
    </w:lvl>
  </w:abstractNum>
  <w:abstractNum w:abstractNumId="43" w15:restartNumberingAfterBreak="0">
    <w:nsid w:val="5225147D"/>
    <w:multiLevelType w:val="hybridMultilevel"/>
    <w:tmpl w:val="90DA9CDE"/>
    <w:lvl w:ilvl="0" w:tplc="CA5E1F5A">
      <w:start w:val="1"/>
      <w:numFmt w:val="none"/>
      <w:pStyle w:val="Policyheader"/>
      <w:suff w:val="nothing"/>
      <w:lvlText w:val=""/>
      <w:lvlJc w:val="left"/>
      <w:pPr>
        <w:ind w:left="0" w:firstLine="0"/>
      </w:pPr>
      <w:rPr>
        <w:rFonts w:hint="default"/>
      </w:rPr>
    </w:lvl>
    <w:lvl w:ilvl="1" w:tplc="1A34B11A">
      <w:start w:val="1"/>
      <w:numFmt w:val="lowerLetter"/>
      <w:pStyle w:val="Policy1stlevelbulletpoint"/>
      <w:lvlText w:val="%2)"/>
      <w:lvlJc w:val="left"/>
      <w:pPr>
        <w:ind w:left="862" w:hanging="720"/>
      </w:pPr>
      <w:rPr>
        <w:rFonts w:ascii="Calibri" w:eastAsiaTheme="majorEastAsia" w:hAnsi="Calibri" w:cs="Times New Roman"/>
        <w:strike w:val="0"/>
        <w:u w:val="none"/>
      </w:rPr>
    </w:lvl>
    <w:lvl w:ilvl="2" w:tplc="B19C4800">
      <w:start w:val="1"/>
      <w:numFmt w:val="lowerRoman"/>
      <w:pStyle w:val="Policy2ndlevelbulletpoint"/>
      <w:lvlText w:val="%3."/>
      <w:lvlJc w:val="left"/>
      <w:pPr>
        <w:ind w:left="1211" w:hanging="360"/>
      </w:pPr>
      <w:rPr>
        <w:rFonts w:hint="default"/>
        <w:i w:val="0"/>
        <w:strike w:val="0"/>
        <w:color w:val="auto"/>
        <w:u w:val="none"/>
      </w:rPr>
    </w:lvl>
    <w:lvl w:ilvl="3" w:tplc="828A57B6">
      <w:start w:val="1"/>
      <w:numFmt w:val="decimal"/>
      <w:lvlText w:val="(%4)"/>
      <w:lvlJc w:val="left"/>
      <w:pPr>
        <w:ind w:left="1440" w:hanging="360"/>
      </w:pPr>
      <w:rPr>
        <w:rFonts w:hint="default"/>
      </w:rPr>
    </w:lvl>
    <w:lvl w:ilvl="4" w:tplc="494A1258">
      <w:start w:val="1"/>
      <w:numFmt w:val="lowerLetter"/>
      <w:lvlText w:val="(%5)"/>
      <w:lvlJc w:val="left"/>
      <w:pPr>
        <w:ind w:left="1800" w:hanging="360"/>
      </w:pPr>
      <w:rPr>
        <w:rFonts w:hint="default"/>
      </w:rPr>
    </w:lvl>
    <w:lvl w:ilvl="5" w:tplc="0DB07158">
      <w:start w:val="1"/>
      <w:numFmt w:val="lowerRoman"/>
      <w:lvlText w:val="(%6)"/>
      <w:lvlJc w:val="left"/>
      <w:pPr>
        <w:ind w:left="2160" w:hanging="360"/>
      </w:pPr>
      <w:rPr>
        <w:rFonts w:hint="default"/>
      </w:rPr>
    </w:lvl>
    <w:lvl w:ilvl="6" w:tplc="96F6DB1C">
      <w:start w:val="1"/>
      <w:numFmt w:val="decimal"/>
      <w:lvlRestart w:val="2"/>
      <w:lvlText w:val="%7."/>
      <w:lvlJc w:val="left"/>
      <w:pPr>
        <w:ind w:left="2520" w:hanging="360"/>
      </w:pPr>
      <w:rPr>
        <w:rFonts w:hint="default"/>
      </w:rPr>
    </w:lvl>
    <w:lvl w:ilvl="7" w:tplc="5F8270A2">
      <w:start w:val="1"/>
      <w:numFmt w:val="lowerLetter"/>
      <w:lvlText w:val="%8."/>
      <w:lvlJc w:val="left"/>
      <w:pPr>
        <w:ind w:left="2880" w:hanging="360"/>
      </w:pPr>
      <w:rPr>
        <w:rFonts w:hint="default"/>
      </w:rPr>
    </w:lvl>
    <w:lvl w:ilvl="8" w:tplc="987C3B9C">
      <w:start w:val="1"/>
      <w:numFmt w:val="lowerRoman"/>
      <w:lvlRestart w:val="2"/>
      <w:lvlText w:val="%9."/>
      <w:lvlJc w:val="left"/>
      <w:pPr>
        <w:ind w:left="3240" w:hanging="360"/>
      </w:pPr>
      <w:rPr>
        <w:rFonts w:hint="default"/>
      </w:rPr>
    </w:lvl>
  </w:abstractNum>
  <w:abstractNum w:abstractNumId="44" w15:restartNumberingAfterBreak="0">
    <w:nsid w:val="53675C7A"/>
    <w:multiLevelType w:val="hybridMultilevel"/>
    <w:tmpl w:val="FFFFFFFF"/>
    <w:lvl w:ilvl="0" w:tplc="DD8A9FAA">
      <w:start w:val="1"/>
      <w:numFmt w:val="bullet"/>
      <w:lvlText w:val=""/>
      <w:lvlJc w:val="left"/>
      <w:pPr>
        <w:ind w:left="1080" w:hanging="360"/>
      </w:pPr>
      <w:rPr>
        <w:rFonts w:ascii="Symbol" w:hAnsi="Symbol" w:hint="default"/>
      </w:rPr>
    </w:lvl>
    <w:lvl w:ilvl="1" w:tplc="EE9EC6DE">
      <w:start w:val="1"/>
      <w:numFmt w:val="bullet"/>
      <w:lvlText w:val="o"/>
      <w:lvlJc w:val="left"/>
      <w:pPr>
        <w:ind w:left="1800" w:hanging="360"/>
      </w:pPr>
      <w:rPr>
        <w:rFonts w:ascii="Courier New" w:hAnsi="Courier New" w:hint="default"/>
      </w:rPr>
    </w:lvl>
    <w:lvl w:ilvl="2" w:tplc="D4F8CB5E">
      <w:start w:val="1"/>
      <w:numFmt w:val="bullet"/>
      <w:lvlText w:val=""/>
      <w:lvlJc w:val="left"/>
      <w:pPr>
        <w:ind w:left="2520" w:hanging="360"/>
      </w:pPr>
      <w:rPr>
        <w:rFonts w:ascii="Wingdings" w:hAnsi="Wingdings" w:hint="default"/>
      </w:rPr>
    </w:lvl>
    <w:lvl w:ilvl="3" w:tplc="6F58052C">
      <w:start w:val="1"/>
      <w:numFmt w:val="bullet"/>
      <w:lvlText w:val=""/>
      <w:lvlJc w:val="left"/>
      <w:pPr>
        <w:ind w:left="3240" w:hanging="360"/>
      </w:pPr>
      <w:rPr>
        <w:rFonts w:ascii="Symbol" w:hAnsi="Symbol" w:hint="default"/>
      </w:rPr>
    </w:lvl>
    <w:lvl w:ilvl="4" w:tplc="D4B24F36">
      <w:start w:val="1"/>
      <w:numFmt w:val="bullet"/>
      <w:lvlText w:val="o"/>
      <w:lvlJc w:val="left"/>
      <w:pPr>
        <w:ind w:left="3960" w:hanging="360"/>
      </w:pPr>
      <w:rPr>
        <w:rFonts w:ascii="Courier New" w:hAnsi="Courier New" w:hint="default"/>
      </w:rPr>
    </w:lvl>
    <w:lvl w:ilvl="5" w:tplc="25CEB8B8">
      <w:start w:val="1"/>
      <w:numFmt w:val="bullet"/>
      <w:lvlText w:val=""/>
      <w:lvlJc w:val="left"/>
      <w:pPr>
        <w:ind w:left="4680" w:hanging="360"/>
      </w:pPr>
      <w:rPr>
        <w:rFonts w:ascii="Wingdings" w:hAnsi="Wingdings" w:hint="default"/>
      </w:rPr>
    </w:lvl>
    <w:lvl w:ilvl="6" w:tplc="1786CA46">
      <w:start w:val="1"/>
      <w:numFmt w:val="bullet"/>
      <w:lvlText w:val=""/>
      <w:lvlJc w:val="left"/>
      <w:pPr>
        <w:ind w:left="5400" w:hanging="360"/>
      </w:pPr>
      <w:rPr>
        <w:rFonts w:ascii="Symbol" w:hAnsi="Symbol" w:hint="default"/>
      </w:rPr>
    </w:lvl>
    <w:lvl w:ilvl="7" w:tplc="9C8C12C6">
      <w:start w:val="1"/>
      <w:numFmt w:val="bullet"/>
      <w:lvlText w:val="o"/>
      <w:lvlJc w:val="left"/>
      <w:pPr>
        <w:ind w:left="6120" w:hanging="360"/>
      </w:pPr>
      <w:rPr>
        <w:rFonts w:ascii="Courier New" w:hAnsi="Courier New" w:hint="default"/>
      </w:rPr>
    </w:lvl>
    <w:lvl w:ilvl="8" w:tplc="9C12D7DE">
      <w:start w:val="1"/>
      <w:numFmt w:val="bullet"/>
      <w:lvlText w:val=""/>
      <w:lvlJc w:val="left"/>
      <w:pPr>
        <w:ind w:left="6840" w:hanging="360"/>
      </w:pPr>
      <w:rPr>
        <w:rFonts w:ascii="Wingdings" w:hAnsi="Wingdings" w:hint="default"/>
      </w:rPr>
    </w:lvl>
  </w:abstractNum>
  <w:abstractNum w:abstractNumId="45" w15:restartNumberingAfterBreak="0">
    <w:nsid w:val="550B3D00"/>
    <w:multiLevelType w:val="hybridMultilevel"/>
    <w:tmpl w:val="D94248CC"/>
    <w:lvl w:ilvl="0" w:tplc="098C864C">
      <w:start w:val="1"/>
      <w:numFmt w:val="bullet"/>
      <w:lvlText w:val=""/>
      <w:lvlJc w:val="left"/>
      <w:pPr>
        <w:ind w:left="1080" w:hanging="360"/>
      </w:pPr>
      <w:rPr>
        <w:rFonts w:ascii="Symbol" w:hAnsi="Symbol" w:hint="default"/>
      </w:rPr>
    </w:lvl>
    <w:lvl w:ilvl="1" w:tplc="885805E4">
      <w:start w:val="1"/>
      <w:numFmt w:val="bullet"/>
      <w:lvlText w:val="o"/>
      <w:lvlJc w:val="left"/>
      <w:pPr>
        <w:ind w:left="1800" w:hanging="360"/>
      </w:pPr>
      <w:rPr>
        <w:rFonts w:ascii="Courier New" w:hAnsi="Courier New" w:hint="default"/>
      </w:rPr>
    </w:lvl>
    <w:lvl w:ilvl="2" w:tplc="7AA47142">
      <w:start w:val="1"/>
      <w:numFmt w:val="bullet"/>
      <w:lvlText w:val=""/>
      <w:lvlJc w:val="left"/>
      <w:pPr>
        <w:ind w:left="2520" w:hanging="360"/>
      </w:pPr>
      <w:rPr>
        <w:rFonts w:ascii="Wingdings" w:hAnsi="Wingdings" w:hint="default"/>
      </w:rPr>
    </w:lvl>
    <w:lvl w:ilvl="3" w:tplc="8E968F34">
      <w:start w:val="1"/>
      <w:numFmt w:val="bullet"/>
      <w:lvlText w:val=""/>
      <w:lvlJc w:val="left"/>
      <w:pPr>
        <w:ind w:left="3240" w:hanging="360"/>
      </w:pPr>
      <w:rPr>
        <w:rFonts w:ascii="Symbol" w:hAnsi="Symbol" w:hint="default"/>
      </w:rPr>
    </w:lvl>
    <w:lvl w:ilvl="4" w:tplc="4BA21B24">
      <w:start w:val="1"/>
      <w:numFmt w:val="bullet"/>
      <w:lvlText w:val="o"/>
      <w:lvlJc w:val="left"/>
      <w:pPr>
        <w:ind w:left="3960" w:hanging="360"/>
      </w:pPr>
      <w:rPr>
        <w:rFonts w:ascii="Courier New" w:hAnsi="Courier New" w:hint="default"/>
      </w:rPr>
    </w:lvl>
    <w:lvl w:ilvl="5" w:tplc="ADC4D338">
      <w:start w:val="1"/>
      <w:numFmt w:val="bullet"/>
      <w:lvlText w:val=""/>
      <w:lvlJc w:val="left"/>
      <w:pPr>
        <w:ind w:left="4680" w:hanging="360"/>
      </w:pPr>
      <w:rPr>
        <w:rFonts w:ascii="Wingdings" w:hAnsi="Wingdings" w:hint="default"/>
      </w:rPr>
    </w:lvl>
    <w:lvl w:ilvl="6" w:tplc="984C4310">
      <w:start w:val="1"/>
      <w:numFmt w:val="bullet"/>
      <w:lvlText w:val=""/>
      <w:lvlJc w:val="left"/>
      <w:pPr>
        <w:ind w:left="5400" w:hanging="360"/>
      </w:pPr>
      <w:rPr>
        <w:rFonts w:ascii="Symbol" w:hAnsi="Symbol" w:hint="default"/>
      </w:rPr>
    </w:lvl>
    <w:lvl w:ilvl="7" w:tplc="09C66ABC">
      <w:start w:val="1"/>
      <w:numFmt w:val="bullet"/>
      <w:lvlText w:val="o"/>
      <w:lvlJc w:val="left"/>
      <w:pPr>
        <w:ind w:left="6120" w:hanging="360"/>
      </w:pPr>
      <w:rPr>
        <w:rFonts w:ascii="Courier New" w:hAnsi="Courier New" w:hint="default"/>
      </w:rPr>
    </w:lvl>
    <w:lvl w:ilvl="8" w:tplc="1A4A05F4">
      <w:start w:val="1"/>
      <w:numFmt w:val="bullet"/>
      <w:lvlText w:val=""/>
      <w:lvlJc w:val="left"/>
      <w:pPr>
        <w:ind w:left="6840" w:hanging="360"/>
      </w:pPr>
      <w:rPr>
        <w:rFonts w:ascii="Wingdings" w:hAnsi="Wingdings" w:hint="default"/>
      </w:rPr>
    </w:lvl>
  </w:abstractNum>
  <w:abstractNum w:abstractNumId="46" w15:restartNumberingAfterBreak="0">
    <w:nsid w:val="571637C2"/>
    <w:multiLevelType w:val="hybridMultilevel"/>
    <w:tmpl w:val="DDD85D4A"/>
    <w:lvl w:ilvl="0" w:tplc="441EB10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7" w15:restartNumberingAfterBreak="0">
    <w:nsid w:val="5D485AD3"/>
    <w:multiLevelType w:val="hybridMultilevel"/>
    <w:tmpl w:val="CBCE1AE0"/>
    <w:lvl w:ilvl="0" w:tplc="B1EC303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5DDB55A2"/>
    <w:multiLevelType w:val="hybridMultilevel"/>
    <w:tmpl w:val="FFFFFFFF"/>
    <w:lvl w:ilvl="0" w:tplc="CAF009E2">
      <w:start w:val="1"/>
      <w:numFmt w:val="lowerLetter"/>
      <w:lvlText w:val="(%1)"/>
      <w:lvlJc w:val="left"/>
      <w:pPr>
        <w:ind w:left="1080" w:hanging="360"/>
      </w:pPr>
    </w:lvl>
    <w:lvl w:ilvl="1" w:tplc="77B24C70">
      <w:start w:val="1"/>
      <w:numFmt w:val="lowerLetter"/>
      <w:lvlText w:val="%2."/>
      <w:lvlJc w:val="left"/>
      <w:pPr>
        <w:ind w:left="1800" w:hanging="360"/>
      </w:pPr>
    </w:lvl>
    <w:lvl w:ilvl="2" w:tplc="CAFA69A8">
      <w:start w:val="1"/>
      <w:numFmt w:val="lowerRoman"/>
      <w:lvlText w:val="%3."/>
      <w:lvlJc w:val="right"/>
      <w:pPr>
        <w:ind w:left="2520" w:hanging="180"/>
      </w:pPr>
    </w:lvl>
    <w:lvl w:ilvl="3" w:tplc="D56C4608">
      <w:start w:val="1"/>
      <w:numFmt w:val="decimal"/>
      <w:lvlText w:val="%4."/>
      <w:lvlJc w:val="left"/>
      <w:pPr>
        <w:ind w:left="3240" w:hanging="360"/>
      </w:pPr>
    </w:lvl>
    <w:lvl w:ilvl="4" w:tplc="048CC718">
      <w:start w:val="1"/>
      <w:numFmt w:val="lowerLetter"/>
      <w:lvlText w:val="%5."/>
      <w:lvlJc w:val="left"/>
      <w:pPr>
        <w:ind w:left="3960" w:hanging="360"/>
      </w:pPr>
    </w:lvl>
    <w:lvl w:ilvl="5" w:tplc="5E58E7F4">
      <w:start w:val="1"/>
      <w:numFmt w:val="lowerRoman"/>
      <w:lvlText w:val="%6."/>
      <w:lvlJc w:val="right"/>
      <w:pPr>
        <w:ind w:left="4680" w:hanging="180"/>
      </w:pPr>
    </w:lvl>
    <w:lvl w:ilvl="6" w:tplc="2918F6B6">
      <w:start w:val="1"/>
      <w:numFmt w:val="decimal"/>
      <w:lvlText w:val="%7."/>
      <w:lvlJc w:val="left"/>
      <w:pPr>
        <w:ind w:left="5400" w:hanging="360"/>
      </w:pPr>
    </w:lvl>
    <w:lvl w:ilvl="7" w:tplc="5344D438">
      <w:start w:val="1"/>
      <w:numFmt w:val="lowerLetter"/>
      <w:lvlText w:val="%8."/>
      <w:lvlJc w:val="left"/>
      <w:pPr>
        <w:ind w:left="6120" w:hanging="360"/>
      </w:pPr>
    </w:lvl>
    <w:lvl w:ilvl="8" w:tplc="F18418D8">
      <w:start w:val="1"/>
      <w:numFmt w:val="lowerRoman"/>
      <w:lvlText w:val="%9."/>
      <w:lvlJc w:val="right"/>
      <w:pPr>
        <w:ind w:left="6840" w:hanging="180"/>
      </w:pPr>
    </w:lvl>
  </w:abstractNum>
  <w:abstractNum w:abstractNumId="49" w15:restartNumberingAfterBreak="0">
    <w:nsid w:val="5E2F0A63"/>
    <w:multiLevelType w:val="hybridMultilevel"/>
    <w:tmpl w:val="300A38CA"/>
    <w:lvl w:ilvl="0" w:tplc="17D002D8">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5E9C470E"/>
    <w:multiLevelType w:val="hybridMultilevel"/>
    <w:tmpl w:val="FFFFFFFF"/>
    <w:lvl w:ilvl="0" w:tplc="44BE8E7E">
      <w:start w:val="1"/>
      <w:numFmt w:val="bullet"/>
      <w:lvlText w:val=""/>
      <w:lvlJc w:val="left"/>
      <w:pPr>
        <w:ind w:left="1080" w:hanging="360"/>
      </w:pPr>
      <w:rPr>
        <w:rFonts w:ascii="Symbol" w:hAnsi="Symbol" w:hint="default"/>
      </w:rPr>
    </w:lvl>
    <w:lvl w:ilvl="1" w:tplc="06D43B48">
      <w:start w:val="1"/>
      <w:numFmt w:val="bullet"/>
      <w:lvlText w:val="o"/>
      <w:lvlJc w:val="left"/>
      <w:pPr>
        <w:ind w:left="1800" w:hanging="360"/>
      </w:pPr>
      <w:rPr>
        <w:rFonts w:ascii="Courier New" w:hAnsi="Courier New" w:hint="default"/>
      </w:rPr>
    </w:lvl>
    <w:lvl w:ilvl="2" w:tplc="AA72448A">
      <w:start w:val="1"/>
      <w:numFmt w:val="bullet"/>
      <w:lvlText w:val=""/>
      <w:lvlJc w:val="left"/>
      <w:pPr>
        <w:ind w:left="2520" w:hanging="360"/>
      </w:pPr>
      <w:rPr>
        <w:rFonts w:ascii="Wingdings" w:hAnsi="Wingdings" w:hint="default"/>
      </w:rPr>
    </w:lvl>
    <w:lvl w:ilvl="3" w:tplc="D0945678">
      <w:start w:val="1"/>
      <w:numFmt w:val="bullet"/>
      <w:lvlText w:val=""/>
      <w:lvlJc w:val="left"/>
      <w:pPr>
        <w:ind w:left="3240" w:hanging="360"/>
      </w:pPr>
      <w:rPr>
        <w:rFonts w:ascii="Symbol" w:hAnsi="Symbol" w:hint="default"/>
      </w:rPr>
    </w:lvl>
    <w:lvl w:ilvl="4" w:tplc="AA7E439C">
      <w:start w:val="1"/>
      <w:numFmt w:val="bullet"/>
      <w:lvlText w:val="o"/>
      <w:lvlJc w:val="left"/>
      <w:pPr>
        <w:ind w:left="3960" w:hanging="360"/>
      </w:pPr>
      <w:rPr>
        <w:rFonts w:ascii="Courier New" w:hAnsi="Courier New" w:hint="default"/>
      </w:rPr>
    </w:lvl>
    <w:lvl w:ilvl="5" w:tplc="0BF65A70">
      <w:start w:val="1"/>
      <w:numFmt w:val="bullet"/>
      <w:lvlText w:val=""/>
      <w:lvlJc w:val="left"/>
      <w:pPr>
        <w:ind w:left="4680" w:hanging="360"/>
      </w:pPr>
      <w:rPr>
        <w:rFonts w:ascii="Wingdings" w:hAnsi="Wingdings" w:hint="default"/>
      </w:rPr>
    </w:lvl>
    <w:lvl w:ilvl="6" w:tplc="D6FC184A">
      <w:start w:val="1"/>
      <w:numFmt w:val="bullet"/>
      <w:lvlText w:val=""/>
      <w:lvlJc w:val="left"/>
      <w:pPr>
        <w:ind w:left="5400" w:hanging="360"/>
      </w:pPr>
      <w:rPr>
        <w:rFonts w:ascii="Symbol" w:hAnsi="Symbol" w:hint="default"/>
      </w:rPr>
    </w:lvl>
    <w:lvl w:ilvl="7" w:tplc="2F02A78C">
      <w:start w:val="1"/>
      <w:numFmt w:val="bullet"/>
      <w:lvlText w:val="o"/>
      <w:lvlJc w:val="left"/>
      <w:pPr>
        <w:ind w:left="6120" w:hanging="360"/>
      </w:pPr>
      <w:rPr>
        <w:rFonts w:ascii="Courier New" w:hAnsi="Courier New" w:hint="default"/>
      </w:rPr>
    </w:lvl>
    <w:lvl w:ilvl="8" w:tplc="2F3A381C">
      <w:start w:val="1"/>
      <w:numFmt w:val="bullet"/>
      <w:lvlText w:val=""/>
      <w:lvlJc w:val="left"/>
      <w:pPr>
        <w:ind w:left="6840" w:hanging="360"/>
      </w:pPr>
      <w:rPr>
        <w:rFonts w:ascii="Wingdings" w:hAnsi="Wingdings" w:hint="default"/>
      </w:rPr>
    </w:lvl>
  </w:abstractNum>
  <w:abstractNum w:abstractNumId="51" w15:restartNumberingAfterBreak="0">
    <w:nsid w:val="5EA51F1A"/>
    <w:multiLevelType w:val="hybridMultilevel"/>
    <w:tmpl w:val="D2C0C6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61542DF4"/>
    <w:multiLevelType w:val="hybridMultilevel"/>
    <w:tmpl w:val="59A21B56"/>
    <w:lvl w:ilvl="0" w:tplc="11A0ACA2">
      <w:start w:val="1"/>
      <w:numFmt w:val="bullet"/>
      <w:lvlText w:val=""/>
      <w:lvlJc w:val="left"/>
      <w:pPr>
        <w:ind w:left="1080" w:hanging="360"/>
      </w:pPr>
      <w:rPr>
        <w:rFonts w:ascii="Symbol" w:hAnsi="Symbol" w:hint="default"/>
      </w:rPr>
    </w:lvl>
    <w:lvl w:ilvl="1" w:tplc="65AE22A2">
      <w:start w:val="1"/>
      <w:numFmt w:val="bullet"/>
      <w:lvlText w:val="o"/>
      <w:lvlJc w:val="left"/>
      <w:pPr>
        <w:ind w:left="1800" w:hanging="360"/>
      </w:pPr>
      <w:rPr>
        <w:rFonts w:ascii="Courier New" w:hAnsi="Courier New" w:hint="default"/>
      </w:rPr>
    </w:lvl>
    <w:lvl w:ilvl="2" w:tplc="FF868464">
      <w:start w:val="1"/>
      <w:numFmt w:val="bullet"/>
      <w:lvlText w:val=""/>
      <w:lvlJc w:val="left"/>
      <w:pPr>
        <w:ind w:left="2520" w:hanging="360"/>
      </w:pPr>
      <w:rPr>
        <w:rFonts w:ascii="Wingdings" w:hAnsi="Wingdings" w:hint="default"/>
      </w:rPr>
    </w:lvl>
    <w:lvl w:ilvl="3" w:tplc="906051D4">
      <w:start w:val="1"/>
      <w:numFmt w:val="bullet"/>
      <w:lvlText w:val=""/>
      <w:lvlJc w:val="left"/>
      <w:pPr>
        <w:ind w:left="3240" w:hanging="360"/>
      </w:pPr>
      <w:rPr>
        <w:rFonts w:ascii="Symbol" w:hAnsi="Symbol" w:hint="default"/>
      </w:rPr>
    </w:lvl>
    <w:lvl w:ilvl="4" w:tplc="B742D826">
      <w:start w:val="1"/>
      <w:numFmt w:val="bullet"/>
      <w:lvlText w:val="o"/>
      <w:lvlJc w:val="left"/>
      <w:pPr>
        <w:ind w:left="3960" w:hanging="360"/>
      </w:pPr>
      <w:rPr>
        <w:rFonts w:ascii="Courier New" w:hAnsi="Courier New" w:hint="default"/>
      </w:rPr>
    </w:lvl>
    <w:lvl w:ilvl="5" w:tplc="D49E6958">
      <w:start w:val="1"/>
      <w:numFmt w:val="bullet"/>
      <w:lvlText w:val=""/>
      <w:lvlJc w:val="left"/>
      <w:pPr>
        <w:ind w:left="4680" w:hanging="360"/>
      </w:pPr>
      <w:rPr>
        <w:rFonts w:ascii="Wingdings" w:hAnsi="Wingdings" w:hint="default"/>
      </w:rPr>
    </w:lvl>
    <w:lvl w:ilvl="6" w:tplc="B51EF2A4">
      <w:start w:val="1"/>
      <w:numFmt w:val="bullet"/>
      <w:lvlText w:val=""/>
      <w:lvlJc w:val="left"/>
      <w:pPr>
        <w:ind w:left="5400" w:hanging="360"/>
      </w:pPr>
      <w:rPr>
        <w:rFonts w:ascii="Symbol" w:hAnsi="Symbol" w:hint="default"/>
      </w:rPr>
    </w:lvl>
    <w:lvl w:ilvl="7" w:tplc="0A26CE0E">
      <w:start w:val="1"/>
      <w:numFmt w:val="bullet"/>
      <w:lvlText w:val="o"/>
      <w:lvlJc w:val="left"/>
      <w:pPr>
        <w:ind w:left="6120" w:hanging="360"/>
      </w:pPr>
      <w:rPr>
        <w:rFonts w:ascii="Courier New" w:hAnsi="Courier New" w:hint="default"/>
      </w:rPr>
    </w:lvl>
    <w:lvl w:ilvl="8" w:tplc="7C880688">
      <w:start w:val="1"/>
      <w:numFmt w:val="bullet"/>
      <w:lvlText w:val=""/>
      <w:lvlJc w:val="left"/>
      <w:pPr>
        <w:ind w:left="6840" w:hanging="360"/>
      </w:pPr>
      <w:rPr>
        <w:rFonts w:ascii="Wingdings" w:hAnsi="Wingdings" w:hint="default"/>
      </w:rPr>
    </w:lvl>
  </w:abstractNum>
  <w:abstractNum w:abstractNumId="53" w15:restartNumberingAfterBreak="0">
    <w:nsid w:val="63ED44DA"/>
    <w:multiLevelType w:val="hybridMultilevel"/>
    <w:tmpl w:val="689C985C"/>
    <w:lvl w:ilvl="0" w:tplc="956CBB32">
      <w:start w:val="1"/>
      <w:numFmt w:val="bullet"/>
      <w:lvlText w:val=""/>
      <w:lvlJc w:val="left"/>
      <w:pPr>
        <w:ind w:left="1080" w:hanging="360"/>
      </w:pPr>
      <w:rPr>
        <w:rFonts w:ascii="Symbol" w:hAnsi="Symbol" w:hint="default"/>
      </w:rPr>
    </w:lvl>
    <w:lvl w:ilvl="1" w:tplc="E17AA536">
      <w:start w:val="1"/>
      <w:numFmt w:val="bullet"/>
      <w:lvlText w:val="o"/>
      <w:lvlJc w:val="left"/>
      <w:pPr>
        <w:ind w:left="1800" w:hanging="360"/>
      </w:pPr>
      <w:rPr>
        <w:rFonts w:ascii="Courier New" w:hAnsi="Courier New" w:hint="default"/>
      </w:rPr>
    </w:lvl>
    <w:lvl w:ilvl="2" w:tplc="8BFE1F4E">
      <w:start w:val="1"/>
      <w:numFmt w:val="bullet"/>
      <w:lvlText w:val=""/>
      <w:lvlJc w:val="left"/>
      <w:pPr>
        <w:ind w:left="2520" w:hanging="360"/>
      </w:pPr>
      <w:rPr>
        <w:rFonts w:ascii="Wingdings" w:hAnsi="Wingdings" w:hint="default"/>
      </w:rPr>
    </w:lvl>
    <w:lvl w:ilvl="3" w:tplc="3E2A2168">
      <w:start w:val="1"/>
      <w:numFmt w:val="bullet"/>
      <w:lvlText w:val=""/>
      <w:lvlJc w:val="left"/>
      <w:pPr>
        <w:ind w:left="3240" w:hanging="360"/>
      </w:pPr>
      <w:rPr>
        <w:rFonts w:ascii="Symbol" w:hAnsi="Symbol" w:hint="default"/>
      </w:rPr>
    </w:lvl>
    <w:lvl w:ilvl="4" w:tplc="D916D60C">
      <w:start w:val="1"/>
      <w:numFmt w:val="bullet"/>
      <w:lvlText w:val="o"/>
      <w:lvlJc w:val="left"/>
      <w:pPr>
        <w:ind w:left="3960" w:hanging="360"/>
      </w:pPr>
      <w:rPr>
        <w:rFonts w:ascii="Courier New" w:hAnsi="Courier New" w:hint="default"/>
      </w:rPr>
    </w:lvl>
    <w:lvl w:ilvl="5" w:tplc="10726966">
      <w:start w:val="1"/>
      <w:numFmt w:val="bullet"/>
      <w:lvlText w:val=""/>
      <w:lvlJc w:val="left"/>
      <w:pPr>
        <w:ind w:left="4680" w:hanging="360"/>
      </w:pPr>
      <w:rPr>
        <w:rFonts w:ascii="Wingdings" w:hAnsi="Wingdings" w:hint="default"/>
      </w:rPr>
    </w:lvl>
    <w:lvl w:ilvl="6" w:tplc="D3CCC31E">
      <w:start w:val="1"/>
      <w:numFmt w:val="bullet"/>
      <w:lvlText w:val=""/>
      <w:lvlJc w:val="left"/>
      <w:pPr>
        <w:ind w:left="5400" w:hanging="360"/>
      </w:pPr>
      <w:rPr>
        <w:rFonts w:ascii="Symbol" w:hAnsi="Symbol" w:hint="default"/>
      </w:rPr>
    </w:lvl>
    <w:lvl w:ilvl="7" w:tplc="EA6CB7D0">
      <w:start w:val="1"/>
      <w:numFmt w:val="bullet"/>
      <w:lvlText w:val="o"/>
      <w:lvlJc w:val="left"/>
      <w:pPr>
        <w:ind w:left="6120" w:hanging="360"/>
      </w:pPr>
      <w:rPr>
        <w:rFonts w:ascii="Courier New" w:hAnsi="Courier New" w:hint="default"/>
      </w:rPr>
    </w:lvl>
    <w:lvl w:ilvl="8" w:tplc="19E489BA">
      <w:start w:val="1"/>
      <w:numFmt w:val="bullet"/>
      <w:lvlText w:val=""/>
      <w:lvlJc w:val="left"/>
      <w:pPr>
        <w:ind w:left="6840" w:hanging="360"/>
      </w:pPr>
      <w:rPr>
        <w:rFonts w:ascii="Wingdings" w:hAnsi="Wingdings" w:hint="default"/>
      </w:rPr>
    </w:lvl>
  </w:abstractNum>
  <w:abstractNum w:abstractNumId="54" w15:restartNumberingAfterBreak="0">
    <w:nsid w:val="64E15474"/>
    <w:multiLevelType w:val="hybridMultilevel"/>
    <w:tmpl w:val="FFFFFFFF"/>
    <w:lvl w:ilvl="0" w:tplc="4BBCE0E0">
      <w:start w:val="1"/>
      <w:numFmt w:val="decimal"/>
      <w:lvlText w:val="%1."/>
      <w:lvlJc w:val="left"/>
      <w:pPr>
        <w:ind w:left="720" w:hanging="360"/>
      </w:pPr>
    </w:lvl>
    <w:lvl w:ilvl="1" w:tplc="82C09D3A">
      <w:start w:val="1"/>
      <w:numFmt w:val="lowerRoman"/>
      <w:lvlText w:val="(%2)"/>
      <w:lvlJc w:val="right"/>
      <w:pPr>
        <w:ind w:left="1440" w:hanging="360"/>
      </w:pPr>
    </w:lvl>
    <w:lvl w:ilvl="2" w:tplc="6BA865CC">
      <w:start w:val="1"/>
      <w:numFmt w:val="lowerRoman"/>
      <w:lvlText w:val="%3."/>
      <w:lvlJc w:val="right"/>
      <w:pPr>
        <w:ind w:left="2160" w:hanging="180"/>
      </w:pPr>
    </w:lvl>
    <w:lvl w:ilvl="3" w:tplc="E10A0150">
      <w:start w:val="1"/>
      <w:numFmt w:val="decimal"/>
      <w:lvlText w:val="%4."/>
      <w:lvlJc w:val="left"/>
      <w:pPr>
        <w:ind w:left="2880" w:hanging="360"/>
      </w:pPr>
    </w:lvl>
    <w:lvl w:ilvl="4" w:tplc="A762EAF0">
      <w:start w:val="1"/>
      <w:numFmt w:val="lowerLetter"/>
      <w:lvlText w:val="%5."/>
      <w:lvlJc w:val="left"/>
      <w:pPr>
        <w:ind w:left="3600" w:hanging="360"/>
      </w:pPr>
    </w:lvl>
    <w:lvl w:ilvl="5" w:tplc="763C806C">
      <w:start w:val="1"/>
      <w:numFmt w:val="lowerRoman"/>
      <w:lvlText w:val="%6."/>
      <w:lvlJc w:val="right"/>
      <w:pPr>
        <w:ind w:left="4320" w:hanging="180"/>
      </w:pPr>
    </w:lvl>
    <w:lvl w:ilvl="6" w:tplc="312E216C">
      <w:start w:val="1"/>
      <w:numFmt w:val="decimal"/>
      <w:lvlText w:val="%7."/>
      <w:lvlJc w:val="left"/>
      <w:pPr>
        <w:ind w:left="5040" w:hanging="360"/>
      </w:pPr>
    </w:lvl>
    <w:lvl w:ilvl="7" w:tplc="871C9D2A">
      <w:start w:val="1"/>
      <w:numFmt w:val="lowerLetter"/>
      <w:lvlText w:val="%8."/>
      <w:lvlJc w:val="left"/>
      <w:pPr>
        <w:ind w:left="5760" w:hanging="360"/>
      </w:pPr>
    </w:lvl>
    <w:lvl w:ilvl="8" w:tplc="ECF89786">
      <w:start w:val="1"/>
      <w:numFmt w:val="lowerRoman"/>
      <w:lvlText w:val="%9."/>
      <w:lvlJc w:val="right"/>
      <w:pPr>
        <w:ind w:left="6480" w:hanging="180"/>
      </w:pPr>
    </w:lvl>
  </w:abstractNum>
  <w:abstractNum w:abstractNumId="55" w15:restartNumberingAfterBreak="0">
    <w:nsid w:val="67B42C49"/>
    <w:multiLevelType w:val="hybridMultilevel"/>
    <w:tmpl w:val="6F50B530"/>
    <w:lvl w:ilvl="0" w:tplc="8C78586A">
      <w:start w:val="1"/>
      <w:numFmt w:val="bullet"/>
      <w:lvlText w:val=""/>
      <w:lvlJc w:val="left"/>
      <w:pPr>
        <w:ind w:left="720" w:hanging="360"/>
      </w:pPr>
      <w:rPr>
        <w:rFonts w:ascii="Symbol" w:hAnsi="Symbol" w:hint="default"/>
      </w:rPr>
    </w:lvl>
    <w:lvl w:ilvl="1" w:tplc="6EA668B4">
      <w:start w:val="1"/>
      <w:numFmt w:val="bullet"/>
      <w:lvlText w:val="o"/>
      <w:lvlJc w:val="left"/>
      <w:pPr>
        <w:ind w:left="1440" w:hanging="360"/>
      </w:pPr>
      <w:rPr>
        <w:rFonts w:ascii="Courier New" w:hAnsi="Courier New" w:hint="default"/>
      </w:rPr>
    </w:lvl>
    <w:lvl w:ilvl="2" w:tplc="42BEED1E">
      <w:start w:val="1"/>
      <w:numFmt w:val="bullet"/>
      <w:lvlText w:val=""/>
      <w:lvlJc w:val="left"/>
      <w:pPr>
        <w:ind w:left="2160" w:hanging="360"/>
      </w:pPr>
      <w:rPr>
        <w:rFonts w:ascii="Wingdings" w:hAnsi="Wingdings" w:hint="default"/>
      </w:rPr>
    </w:lvl>
    <w:lvl w:ilvl="3" w:tplc="31749820">
      <w:start w:val="1"/>
      <w:numFmt w:val="bullet"/>
      <w:lvlText w:val=""/>
      <w:lvlJc w:val="left"/>
      <w:pPr>
        <w:ind w:left="2880" w:hanging="360"/>
      </w:pPr>
      <w:rPr>
        <w:rFonts w:ascii="Symbol" w:hAnsi="Symbol" w:hint="default"/>
      </w:rPr>
    </w:lvl>
    <w:lvl w:ilvl="4" w:tplc="9D4E4CAA">
      <w:start w:val="1"/>
      <w:numFmt w:val="bullet"/>
      <w:lvlText w:val="o"/>
      <w:lvlJc w:val="left"/>
      <w:pPr>
        <w:ind w:left="3600" w:hanging="360"/>
      </w:pPr>
      <w:rPr>
        <w:rFonts w:ascii="Courier New" w:hAnsi="Courier New" w:hint="default"/>
      </w:rPr>
    </w:lvl>
    <w:lvl w:ilvl="5" w:tplc="8D66F850">
      <w:start w:val="1"/>
      <w:numFmt w:val="bullet"/>
      <w:lvlText w:val=""/>
      <w:lvlJc w:val="left"/>
      <w:pPr>
        <w:ind w:left="4320" w:hanging="360"/>
      </w:pPr>
      <w:rPr>
        <w:rFonts w:ascii="Wingdings" w:hAnsi="Wingdings" w:hint="default"/>
      </w:rPr>
    </w:lvl>
    <w:lvl w:ilvl="6" w:tplc="B816A9CC">
      <w:start w:val="1"/>
      <w:numFmt w:val="bullet"/>
      <w:lvlText w:val=""/>
      <w:lvlJc w:val="left"/>
      <w:pPr>
        <w:ind w:left="5040" w:hanging="360"/>
      </w:pPr>
      <w:rPr>
        <w:rFonts w:ascii="Symbol" w:hAnsi="Symbol" w:hint="default"/>
      </w:rPr>
    </w:lvl>
    <w:lvl w:ilvl="7" w:tplc="962A5766">
      <w:start w:val="1"/>
      <w:numFmt w:val="bullet"/>
      <w:lvlText w:val="o"/>
      <w:lvlJc w:val="left"/>
      <w:pPr>
        <w:ind w:left="5760" w:hanging="360"/>
      </w:pPr>
      <w:rPr>
        <w:rFonts w:ascii="Courier New" w:hAnsi="Courier New" w:hint="default"/>
      </w:rPr>
    </w:lvl>
    <w:lvl w:ilvl="8" w:tplc="52A4AE9A">
      <w:start w:val="1"/>
      <w:numFmt w:val="bullet"/>
      <w:lvlText w:val=""/>
      <w:lvlJc w:val="left"/>
      <w:pPr>
        <w:ind w:left="6480" w:hanging="360"/>
      </w:pPr>
      <w:rPr>
        <w:rFonts w:ascii="Wingdings" w:hAnsi="Wingdings" w:hint="default"/>
      </w:rPr>
    </w:lvl>
  </w:abstractNum>
  <w:abstractNum w:abstractNumId="56" w15:restartNumberingAfterBreak="0">
    <w:nsid w:val="6B004056"/>
    <w:multiLevelType w:val="hybridMultilevel"/>
    <w:tmpl w:val="A52C0B2A"/>
    <w:lvl w:ilvl="0" w:tplc="9BA6A908">
      <w:start w:val="1"/>
      <w:numFmt w:val="bullet"/>
      <w:lvlText w:val=""/>
      <w:lvlJc w:val="left"/>
      <w:pPr>
        <w:ind w:left="1080" w:hanging="360"/>
      </w:pPr>
      <w:rPr>
        <w:rFonts w:ascii="Symbol" w:hAnsi="Symbol" w:hint="default"/>
      </w:rPr>
    </w:lvl>
    <w:lvl w:ilvl="1" w:tplc="161EBE86">
      <w:start w:val="1"/>
      <w:numFmt w:val="bullet"/>
      <w:lvlText w:val="o"/>
      <w:lvlJc w:val="left"/>
      <w:pPr>
        <w:ind w:left="1800" w:hanging="360"/>
      </w:pPr>
      <w:rPr>
        <w:rFonts w:ascii="Courier New" w:hAnsi="Courier New" w:hint="default"/>
      </w:rPr>
    </w:lvl>
    <w:lvl w:ilvl="2" w:tplc="971CA7F8">
      <w:start w:val="1"/>
      <w:numFmt w:val="bullet"/>
      <w:lvlText w:val=""/>
      <w:lvlJc w:val="left"/>
      <w:pPr>
        <w:ind w:left="2520" w:hanging="360"/>
      </w:pPr>
      <w:rPr>
        <w:rFonts w:ascii="Wingdings" w:hAnsi="Wingdings" w:hint="default"/>
      </w:rPr>
    </w:lvl>
    <w:lvl w:ilvl="3" w:tplc="6650945A">
      <w:start w:val="1"/>
      <w:numFmt w:val="bullet"/>
      <w:lvlText w:val=""/>
      <w:lvlJc w:val="left"/>
      <w:pPr>
        <w:ind w:left="3240" w:hanging="360"/>
      </w:pPr>
      <w:rPr>
        <w:rFonts w:ascii="Symbol" w:hAnsi="Symbol" w:hint="default"/>
      </w:rPr>
    </w:lvl>
    <w:lvl w:ilvl="4" w:tplc="E6A609F0">
      <w:start w:val="1"/>
      <w:numFmt w:val="bullet"/>
      <w:lvlText w:val="o"/>
      <w:lvlJc w:val="left"/>
      <w:pPr>
        <w:ind w:left="3960" w:hanging="360"/>
      </w:pPr>
      <w:rPr>
        <w:rFonts w:ascii="Courier New" w:hAnsi="Courier New" w:hint="default"/>
      </w:rPr>
    </w:lvl>
    <w:lvl w:ilvl="5" w:tplc="BF4C5A54">
      <w:start w:val="1"/>
      <w:numFmt w:val="bullet"/>
      <w:lvlText w:val=""/>
      <w:lvlJc w:val="left"/>
      <w:pPr>
        <w:ind w:left="4680" w:hanging="360"/>
      </w:pPr>
      <w:rPr>
        <w:rFonts w:ascii="Wingdings" w:hAnsi="Wingdings" w:hint="default"/>
      </w:rPr>
    </w:lvl>
    <w:lvl w:ilvl="6" w:tplc="C16E4C56">
      <w:start w:val="1"/>
      <w:numFmt w:val="bullet"/>
      <w:lvlText w:val=""/>
      <w:lvlJc w:val="left"/>
      <w:pPr>
        <w:ind w:left="5400" w:hanging="360"/>
      </w:pPr>
      <w:rPr>
        <w:rFonts w:ascii="Symbol" w:hAnsi="Symbol" w:hint="default"/>
      </w:rPr>
    </w:lvl>
    <w:lvl w:ilvl="7" w:tplc="CEDEC9DC">
      <w:start w:val="1"/>
      <w:numFmt w:val="bullet"/>
      <w:lvlText w:val="o"/>
      <w:lvlJc w:val="left"/>
      <w:pPr>
        <w:ind w:left="6120" w:hanging="360"/>
      </w:pPr>
      <w:rPr>
        <w:rFonts w:ascii="Courier New" w:hAnsi="Courier New" w:hint="default"/>
      </w:rPr>
    </w:lvl>
    <w:lvl w:ilvl="8" w:tplc="8478746C">
      <w:start w:val="1"/>
      <w:numFmt w:val="bullet"/>
      <w:lvlText w:val=""/>
      <w:lvlJc w:val="left"/>
      <w:pPr>
        <w:ind w:left="6840" w:hanging="360"/>
      </w:pPr>
      <w:rPr>
        <w:rFonts w:ascii="Wingdings" w:hAnsi="Wingdings" w:hint="default"/>
      </w:rPr>
    </w:lvl>
  </w:abstractNum>
  <w:abstractNum w:abstractNumId="57" w15:restartNumberingAfterBreak="0">
    <w:nsid w:val="6B1A0097"/>
    <w:multiLevelType w:val="hybridMultilevel"/>
    <w:tmpl w:val="FFFFFFFF"/>
    <w:lvl w:ilvl="0" w:tplc="84E852FE">
      <w:start w:val="1"/>
      <w:numFmt w:val="bullet"/>
      <w:lvlText w:val=""/>
      <w:lvlJc w:val="left"/>
      <w:pPr>
        <w:ind w:left="1080" w:hanging="360"/>
      </w:pPr>
      <w:rPr>
        <w:rFonts w:ascii="Symbol" w:hAnsi="Symbol" w:hint="default"/>
      </w:rPr>
    </w:lvl>
    <w:lvl w:ilvl="1" w:tplc="63563A70">
      <w:start w:val="1"/>
      <w:numFmt w:val="bullet"/>
      <w:lvlText w:val="o"/>
      <w:lvlJc w:val="left"/>
      <w:pPr>
        <w:ind w:left="1800" w:hanging="360"/>
      </w:pPr>
      <w:rPr>
        <w:rFonts w:ascii="Courier New" w:hAnsi="Courier New" w:hint="default"/>
      </w:rPr>
    </w:lvl>
    <w:lvl w:ilvl="2" w:tplc="330EF71C">
      <w:start w:val="1"/>
      <w:numFmt w:val="bullet"/>
      <w:lvlText w:val=""/>
      <w:lvlJc w:val="left"/>
      <w:pPr>
        <w:ind w:left="2520" w:hanging="360"/>
      </w:pPr>
      <w:rPr>
        <w:rFonts w:ascii="Wingdings" w:hAnsi="Wingdings" w:hint="default"/>
      </w:rPr>
    </w:lvl>
    <w:lvl w:ilvl="3" w:tplc="98C896B6">
      <w:start w:val="1"/>
      <w:numFmt w:val="bullet"/>
      <w:lvlText w:val=""/>
      <w:lvlJc w:val="left"/>
      <w:pPr>
        <w:ind w:left="3240" w:hanging="360"/>
      </w:pPr>
      <w:rPr>
        <w:rFonts w:ascii="Symbol" w:hAnsi="Symbol" w:hint="default"/>
      </w:rPr>
    </w:lvl>
    <w:lvl w:ilvl="4" w:tplc="6A8A86FA">
      <w:start w:val="1"/>
      <w:numFmt w:val="bullet"/>
      <w:lvlText w:val="o"/>
      <w:lvlJc w:val="left"/>
      <w:pPr>
        <w:ind w:left="3960" w:hanging="360"/>
      </w:pPr>
      <w:rPr>
        <w:rFonts w:ascii="Courier New" w:hAnsi="Courier New" w:hint="default"/>
      </w:rPr>
    </w:lvl>
    <w:lvl w:ilvl="5" w:tplc="C3C26168">
      <w:start w:val="1"/>
      <w:numFmt w:val="bullet"/>
      <w:lvlText w:val=""/>
      <w:lvlJc w:val="left"/>
      <w:pPr>
        <w:ind w:left="4680" w:hanging="360"/>
      </w:pPr>
      <w:rPr>
        <w:rFonts w:ascii="Wingdings" w:hAnsi="Wingdings" w:hint="default"/>
      </w:rPr>
    </w:lvl>
    <w:lvl w:ilvl="6" w:tplc="4C12C6FC">
      <w:start w:val="1"/>
      <w:numFmt w:val="bullet"/>
      <w:lvlText w:val=""/>
      <w:lvlJc w:val="left"/>
      <w:pPr>
        <w:ind w:left="5400" w:hanging="360"/>
      </w:pPr>
      <w:rPr>
        <w:rFonts w:ascii="Symbol" w:hAnsi="Symbol" w:hint="default"/>
      </w:rPr>
    </w:lvl>
    <w:lvl w:ilvl="7" w:tplc="429A9D62">
      <w:start w:val="1"/>
      <w:numFmt w:val="bullet"/>
      <w:lvlText w:val="o"/>
      <w:lvlJc w:val="left"/>
      <w:pPr>
        <w:ind w:left="6120" w:hanging="360"/>
      </w:pPr>
      <w:rPr>
        <w:rFonts w:ascii="Courier New" w:hAnsi="Courier New" w:hint="default"/>
      </w:rPr>
    </w:lvl>
    <w:lvl w:ilvl="8" w:tplc="36DE50FC">
      <w:start w:val="1"/>
      <w:numFmt w:val="bullet"/>
      <w:lvlText w:val=""/>
      <w:lvlJc w:val="left"/>
      <w:pPr>
        <w:ind w:left="6840" w:hanging="360"/>
      </w:pPr>
      <w:rPr>
        <w:rFonts w:ascii="Wingdings" w:hAnsi="Wingdings" w:hint="default"/>
      </w:rPr>
    </w:lvl>
  </w:abstractNum>
  <w:abstractNum w:abstractNumId="58" w15:restartNumberingAfterBreak="0">
    <w:nsid w:val="6B207C39"/>
    <w:multiLevelType w:val="hybridMultilevel"/>
    <w:tmpl w:val="F5B6D584"/>
    <w:lvl w:ilvl="0" w:tplc="1409000B">
      <w:start w:val="1"/>
      <w:numFmt w:val="bullet"/>
      <w:lvlText w:val=""/>
      <w:lvlJc w:val="left"/>
      <w:pPr>
        <w:ind w:left="720" w:hanging="360"/>
      </w:pPr>
      <w:rPr>
        <w:rFonts w:ascii="Wingdings" w:hAnsi="Wingdings"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B88002A"/>
    <w:multiLevelType w:val="hybridMultilevel"/>
    <w:tmpl w:val="E5626D3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6C1419D0"/>
    <w:multiLevelType w:val="hybridMultilevel"/>
    <w:tmpl w:val="FFFFFFFF"/>
    <w:lvl w:ilvl="0" w:tplc="ED928024">
      <w:start w:val="1"/>
      <w:numFmt w:val="bullet"/>
      <w:lvlText w:val=""/>
      <w:lvlJc w:val="left"/>
      <w:pPr>
        <w:ind w:left="1080" w:hanging="360"/>
      </w:pPr>
      <w:rPr>
        <w:rFonts w:ascii="Symbol" w:hAnsi="Symbol" w:hint="default"/>
      </w:rPr>
    </w:lvl>
    <w:lvl w:ilvl="1" w:tplc="57C464BC">
      <w:start w:val="1"/>
      <w:numFmt w:val="bullet"/>
      <w:lvlText w:val="o"/>
      <w:lvlJc w:val="left"/>
      <w:pPr>
        <w:ind w:left="1800" w:hanging="360"/>
      </w:pPr>
      <w:rPr>
        <w:rFonts w:ascii="Courier New" w:hAnsi="Courier New" w:hint="default"/>
      </w:rPr>
    </w:lvl>
    <w:lvl w:ilvl="2" w:tplc="F6D016AC">
      <w:start w:val="1"/>
      <w:numFmt w:val="bullet"/>
      <w:lvlText w:val=""/>
      <w:lvlJc w:val="left"/>
      <w:pPr>
        <w:ind w:left="2520" w:hanging="360"/>
      </w:pPr>
      <w:rPr>
        <w:rFonts w:ascii="Wingdings" w:hAnsi="Wingdings" w:hint="default"/>
      </w:rPr>
    </w:lvl>
    <w:lvl w:ilvl="3" w:tplc="4CFCF392">
      <w:start w:val="1"/>
      <w:numFmt w:val="bullet"/>
      <w:lvlText w:val=""/>
      <w:lvlJc w:val="left"/>
      <w:pPr>
        <w:ind w:left="3240" w:hanging="360"/>
      </w:pPr>
      <w:rPr>
        <w:rFonts w:ascii="Symbol" w:hAnsi="Symbol" w:hint="default"/>
      </w:rPr>
    </w:lvl>
    <w:lvl w:ilvl="4" w:tplc="CBA4CA90">
      <w:start w:val="1"/>
      <w:numFmt w:val="bullet"/>
      <w:lvlText w:val="o"/>
      <w:lvlJc w:val="left"/>
      <w:pPr>
        <w:ind w:left="3960" w:hanging="360"/>
      </w:pPr>
      <w:rPr>
        <w:rFonts w:ascii="Courier New" w:hAnsi="Courier New" w:hint="default"/>
      </w:rPr>
    </w:lvl>
    <w:lvl w:ilvl="5" w:tplc="927E819C">
      <w:start w:val="1"/>
      <w:numFmt w:val="bullet"/>
      <w:lvlText w:val=""/>
      <w:lvlJc w:val="left"/>
      <w:pPr>
        <w:ind w:left="4680" w:hanging="360"/>
      </w:pPr>
      <w:rPr>
        <w:rFonts w:ascii="Wingdings" w:hAnsi="Wingdings" w:hint="default"/>
      </w:rPr>
    </w:lvl>
    <w:lvl w:ilvl="6" w:tplc="E542CE82">
      <w:start w:val="1"/>
      <w:numFmt w:val="bullet"/>
      <w:lvlText w:val=""/>
      <w:lvlJc w:val="left"/>
      <w:pPr>
        <w:ind w:left="5400" w:hanging="360"/>
      </w:pPr>
      <w:rPr>
        <w:rFonts w:ascii="Symbol" w:hAnsi="Symbol" w:hint="default"/>
      </w:rPr>
    </w:lvl>
    <w:lvl w:ilvl="7" w:tplc="F858E996">
      <w:start w:val="1"/>
      <w:numFmt w:val="bullet"/>
      <w:lvlText w:val="o"/>
      <w:lvlJc w:val="left"/>
      <w:pPr>
        <w:ind w:left="6120" w:hanging="360"/>
      </w:pPr>
      <w:rPr>
        <w:rFonts w:ascii="Courier New" w:hAnsi="Courier New" w:hint="default"/>
      </w:rPr>
    </w:lvl>
    <w:lvl w:ilvl="8" w:tplc="B156C844">
      <w:start w:val="1"/>
      <w:numFmt w:val="bullet"/>
      <w:lvlText w:val=""/>
      <w:lvlJc w:val="left"/>
      <w:pPr>
        <w:ind w:left="6840" w:hanging="360"/>
      </w:pPr>
      <w:rPr>
        <w:rFonts w:ascii="Wingdings" w:hAnsi="Wingdings" w:hint="default"/>
      </w:rPr>
    </w:lvl>
  </w:abstractNum>
  <w:abstractNum w:abstractNumId="61" w15:restartNumberingAfterBreak="0">
    <w:nsid w:val="6E806F88"/>
    <w:multiLevelType w:val="hybridMultilevel"/>
    <w:tmpl w:val="005E576C"/>
    <w:lvl w:ilvl="0" w:tplc="63C60EF0">
      <w:start w:val="1"/>
      <w:numFmt w:val="bullet"/>
      <w:lvlText w:val=""/>
      <w:lvlJc w:val="left"/>
      <w:pPr>
        <w:ind w:left="1080" w:hanging="360"/>
      </w:pPr>
      <w:rPr>
        <w:rFonts w:ascii="Symbol" w:hAnsi="Symbol" w:hint="default"/>
      </w:rPr>
    </w:lvl>
    <w:lvl w:ilvl="1" w:tplc="4BF6697C">
      <w:start w:val="1"/>
      <w:numFmt w:val="bullet"/>
      <w:lvlText w:val="o"/>
      <w:lvlJc w:val="left"/>
      <w:pPr>
        <w:ind w:left="1800" w:hanging="360"/>
      </w:pPr>
      <w:rPr>
        <w:rFonts w:ascii="Courier New" w:hAnsi="Courier New" w:hint="default"/>
      </w:rPr>
    </w:lvl>
    <w:lvl w:ilvl="2" w:tplc="45B485FE">
      <w:start w:val="1"/>
      <w:numFmt w:val="bullet"/>
      <w:lvlText w:val=""/>
      <w:lvlJc w:val="left"/>
      <w:pPr>
        <w:ind w:left="2520" w:hanging="360"/>
      </w:pPr>
      <w:rPr>
        <w:rFonts w:ascii="Wingdings" w:hAnsi="Wingdings" w:hint="default"/>
      </w:rPr>
    </w:lvl>
    <w:lvl w:ilvl="3" w:tplc="FB12976E">
      <w:start w:val="1"/>
      <w:numFmt w:val="bullet"/>
      <w:lvlText w:val=""/>
      <w:lvlJc w:val="left"/>
      <w:pPr>
        <w:ind w:left="3240" w:hanging="360"/>
      </w:pPr>
      <w:rPr>
        <w:rFonts w:ascii="Symbol" w:hAnsi="Symbol" w:hint="default"/>
      </w:rPr>
    </w:lvl>
    <w:lvl w:ilvl="4" w:tplc="C1C2A4A8">
      <w:start w:val="1"/>
      <w:numFmt w:val="bullet"/>
      <w:lvlText w:val="o"/>
      <w:lvlJc w:val="left"/>
      <w:pPr>
        <w:ind w:left="3960" w:hanging="360"/>
      </w:pPr>
      <w:rPr>
        <w:rFonts w:ascii="Courier New" w:hAnsi="Courier New" w:hint="default"/>
      </w:rPr>
    </w:lvl>
    <w:lvl w:ilvl="5" w:tplc="5F1C484C">
      <w:start w:val="1"/>
      <w:numFmt w:val="bullet"/>
      <w:lvlText w:val=""/>
      <w:lvlJc w:val="left"/>
      <w:pPr>
        <w:ind w:left="4680" w:hanging="360"/>
      </w:pPr>
      <w:rPr>
        <w:rFonts w:ascii="Wingdings" w:hAnsi="Wingdings" w:hint="default"/>
      </w:rPr>
    </w:lvl>
    <w:lvl w:ilvl="6" w:tplc="0E50897A">
      <w:start w:val="1"/>
      <w:numFmt w:val="bullet"/>
      <w:lvlText w:val=""/>
      <w:lvlJc w:val="left"/>
      <w:pPr>
        <w:ind w:left="5400" w:hanging="360"/>
      </w:pPr>
      <w:rPr>
        <w:rFonts w:ascii="Symbol" w:hAnsi="Symbol" w:hint="default"/>
      </w:rPr>
    </w:lvl>
    <w:lvl w:ilvl="7" w:tplc="A5C4DD26">
      <w:start w:val="1"/>
      <w:numFmt w:val="bullet"/>
      <w:lvlText w:val="o"/>
      <w:lvlJc w:val="left"/>
      <w:pPr>
        <w:ind w:left="6120" w:hanging="360"/>
      </w:pPr>
      <w:rPr>
        <w:rFonts w:ascii="Courier New" w:hAnsi="Courier New" w:hint="default"/>
      </w:rPr>
    </w:lvl>
    <w:lvl w:ilvl="8" w:tplc="83C49C4C">
      <w:start w:val="1"/>
      <w:numFmt w:val="bullet"/>
      <w:lvlText w:val=""/>
      <w:lvlJc w:val="left"/>
      <w:pPr>
        <w:ind w:left="6840" w:hanging="360"/>
      </w:pPr>
      <w:rPr>
        <w:rFonts w:ascii="Wingdings" w:hAnsi="Wingdings" w:hint="default"/>
      </w:rPr>
    </w:lvl>
  </w:abstractNum>
  <w:abstractNum w:abstractNumId="62" w15:restartNumberingAfterBreak="0">
    <w:nsid w:val="6F753924"/>
    <w:multiLevelType w:val="hybridMultilevel"/>
    <w:tmpl w:val="A5A6777A"/>
    <w:lvl w:ilvl="0" w:tplc="B1EC303C">
      <w:numFmt w:val="bullet"/>
      <w:lvlText w:val="-"/>
      <w:lvlJc w:val="left"/>
      <w:pPr>
        <w:ind w:left="1130" w:hanging="360"/>
      </w:pPr>
      <w:rPr>
        <w:rFonts w:ascii="Calibri" w:eastAsiaTheme="minorHAnsi" w:hAnsi="Calibri" w:cs="Calibri" w:hint="default"/>
      </w:rPr>
    </w:lvl>
    <w:lvl w:ilvl="1" w:tplc="14090003" w:tentative="1">
      <w:start w:val="1"/>
      <w:numFmt w:val="bullet"/>
      <w:lvlText w:val="o"/>
      <w:lvlJc w:val="left"/>
      <w:pPr>
        <w:ind w:left="1850" w:hanging="360"/>
      </w:pPr>
      <w:rPr>
        <w:rFonts w:ascii="Courier New" w:hAnsi="Courier New" w:cs="Courier New" w:hint="default"/>
      </w:rPr>
    </w:lvl>
    <w:lvl w:ilvl="2" w:tplc="14090005" w:tentative="1">
      <w:start w:val="1"/>
      <w:numFmt w:val="bullet"/>
      <w:lvlText w:val=""/>
      <w:lvlJc w:val="left"/>
      <w:pPr>
        <w:ind w:left="2570" w:hanging="360"/>
      </w:pPr>
      <w:rPr>
        <w:rFonts w:ascii="Wingdings" w:hAnsi="Wingdings" w:hint="default"/>
      </w:rPr>
    </w:lvl>
    <w:lvl w:ilvl="3" w:tplc="14090001" w:tentative="1">
      <w:start w:val="1"/>
      <w:numFmt w:val="bullet"/>
      <w:lvlText w:val=""/>
      <w:lvlJc w:val="left"/>
      <w:pPr>
        <w:ind w:left="3290" w:hanging="360"/>
      </w:pPr>
      <w:rPr>
        <w:rFonts w:ascii="Symbol" w:hAnsi="Symbol" w:hint="default"/>
      </w:rPr>
    </w:lvl>
    <w:lvl w:ilvl="4" w:tplc="14090003" w:tentative="1">
      <w:start w:val="1"/>
      <w:numFmt w:val="bullet"/>
      <w:lvlText w:val="o"/>
      <w:lvlJc w:val="left"/>
      <w:pPr>
        <w:ind w:left="4010" w:hanging="360"/>
      </w:pPr>
      <w:rPr>
        <w:rFonts w:ascii="Courier New" w:hAnsi="Courier New" w:cs="Courier New" w:hint="default"/>
      </w:rPr>
    </w:lvl>
    <w:lvl w:ilvl="5" w:tplc="14090005" w:tentative="1">
      <w:start w:val="1"/>
      <w:numFmt w:val="bullet"/>
      <w:lvlText w:val=""/>
      <w:lvlJc w:val="left"/>
      <w:pPr>
        <w:ind w:left="4730" w:hanging="360"/>
      </w:pPr>
      <w:rPr>
        <w:rFonts w:ascii="Wingdings" w:hAnsi="Wingdings" w:hint="default"/>
      </w:rPr>
    </w:lvl>
    <w:lvl w:ilvl="6" w:tplc="14090001" w:tentative="1">
      <w:start w:val="1"/>
      <w:numFmt w:val="bullet"/>
      <w:lvlText w:val=""/>
      <w:lvlJc w:val="left"/>
      <w:pPr>
        <w:ind w:left="5450" w:hanging="360"/>
      </w:pPr>
      <w:rPr>
        <w:rFonts w:ascii="Symbol" w:hAnsi="Symbol" w:hint="default"/>
      </w:rPr>
    </w:lvl>
    <w:lvl w:ilvl="7" w:tplc="14090003" w:tentative="1">
      <w:start w:val="1"/>
      <w:numFmt w:val="bullet"/>
      <w:lvlText w:val="o"/>
      <w:lvlJc w:val="left"/>
      <w:pPr>
        <w:ind w:left="6170" w:hanging="360"/>
      </w:pPr>
      <w:rPr>
        <w:rFonts w:ascii="Courier New" w:hAnsi="Courier New" w:cs="Courier New" w:hint="default"/>
      </w:rPr>
    </w:lvl>
    <w:lvl w:ilvl="8" w:tplc="14090005" w:tentative="1">
      <w:start w:val="1"/>
      <w:numFmt w:val="bullet"/>
      <w:lvlText w:val=""/>
      <w:lvlJc w:val="left"/>
      <w:pPr>
        <w:ind w:left="6890" w:hanging="360"/>
      </w:pPr>
      <w:rPr>
        <w:rFonts w:ascii="Wingdings" w:hAnsi="Wingdings" w:hint="default"/>
      </w:rPr>
    </w:lvl>
  </w:abstractNum>
  <w:abstractNum w:abstractNumId="63" w15:restartNumberingAfterBreak="0">
    <w:nsid w:val="72667E21"/>
    <w:multiLevelType w:val="hybridMultilevel"/>
    <w:tmpl w:val="149CED32"/>
    <w:lvl w:ilvl="0" w:tplc="58A6614A">
      <w:start w:val="1"/>
      <w:numFmt w:val="decimal"/>
      <w:lvlText w:val="%1."/>
      <w:lvlJc w:val="left"/>
      <w:pPr>
        <w:ind w:left="720" w:hanging="360"/>
      </w:pPr>
    </w:lvl>
    <w:lvl w:ilvl="1" w:tplc="A80418FC">
      <w:start w:val="1"/>
      <w:numFmt w:val="lowerRoman"/>
      <w:lvlText w:val="%2)"/>
      <w:lvlJc w:val="right"/>
      <w:pPr>
        <w:ind w:left="1440" w:hanging="360"/>
      </w:pPr>
    </w:lvl>
    <w:lvl w:ilvl="2" w:tplc="016E2A7A">
      <w:start w:val="1"/>
      <w:numFmt w:val="lowerRoman"/>
      <w:lvlText w:val="%3."/>
      <w:lvlJc w:val="right"/>
      <w:pPr>
        <w:ind w:left="2160" w:hanging="180"/>
      </w:pPr>
    </w:lvl>
    <w:lvl w:ilvl="3" w:tplc="E74E556E">
      <w:start w:val="1"/>
      <w:numFmt w:val="decimal"/>
      <w:lvlText w:val="%4."/>
      <w:lvlJc w:val="left"/>
      <w:pPr>
        <w:ind w:left="2880" w:hanging="360"/>
      </w:pPr>
    </w:lvl>
    <w:lvl w:ilvl="4" w:tplc="BC1645EC">
      <w:start w:val="1"/>
      <w:numFmt w:val="lowerLetter"/>
      <w:lvlText w:val="%5."/>
      <w:lvlJc w:val="left"/>
      <w:pPr>
        <w:ind w:left="3600" w:hanging="360"/>
      </w:pPr>
    </w:lvl>
    <w:lvl w:ilvl="5" w:tplc="EEEC7D4A">
      <w:start w:val="1"/>
      <w:numFmt w:val="lowerRoman"/>
      <w:lvlText w:val="%6."/>
      <w:lvlJc w:val="right"/>
      <w:pPr>
        <w:ind w:left="4320" w:hanging="180"/>
      </w:pPr>
    </w:lvl>
    <w:lvl w:ilvl="6" w:tplc="218A3290">
      <w:start w:val="1"/>
      <w:numFmt w:val="decimal"/>
      <w:lvlText w:val="%7."/>
      <w:lvlJc w:val="left"/>
      <w:pPr>
        <w:ind w:left="5040" w:hanging="360"/>
      </w:pPr>
    </w:lvl>
    <w:lvl w:ilvl="7" w:tplc="1B387CE6">
      <w:start w:val="1"/>
      <w:numFmt w:val="lowerLetter"/>
      <w:lvlText w:val="%8."/>
      <w:lvlJc w:val="left"/>
      <w:pPr>
        <w:ind w:left="5760" w:hanging="360"/>
      </w:pPr>
    </w:lvl>
    <w:lvl w:ilvl="8" w:tplc="258E082E">
      <w:start w:val="1"/>
      <w:numFmt w:val="lowerRoman"/>
      <w:lvlText w:val="%9."/>
      <w:lvlJc w:val="right"/>
      <w:pPr>
        <w:ind w:left="6480" w:hanging="180"/>
      </w:pPr>
    </w:lvl>
  </w:abstractNum>
  <w:abstractNum w:abstractNumId="64" w15:restartNumberingAfterBreak="0">
    <w:nsid w:val="73316429"/>
    <w:multiLevelType w:val="hybridMultilevel"/>
    <w:tmpl w:val="A2646A96"/>
    <w:lvl w:ilvl="0" w:tplc="17D002D8">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74C02914"/>
    <w:multiLevelType w:val="hybridMultilevel"/>
    <w:tmpl w:val="6542FDE4"/>
    <w:lvl w:ilvl="0" w:tplc="731424DE">
      <w:numFmt w:val="bullet"/>
      <w:lvlText w:val="-"/>
      <w:lvlJc w:val="left"/>
      <w:pPr>
        <w:ind w:left="720" w:hanging="360"/>
      </w:pPr>
      <w:rPr>
        <w:rFonts w:ascii="Calibri" w:eastAsia="Times New Roman" w:hAnsi="Calibri" w:cs="Calibri" w:hint="default"/>
      </w:rPr>
    </w:lvl>
    <w:lvl w:ilvl="1" w:tplc="44D40FB0">
      <w:numFmt w:val="bullet"/>
      <w:lvlText w:val="-"/>
      <w:lvlJc w:val="left"/>
      <w:pPr>
        <w:ind w:left="1440" w:hanging="360"/>
      </w:pPr>
      <w:rPr>
        <w:rFonts w:ascii="Calibri" w:eastAsiaTheme="minorHAnsi" w:hAnsi="Calibri" w:cs="Calibr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6" w15:restartNumberingAfterBreak="0">
    <w:nsid w:val="74CC7FA7"/>
    <w:multiLevelType w:val="hybridMultilevel"/>
    <w:tmpl w:val="F8EE8352"/>
    <w:lvl w:ilvl="0" w:tplc="5538DFCC">
      <w:start w:val="1"/>
      <w:numFmt w:val="decimal"/>
      <w:lvlText w:val="%1."/>
      <w:lvlJc w:val="left"/>
      <w:pPr>
        <w:ind w:left="720" w:hanging="360"/>
      </w:pPr>
    </w:lvl>
    <w:lvl w:ilvl="1" w:tplc="33E8A5A6">
      <w:start w:val="1"/>
      <w:numFmt w:val="lowerRoman"/>
      <w:lvlText w:val="(%2)"/>
      <w:lvlJc w:val="right"/>
      <w:pPr>
        <w:ind w:left="1440" w:hanging="360"/>
      </w:pPr>
    </w:lvl>
    <w:lvl w:ilvl="2" w:tplc="794020D6">
      <w:start w:val="1"/>
      <w:numFmt w:val="lowerRoman"/>
      <w:lvlText w:val="%3."/>
      <w:lvlJc w:val="right"/>
      <w:pPr>
        <w:ind w:left="2160" w:hanging="180"/>
      </w:pPr>
    </w:lvl>
    <w:lvl w:ilvl="3" w:tplc="F4027F30">
      <w:start w:val="1"/>
      <w:numFmt w:val="decimal"/>
      <w:lvlText w:val="%4."/>
      <w:lvlJc w:val="left"/>
      <w:pPr>
        <w:ind w:left="2880" w:hanging="360"/>
      </w:pPr>
    </w:lvl>
    <w:lvl w:ilvl="4" w:tplc="CDB29C9E">
      <w:start w:val="1"/>
      <w:numFmt w:val="lowerLetter"/>
      <w:lvlText w:val="%5."/>
      <w:lvlJc w:val="left"/>
      <w:pPr>
        <w:ind w:left="3600" w:hanging="360"/>
      </w:pPr>
    </w:lvl>
    <w:lvl w:ilvl="5" w:tplc="C8E48C14">
      <w:start w:val="1"/>
      <w:numFmt w:val="lowerRoman"/>
      <w:lvlText w:val="%6."/>
      <w:lvlJc w:val="right"/>
      <w:pPr>
        <w:ind w:left="4320" w:hanging="180"/>
      </w:pPr>
    </w:lvl>
    <w:lvl w:ilvl="6" w:tplc="84820DFE">
      <w:start w:val="1"/>
      <w:numFmt w:val="decimal"/>
      <w:lvlText w:val="%7."/>
      <w:lvlJc w:val="left"/>
      <w:pPr>
        <w:ind w:left="5040" w:hanging="360"/>
      </w:pPr>
    </w:lvl>
    <w:lvl w:ilvl="7" w:tplc="15941E1E">
      <w:start w:val="1"/>
      <w:numFmt w:val="lowerLetter"/>
      <w:lvlText w:val="%8."/>
      <w:lvlJc w:val="left"/>
      <w:pPr>
        <w:ind w:left="5760" w:hanging="360"/>
      </w:pPr>
    </w:lvl>
    <w:lvl w:ilvl="8" w:tplc="AF6AEDB6">
      <w:start w:val="1"/>
      <w:numFmt w:val="lowerRoman"/>
      <w:lvlText w:val="%9."/>
      <w:lvlJc w:val="right"/>
      <w:pPr>
        <w:ind w:left="6480" w:hanging="180"/>
      </w:pPr>
    </w:lvl>
  </w:abstractNum>
  <w:abstractNum w:abstractNumId="67" w15:restartNumberingAfterBreak="0">
    <w:nsid w:val="76CC355E"/>
    <w:multiLevelType w:val="hybridMultilevel"/>
    <w:tmpl w:val="EB12CDA6"/>
    <w:lvl w:ilvl="0" w:tplc="01264942">
      <w:start w:val="1"/>
      <w:numFmt w:val="decimal"/>
      <w:pStyle w:val="Normal2"/>
      <w:lvlText w:val="%1."/>
      <w:lvlJc w:val="left"/>
      <w:pPr>
        <w:ind w:left="720" w:hanging="360"/>
      </w:pPr>
      <w:rPr>
        <w:b w:val="0"/>
        <w:bCs w:val="0"/>
        <w:i w:val="0"/>
        <w:iCs w:val="0"/>
        <w:color w:val="auto"/>
        <w:sz w:val="22"/>
        <w:szCs w:val="22"/>
      </w:rPr>
    </w:lvl>
    <w:lvl w:ilvl="1" w:tplc="DA50C2DC">
      <w:start w:val="1"/>
      <w:numFmt w:val="lowerLetter"/>
      <w:pStyle w:val="Normal3"/>
      <w:lvlText w:val="%2."/>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97004108">
      <w:start w:val="1"/>
      <w:numFmt w:val="lowerRoman"/>
      <w:pStyle w:val="Normal4"/>
      <w:lvlText w:val="%3."/>
      <w:lvlJc w:val="left"/>
      <w:pPr>
        <w:ind w:left="2160" w:hanging="180"/>
      </w:pPr>
      <w:rPr>
        <w:rFonts w:hint="default"/>
        <w:b w:val="0"/>
        <w:bCs w:val="0"/>
      </w:r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7761155F"/>
    <w:multiLevelType w:val="hybridMultilevel"/>
    <w:tmpl w:val="19E6F5B4"/>
    <w:lvl w:ilvl="0" w:tplc="7CD0D692">
      <w:start w:val="1"/>
      <w:numFmt w:val="bullet"/>
      <w:lvlText w:val=""/>
      <w:lvlJc w:val="left"/>
      <w:pPr>
        <w:ind w:left="1080" w:hanging="360"/>
      </w:pPr>
      <w:rPr>
        <w:rFonts w:ascii="Symbol" w:hAnsi="Symbol" w:hint="default"/>
      </w:rPr>
    </w:lvl>
    <w:lvl w:ilvl="1" w:tplc="356A826C">
      <w:start w:val="1"/>
      <w:numFmt w:val="bullet"/>
      <w:lvlText w:val="o"/>
      <w:lvlJc w:val="left"/>
      <w:pPr>
        <w:ind w:left="1800" w:hanging="360"/>
      </w:pPr>
      <w:rPr>
        <w:rFonts w:ascii="Courier New" w:hAnsi="Courier New" w:hint="default"/>
      </w:rPr>
    </w:lvl>
    <w:lvl w:ilvl="2" w:tplc="CF9E83FC">
      <w:start w:val="1"/>
      <w:numFmt w:val="bullet"/>
      <w:lvlText w:val=""/>
      <w:lvlJc w:val="left"/>
      <w:pPr>
        <w:ind w:left="2520" w:hanging="360"/>
      </w:pPr>
      <w:rPr>
        <w:rFonts w:ascii="Wingdings" w:hAnsi="Wingdings" w:hint="default"/>
      </w:rPr>
    </w:lvl>
    <w:lvl w:ilvl="3" w:tplc="C080A618">
      <w:start w:val="1"/>
      <w:numFmt w:val="bullet"/>
      <w:lvlText w:val=""/>
      <w:lvlJc w:val="left"/>
      <w:pPr>
        <w:ind w:left="3240" w:hanging="360"/>
      </w:pPr>
      <w:rPr>
        <w:rFonts w:ascii="Symbol" w:hAnsi="Symbol" w:hint="default"/>
      </w:rPr>
    </w:lvl>
    <w:lvl w:ilvl="4" w:tplc="5E4CFA96">
      <w:start w:val="1"/>
      <w:numFmt w:val="bullet"/>
      <w:lvlText w:val="o"/>
      <w:lvlJc w:val="left"/>
      <w:pPr>
        <w:ind w:left="3960" w:hanging="360"/>
      </w:pPr>
      <w:rPr>
        <w:rFonts w:ascii="Courier New" w:hAnsi="Courier New" w:hint="default"/>
      </w:rPr>
    </w:lvl>
    <w:lvl w:ilvl="5" w:tplc="E9E69AA0">
      <w:start w:val="1"/>
      <w:numFmt w:val="bullet"/>
      <w:lvlText w:val=""/>
      <w:lvlJc w:val="left"/>
      <w:pPr>
        <w:ind w:left="4680" w:hanging="360"/>
      </w:pPr>
      <w:rPr>
        <w:rFonts w:ascii="Wingdings" w:hAnsi="Wingdings" w:hint="default"/>
      </w:rPr>
    </w:lvl>
    <w:lvl w:ilvl="6" w:tplc="97D06AA0">
      <w:start w:val="1"/>
      <w:numFmt w:val="bullet"/>
      <w:lvlText w:val=""/>
      <w:lvlJc w:val="left"/>
      <w:pPr>
        <w:ind w:left="5400" w:hanging="360"/>
      </w:pPr>
      <w:rPr>
        <w:rFonts w:ascii="Symbol" w:hAnsi="Symbol" w:hint="default"/>
      </w:rPr>
    </w:lvl>
    <w:lvl w:ilvl="7" w:tplc="E20C7346">
      <w:start w:val="1"/>
      <w:numFmt w:val="bullet"/>
      <w:lvlText w:val="o"/>
      <w:lvlJc w:val="left"/>
      <w:pPr>
        <w:ind w:left="6120" w:hanging="360"/>
      </w:pPr>
      <w:rPr>
        <w:rFonts w:ascii="Courier New" w:hAnsi="Courier New" w:hint="default"/>
      </w:rPr>
    </w:lvl>
    <w:lvl w:ilvl="8" w:tplc="A7FE277A">
      <w:start w:val="1"/>
      <w:numFmt w:val="bullet"/>
      <w:lvlText w:val=""/>
      <w:lvlJc w:val="left"/>
      <w:pPr>
        <w:ind w:left="6840" w:hanging="360"/>
      </w:pPr>
      <w:rPr>
        <w:rFonts w:ascii="Wingdings" w:hAnsi="Wingdings" w:hint="default"/>
      </w:rPr>
    </w:lvl>
  </w:abstractNum>
  <w:abstractNum w:abstractNumId="69" w15:restartNumberingAfterBreak="0">
    <w:nsid w:val="792B4552"/>
    <w:multiLevelType w:val="multilevel"/>
    <w:tmpl w:val="75C6CBD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sz w:val="26"/>
        <w:szCs w:val="26"/>
      </w:rPr>
    </w:lvl>
    <w:lvl w:ilvl="2">
      <w:start w:val="1"/>
      <w:numFmt w:val="decimal"/>
      <w:pStyle w:val="Heading3"/>
      <w:lvlText w:val="%1.%2.%3."/>
      <w:lvlJc w:val="left"/>
      <w:pPr>
        <w:ind w:left="122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728" w:hanging="64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B4E44AA"/>
    <w:multiLevelType w:val="hybridMultilevel"/>
    <w:tmpl w:val="BE1E29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1" w15:restartNumberingAfterBreak="0">
    <w:nsid w:val="7E4E3CA7"/>
    <w:multiLevelType w:val="hybridMultilevel"/>
    <w:tmpl w:val="FFFFFFFF"/>
    <w:lvl w:ilvl="0" w:tplc="33EA2456">
      <w:start w:val="1"/>
      <w:numFmt w:val="bullet"/>
      <w:lvlText w:val=""/>
      <w:lvlJc w:val="left"/>
      <w:pPr>
        <w:ind w:left="1080" w:hanging="360"/>
      </w:pPr>
      <w:rPr>
        <w:rFonts w:ascii="Symbol" w:hAnsi="Symbol" w:hint="default"/>
      </w:rPr>
    </w:lvl>
    <w:lvl w:ilvl="1" w:tplc="4288B418">
      <w:start w:val="1"/>
      <w:numFmt w:val="bullet"/>
      <w:lvlText w:val="o"/>
      <w:lvlJc w:val="left"/>
      <w:pPr>
        <w:ind w:left="1800" w:hanging="360"/>
      </w:pPr>
      <w:rPr>
        <w:rFonts w:ascii="Courier New" w:hAnsi="Courier New" w:hint="default"/>
      </w:rPr>
    </w:lvl>
    <w:lvl w:ilvl="2" w:tplc="8DC2F1A4">
      <w:start w:val="1"/>
      <w:numFmt w:val="bullet"/>
      <w:lvlText w:val=""/>
      <w:lvlJc w:val="left"/>
      <w:pPr>
        <w:ind w:left="2520" w:hanging="360"/>
      </w:pPr>
      <w:rPr>
        <w:rFonts w:ascii="Wingdings" w:hAnsi="Wingdings" w:hint="default"/>
      </w:rPr>
    </w:lvl>
    <w:lvl w:ilvl="3" w:tplc="CA3E2C60">
      <w:start w:val="1"/>
      <w:numFmt w:val="bullet"/>
      <w:lvlText w:val=""/>
      <w:lvlJc w:val="left"/>
      <w:pPr>
        <w:ind w:left="3240" w:hanging="360"/>
      </w:pPr>
      <w:rPr>
        <w:rFonts w:ascii="Symbol" w:hAnsi="Symbol" w:hint="default"/>
      </w:rPr>
    </w:lvl>
    <w:lvl w:ilvl="4" w:tplc="D0EA2CEE">
      <w:start w:val="1"/>
      <w:numFmt w:val="bullet"/>
      <w:lvlText w:val="o"/>
      <w:lvlJc w:val="left"/>
      <w:pPr>
        <w:ind w:left="3960" w:hanging="360"/>
      </w:pPr>
      <w:rPr>
        <w:rFonts w:ascii="Courier New" w:hAnsi="Courier New" w:hint="default"/>
      </w:rPr>
    </w:lvl>
    <w:lvl w:ilvl="5" w:tplc="13E45FAE">
      <w:start w:val="1"/>
      <w:numFmt w:val="bullet"/>
      <w:lvlText w:val=""/>
      <w:lvlJc w:val="left"/>
      <w:pPr>
        <w:ind w:left="4680" w:hanging="360"/>
      </w:pPr>
      <w:rPr>
        <w:rFonts w:ascii="Wingdings" w:hAnsi="Wingdings" w:hint="default"/>
      </w:rPr>
    </w:lvl>
    <w:lvl w:ilvl="6" w:tplc="28BCFE30">
      <w:start w:val="1"/>
      <w:numFmt w:val="bullet"/>
      <w:lvlText w:val=""/>
      <w:lvlJc w:val="left"/>
      <w:pPr>
        <w:ind w:left="5400" w:hanging="360"/>
      </w:pPr>
      <w:rPr>
        <w:rFonts w:ascii="Symbol" w:hAnsi="Symbol" w:hint="default"/>
      </w:rPr>
    </w:lvl>
    <w:lvl w:ilvl="7" w:tplc="FBA2181E">
      <w:start w:val="1"/>
      <w:numFmt w:val="bullet"/>
      <w:lvlText w:val="o"/>
      <w:lvlJc w:val="left"/>
      <w:pPr>
        <w:ind w:left="6120" w:hanging="360"/>
      </w:pPr>
      <w:rPr>
        <w:rFonts w:ascii="Courier New" w:hAnsi="Courier New" w:hint="default"/>
      </w:rPr>
    </w:lvl>
    <w:lvl w:ilvl="8" w:tplc="80A48474">
      <w:start w:val="1"/>
      <w:numFmt w:val="bullet"/>
      <w:lvlText w:val=""/>
      <w:lvlJc w:val="left"/>
      <w:pPr>
        <w:ind w:left="6840" w:hanging="360"/>
      </w:pPr>
      <w:rPr>
        <w:rFonts w:ascii="Wingdings" w:hAnsi="Wingdings" w:hint="default"/>
      </w:rPr>
    </w:lvl>
  </w:abstractNum>
  <w:abstractNum w:abstractNumId="72" w15:restartNumberingAfterBreak="0">
    <w:nsid w:val="7E64175E"/>
    <w:multiLevelType w:val="hybridMultilevel"/>
    <w:tmpl w:val="28883A56"/>
    <w:lvl w:ilvl="0" w:tplc="6AF0E800">
      <w:start w:val="1"/>
      <w:numFmt w:val="lowerLetter"/>
      <w:lvlText w:val="(%1)"/>
      <w:lvlJc w:val="left"/>
      <w:pPr>
        <w:ind w:left="1080" w:hanging="360"/>
      </w:pPr>
    </w:lvl>
    <w:lvl w:ilvl="1" w:tplc="F0080652">
      <w:start w:val="1"/>
      <w:numFmt w:val="lowerLetter"/>
      <w:lvlText w:val="%2."/>
      <w:lvlJc w:val="left"/>
      <w:pPr>
        <w:ind w:left="1800" w:hanging="360"/>
      </w:pPr>
    </w:lvl>
    <w:lvl w:ilvl="2" w:tplc="D1821FA0">
      <w:start w:val="1"/>
      <w:numFmt w:val="lowerRoman"/>
      <w:lvlText w:val="%3."/>
      <w:lvlJc w:val="right"/>
      <w:pPr>
        <w:ind w:left="2520" w:hanging="180"/>
      </w:pPr>
    </w:lvl>
    <w:lvl w:ilvl="3" w:tplc="91445B1C">
      <w:start w:val="1"/>
      <w:numFmt w:val="decimal"/>
      <w:lvlText w:val="%4."/>
      <w:lvlJc w:val="left"/>
      <w:pPr>
        <w:ind w:left="3240" w:hanging="360"/>
      </w:pPr>
    </w:lvl>
    <w:lvl w:ilvl="4" w:tplc="9866ED7E">
      <w:start w:val="1"/>
      <w:numFmt w:val="lowerLetter"/>
      <w:lvlText w:val="%5."/>
      <w:lvlJc w:val="left"/>
      <w:pPr>
        <w:ind w:left="3960" w:hanging="360"/>
      </w:pPr>
    </w:lvl>
    <w:lvl w:ilvl="5" w:tplc="BA9A263E">
      <w:start w:val="1"/>
      <w:numFmt w:val="lowerRoman"/>
      <w:lvlText w:val="%6."/>
      <w:lvlJc w:val="right"/>
      <w:pPr>
        <w:ind w:left="4680" w:hanging="180"/>
      </w:pPr>
    </w:lvl>
    <w:lvl w:ilvl="6" w:tplc="87F421F6">
      <w:start w:val="1"/>
      <w:numFmt w:val="decimal"/>
      <w:lvlText w:val="%7."/>
      <w:lvlJc w:val="left"/>
      <w:pPr>
        <w:ind w:left="5400" w:hanging="360"/>
      </w:pPr>
    </w:lvl>
    <w:lvl w:ilvl="7" w:tplc="3CF01392">
      <w:start w:val="1"/>
      <w:numFmt w:val="lowerLetter"/>
      <w:lvlText w:val="%8."/>
      <w:lvlJc w:val="left"/>
      <w:pPr>
        <w:ind w:left="6120" w:hanging="360"/>
      </w:pPr>
    </w:lvl>
    <w:lvl w:ilvl="8" w:tplc="26E69E00">
      <w:start w:val="1"/>
      <w:numFmt w:val="lowerRoman"/>
      <w:lvlText w:val="%9."/>
      <w:lvlJc w:val="right"/>
      <w:pPr>
        <w:ind w:left="6840" w:hanging="180"/>
      </w:pPr>
    </w:lvl>
  </w:abstractNum>
  <w:abstractNum w:abstractNumId="73" w15:restartNumberingAfterBreak="0">
    <w:nsid w:val="7F2E4BE0"/>
    <w:multiLevelType w:val="hybridMultilevel"/>
    <w:tmpl w:val="33FA5D90"/>
    <w:lvl w:ilvl="0" w:tplc="1409000B">
      <w:start w:val="1"/>
      <w:numFmt w:val="bullet"/>
      <w:lvlText w:val=""/>
      <w:lvlJc w:val="left"/>
      <w:pPr>
        <w:ind w:left="774" w:hanging="360"/>
      </w:pPr>
      <w:rPr>
        <w:rFonts w:ascii="Wingdings" w:hAnsi="Wingdings"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num w:numId="1" w16cid:durableId="1668551514">
    <w:abstractNumId w:val="68"/>
  </w:num>
  <w:num w:numId="2" w16cid:durableId="1767573730">
    <w:abstractNumId w:val="52"/>
  </w:num>
  <w:num w:numId="3" w16cid:durableId="1440029031">
    <w:abstractNumId w:val="4"/>
  </w:num>
  <w:num w:numId="4" w16cid:durableId="297104201">
    <w:abstractNumId w:val="56"/>
  </w:num>
  <w:num w:numId="5" w16cid:durableId="1105884375">
    <w:abstractNumId w:val="61"/>
  </w:num>
  <w:num w:numId="6" w16cid:durableId="767041985">
    <w:abstractNumId w:val="42"/>
  </w:num>
  <w:num w:numId="7" w16cid:durableId="717554211">
    <w:abstractNumId w:val="24"/>
  </w:num>
  <w:num w:numId="8" w16cid:durableId="1368144727">
    <w:abstractNumId w:val="40"/>
  </w:num>
  <w:num w:numId="9" w16cid:durableId="1185903904">
    <w:abstractNumId w:val="45"/>
  </w:num>
  <w:num w:numId="10" w16cid:durableId="86468308">
    <w:abstractNumId w:val="55"/>
  </w:num>
  <w:num w:numId="11" w16cid:durableId="626618981">
    <w:abstractNumId w:val="53"/>
  </w:num>
  <w:num w:numId="12" w16cid:durableId="1915043044">
    <w:abstractNumId w:val="3"/>
  </w:num>
  <w:num w:numId="13" w16cid:durableId="792476866">
    <w:abstractNumId w:val="12"/>
  </w:num>
  <w:num w:numId="14" w16cid:durableId="561864973">
    <w:abstractNumId w:val="14"/>
  </w:num>
  <w:num w:numId="15" w16cid:durableId="2100367874">
    <w:abstractNumId w:val="13"/>
  </w:num>
  <w:num w:numId="16" w16cid:durableId="1736200219">
    <w:abstractNumId w:val="66"/>
  </w:num>
  <w:num w:numId="17" w16cid:durableId="1186746705">
    <w:abstractNumId w:val="72"/>
  </w:num>
  <w:num w:numId="18" w16cid:durableId="1753694201">
    <w:abstractNumId w:val="63"/>
  </w:num>
  <w:num w:numId="19" w16cid:durableId="1197699698">
    <w:abstractNumId w:val="11"/>
  </w:num>
  <w:num w:numId="20" w16cid:durableId="181238814">
    <w:abstractNumId w:val="18"/>
  </w:num>
  <w:num w:numId="21" w16cid:durableId="625084720">
    <w:abstractNumId w:val="16"/>
  </w:num>
  <w:num w:numId="22" w16cid:durableId="327101816">
    <w:abstractNumId w:val="19"/>
  </w:num>
  <w:num w:numId="23" w16cid:durableId="777532414">
    <w:abstractNumId w:val="69"/>
  </w:num>
  <w:num w:numId="24" w16cid:durableId="1776560549">
    <w:abstractNumId w:val="67"/>
  </w:num>
  <w:num w:numId="25" w16cid:durableId="1737170388">
    <w:abstractNumId w:val="43"/>
  </w:num>
  <w:num w:numId="26" w16cid:durableId="1397779116">
    <w:abstractNumId w:val="67"/>
  </w:num>
  <w:num w:numId="27" w16cid:durableId="1506171466">
    <w:abstractNumId w:val="37"/>
  </w:num>
  <w:num w:numId="28" w16cid:durableId="119368646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8752221">
    <w:abstractNumId w:val="7"/>
  </w:num>
  <w:num w:numId="30" w16cid:durableId="1407846857">
    <w:abstractNumId w:val="20"/>
  </w:num>
  <w:num w:numId="31" w16cid:durableId="1273437919">
    <w:abstractNumId w:val="1"/>
  </w:num>
  <w:num w:numId="32" w16cid:durableId="2123525122">
    <w:abstractNumId w:val="31"/>
  </w:num>
  <w:num w:numId="33" w16cid:durableId="1530795666">
    <w:abstractNumId w:val="46"/>
  </w:num>
  <w:num w:numId="34" w16cid:durableId="1184635140">
    <w:abstractNumId w:val="8"/>
  </w:num>
  <w:num w:numId="35" w16cid:durableId="166796102">
    <w:abstractNumId w:val="41"/>
  </w:num>
  <w:num w:numId="36" w16cid:durableId="44647156">
    <w:abstractNumId w:val="19"/>
  </w:num>
  <w:num w:numId="37" w16cid:durableId="579412443">
    <w:abstractNumId w:val="73"/>
  </w:num>
  <w:num w:numId="38" w16cid:durableId="1090658826">
    <w:abstractNumId w:val="58"/>
  </w:num>
  <w:num w:numId="39" w16cid:durableId="121119226">
    <w:abstractNumId w:val="33"/>
  </w:num>
  <w:num w:numId="40" w16cid:durableId="12342212">
    <w:abstractNumId w:val="35"/>
  </w:num>
  <w:num w:numId="41" w16cid:durableId="760493056">
    <w:abstractNumId w:val="25"/>
  </w:num>
  <w:num w:numId="42" w16cid:durableId="161397640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54894502">
    <w:abstractNumId w:val="0"/>
    <w:lvlOverride w:ilvl="0">
      <w:startOverride w:val="1"/>
    </w:lvlOverride>
    <w:lvlOverride w:ilvl="1"/>
    <w:lvlOverride w:ilvl="2"/>
    <w:lvlOverride w:ilvl="3"/>
    <w:lvlOverride w:ilvl="4"/>
    <w:lvlOverride w:ilvl="5"/>
    <w:lvlOverride w:ilvl="6"/>
    <w:lvlOverride w:ilvl="7"/>
    <w:lvlOverride w:ilvl="8"/>
  </w:num>
  <w:num w:numId="44" w16cid:durableId="87623907">
    <w:abstractNumId w:val="47"/>
  </w:num>
  <w:num w:numId="45" w16cid:durableId="753478023">
    <w:abstractNumId w:val="32"/>
  </w:num>
  <w:num w:numId="46" w16cid:durableId="82722306">
    <w:abstractNumId w:val="57"/>
  </w:num>
  <w:num w:numId="47" w16cid:durableId="1883250082">
    <w:abstractNumId w:val="15"/>
  </w:num>
  <w:num w:numId="48" w16cid:durableId="591355384">
    <w:abstractNumId w:val="36"/>
  </w:num>
  <w:num w:numId="49" w16cid:durableId="2078429550">
    <w:abstractNumId w:val="2"/>
  </w:num>
  <w:num w:numId="50" w16cid:durableId="1479763526">
    <w:abstractNumId w:val="71"/>
  </w:num>
  <w:num w:numId="51" w16cid:durableId="626593634">
    <w:abstractNumId w:val="50"/>
  </w:num>
  <w:num w:numId="52" w16cid:durableId="1707221515">
    <w:abstractNumId w:val="60"/>
  </w:num>
  <w:num w:numId="53" w16cid:durableId="555510833">
    <w:abstractNumId w:val="23"/>
  </w:num>
  <w:num w:numId="54" w16cid:durableId="1668702502">
    <w:abstractNumId w:val="17"/>
  </w:num>
  <w:num w:numId="55" w16cid:durableId="312833811">
    <w:abstractNumId w:val="44"/>
  </w:num>
  <w:num w:numId="56" w16cid:durableId="349531738">
    <w:abstractNumId w:val="6"/>
  </w:num>
  <w:num w:numId="57" w16cid:durableId="90588840">
    <w:abstractNumId w:val="27"/>
  </w:num>
  <w:num w:numId="58" w16cid:durableId="1510679832">
    <w:abstractNumId w:val="48"/>
  </w:num>
  <w:num w:numId="59" w16cid:durableId="1536113918">
    <w:abstractNumId w:val="39"/>
  </w:num>
  <w:num w:numId="60" w16cid:durableId="889389978">
    <w:abstractNumId w:val="54"/>
  </w:num>
  <w:num w:numId="61" w16cid:durableId="1207595845">
    <w:abstractNumId w:val="26"/>
  </w:num>
  <w:num w:numId="62" w16cid:durableId="2112969694">
    <w:abstractNumId w:val="22"/>
  </w:num>
  <w:num w:numId="63" w16cid:durableId="638532732">
    <w:abstractNumId w:val="21"/>
  </w:num>
  <w:num w:numId="64" w16cid:durableId="439767064">
    <w:abstractNumId w:val="34"/>
  </w:num>
  <w:num w:numId="65" w16cid:durableId="834417727">
    <w:abstractNumId w:val="29"/>
  </w:num>
  <w:num w:numId="66" w16cid:durableId="1502349153">
    <w:abstractNumId w:val="38"/>
  </w:num>
  <w:num w:numId="67" w16cid:durableId="594215752">
    <w:abstractNumId w:val="10"/>
  </w:num>
  <w:num w:numId="68" w16cid:durableId="1061562260">
    <w:abstractNumId w:val="70"/>
  </w:num>
  <w:num w:numId="69" w16cid:durableId="903762970">
    <w:abstractNumId w:val="30"/>
  </w:num>
  <w:num w:numId="70" w16cid:durableId="1618482842">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486702246">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8996296">
    <w:abstractNumId w:val="9"/>
  </w:num>
  <w:num w:numId="73" w16cid:durableId="1582832047">
    <w:abstractNumId w:val="51"/>
  </w:num>
  <w:num w:numId="74" w16cid:durableId="1118839829">
    <w:abstractNumId w:val="67"/>
    <w:lvlOverride w:ilvl="0">
      <w:startOverride w:val="1"/>
    </w:lvlOverride>
  </w:num>
  <w:num w:numId="75" w16cid:durableId="1873181361">
    <w:abstractNumId w:val="28"/>
  </w:num>
  <w:num w:numId="76" w16cid:durableId="1614286797">
    <w:abstractNumId w:val="67"/>
    <w:lvlOverride w:ilvl="0">
      <w:startOverride w:val="1"/>
    </w:lvlOverride>
  </w:num>
  <w:num w:numId="77" w16cid:durableId="1053188645">
    <w:abstractNumId w:val="67"/>
    <w:lvlOverride w:ilvl="0">
      <w:startOverride w:val="1"/>
    </w:lvlOverride>
  </w:num>
  <w:num w:numId="78" w16cid:durableId="1238515317">
    <w:abstractNumId w:val="64"/>
  </w:num>
  <w:num w:numId="79" w16cid:durableId="1430009882">
    <w:abstractNumId w:val="5"/>
  </w:num>
  <w:num w:numId="80" w16cid:durableId="372461035">
    <w:abstractNumId w:val="67"/>
    <w:lvlOverride w:ilvl="0">
      <w:startOverride w:val="1"/>
    </w:lvlOverride>
  </w:num>
  <w:num w:numId="81" w16cid:durableId="540242933">
    <w:abstractNumId w:val="67"/>
    <w:lvlOverride w:ilvl="0">
      <w:startOverride w:val="1"/>
    </w:lvlOverride>
  </w:num>
  <w:num w:numId="82" w16cid:durableId="560213521">
    <w:abstractNumId w:val="59"/>
  </w:num>
  <w:num w:numId="83" w16cid:durableId="868681863">
    <w:abstractNumId w:val="67"/>
    <w:lvlOverride w:ilvl="0">
      <w:startOverride w:val="1"/>
    </w:lvlOverride>
  </w:num>
  <w:num w:numId="84" w16cid:durableId="1146628476">
    <w:abstractNumId w:val="67"/>
    <w:lvlOverride w:ilvl="0">
      <w:startOverride w:val="1"/>
    </w:lvlOverride>
  </w:num>
  <w:num w:numId="85" w16cid:durableId="1891727968">
    <w:abstractNumId w:val="67"/>
    <w:lvlOverride w:ilvl="0">
      <w:startOverride w:val="1"/>
    </w:lvlOverride>
  </w:num>
  <w:num w:numId="86" w16cid:durableId="443958969">
    <w:abstractNumId w:val="49"/>
  </w:num>
  <w:num w:numId="87" w16cid:durableId="1063138559">
    <w:abstractNumId w:val="65"/>
  </w:num>
  <w:num w:numId="88" w16cid:durableId="1990483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20660361">
    <w:abstractNumId w:val="67"/>
    <w:lvlOverride w:ilvl="0">
      <w:startOverride w:val="1"/>
    </w:lvlOverride>
  </w:num>
  <w:num w:numId="90" w16cid:durableId="1741823837">
    <w:abstractNumId w:val="67"/>
    <w:lvlOverride w:ilvl="0">
      <w:startOverride w:val="1"/>
    </w:lvlOverride>
  </w:num>
  <w:num w:numId="91" w16cid:durableId="2072851744">
    <w:abstractNumId w:val="67"/>
    <w:lvlOverride w:ilvl="0">
      <w:startOverride w:val="1"/>
    </w:lvlOverride>
  </w:num>
  <w:num w:numId="92" w16cid:durableId="13313834">
    <w:abstractNumId w:val="67"/>
    <w:lvlOverride w:ilvl="0">
      <w:startOverride w:val="1"/>
    </w:lvlOverride>
  </w:num>
  <w:num w:numId="93" w16cid:durableId="524904963">
    <w:abstractNumId w:val="67"/>
    <w:lvlOverride w:ilvl="0">
      <w:startOverride w:val="1"/>
    </w:lvlOverride>
  </w:num>
  <w:num w:numId="94" w16cid:durableId="1430273991">
    <w:abstractNumId w:val="67"/>
    <w:lvlOverride w:ilvl="0">
      <w:startOverride w:val="1"/>
    </w:lvlOverride>
  </w:num>
  <w:num w:numId="95" w16cid:durableId="1809013185">
    <w:abstractNumId w:val="67"/>
    <w:lvlOverride w:ilvl="0">
      <w:startOverride w:val="1"/>
    </w:lvlOverride>
  </w:num>
  <w:num w:numId="96" w16cid:durableId="505097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0610059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664624974">
    <w:abstractNumId w:val="67"/>
    <w:lvlOverride w:ilvl="0">
      <w:startOverride w:val="1"/>
    </w:lvlOverride>
  </w:num>
  <w:num w:numId="99" w16cid:durableId="1616249712">
    <w:abstractNumId w:val="62"/>
  </w:num>
  <w:num w:numId="100" w16cid:durableId="118233810">
    <w:abstractNumId w:val="67"/>
  </w:num>
  <w:num w:numId="101" w16cid:durableId="2087024259">
    <w:abstractNumId w:val="67"/>
  </w:num>
  <w:num w:numId="102" w16cid:durableId="386760613">
    <w:abstractNumId w:val="67"/>
  </w:num>
  <w:num w:numId="103" w16cid:durableId="1475104677">
    <w:abstractNumId w:val="67"/>
  </w:num>
  <w:num w:numId="104" w16cid:durableId="641545223">
    <w:abstractNumId w:val="67"/>
  </w:num>
  <w:num w:numId="105" w16cid:durableId="695959408">
    <w:abstractNumId w:val="67"/>
  </w:num>
  <w:num w:numId="106" w16cid:durableId="2037853288">
    <w:abstractNumId w:val="67"/>
  </w:num>
  <w:num w:numId="107" w16cid:durableId="676688042">
    <w:abstractNumId w:val="67"/>
  </w:num>
  <w:num w:numId="108" w16cid:durableId="1834560504">
    <w:abstractNumId w:val="67"/>
  </w:num>
  <w:num w:numId="109" w16cid:durableId="534461158">
    <w:abstractNumId w:val="67"/>
  </w:num>
  <w:num w:numId="110" w16cid:durableId="342436667">
    <w:abstractNumId w:val="67"/>
  </w:num>
  <w:num w:numId="111" w16cid:durableId="1739090989">
    <w:abstractNumId w:val="67"/>
  </w:num>
  <w:num w:numId="112" w16cid:durableId="2050451212">
    <w:abstractNumId w:val="67"/>
    <w:lvlOverride w:ilvl="0">
      <w:startOverride w:val="1"/>
    </w:lvlOverride>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9A51CFAE-26FD-4533-9617-B62ABDE1BA1F}"/>
    <w:docVar w:name="dgnword-eventsink" w:val="1352341749552"/>
  </w:docVars>
  <w:rsids>
    <w:rsidRoot w:val="00A31364"/>
    <w:rsid w:val="0000003D"/>
    <w:rsid w:val="00000092"/>
    <w:rsid w:val="00000241"/>
    <w:rsid w:val="000002AB"/>
    <w:rsid w:val="00000413"/>
    <w:rsid w:val="000005DE"/>
    <w:rsid w:val="00000697"/>
    <w:rsid w:val="00000719"/>
    <w:rsid w:val="000007DC"/>
    <w:rsid w:val="0000085E"/>
    <w:rsid w:val="000008BF"/>
    <w:rsid w:val="000008E4"/>
    <w:rsid w:val="00000A45"/>
    <w:rsid w:val="00000A90"/>
    <w:rsid w:val="00000AB0"/>
    <w:rsid w:val="00000B0D"/>
    <w:rsid w:val="00000B41"/>
    <w:rsid w:val="00000BFA"/>
    <w:rsid w:val="00000C55"/>
    <w:rsid w:val="00000D33"/>
    <w:rsid w:val="00000DB4"/>
    <w:rsid w:val="00000E9E"/>
    <w:rsid w:val="00000EF5"/>
    <w:rsid w:val="00000F2F"/>
    <w:rsid w:val="00001183"/>
    <w:rsid w:val="000011A3"/>
    <w:rsid w:val="0000127C"/>
    <w:rsid w:val="00001350"/>
    <w:rsid w:val="000013E1"/>
    <w:rsid w:val="000013EE"/>
    <w:rsid w:val="00001448"/>
    <w:rsid w:val="00001792"/>
    <w:rsid w:val="0000190B"/>
    <w:rsid w:val="00001926"/>
    <w:rsid w:val="000019E8"/>
    <w:rsid w:val="00001A6E"/>
    <w:rsid w:val="00001B3D"/>
    <w:rsid w:val="00001B7D"/>
    <w:rsid w:val="00001BC0"/>
    <w:rsid w:val="00001BCB"/>
    <w:rsid w:val="00001D83"/>
    <w:rsid w:val="00001E35"/>
    <w:rsid w:val="00001F30"/>
    <w:rsid w:val="00001F6B"/>
    <w:rsid w:val="00002074"/>
    <w:rsid w:val="0000224B"/>
    <w:rsid w:val="000023CD"/>
    <w:rsid w:val="000024CF"/>
    <w:rsid w:val="00002627"/>
    <w:rsid w:val="00002681"/>
    <w:rsid w:val="000026FB"/>
    <w:rsid w:val="00002752"/>
    <w:rsid w:val="00002771"/>
    <w:rsid w:val="000027CD"/>
    <w:rsid w:val="00002B19"/>
    <w:rsid w:val="00002B4B"/>
    <w:rsid w:val="00002B9A"/>
    <w:rsid w:val="00002C45"/>
    <w:rsid w:val="00002CD0"/>
    <w:rsid w:val="00002D93"/>
    <w:rsid w:val="00002DF5"/>
    <w:rsid w:val="00002E83"/>
    <w:rsid w:val="00002FA3"/>
    <w:rsid w:val="00003006"/>
    <w:rsid w:val="00003036"/>
    <w:rsid w:val="000031FD"/>
    <w:rsid w:val="000034D8"/>
    <w:rsid w:val="0000359F"/>
    <w:rsid w:val="000036FB"/>
    <w:rsid w:val="00003836"/>
    <w:rsid w:val="00003B71"/>
    <w:rsid w:val="00003B8F"/>
    <w:rsid w:val="00003BD0"/>
    <w:rsid w:val="00003CC2"/>
    <w:rsid w:val="00003D34"/>
    <w:rsid w:val="00003DAE"/>
    <w:rsid w:val="00003F24"/>
    <w:rsid w:val="0000403E"/>
    <w:rsid w:val="0000415A"/>
    <w:rsid w:val="0000419D"/>
    <w:rsid w:val="000041F9"/>
    <w:rsid w:val="00004267"/>
    <w:rsid w:val="000042BA"/>
    <w:rsid w:val="000043D1"/>
    <w:rsid w:val="0000444D"/>
    <w:rsid w:val="00004539"/>
    <w:rsid w:val="000045A6"/>
    <w:rsid w:val="000045D0"/>
    <w:rsid w:val="00004623"/>
    <w:rsid w:val="000047CA"/>
    <w:rsid w:val="00004829"/>
    <w:rsid w:val="00004918"/>
    <w:rsid w:val="0000496A"/>
    <w:rsid w:val="000049FC"/>
    <w:rsid w:val="00004A04"/>
    <w:rsid w:val="00004A68"/>
    <w:rsid w:val="00004BCF"/>
    <w:rsid w:val="00004CAE"/>
    <w:rsid w:val="00004ECB"/>
    <w:rsid w:val="00004EF0"/>
    <w:rsid w:val="0000502E"/>
    <w:rsid w:val="000050D8"/>
    <w:rsid w:val="00005120"/>
    <w:rsid w:val="0000519C"/>
    <w:rsid w:val="000051FF"/>
    <w:rsid w:val="0000520D"/>
    <w:rsid w:val="00005276"/>
    <w:rsid w:val="00005282"/>
    <w:rsid w:val="0000534A"/>
    <w:rsid w:val="00005370"/>
    <w:rsid w:val="000053E8"/>
    <w:rsid w:val="0000542D"/>
    <w:rsid w:val="000054DF"/>
    <w:rsid w:val="00005516"/>
    <w:rsid w:val="000055CD"/>
    <w:rsid w:val="00005606"/>
    <w:rsid w:val="000056E0"/>
    <w:rsid w:val="00005A38"/>
    <w:rsid w:val="00005BEF"/>
    <w:rsid w:val="00005D88"/>
    <w:rsid w:val="00005D9F"/>
    <w:rsid w:val="00005DB9"/>
    <w:rsid w:val="00005E61"/>
    <w:rsid w:val="00005F2B"/>
    <w:rsid w:val="00005F72"/>
    <w:rsid w:val="0000611C"/>
    <w:rsid w:val="00006145"/>
    <w:rsid w:val="00006212"/>
    <w:rsid w:val="0000621D"/>
    <w:rsid w:val="00006262"/>
    <w:rsid w:val="000063A1"/>
    <w:rsid w:val="000063A4"/>
    <w:rsid w:val="000063B4"/>
    <w:rsid w:val="0000649B"/>
    <w:rsid w:val="00006529"/>
    <w:rsid w:val="000065A3"/>
    <w:rsid w:val="000067C5"/>
    <w:rsid w:val="00006B3D"/>
    <w:rsid w:val="00006BF0"/>
    <w:rsid w:val="00006CA2"/>
    <w:rsid w:val="00006D8A"/>
    <w:rsid w:val="00006E9E"/>
    <w:rsid w:val="00006F30"/>
    <w:rsid w:val="00006FF6"/>
    <w:rsid w:val="00007161"/>
    <w:rsid w:val="000071F6"/>
    <w:rsid w:val="00007223"/>
    <w:rsid w:val="0000723A"/>
    <w:rsid w:val="0000728E"/>
    <w:rsid w:val="0000731A"/>
    <w:rsid w:val="00007330"/>
    <w:rsid w:val="0000733B"/>
    <w:rsid w:val="00007408"/>
    <w:rsid w:val="00007414"/>
    <w:rsid w:val="00007425"/>
    <w:rsid w:val="0000748D"/>
    <w:rsid w:val="000074EB"/>
    <w:rsid w:val="00007593"/>
    <w:rsid w:val="00007628"/>
    <w:rsid w:val="00007636"/>
    <w:rsid w:val="0000764A"/>
    <w:rsid w:val="0000766D"/>
    <w:rsid w:val="000078A8"/>
    <w:rsid w:val="00007940"/>
    <w:rsid w:val="00007AFA"/>
    <w:rsid w:val="00007C0A"/>
    <w:rsid w:val="00007CD6"/>
    <w:rsid w:val="00007D02"/>
    <w:rsid w:val="00007D58"/>
    <w:rsid w:val="00007D94"/>
    <w:rsid w:val="00007E0A"/>
    <w:rsid w:val="00007E47"/>
    <w:rsid w:val="000100A5"/>
    <w:rsid w:val="00010116"/>
    <w:rsid w:val="000103C2"/>
    <w:rsid w:val="000103D5"/>
    <w:rsid w:val="000103E6"/>
    <w:rsid w:val="00010473"/>
    <w:rsid w:val="00010579"/>
    <w:rsid w:val="000106C3"/>
    <w:rsid w:val="0001076E"/>
    <w:rsid w:val="0001076F"/>
    <w:rsid w:val="00010AAA"/>
    <w:rsid w:val="00010CEE"/>
    <w:rsid w:val="00010F04"/>
    <w:rsid w:val="00010F69"/>
    <w:rsid w:val="00010F89"/>
    <w:rsid w:val="00011138"/>
    <w:rsid w:val="00011186"/>
    <w:rsid w:val="000111C9"/>
    <w:rsid w:val="0001123F"/>
    <w:rsid w:val="00011247"/>
    <w:rsid w:val="0001134C"/>
    <w:rsid w:val="000113DD"/>
    <w:rsid w:val="00011526"/>
    <w:rsid w:val="000115BF"/>
    <w:rsid w:val="000116B5"/>
    <w:rsid w:val="000117E4"/>
    <w:rsid w:val="00011858"/>
    <w:rsid w:val="000118BF"/>
    <w:rsid w:val="000118EE"/>
    <w:rsid w:val="00011943"/>
    <w:rsid w:val="00011B6A"/>
    <w:rsid w:val="00011B84"/>
    <w:rsid w:val="00011D76"/>
    <w:rsid w:val="00011E15"/>
    <w:rsid w:val="00011E4F"/>
    <w:rsid w:val="00011F1D"/>
    <w:rsid w:val="00011FA9"/>
    <w:rsid w:val="00012030"/>
    <w:rsid w:val="0001218B"/>
    <w:rsid w:val="00012245"/>
    <w:rsid w:val="00012345"/>
    <w:rsid w:val="000123BD"/>
    <w:rsid w:val="00012540"/>
    <w:rsid w:val="0001262E"/>
    <w:rsid w:val="000126C5"/>
    <w:rsid w:val="00012703"/>
    <w:rsid w:val="000127CB"/>
    <w:rsid w:val="00012880"/>
    <w:rsid w:val="0001296B"/>
    <w:rsid w:val="00012C02"/>
    <w:rsid w:val="00012C9F"/>
    <w:rsid w:val="00012E11"/>
    <w:rsid w:val="00012F5A"/>
    <w:rsid w:val="00012FAB"/>
    <w:rsid w:val="0001302F"/>
    <w:rsid w:val="000130C8"/>
    <w:rsid w:val="00013227"/>
    <w:rsid w:val="00013290"/>
    <w:rsid w:val="0001329D"/>
    <w:rsid w:val="000132C3"/>
    <w:rsid w:val="000132C9"/>
    <w:rsid w:val="0001330F"/>
    <w:rsid w:val="0001342E"/>
    <w:rsid w:val="000135BB"/>
    <w:rsid w:val="0001366B"/>
    <w:rsid w:val="000136C1"/>
    <w:rsid w:val="00013789"/>
    <w:rsid w:val="000137BD"/>
    <w:rsid w:val="000137E5"/>
    <w:rsid w:val="00013934"/>
    <w:rsid w:val="000139B7"/>
    <w:rsid w:val="00013B65"/>
    <w:rsid w:val="00013D01"/>
    <w:rsid w:val="00013D2C"/>
    <w:rsid w:val="00013D3D"/>
    <w:rsid w:val="00013D61"/>
    <w:rsid w:val="00013DAA"/>
    <w:rsid w:val="00013E2C"/>
    <w:rsid w:val="00013EB7"/>
    <w:rsid w:val="00013F58"/>
    <w:rsid w:val="00013F8D"/>
    <w:rsid w:val="00013FBB"/>
    <w:rsid w:val="00013FEC"/>
    <w:rsid w:val="000140B2"/>
    <w:rsid w:val="000140B5"/>
    <w:rsid w:val="000141A8"/>
    <w:rsid w:val="0001424C"/>
    <w:rsid w:val="0001432D"/>
    <w:rsid w:val="00014333"/>
    <w:rsid w:val="00014377"/>
    <w:rsid w:val="000144E4"/>
    <w:rsid w:val="000145F2"/>
    <w:rsid w:val="00014794"/>
    <w:rsid w:val="00014861"/>
    <w:rsid w:val="00014ADA"/>
    <w:rsid w:val="00014DB0"/>
    <w:rsid w:val="00014DDE"/>
    <w:rsid w:val="00014F6B"/>
    <w:rsid w:val="00014FCD"/>
    <w:rsid w:val="00015080"/>
    <w:rsid w:val="0001519E"/>
    <w:rsid w:val="000151A8"/>
    <w:rsid w:val="00015230"/>
    <w:rsid w:val="00015231"/>
    <w:rsid w:val="0001533F"/>
    <w:rsid w:val="0001536C"/>
    <w:rsid w:val="0001538C"/>
    <w:rsid w:val="000153EB"/>
    <w:rsid w:val="00015546"/>
    <w:rsid w:val="00015606"/>
    <w:rsid w:val="000156C7"/>
    <w:rsid w:val="00015789"/>
    <w:rsid w:val="00015837"/>
    <w:rsid w:val="000158D4"/>
    <w:rsid w:val="000159A3"/>
    <w:rsid w:val="00015A00"/>
    <w:rsid w:val="00015A71"/>
    <w:rsid w:val="00015B7D"/>
    <w:rsid w:val="00015D27"/>
    <w:rsid w:val="00015E93"/>
    <w:rsid w:val="00015FAF"/>
    <w:rsid w:val="00015FE1"/>
    <w:rsid w:val="00016051"/>
    <w:rsid w:val="000160A3"/>
    <w:rsid w:val="00016134"/>
    <w:rsid w:val="00016186"/>
    <w:rsid w:val="000161F6"/>
    <w:rsid w:val="000162AF"/>
    <w:rsid w:val="000162BB"/>
    <w:rsid w:val="00016310"/>
    <w:rsid w:val="0001639D"/>
    <w:rsid w:val="000164A3"/>
    <w:rsid w:val="0001656E"/>
    <w:rsid w:val="0001667A"/>
    <w:rsid w:val="000167B8"/>
    <w:rsid w:val="000167CD"/>
    <w:rsid w:val="00016A18"/>
    <w:rsid w:val="00016A5D"/>
    <w:rsid w:val="00016A62"/>
    <w:rsid w:val="00016B4E"/>
    <w:rsid w:val="00016BB2"/>
    <w:rsid w:val="00016C10"/>
    <w:rsid w:val="00016CB7"/>
    <w:rsid w:val="00016D11"/>
    <w:rsid w:val="00016D2F"/>
    <w:rsid w:val="00016DB2"/>
    <w:rsid w:val="00016DBF"/>
    <w:rsid w:val="00016E30"/>
    <w:rsid w:val="00016E3B"/>
    <w:rsid w:val="00016F2C"/>
    <w:rsid w:val="00017161"/>
    <w:rsid w:val="00017162"/>
    <w:rsid w:val="0001724E"/>
    <w:rsid w:val="00017268"/>
    <w:rsid w:val="000172D8"/>
    <w:rsid w:val="000172D9"/>
    <w:rsid w:val="0001731A"/>
    <w:rsid w:val="00017585"/>
    <w:rsid w:val="0001778D"/>
    <w:rsid w:val="000177DF"/>
    <w:rsid w:val="0001784B"/>
    <w:rsid w:val="0001787C"/>
    <w:rsid w:val="00017998"/>
    <w:rsid w:val="000179C5"/>
    <w:rsid w:val="00017ACA"/>
    <w:rsid w:val="00017B08"/>
    <w:rsid w:val="00017E30"/>
    <w:rsid w:val="00017E4C"/>
    <w:rsid w:val="00017EF5"/>
    <w:rsid w:val="00017F05"/>
    <w:rsid w:val="00017F60"/>
    <w:rsid w:val="0001AEF5"/>
    <w:rsid w:val="00020018"/>
    <w:rsid w:val="0002020D"/>
    <w:rsid w:val="000202F4"/>
    <w:rsid w:val="000203FC"/>
    <w:rsid w:val="0002043C"/>
    <w:rsid w:val="0002049A"/>
    <w:rsid w:val="000204DF"/>
    <w:rsid w:val="00020734"/>
    <w:rsid w:val="000208B1"/>
    <w:rsid w:val="00020918"/>
    <w:rsid w:val="00020C4E"/>
    <w:rsid w:val="00020CF9"/>
    <w:rsid w:val="00020EC9"/>
    <w:rsid w:val="00020EEE"/>
    <w:rsid w:val="00021184"/>
    <w:rsid w:val="000211D0"/>
    <w:rsid w:val="0002124F"/>
    <w:rsid w:val="0002127E"/>
    <w:rsid w:val="0002142E"/>
    <w:rsid w:val="0002151D"/>
    <w:rsid w:val="00021632"/>
    <w:rsid w:val="000217F3"/>
    <w:rsid w:val="0002192C"/>
    <w:rsid w:val="000219DF"/>
    <w:rsid w:val="00021A32"/>
    <w:rsid w:val="00021B0F"/>
    <w:rsid w:val="00021BBD"/>
    <w:rsid w:val="00021C3C"/>
    <w:rsid w:val="00021F93"/>
    <w:rsid w:val="000220DC"/>
    <w:rsid w:val="000220E2"/>
    <w:rsid w:val="00022193"/>
    <w:rsid w:val="000221A9"/>
    <w:rsid w:val="0002222E"/>
    <w:rsid w:val="00022231"/>
    <w:rsid w:val="00022393"/>
    <w:rsid w:val="000223E1"/>
    <w:rsid w:val="0002240D"/>
    <w:rsid w:val="000224A0"/>
    <w:rsid w:val="000224E1"/>
    <w:rsid w:val="0002252C"/>
    <w:rsid w:val="0002256A"/>
    <w:rsid w:val="0002262E"/>
    <w:rsid w:val="00022661"/>
    <w:rsid w:val="0002273E"/>
    <w:rsid w:val="000227B6"/>
    <w:rsid w:val="000227EF"/>
    <w:rsid w:val="000228AE"/>
    <w:rsid w:val="000228C5"/>
    <w:rsid w:val="00022A70"/>
    <w:rsid w:val="00022ACD"/>
    <w:rsid w:val="00022AE7"/>
    <w:rsid w:val="00022B3E"/>
    <w:rsid w:val="00022B5B"/>
    <w:rsid w:val="00022CCC"/>
    <w:rsid w:val="00022D69"/>
    <w:rsid w:val="0002301D"/>
    <w:rsid w:val="0002305B"/>
    <w:rsid w:val="000230C3"/>
    <w:rsid w:val="0002318B"/>
    <w:rsid w:val="000231F0"/>
    <w:rsid w:val="00023211"/>
    <w:rsid w:val="0002326E"/>
    <w:rsid w:val="000233B8"/>
    <w:rsid w:val="000235BA"/>
    <w:rsid w:val="000238A1"/>
    <w:rsid w:val="00023904"/>
    <w:rsid w:val="00023B85"/>
    <w:rsid w:val="00023C32"/>
    <w:rsid w:val="00023CFC"/>
    <w:rsid w:val="00023DE3"/>
    <w:rsid w:val="00023E78"/>
    <w:rsid w:val="00023EF9"/>
    <w:rsid w:val="00023F15"/>
    <w:rsid w:val="0002405B"/>
    <w:rsid w:val="00024072"/>
    <w:rsid w:val="000241E4"/>
    <w:rsid w:val="00024461"/>
    <w:rsid w:val="00024552"/>
    <w:rsid w:val="000245DC"/>
    <w:rsid w:val="0002461D"/>
    <w:rsid w:val="000247A9"/>
    <w:rsid w:val="000247D4"/>
    <w:rsid w:val="000247DA"/>
    <w:rsid w:val="00024885"/>
    <w:rsid w:val="000248DD"/>
    <w:rsid w:val="00024907"/>
    <w:rsid w:val="00024A5F"/>
    <w:rsid w:val="00024B60"/>
    <w:rsid w:val="00024C8C"/>
    <w:rsid w:val="00024C90"/>
    <w:rsid w:val="00024CB1"/>
    <w:rsid w:val="00024D89"/>
    <w:rsid w:val="00024ED5"/>
    <w:rsid w:val="00024F3E"/>
    <w:rsid w:val="000250B0"/>
    <w:rsid w:val="00025137"/>
    <w:rsid w:val="00025267"/>
    <w:rsid w:val="0002532C"/>
    <w:rsid w:val="0002540E"/>
    <w:rsid w:val="00025590"/>
    <w:rsid w:val="00025806"/>
    <w:rsid w:val="000258CD"/>
    <w:rsid w:val="000258D8"/>
    <w:rsid w:val="00025984"/>
    <w:rsid w:val="00025B59"/>
    <w:rsid w:val="00025B83"/>
    <w:rsid w:val="00025CBA"/>
    <w:rsid w:val="00025DB2"/>
    <w:rsid w:val="00025E39"/>
    <w:rsid w:val="00025F6A"/>
    <w:rsid w:val="00026035"/>
    <w:rsid w:val="00026135"/>
    <w:rsid w:val="0002615A"/>
    <w:rsid w:val="000261D3"/>
    <w:rsid w:val="00026204"/>
    <w:rsid w:val="0002647F"/>
    <w:rsid w:val="00026559"/>
    <w:rsid w:val="000267D5"/>
    <w:rsid w:val="00026848"/>
    <w:rsid w:val="0002684F"/>
    <w:rsid w:val="000268A5"/>
    <w:rsid w:val="00026984"/>
    <w:rsid w:val="0002698D"/>
    <w:rsid w:val="000269F3"/>
    <w:rsid w:val="00026A13"/>
    <w:rsid w:val="00026A70"/>
    <w:rsid w:val="00026B0D"/>
    <w:rsid w:val="00026B1E"/>
    <w:rsid w:val="00026B58"/>
    <w:rsid w:val="00026BB7"/>
    <w:rsid w:val="00026D0B"/>
    <w:rsid w:val="00026D30"/>
    <w:rsid w:val="00026EA3"/>
    <w:rsid w:val="00026F83"/>
    <w:rsid w:val="00027012"/>
    <w:rsid w:val="000271EC"/>
    <w:rsid w:val="0002730C"/>
    <w:rsid w:val="0002779E"/>
    <w:rsid w:val="000277E7"/>
    <w:rsid w:val="00027960"/>
    <w:rsid w:val="00027A09"/>
    <w:rsid w:val="00027AC9"/>
    <w:rsid w:val="00027C16"/>
    <w:rsid w:val="00027C22"/>
    <w:rsid w:val="00027D04"/>
    <w:rsid w:val="00027D7F"/>
    <w:rsid w:val="00027E14"/>
    <w:rsid w:val="00030136"/>
    <w:rsid w:val="00030173"/>
    <w:rsid w:val="00030266"/>
    <w:rsid w:val="0003028C"/>
    <w:rsid w:val="0003028F"/>
    <w:rsid w:val="000302BC"/>
    <w:rsid w:val="0003034A"/>
    <w:rsid w:val="00030399"/>
    <w:rsid w:val="0003058A"/>
    <w:rsid w:val="00030597"/>
    <w:rsid w:val="0003068D"/>
    <w:rsid w:val="00030696"/>
    <w:rsid w:val="000306BF"/>
    <w:rsid w:val="000308BC"/>
    <w:rsid w:val="000308E9"/>
    <w:rsid w:val="00030AF9"/>
    <w:rsid w:val="00030B35"/>
    <w:rsid w:val="00030B5E"/>
    <w:rsid w:val="00030B8E"/>
    <w:rsid w:val="00030C5E"/>
    <w:rsid w:val="00030D0F"/>
    <w:rsid w:val="00030D17"/>
    <w:rsid w:val="00030E05"/>
    <w:rsid w:val="00030FD5"/>
    <w:rsid w:val="00030FF6"/>
    <w:rsid w:val="000310D0"/>
    <w:rsid w:val="0003114B"/>
    <w:rsid w:val="00031297"/>
    <w:rsid w:val="00031335"/>
    <w:rsid w:val="00031399"/>
    <w:rsid w:val="000313DB"/>
    <w:rsid w:val="00031719"/>
    <w:rsid w:val="000317E6"/>
    <w:rsid w:val="00031861"/>
    <w:rsid w:val="00031891"/>
    <w:rsid w:val="00031925"/>
    <w:rsid w:val="000319EC"/>
    <w:rsid w:val="00031B86"/>
    <w:rsid w:val="00031D82"/>
    <w:rsid w:val="00031DA6"/>
    <w:rsid w:val="00031E49"/>
    <w:rsid w:val="00031EBB"/>
    <w:rsid w:val="00031FC0"/>
    <w:rsid w:val="00032035"/>
    <w:rsid w:val="000321F7"/>
    <w:rsid w:val="00032294"/>
    <w:rsid w:val="00032295"/>
    <w:rsid w:val="00032391"/>
    <w:rsid w:val="00032398"/>
    <w:rsid w:val="000323F2"/>
    <w:rsid w:val="000326E4"/>
    <w:rsid w:val="00032824"/>
    <w:rsid w:val="00032843"/>
    <w:rsid w:val="00032879"/>
    <w:rsid w:val="000328FF"/>
    <w:rsid w:val="0003295E"/>
    <w:rsid w:val="00032AF4"/>
    <w:rsid w:val="00032B32"/>
    <w:rsid w:val="00032B90"/>
    <w:rsid w:val="00032CD9"/>
    <w:rsid w:val="00032D6B"/>
    <w:rsid w:val="00032F62"/>
    <w:rsid w:val="00032FC5"/>
    <w:rsid w:val="0003301F"/>
    <w:rsid w:val="00033052"/>
    <w:rsid w:val="00033081"/>
    <w:rsid w:val="00033095"/>
    <w:rsid w:val="0003309E"/>
    <w:rsid w:val="00033113"/>
    <w:rsid w:val="000331D3"/>
    <w:rsid w:val="000331D4"/>
    <w:rsid w:val="000331FF"/>
    <w:rsid w:val="0003330B"/>
    <w:rsid w:val="00033510"/>
    <w:rsid w:val="000335B8"/>
    <w:rsid w:val="0003362E"/>
    <w:rsid w:val="00033687"/>
    <w:rsid w:val="00033782"/>
    <w:rsid w:val="000337D5"/>
    <w:rsid w:val="0003394F"/>
    <w:rsid w:val="000339A7"/>
    <w:rsid w:val="00033A6C"/>
    <w:rsid w:val="00033BEA"/>
    <w:rsid w:val="00033DB0"/>
    <w:rsid w:val="00033EB1"/>
    <w:rsid w:val="00033F11"/>
    <w:rsid w:val="00034117"/>
    <w:rsid w:val="00034246"/>
    <w:rsid w:val="0003424F"/>
    <w:rsid w:val="00034358"/>
    <w:rsid w:val="00034486"/>
    <w:rsid w:val="0003451A"/>
    <w:rsid w:val="00034644"/>
    <w:rsid w:val="0003466B"/>
    <w:rsid w:val="000346FA"/>
    <w:rsid w:val="00034732"/>
    <w:rsid w:val="00034771"/>
    <w:rsid w:val="00034837"/>
    <w:rsid w:val="00034869"/>
    <w:rsid w:val="000349D7"/>
    <w:rsid w:val="00034A02"/>
    <w:rsid w:val="00034CF1"/>
    <w:rsid w:val="00034F4F"/>
    <w:rsid w:val="000350A9"/>
    <w:rsid w:val="00035428"/>
    <w:rsid w:val="000354D0"/>
    <w:rsid w:val="000354F1"/>
    <w:rsid w:val="0003554F"/>
    <w:rsid w:val="00035559"/>
    <w:rsid w:val="000355A7"/>
    <w:rsid w:val="000356E1"/>
    <w:rsid w:val="000356FB"/>
    <w:rsid w:val="0003573A"/>
    <w:rsid w:val="00035779"/>
    <w:rsid w:val="00035824"/>
    <w:rsid w:val="0003594E"/>
    <w:rsid w:val="00035A1E"/>
    <w:rsid w:val="00035A26"/>
    <w:rsid w:val="00035BEF"/>
    <w:rsid w:val="00035C56"/>
    <w:rsid w:val="00035D4E"/>
    <w:rsid w:val="00035D85"/>
    <w:rsid w:val="00035E70"/>
    <w:rsid w:val="00035EA4"/>
    <w:rsid w:val="00036163"/>
    <w:rsid w:val="000361F5"/>
    <w:rsid w:val="000363B8"/>
    <w:rsid w:val="00036655"/>
    <w:rsid w:val="0003665C"/>
    <w:rsid w:val="000367EB"/>
    <w:rsid w:val="000368B6"/>
    <w:rsid w:val="00036AA9"/>
    <w:rsid w:val="00036B90"/>
    <w:rsid w:val="00036BB7"/>
    <w:rsid w:val="00036E20"/>
    <w:rsid w:val="00036E34"/>
    <w:rsid w:val="00036F8D"/>
    <w:rsid w:val="0003707E"/>
    <w:rsid w:val="0003711E"/>
    <w:rsid w:val="00037219"/>
    <w:rsid w:val="0003724F"/>
    <w:rsid w:val="00037416"/>
    <w:rsid w:val="000374B4"/>
    <w:rsid w:val="000374BE"/>
    <w:rsid w:val="000375D9"/>
    <w:rsid w:val="00037654"/>
    <w:rsid w:val="000378A0"/>
    <w:rsid w:val="000378A7"/>
    <w:rsid w:val="00037A26"/>
    <w:rsid w:val="00037A82"/>
    <w:rsid w:val="00037AFE"/>
    <w:rsid w:val="00037C13"/>
    <w:rsid w:val="00037C71"/>
    <w:rsid w:val="00037C90"/>
    <w:rsid w:val="00037D5F"/>
    <w:rsid w:val="00037E16"/>
    <w:rsid w:val="00037E3E"/>
    <w:rsid w:val="00037F18"/>
    <w:rsid w:val="00037F38"/>
    <w:rsid w:val="000400D3"/>
    <w:rsid w:val="000401A7"/>
    <w:rsid w:val="000401AF"/>
    <w:rsid w:val="0004023D"/>
    <w:rsid w:val="0004029E"/>
    <w:rsid w:val="000403D4"/>
    <w:rsid w:val="000403FC"/>
    <w:rsid w:val="0004042B"/>
    <w:rsid w:val="00040483"/>
    <w:rsid w:val="000404C4"/>
    <w:rsid w:val="000405B5"/>
    <w:rsid w:val="000406AA"/>
    <w:rsid w:val="0004088E"/>
    <w:rsid w:val="00040894"/>
    <w:rsid w:val="000408BF"/>
    <w:rsid w:val="0004091F"/>
    <w:rsid w:val="00040ACB"/>
    <w:rsid w:val="00040B02"/>
    <w:rsid w:val="00040BB3"/>
    <w:rsid w:val="00040CE7"/>
    <w:rsid w:val="00040DF9"/>
    <w:rsid w:val="00040E80"/>
    <w:rsid w:val="000410A6"/>
    <w:rsid w:val="000411CB"/>
    <w:rsid w:val="00041223"/>
    <w:rsid w:val="00041246"/>
    <w:rsid w:val="000412FF"/>
    <w:rsid w:val="00041347"/>
    <w:rsid w:val="00041430"/>
    <w:rsid w:val="0004154C"/>
    <w:rsid w:val="00041573"/>
    <w:rsid w:val="0004167D"/>
    <w:rsid w:val="000416E6"/>
    <w:rsid w:val="000417ED"/>
    <w:rsid w:val="00041A92"/>
    <w:rsid w:val="00041B0F"/>
    <w:rsid w:val="00041B57"/>
    <w:rsid w:val="00041F22"/>
    <w:rsid w:val="000420FE"/>
    <w:rsid w:val="0004215F"/>
    <w:rsid w:val="000421F2"/>
    <w:rsid w:val="00042294"/>
    <w:rsid w:val="000422C3"/>
    <w:rsid w:val="000422F9"/>
    <w:rsid w:val="000423E5"/>
    <w:rsid w:val="00042470"/>
    <w:rsid w:val="000426EE"/>
    <w:rsid w:val="000427FC"/>
    <w:rsid w:val="0004280B"/>
    <w:rsid w:val="000428CC"/>
    <w:rsid w:val="000428E6"/>
    <w:rsid w:val="00042ADD"/>
    <w:rsid w:val="00042B5B"/>
    <w:rsid w:val="00042B84"/>
    <w:rsid w:val="00042C93"/>
    <w:rsid w:val="00042D11"/>
    <w:rsid w:val="00043099"/>
    <w:rsid w:val="000430AD"/>
    <w:rsid w:val="00043104"/>
    <w:rsid w:val="00043235"/>
    <w:rsid w:val="00043284"/>
    <w:rsid w:val="0004335D"/>
    <w:rsid w:val="000434C2"/>
    <w:rsid w:val="000436F0"/>
    <w:rsid w:val="00043737"/>
    <w:rsid w:val="000437C6"/>
    <w:rsid w:val="00043835"/>
    <w:rsid w:val="000438B0"/>
    <w:rsid w:val="0004391C"/>
    <w:rsid w:val="0004392F"/>
    <w:rsid w:val="000439F3"/>
    <w:rsid w:val="00043ADE"/>
    <w:rsid w:val="00043AEB"/>
    <w:rsid w:val="00043C78"/>
    <w:rsid w:val="00043C80"/>
    <w:rsid w:val="00043C86"/>
    <w:rsid w:val="00043E7B"/>
    <w:rsid w:val="00043E9C"/>
    <w:rsid w:val="00043EA4"/>
    <w:rsid w:val="0004400B"/>
    <w:rsid w:val="00044157"/>
    <w:rsid w:val="000441E6"/>
    <w:rsid w:val="00044387"/>
    <w:rsid w:val="000443E1"/>
    <w:rsid w:val="00044488"/>
    <w:rsid w:val="00044493"/>
    <w:rsid w:val="0004449C"/>
    <w:rsid w:val="000446F9"/>
    <w:rsid w:val="0004491A"/>
    <w:rsid w:val="00044928"/>
    <w:rsid w:val="00044933"/>
    <w:rsid w:val="0004496D"/>
    <w:rsid w:val="00044A65"/>
    <w:rsid w:val="00044C14"/>
    <w:rsid w:val="00044C27"/>
    <w:rsid w:val="00044C46"/>
    <w:rsid w:val="00044D8A"/>
    <w:rsid w:val="00044DF2"/>
    <w:rsid w:val="00044DFE"/>
    <w:rsid w:val="00044E24"/>
    <w:rsid w:val="00044E36"/>
    <w:rsid w:val="00044E90"/>
    <w:rsid w:val="00044ED8"/>
    <w:rsid w:val="00045234"/>
    <w:rsid w:val="00045253"/>
    <w:rsid w:val="000452C9"/>
    <w:rsid w:val="000453AE"/>
    <w:rsid w:val="000453FA"/>
    <w:rsid w:val="00045454"/>
    <w:rsid w:val="000454A8"/>
    <w:rsid w:val="0004550C"/>
    <w:rsid w:val="00045558"/>
    <w:rsid w:val="000455C0"/>
    <w:rsid w:val="000455F8"/>
    <w:rsid w:val="00045686"/>
    <w:rsid w:val="00045734"/>
    <w:rsid w:val="00045794"/>
    <w:rsid w:val="00045807"/>
    <w:rsid w:val="000458E8"/>
    <w:rsid w:val="00045987"/>
    <w:rsid w:val="00045AF2"/>
    <w:rsid w:val="00045C06"/>
    <w:rsid w:val="00045D90"/>
    <w:rsid w:val="00045EB4"/>
    <w:rsid w:val="00045EB9"/>
    <w:rsid w:val="00045EBE"/>
    <w:rsid w:val="00045F27"/>
    <w:rsid w:val="00045F73"/>
    <w:rsid w:val="000460F0"/>
    <w:rsid w:val="00046226"/>
    <w:rsid w:val="00046232"/>
    <w:rsid w:val="0004623A"/>
    <w:rsid w:val="0004627D"/>
    <w:rsid w:val="000462AF"/>
    <w:rsid w:val="00046383"/>
    <w:rsid w:val="000465F5"/>
    <w:rsid w:val="00046794"/>
    <w:rsid w:val="0004682C"/>
    <w:rsid w:val="00046902"/>
    <w:rsid w:val="0004690F"/>
    <w:rsid w:val="0004692A"/>
    <w:rsid w:val="000469A2"/>
    <w:rsid w:val="000469C5"/>
    <w:rsid w:val="00046A07"/>
    <w:rsid w:val="00046DD9"/>
    <w:rsid w:val="00046EDF"/>
    <w:rsid w:val="00046FA2"/>
    <w:rsid w:val="00047122"/>
    <w:rsid w:val="00047166"/>
    <w:rsid w:val="000471C7"/>
    <w:rsid w:val="000471DB"/>
    <w:rsid w:val="00047203"/>
    <w:rsid w:val="0004720F"/>
    <w:rsid w:val="000472A5"/>
    <w:rsid w:val="000474BE"/>
    <w:rsid w:val="00047637"/>
    <w:rsid w:val="00047640"/>
    <w:rsid w:val="000478AA"/>
    <w:rsid w:val="000478C7"/>
    <w:rsid w:val="000478D3"/>
    <w:rsid w:val="00047A9F"/>
    <w:rsid w:val="00047AB7"/>
    <w:rsid w:val="00047B62"/>
    <w:rsid w:val="00047B6E"/>
    <w:rsid w:val="00047BDD"/>
    <w:rsid w:val="00047BFC"/>
    <w:rsid w:val="00047C44"/>
    <w:rsid w:val="00047CAA"/>
    <w:rsid w:val="00047CD5"/>
    <w:rsid w:val="00047D65"/>
    <w:rsid w:val="00047E9F"/>
    <w:rsid w:val="00047F5E"/>
    <w:rsid w:val="00047FAD"/>
    <w:rsid w:val="0004E9EF"/>
    <w:rsid w:val="00050031"/>
    <w:rsid w:val="000500AE"/>
    <w:rsid w:val="000500EF"/>
    <w:rsid w:val="00050137"/>
    <w:rsid w:val="000501B4"/>
    <w:rsid w:val="000501EA"/>
    <w:rsid w:val="00050236"/>
    <w:rsid w:val="000502C3"/>
    <w:rsid w:val="00050354"/>
    <w:rsid w:val="000503C6"/>
    <w:rsid w:val="00050401"/>
    <w:rsid w:val="00050468"/>
    <w:rsid w:val="000504C0"/>
    <w:rsid w:val="00050522"/>
    <w:rsid w:val="0005071C"/>
    <w:rsid w:val="000507FB"/>
    <w:rsid w:val="000508B1"/>
    <w:rsid w:val="000508BC"/>
    <w:rsid w:val="00050B04"/>
    <w:rsid w:val="00050B9D"/>
    <w:rsid w:val="00050CF1"/>
    <w:rsid w:val="00050D54"/>
    <w:rsid w:val="00050D6D"/>
    <w:rsid w:val="00050E95"/>
    <w:rsid w:val="00050F20"/>
    <w:rsid w:val="00050F8C"/>
    <w:rsid w:val="00051109"/>
    <w:rsid w:val="00051237"/>
    <w:rsid w:val="0005132A"/>
    <w:rsid w:val="000513EE"/>
    <w:rsid w:val="000514EC"/>
    <w:rsid w:val="00051576"/>
    <w:rsid w:val="00051738"/>
    <w:rsid w:val="000518DF"/>
    <w:rsid w:val="000519B0"/>
    <w:rsid w:val="000519D6"/>
    <w:rsid w:val="00051BD2"/>
    <w:rsid w:val="00051CFC"/>
    <w:rsid w:val="00051EDC"/>
    <w:rsid w:val="000520BD"/>
    <w:rsid w:val="000520BE"/>
    <w:rsid w:val="0005220A"/>
    <w:rsid w:val="000522FC"/>
    <w:rsid w:val="00052343"/>
    <w:rsid w:val="0005278F"/>
    <w:rsid w:val="000527ED"/>
    <w:rsid w:val="00052905"/>
    <w:rsid w:val="0005291E"/>
    <w:rsid w:val="0005297F"/>
    <w:rsid w:val="000529EA"/>
    <w:rsid w:val="00052A4B"/>
    <w:rsid w:val="00052A76"/>
    <w:rsid w:val="00052AFE"/>
    <w:rsid w:val="00052B6A"/>
    <w:rsid w:val="00052B6E"/>
    <w:rsid w:val="00052BA1"/>
    <w:rsid w:val="00052F16"/>
    <w:rsid w:val="00052F3E"/>
    <w:rsid w:val="00052FBC"/>
    <w:rsid w:val="00053015"/>
    <w:rsid w:val="000531BE"/>
    <w:rsid w:val="00053263"/>
    <w:rsid w:val="0005328D"/>
    <w:rsid w:val="000532F6"/>
    <w:rsid w:val="00053332"/>
    <w:rsid w:val="00053334"/>
    <w:rsid w:val="0005340B"/>
    <w:rsid w:val="00053467"/>
    <w:rsid w:val="0005361A"/>
    <w:rsid w:val="0005370A"/>
    <w:rsid w:val="00053734"/>
    <w:rsid w:val="00053792"/>
    <w:rsid w:val="000537B0"/>
    <w:rsid w:val="00053918"/>
    <w:rsid w:val="00053940"/>
    <w:rsid w:val="00053A9F"/>
    <w:rsid w:val="00053D5C"/>
    <w:rsid w:val="00053D7A"/>
    <w:rsid w:val="00053D98"/>
    <w:rsid w:val="00053E58"/>
    <w:rsid w:val="00053F3E"/>
    <w:rsid w:val="00053F97"/>
    <w:rsid w:val="00053FC3"/>
    <w:rsid w:val="00054175"/>
    <w:rsid w:val="0005417B"/>
    <w:rsid w:val="00054195"/>
    <w:rsid w:val="00054267"/>
    <w:rsid w:val="000542B0"/>
    <w:rsid w:val="000543B3"/>
    <w:rsid w:val="000544A1"/>
    <w:rsid w:val="000547A2"/>
    <w:rsid w:val="000547FD"/>
    <w:rsid w:val="00054928"/>
    <w:rsid w:val="00054B6C"/>
    <w:rsid w:val="00054BE1"/>
    <w:rsid w:val="00054C03"/>
    <w:rsid w:val="00054CE7"/>
    <w:rsid w:val="00054D50"/>
    <w:rsid w:val="00054D75"/>
    <w:rsid w:val="00054DE6"/>
    <w:rsid w:val="00054ECC"/>
    <w:rsid w:val="000550BA"/>
    <w:rsid w:val="0005510F"/>
    <w:rsid w:val="000551E1"/>
    <w:rsid w:val="000551E5"/>
    <w:rsid w:val="00055225"/>
    <w:rsid w:val="000554D8"/>
    <w:rsid w:val="000554E7"/>
    <w:rsid w:val="000555B8"/>
    <w:rsid w:val="000556D2"/>
    <w:rsid w:val="000558DE"/>
    <w:rsid w:val="00055A55"/>
    <w:rsid w:val="00055ACE"/>
    <w:rsid w:val="00055C6D"/>
    <w:rsid w:val="00055CB5"/>
    <w:rsid w:val="00055D14"/>
    <w:rsid w:val="00055D65"/>
    <w:rsid w:val="00055D85"/>
    <w:rsid w:val="00055DD1"/>
    <w:rsid w:val="00055DDF"/>
    <w:rsid w:val="00055DFF"/>
    <w:rsid w:val="00055F43"/>
    <w:rsid w:val="00055FBB"/>
    <w:rsid w:val="0005603B"/>
    <w:rsid w:val="000560CC"/>
    <w:rsid w:val="0005613D"/>
    <w:rsid w:val="00056193"/>
    <w:rsid w:val="000561BE"/>
    <w:rsid w:val="0005633C"/>
    <w:rsid w:val="00056341"/>
    <w:rsid w:val="0005641B"/>
    <w:rsid w:val="00056468"/>
    <w:rsid w:val="00056513"/>
    <w:rsid w:val="000565A0"/>
    <w:rsid w:val="00056601"/>
    <w:rsid w:val="00056671"/>
    <w:rsid w:val="000566CA"/>
    <w:rsid w:val="00056745"/>
    <w:rsid w:val="000567A6"/>
    <w:rsid w:val="0005681D"/>
    <w:rsid w:val="0005686A"/>
    <w:rsid w:val="00056A64"/>
    <w:rsid w:val="00056B50"/>
    <w:rsid w:val="00056CDC"/>
    <w:rsid w:val="00056D7D"/>
    <w:rsid w:val="00056ECB"/>
    <w:rsid w:val="000571FF"/>
    <w:rsid w:val="0005728A"/>
    <w:rsid w:val="000572D1"/>
    <w:rsid w:val="00057414"/>
    <w:rsid w:val="0005745E"/>
    <w:rsid w:val="000574AD"/>
    <w:rsid w:val="000576F7"/>
    <w:rsid w:val="000577D1"/>
    <w:rsid w:val="00057B75"/>
    <w:rsid w:val="00057BD0"/>
    <w:rsid w:val="00057C6F"/>
    <w:rsid w:val="00057C7E"/>
    <w:rsid w:val="00057C91"/>
    <w:rsid w:val="00057E3B"/>
    <w:rsid w:val="00057ECE"/>
    <w:rsid w:val="00057F06"/>
    <w:rsid w:val="0005C126"/>
    <w:rsid w:val="00060005"/>
    <w:rsid w:val="00060024"/>
    <w:rsid w:val="000600DA"/>
    <w:rsid w:val="000602A3"/>
    <w:rsid w:val="0006052B"/>
    <w:rsid w:val="00060629"/>
    <w:rsid w:val="00060647"/>
    <w:rsid w:val="000606EC"/>
    <w:rsid w:val="0006074E"/>
    <w:rsid w:val="0006082E"/>
    <w:rsid w:val="00060928"/>
    <w:rsid w:val="00060B2B"/>
    <w:rsid w:val="00060B81"/>
    <w:rsid w:val="00060BD8"/>
    <w:rsid w:val="00060C98"/>
    <w:rsid w:val="00060D74"/>
    <w:rsid w:val="00060DB5"/>
    <w:rsid w:val="00060E10"/>
    <w:rsid w:val="00060E14"/>
    <w:rsid w:val="00060E18"/>
    <w:rsid w:val="00061018"/>
    <w:rsid w:val="00061207"/>
    <w:rsid w:val="00061241"/>
    <w:rsid w:val="000612A8"/>
    <w:rsid w:val="000613DF"/>
    <w:rsid w:val="000613F7"/>
    <w:rsid w:val="0006152F"/>
    <w:rsid w:val="000615A0"/>
    <w:rsid w:val="000615B3"/>
    <w:rsid w:val="000615D6"/>
    <w:rsid w:val="000616D1"/>
    <w:rsid w:val="000616D2"/>
    <w:rsid w:val="00061788"/>
    <w:rsid w:val="00061872"/>
    <w:rsid w:val="00061877"/>
    <w:rsid w:val="0006188A"/>
    <w:rsid w:val="0006196A"/>
    <w:rsid w:val="00061A0B"/>
    <w:rsid w:val="00061B00"/>
    <w:rsid w:val="00061BBF"/>
    <w:rsid w:val="00061DF6"/>
    <w:rsid w:val="00061EB1"/>
    <w:rsid w:val="00061EE5"/>
    <w:rsid w:val="00061F1D"/>
    <w:rsid w:val="00061F3A"/>
    <w:rsid w:val="00061F48"/>
    <w:rsid w:val="000620B0"/>
    <w:rsid w:val="00062112"/>
    <w:rsid w:val="00062188"/>
    <w:rsid w:val="000622BB"/>
    <w:rsid w:val="000624A9"/>
    <w:rsid w:val="000624D2"/>
    <w:rsid w:val="00062538"/>
    <w:rsid w:val="000625C6"/>
    <w:rsid w:val="000625D8"/>
    <w:rsid w:val="00062640"/>
    <w:rsid w:val="000626E0"/>
    <w:rsid w:val="00062707"/>
    <w:rsid w:val="000627FF"/>
    <w:rsid w:val="00062857"/>
    <w:rsid w:val="000629D0"/>
    <w:rsid w:val="000629FD"/>
    <w:rsid w:val="00062A64"/>
    <w:rsid w:val="00062B6C"/>
    <w:rsid w:val="00062B7F"/>
    <w:rsid w:val="00062E30"/>
    <w:rsid w:val="00062E54"/>
    <w:rsid w:val="00062FB5"/>
    <w:rsid w:val="00063003"/>
    <w:rsid w:val="000630FF"/>
    <w:rsid w:val="0006315F"/>
    <w:rsid w:val="0006336D"/>
    <w:rsid w:val="00063451"/>
    <w:rsid w:val="00063639"/>
    <w:rsid w:val="0006373A"/>
    <w:rsid w:val="0006384B"/>
    <w:rsid w:val="000638D6"/>
    <w:rsid w:val="000638E6"/>
    <w:rsid w:val="00063A0E"/>
    <w:rsid w:val="00063A95"/>
    <w:rsid w:val="00063AEA"/>
    <w:rsid w:val="00063D04"/>
    <w:rsid w:val="00063E26"/>
    <w:rsid w:val="00063F73"/>
    <w:rsid w:val="00063F84"/>
    <w:rsid w:val="00063F93"/>
    <w:rsid w:val="0006403E"/>
    <w:rsid w:val="00064079"/>
    <w:rsid w:val="000640FF"/>
    <w:rsid w:val="00064157"/>
    <w:rsid w:val="000641B4"/>
    <w:rsid w:val="0006437B"/>
    <w:rsid w:val="00064398"/>
    <w:rsid w:val="00064536"/>
    <w:rsid w:val="0006453C"/>
    <w:rsid w:val="0006469C"/>
    <w:rsid w:val="00064796"/>
    <w:rsid w:val="00064849"/>
    <w:rsid w:val="00064871"/>
    <w:rsid w:val="000648D4"/>
    <w:rsid w:val="00064959"/>
    <w:rsid w:val="00064BA3"/>
    <w:rsid w:val="00064C00"/>
    <w:rsid w:val="00064CA8"/>
    <w:rsid w:val="0006500B"/>
    <w:rsid w:val="0006502D"/>
    <w:rsid w:val="00065126"/>
    <w:rsid w:val="00065251"/>
    <w:rsid w:val="000652CA"/>
    <w:rsid w:val="00065429"/>
    <w:rsid w:val="00065485"/>
    <w:rsid w:val="0006552F"/>
    <w:rsid w:val="00065653"/>
    <w:rsid w:val="0006566E"/>
    <w:rsid w:val="00065681"/>
    <w:rsid w:val="00065708"/>
    <w:rsid w:val="00065731"/>
    <w:rsid w:val="00065883"/>
    <w:rsid w:val="0006593F"/>
    <w:rsid w:val="00065980"/>
    <w:rsid w:val="00065A15"/>
    <w:rsid w:val="00065ACD"/>
    <w:rsid w:val="00065BA9"/>
    <w:rsid w:val="00065BB9"/>
    <w:rsid w:val="00065BFA"/>
    <w:rsid w:val="00065EAB"/>
    <w:rsid w:val="00065EB5"/>
    <w:rsid w:val="00065FF2"/>
    <w:rsid w:val="00066098"/>
    <w:rsid w:val="0006617F"/>
    <w:rsid w:val="0006625E"/>
    <w:rsid w:val="000662EC"/>
    <w:rsid w:val="0006631C"/>
    <w:rsid w:val="00066327"/>
    <w:rsid w:val="000663A3"/>
    <w:rsid w:val="000664AD"/>
    <w:rsid w:val="00066730"/>
    <w:rsid w:val="000668CB"/>
    <w:rsid w:val="00066A1B"/>
    <w:rsid w:val="00066A77"/>
    <w:rsid w:val="00066C12"/>
    <w:rsid w:val="00066C39"/>
    <w:rsid w:val="00066C7F"/>
    <w:rsid w:val="00066CDF"/>
    <w:rsid w:val="00066D7C"/>
    <w:rsid w:val="00066E31"/>
    <w:rsid w:val="00066E7B"/>
    <w:rsid w:val="00066F4E"/>
    <w:rsid w:val="00066FC3"/>
    <w:rsid w:val="00066FEF"/>
    <w:rsid w:val="0006713F"/>
    <w:rsid w:val="000672B3"/>
    <w:rsid w:val="000672D4"/>
    <w:rsid w:val="00067340"/>
    <w:rsid w:val="0006738A"/>
    <w:rsid w:val="000673C8"/>
    <w:rsid w:val="000673EB"/>
    <w:rsid w:val="00067736"/>
    <w:rsid w:val="0006773E"/>
    <w:rsid w:val="000677AB"/>
    <w:rsid w:val="00067811"/>
    <w:rsid w:val="00067826"/>
    <w:rsid w:val="0006782E"/>
    <w:rsid w:val="00067852"/>
    <w:rsid w:val="00067915"/>
    <w:rsid w:val="00067AD3"/>
    <w:rsid w:val="00067BF4"/>
    <w:rsid w:val="00067C30"/>
    <w:rsid w:val="00067C34"/>
    <w:rsid w:val="00067C38"/>
    <w:rsid w:val="00067CC6"/>
    <w:rsid w:val="00067CD8"/>
    <w:rsid w:val="00067E19"/>
    <w:rsid w:val="00067EED"/>
    <w:rsid w:val="00070147"/>
    <w:rsid w:val="00070345"/>
    <w:rsid w:val="000705BA"/>
    <w:rsid w:val="00070610"/>
    <w:rsid w:val="000706B0"/>
    <w:rsid w:val="000706B2"/>
    <w:rsid w:val="000706ED"/>
    <w:rsid w:val="00070803"/>
    <w:rsid w:val="00070832"/>
    <w:rsid w:val="000709D3"/>
    <w:rsid w:val="00070AC2"/>
    <w:rsid w:val="00070B5D"/>
    <w:rsid w:val="00070BDD"/>
    <w:rsid w:val="00070D11"/>
    <w:rsid w:val="00070DB3"/>
    <w:rsid w:val="00070E7C"/>
    <w:rsid w:val="00070E8E"/>
    <w:rsid w:val="00070FBF"/>
    <w:rsid w:val="000710AD"/>
    <w:rsid w:val="000710AF"/>
    <w:rsid w:val="00071122"/>
    <w:rsid w:val="00071251"/>
    <w:rsid w:val="0007142E"/>
    <w:rsid w:val="00071448"/>
    <w:rsid w:val="000715BF"/>
    <w:rsid w:val="00071605"/>
    <w:rsid w:val="00071634"/>
    <w:rsid w:val="000718BD"/>
    <w:rsid w:val="000718CE"/>
    <w:rsid w:val="000718D4"/>
    <w:rsid w:val="000719D7"/>
    <w:rsid w:val="000719FB"/>
    <w:rsid w:val="00071BA5"/>
    <w:rsid w:val="00071CDF"/>
    <w:rsid w:val="00071D81"/>
    <w:rsid w:val="00071E47"/>
    <w:rsid w:val="00071E66"/>
    <w:rsid w:val="00071F8D"/>
    <w:rsid w:val="00072037"/>
    <w:rsid w:val="00072070"/>
    <w:rsid w:val="00072156"/>
    <w:rsid w:val="0007215B"/>
    <w:rsid w:val="000721EE"/>
    <w:rsid w:val="000722C6"/>
    <w:rsid w:val="000723B6"/>
    <w:rsid w:val="000725A3"/>
    <w:rsid w:val="000725AE"/>
    <w:rsid w:val="000725C6"/>
    <w:rsid w:val="0007276A"/>
    <w:rsid w:val="00072782"/>
    <w:rsid w:val="00072918"/>
    <w:rsid w:val="0007292E"/>
    <w:rsid w:val="000729A5"/>
    <w:rsid w:val="000729C7"/>
    <w:rsid w:val="00072B2A"/>
    <w:rsid w:val="00072B2E"/>
    <w:rsid w:val="00072E58"/>
    <w:rsid w:val="00072ED4"/>
    <w:rsid w:val="00072F0D"/>
    <w:rsid w:val="0007300A"/>
    <w:rsid w:val="0007300C"/>
    <w:rsid w:val="000730D4"/>
    <w:rsid w:val="0007327D"/>
    <w:rsid w:val="00073453"/>
    <w:rsid w:val="00073524"/>
    <w:rsid w:val="0007356B"/>
    <w:rsid w:val="000736AC"/>
    <w:rsid w:val="00073740"/>
    <w:rsid w:val="00073751"/>
    <w:rsid w:val="000738D4"/>
    <w:rsid w:val="000738E5"/>
    <w:rsid w:val="0007393E"/>
    <w:rsid w:val="00073972"/>
    <w:rsid w:val="00073A95"/>
    <w:rsid w:val="00073E30"/>
    <w:rsid w:val="000740D6"/>
    <w:rsid w:val="000740D9"/>
    <w:rsid w:val="0007421C"/>
    <w:rsid w:val="00074226"/>
    <w:rsid w:val="000743AF"/>
    <w:rsid w:val="00074492"/>
    <w:rsid w:val="0007463B"/>
    <w:rsid w:val="00074774"/>
    <w:rsid w:val="000748D6"/>
    <w:rsid w:val="00074B0B"/>
    <w:rsid w:val="00074BD9"/>
    <w:rsid w:val="00074C9D"/>
    <w:rsid w:val="00074F1D"/>
    <w:rsid w:val="00075141"/>
    <w:rsid w:val="000753B9"/>
    <w:rsid w:val="00075436"/>
    <w:rsid w:val="00075468"/>
    <w:rsid w:val="00075583"/>
    <w:rsid w:val="000756FF"/>
    <w:rsid w:val="000757D9"/>
    <w:rsid w:val="0007582A"/>
    <w:rsid w:val="0007596C"/>
    <w:rsid w:val="00075A24"/>
    <w:rsid w:val="00075A34"/>
    <w:rsid w:val="00075B40"/>
    <w:rsid w:val="00075BA0"/>
    <w:rsid w:val="00075C5C"/>
    <w:rsid w:val="00075CA3"/>
    <w:rsid w:val="00075DE3"/>
    <w:rsid w:val="00075E48"/>
    <w:rsid w:val="00075E5C"/>
    <w:rsid w:val="00075E82"/>
    <w:rsid w:val="00075ECC"/>
    <w:rsid w:val="00075ED2"/>
    <w:rsid w:val="00075F15"/>
    <w:rsid w:val="00075F1A"/>
    <w:rsid w:val="00075FB5"/>
    <w:rsid w:val="0007625C"/>
    <w:rsid w:val="0007636E"/>
    <w:rsid w:val="00076408"/>
    <w:rsid w:val="0007645C"/>
    <w:rsid w:val="00076538"/>
    <w:rsid w:val="00076569"/>
    <w:rsid w:val="00076724"/>
    <w:rsid w:val="0007674A"/>
    <w:rsid w:val="00076768"/>
    <w:rsid w:val="00076A4D"/>
    <w:rsid w:val="00076AEF"/>
    <w:rsid w:val="00076C99"/>
    <w:rsid w:val="00076CD8"/>
    <w:rsid w:val="00076E2A"/>
    <w:rsid w:val="00076EB2"/>
    <w:rsid w:val="00076F5D"/>
    <w:rsid w:val="0007711B"/>
    <w:rsid w:val="00077120"/>
    <w:rsid w:val="00077148"/>
    <w:rsid w:val="00077176"/>
    <w:rsid w:val="00077241"/>
    <w:rsid w:val="0007745C"/>
    <w:rsid w:val="0007750A"/>
    <w:rsid w:val="0007756B"/>
    <w:rsid w:val="000775A2"/>
    <w:rsid w:val="0007765D"/>
    <w:rsid w:val="0007769C"/>
    <w:rsid w:val="00077702"/>
    <w:rsid w:val="00077766"/>
    <w:rsid w:val="000778D9"/>
    <w:rsid w:val="0007799B"/>
    <w:rsid w:val="00077A73"/>
    <w:rsid w:val="00077BA9"/>
    <w:rsid w:val="00077C0B"/>
    <w:rsid w:val="00077C2B"/>
    <w:rsid w:val="00077D2D"/>
    <w:rsid w:val="00077E49"/>
    <w:rsid w:val="00077EF0"/>
    <w:rsid w:val="00080056"/>
    <w:rsid w:val="000802B8"/>
    <w:rsid w:val="00080407"/>
    <w:rsid w:val="00080433"/>
    <w:rsid w:val="0008044D"/>
    <w:rsid w:val="00080458"/>
    <w:rsid w:val="000805C8"/>
    <w:rsid w:val="000806B7"/>
    <w:rsid w:val="00080721"/>
    <w:rsid w:val="0008072E"/>
    <w:rsid w:val="000807BC"/>
    <w:rsid w:val="00080806"/>
    <w:rsid w:val="000808A0"/>
    <w:rsid w:val="000808B5"/>
    <w:rsid w:val="00080946"/>
    <w:rsid w:val="00080973"/>
    <w:rsid w:val="00080B13"/>
    <w:rsid w:val="00080DBB"/>
    <w:rsid w:val="00080E50"/>
    <w:rsid w:val="00080E7A"/>
    <w:rsid w:val="00080EDE"/>
    <w:rsid w:val="00080FE8"/>
    <w:rsid w:val="0008111F"/>
    <w:rsid w:val="000811AB"/>
    <w:rsid w:val="000811F4"/>
    <w:rsid w:val="00081289"/>
    <w:rsid w:val="000812E2"/>
    <w:rsid w:val="000812EC"/>
    <w:rsid w:val="000812FD"/>
    <w:rsid w:val="000816F8"/>
    <w:rsid w:val="0008173B"/>
    <w:rsid w:val="000817DC"/>
    <w:rsid w:val="00081947"/>
    <w:rsid w:val="00081993"/>
    <w:rsid w:val="000819A2"/>
    <w:rsid w:val="000819A9"/>
    <w:rsid w:val="000819E9"/>
    <w:rsid w:val="00081AA7"/>
    <w:rsid w:val="00081B02"/>
    <w:rsid w:val="00081B55"/>
    <w:rsid w:val="00081B63"/>
    <w:rsid w:val="00081C1F"/>
    <w:rsid w:val="00081D8D"/>
    <w:rsid w:val="00081E67"/>
    <w:rsid w:val="00082099"/>
    <w:rsid w:val="000820B4"/>
    <w:rsid w:val="00082198"/>
    <w:rsid w:val="00082258"/>
    <w:rsid w:val="000823F4"/>
    <w:rsid w:val="00082462"/>
    <w:rsid w:val="00082463"/>
    <w:rsid w:val="000824A7"/>
    <w:rsid w:val="000824EB"/>
    <w:rsid w:val="00082571"/>
    <w:rsid w:val="0008258D"/>
    <w:rsid w:val="0008264A"/>
    <w:rsid w:val="00082655"/>
    <w:rsid w:val="00082830"/>
    <w:rsid w:val="00082877"/>
    <w:rsid w:val="00082912"/>
    <w:rsid w:val="00082BAF"/>
    <w:rsid w:val="00082C0D"/>
    <w:rsid w:val="00082C76"/>
    <w:rsid w:val="00082C77"/>
    <w:rsid w:val="00082D31"/>
    <w:rsid w:val="00082D62"/>
    <w:rsid w:val="00082E52"/>
    <w:rsid w:val="00082E98"/>
    <w:rsid w:val="00082EA7"/>
    <w:rsid w:val="00082EE9"/>
    <w:rsid w:val="00082F4F"/>
    <w:rsid w:val="000830B1"/>
    <w:rsid w:val="000831A9"/>
    <w:rsid w:val="00083262"/>
    <w:rsid w:val="00083292"/>
    <w:rsid w:val="0008338D"/>
    <w:rsid w:val="0008341A"/>
    <w:rsid w:val="000837D7"/>
    <w:rsid w:val="00083939"/>
    <w:rsid w:val="0008399C"/>
    <w:rsid w:val="00083A09"/>
    <w:rsid w:val="00083ABA"/>
    <w:rsid w:val="00083C65"/>
    <w:rsid w:val="00083EF7"/>
    <w:rsid w:val="00083FEC"/>
    <w:rsid w:val="00084021"/>
    <w:rsid w:val="0008402A"/>
    <w:rsid w:val="00084102"/>
    <w:rsid w:val="00084470"/>
    <w:rsid w:val="00084561"/>
    <w:rsid w:val="0008460B"/>
    <w:rsid w:val="0008467F"/>
    <w:rsid w:val="000846C6"/>
    <w:rsid w:val="000846DD"/>
    <w:rsid w:val="0008481C"/>
    <w:rsid w:val="00084829"/>
    <w:rsid w:val="00084974"/>
    <w:rsid w:val="00084999"/>
    <w:rsid w:val="000849BE"/>
    <w:rsid w:val="00084B03"/>
    <w:rsid w:val="00084B75"/>
    <w:rsid w:val="00084CFE"/>
    <w:rsid w:val="00084DAE"/>
    <w:rsid w:val="00084E4C"/>
    <w:rsid w:val="00084F52"/>
    <w:rsid w:val="0008503F"/>
    <w:rsid w:val="00085044"/>
    <w:rsid w:val="00085081"/>
    <w:rsid w:val="0008512A"/>
    <w:rsid w:val="000851F7"/>
    <w:rsid w:val="00085210"/>
    <w:rsid w:val="00085375"/>
    <w:rsid w:val="000853CC"/>
    <w:rsid w:val="00085442"/>
    <w:rsid w:val="000854CE"/>
    <w:rsid w:val="0008551F"/>
    <w:rsid w:val="000855CC"/>
    <w:rsid w:val="00085638"/>
    <w:rsid w:val="0008571F"/>
    <w:rsid w:val="00085778"/>
    <w:rsid w:val="00085786"/>
    <w:rsid w:val="000857E0"/>
    <w:rsid w:val="00085832"/>
    <w:rsid w:val="000858B5"/>
    <w:rsid w:val="00085BE3"/>
    <w:rsid w:val="00085DFE"/>
    <w:rsid w:val="00085E48"/>
    <w:rsid w:val="00085EEA"/>
    <w:rsid w:val="00085F0C"/>
    <w:rsid w:val="00085FDD"/>
    <w:rsid w:val="00086173"/>
    <w:rsid w:val="0008650B"/>
    <w:rsid w:val="00086517"/>
    <w:rsid w:val="0008655B"/>
    <w:rsid w:val="000865AA"/>
    <w:rsid w:val="000865B9"/>
    <w:rsid w:val="000865F3"/>
    <w:rsid w:val="00086730"/>
    <w:rsid w:val="0008692D"/>
    <w:rsid w:val="0008694D"/>
    <w:rsid w:val="000869EA"/>
    <w:rsid w:val="00086A95"/>
    <w:rsid w:val="00086BE1"/>
    <w:rsid w:val="00086C25"/>
    <w:rsid w:val="00086C57"/>
    <w:rsid w:val="00086C99"/>
    <w:rsid w:val="00086E49"/>
    <w:rsid w:val="00086F21"/>
    <w:rsid w:val="00086F86"/>
    <w:rsid w:val="00086FDA"/>
    <w:rsid w:val="00086FDE"/>
    <w:rsid w:val="0008708D"/>
    <w:rsid w:val="000870B1"/>
    <w:rsid w:val="0008728C"/>
    <w:rsid w:val="00087354"/>
    <w:rsid w:val="00087385"/>
    <w:rsid w:val="00087589"/>
    <w:rsid w:val="000875C2"/>
    <w:rsid w:val="000875C8"/>
    <w:rsid w:val="00087659"/>
    <w:rsid w:val="0008770F"/>
    <w:rsid w:val="00087729"/>
    <w:rsid w:val="0008775D"/>
    <w:rsid w:val="000877EC"/>
    <w:rsid w:val="00087855"/>
    <w:rsid w:val="000878C6"/>
    <w:rsid w:val="000879F9"/>
    <w:rsid w:val="00087A06"/>
    <w:rsid w:val="00087AF8"/>
    <w:rsid w:val="00087C09"/>
    <w:rsid w:val="00087C13"/>
    <w:rsid w:val="00088616"/>
    <w:rsid w:val="0009004A"/>
    <w:rsid w:val="000900EA"/>
    <w:rsid w:val="0009027C"/>
    <w:rsid w:val="0009035A"/>
    <w:rsid w:val="000903A2"/>
    <w:rsid w:val="000905D5"/>
    <w:rsid w:val="000906CB"/>
    <w:rsid w:val="000907E1"/>
    <w:rsid w:val="0009081E"/>
    <w:rsid w:val="000908B6"/>
    <w:rsid w:val="00090979"/>
    <w:rsid w:val="0009098D"/>
    <w:rsid w:val="000909B5"/>
    <w:rsid w:val="00090A52"/>
    <w:rsid w:val="00090A56"/>
    <w:rsid w:val="00090A63"/>
    <w:rsid w:val="00090B44"/>
    <w:rsid w:val="00090BD3"/>
    <w:rsid w:val="00090D17"/>
    <w:rsid w:val="00090D37"/>
    <w:rsid w:val="00090D47"/>
    <w:rsid w:val="00090DE2"/>
    <w:rsid w:val="00090E11"/>
    <w:rsid w:val="00090EEE"/>
    <w:rsid w:val="00091243"/>
    <w:rsid w:val="00091259"/>
    <w:rsid w:val="00091399"/>
    <w:rsid w:val="000914E7"/>
    <w:rsid w:val="0009159A"/>
    <w:rsid w:val="00091720"/>
    <w:rsid w:val="0009179C"/>
    <w:rsid w:val="00091972"/>
    <w:rsid w:val="00091AF3"/>
    <w:rsid w:val="00091CED"/>
    <w:rsid w:val="00091D89"/>
    <w:rsid w:val="00091D94"/>
    <w:rsid w:val="00091DCF"/>
    <w:rsid w:val="00091E88"/>
    <w:rsid w:val="00091EC6"/>
    <w:rsid w:val="00091F77"/>
    <w:rsid w:val="000921AE"/>
    <w:rsid w:val="0009232E"/>
    <w:rsid w:val="00092354"/>
    <w:rsid w:val="00092479"/>
    <w:rsid w:val="000924B2"/>
    <w:rsid w:val="0009252D"/>
    <w:rsid w:val="00092596"/>
    <w:rsid w:val="0009273E"/>
    <w:rsid w:val="000928EE"/>
    <w:rsid w:val="00092A62"/>
    <w:rsid w:val="00092AC6"/>
    <w:rsid w:val="00092B89"/>
    <w:rsid w:val="00092D0B"/>
    <w:rsid w:val="00092D8E"/>
    <w:rsid w:val="00092E62"/>
    <w:rsid w:val="00093017"/>
    <w:rsid w:val="0009318F"/>
    <w:rsid w:val="000932E9"/>
    <w:rsid w:val="000932F1"/>
    <w:rsid w:val="0009339C"/>
    <w:rsid w:val="000933B3"/>
    <w:rsid w:val="00093413"/>
    <w:rsid w:val="00093542"/>
    <w:rsid w:val="00093641"/>
    <w:rsid w:val="000936BC"/>
    <w:rsid w:val="00093707"/>
    <w:rsid w:val="00093788"/>
    <w:rsid w:val="0009378C"/>
    <w:rsid w:val="000937F0"/>
    <w:rsid w:val="0009392B"/>
    <w:rsid w:val="0009393E"/>
    <w:rsid w:val="00093AFA"/>
    <w:rsid w:val="00093B88"/>
    <w:rsid w:val="00093C04"/>
    <w:rsid w:val="00093C4A"/>
    <w:rsid w:val="00093E2A"/>
    <w:rsid w:val="00093EBA"/>
    <w:rsid w:val="00093FEB"/>
    <w:rsid w:val="0009405A"/>
    <w:rsid w:val="00094102"/>
    <w:rsid w:val="0009417F"/>
    <w:rsid w:val="000941B1"/>
    <w:rsid w:val="000942E0"/>
    <w:rsid w:val="00094353"/>
    <w:rsid w:val="00094496"/>
    <w:rsid w:val="000944D8"/>
    <w:rsid w:val="00094696"/>
    <w:rsid w:val="0009478A"/>
    <w:rsid w:val="000947AE"/>
    <w:rsid w:val="00094849"/>
    <w:rsid w:val="00094867"/>
    <w:rsid w:val="00094913"/>
    <w:rsid w:val="00094AC8"/>
    <w:rsid w:val="00094B14"/>
    <w:rsid w:val="00094B79"/>
    <w:rsid w:val="00094C10"/>
    <w:rsid w:val="00094E50"/>
    <w:rsid w:val="00094F04"/>
    <w:rsid w:val="00094F92"/>
    <w:rsid w:val="00094FB1"/>
    <w:rsid w:val="00095334"/>
    <w:rsid w:val="00095535"/>
    <w:rsid w:val="0009570B"/>
    <w:rsid w:val="00095A81"/>
    <w:rsid w:val="00095A88"/>
    <w:rsid w:val="00095B64"/>
    <w:rsid w:val="00095BB4"/>
    <w:rsid w:val="00095C02"/>
    <w:rsid w:val="00095C66"/>
    <w:rsid w:val="00095F02"/>
    <w:rsid w:val="00095F2F"/>
    <w:rsid w:val="00095FA0"/>
    <w:rsid w:val="00096127"/>
    <w:rsid w:val="00096139"/>
    <w:rsid w:val="000961A0"/>
    <w:rsid w:val="00096241"/>
    <w:rsid w:val="00096375"/>
    <w:rsid w:val="000963C0"/>
    <w:rsid w:val="000963DA"/>
    <w:rsid w:val="00096422"/>
    <w:rsid w:val="00096576"/>
    <w:rsid w:val="00096582"/>
    <w:rsid w:val="00096634"/>
    <w:rsid w:val="00096637"/>
    <w:rsid w:val="00096699"/>
    <w:rsid w:val="000966CB"/>
    <w:rsid w:val="00096736"/>
    <w:rsid w:val="000968B5"/>
    <w:rsid w:val="00096990"/>
    <w:rsid w:val="000969CD"/>
    <w:rsid w:val="000969DA"/>
    <w:rsid w:val="00096AC6"/>
    <w:rsid w:val="00096B87"/>
    <w:rsid w:val="00096BC4"/>
    <w:rsid w:val="00096CAF"/>
    <w:rsid w:val="00096E7C"/>
    <w:rsid w:val="00096FF1"/>
    <w:rsid w:val="000970EA"/>
    <w:rsid w:val="000971AC"/>
    <w:rsid w:val="000971B6"/>
    <w:rsid w:val="000971BB"/>
    <w:rsid w:val="000972A4"/>
    <w:rsid w:val="000972FD"/>
    <w:rsid w:val="0009736F"/>
    <w:rsid w:val="000973FF"/>
    <w:rsid w:val="000974F9"/>
    <w:rsid w:val="000975F8"/>
    <w:rsid w:val="00097655"/>
    <w:rsid w:val="0009769E"/>
    <w:rsid w:val="000976C6"/>
    <w:rsid w:val="000976E5"/>
    <w:rsid w:val="000978B7"/>
    <w:rsid w:val="000978D5"/>
    <w:rsid w:val="000978F6"/>
    <w:rsid w:val="0009796C"/>
    <w:rsid w:val="00097995"/>
    <w:rsid w:val="00097B1C"/>
    <w:rsid w:val="00097B48"/>
    <w:rsid w:val="00097B79"/>
    <w:rsid w:val="00097BDB"/>
    <w:rsid w:val="00097BE9"/>
    <w:rsid w:val="00097F46"/>
    <w:rsid w:val="000A016F"/>
    <w:rsid w:val="000A020A"/>
    <w:rsid w:val="000A027B"/>
    <w:rsid w:val="000A03DA"/>
    <w:rsid w:val="000A04D0"/>
    <w:rsid w:val="000A04E1"/>
    <w:rsid w:val="000A05A3"/>
    <w:rsid w:val="000A0829"/>
    <w:rsid w:val="000A08CB"/>
    <w:rsid w:val="000A0906"/>
    <w:rsid w:val="000A092D"/>
    <w:rsid w:val="000A09A7"/>
    <w:rsid w:val="000A0A77"/>
    <w:rsid w:val="000A0B0F"/>
    <w:rsid w:val="000A0CAA"/>
    <w:rsid w:val="000A1036"/>
    <w:rsid w:val="000A105C"/>
    <w:rsid w:val="000A10EE"/>
    <w:rsid w:val="000A11D0"/>
    <w:rsid w:val="000A120A"/>
    <w:rsid w:val="000A120B"/>
    <w:rsid w:val="000A1480"/>
    <w:rsid w:val="000A16B2"/>
    <w:rsid w:val="000A177A"/>
    <w:rsid w:val="000A17D6"/>
    <w:rsid w:val="000A17FF"/>
    <w:rsid w:val="000A18C8"/>
    <w:rsid w:val="000A19ED"/>
    <w:rsid w:val="000A19FF"/>
    <w:rsid w:val="000A1A2F"/>
    <w:rsid w:val="000A1A88"/>
    <w:rsid w:val="000A1ADE"/>
    <w:rsid w:val="000A1AE7"/>
    <w:rsid w:val="000A1B2A"/>
    <w:rsid w:val="000A1BAD"/>
    <w:rsid w:val="000A1C00"/>
    <w:rsid w:val="000A1C37"/>
    <w:rsid w:val="000A1C58"/>
    <w:rsid w:val="000A1CDA"/>
    <w:rsid w:val="000A1D22"/>
    <w:rsid w:val="000A1DC2"/>
    <w:rsid w:val="000A1E4D"/>
    <w:rsid w:val="000A1FED"/>
    <w:rsid w:val="000A202A"/>
    <w:rsid w:val="000A2216"/>
    <w:rsid w:val="000A23B4"/>
    <w:rsid w:val="000A243A"/>
    <w:rsid w:val="000A246F"/>
    <w:rsid w:val="000A26EE"/>
    <w:rsid w:val="000A277A"/>
    <w:rsid w:val="000A2927"/>
    <w:rsid w:val="000A2979"/>
    <w:rsid w:val="000A2A8C"/>
    <w:rsid w:val="000A2B40"/>
    <w:rsid w:val="000A2BEF"/>
    <w:rsid w:val="000A2D1E"/>
    <w:rsid w:val="000A2D8E"/>
    <w:rsid w:val="000A3086"/>
    <w:rsid w:val="000A3229"/>
    <w:rsid w:val="000A325B"/>
    <w:rsid w:val="000A331D"/>
    <w:rsid w:val="000A3335"/>
    <w:rsid w:val="000A33F3"/>
    <w:rsid w:val="000A352E"/>
    <w:rsid w:val="000A3552"/>
    <w:rsid w:val="000A36BD"/>
    <w:rsid w:val="000A37D0"/>
    <w:rsid w:val="000A3916"/>
    <w:rsid w:val="000A393B"/>
    <w:rsid w:val="000A3A01"/>
    <w:rsid w:val="000A3CA3"/>
    <w:rsid w:val="000A4170"/>
    <w:rsid w:val="000A4236"/>
    <w:rsid w:val="000A4298"/>
    <w:rsid w:val="000A4435"/>
    <w:rsid w:val="000A4533"/>
    <w:rsid w:val="000A4546"/>
    <w:rsid w:val="000A45F6"/>
    <w:rsid w:val="000A4639"/>
    <w:rsid w:val="000A4770"/>
    <w:rsid w:val="000A487D"/>
    <w:rsid w:val="000A4989"/>
    <w:rsid w:val="000A499D"/>
    <w:rsid w:val="000A49EA"/>
    <w:rsid w:val="000A49FB"/>
    <w:rsid w:val="000A4A19"/>
    <w:rsid w:val="000A4AA1"/>
    <w:rsid w:val="000A4B6A"/>
    <w:rsid w:val="000A4C64"/>
    <w:rsid w:val="000A4D19"/>
    <w:rsid w:val="000A4E35"/>
    <w:rsid w:val="000A4F21"/>
    <w:rsid w:val="000A50B9"/>
    <w:rsid w:val="000A5141"/>
    <w:rsid w:val="000A519E"/>
    <w:rsid w:val="000A51C9"/>
    <w:rsid w:val="000A5247"/>
    <w:rsid w:val="000A529B"/>
    <w:rsid w:val="000A5520"/>
    <w:rsid w:val="000A5521"/>
    <w:rsid w:val="000A5552"/>
    <w:rsid w:val="000A5864"/>
    <w:rsid w:val="000A59B7"/>
    <w:rsid w:val="000A59C9"/>
    <w:rsid w:val="000A5A53"/>
    <w:rsid w:val="000A5A8D"/>
    <w:rsid w:val="000A5B32"/>
    <w:rsid w:val="000A5B3D"/>
    <w:rsid w:val="000A5B48"/>
    <w:rsid w:val="000A5B92"/>
    <w:rsid w:val="000A5BAC"/>
    <w:rsid w:val="000A5C2E"/>
    <w:rsid w:val="000A5D6E"/>
    <w:rsid w:val="000A5D8E"/>
    <w:rsid w:val="000A6039"/>
    <w:rsid w:val="000A612F"/>
    <w:rsid w:val="000A617B"/>
    <w:rsid w:val="000A628B"/>
    <w:rsid w:val="000A63FF"/>
    <w:rsid w:val="000A6402"/>
    <w:rsid w:val="000A644B"/>
    <w:rsid w:val="000A6477"/>
    <w:rsid w:val="000A669C"/>
    <w:rsid w:val="000A66F0"/>
    <w:rsid w:val="000A67AF"/>
    <w:rsid w:val="000A69A4"/>
    <w:rsid w:val="000A69EF"/>
    <w:rsid w:val="000A6A4A"/>
    <w:rsid w:val="000A6B91"/>
    <w:rsid w:val="000A6BDB"/>
    <w:rsid w:val="000A6C8A"/>
    <w:rsid w:val="000A6D8A"/>
    <w:rsid w:val="000A70E2"/>
    <w:rsid w:val="000A718F"/>
    <w:rsid w:val="000A7204"/>
    <w:rsid w:val="000A722C"/>
    <w:rsid w:val="000A723C"/>
    <w:rsid w:val="000A73DB"/>
    <w:rsid w:val="000A7429"/>
    <w:rsid w:val="000A742A"/>
    <w:rsid w:val="000A742F"/>
    <w:rsid w:val="000A7544"/>
    <w:rsid w:val="000A75AE"/>
    <w:rsid w:val="000A76B4"/>
    <w:rsid w:val="000A77DA"/>
    <w:rsid w:val="000A7839"/>
    <w:rsid w:val="000A79C8"/>
    <w:rsid w:val="000A79DD"/>
    <w:rsid w:val="000A79E5"/>
    <w:rsid w:val="000A7BCD"/>
    <w:rsid w:val="000A7D70"/>
    <w:rsid w:val="000A7DC4"/>
    <w:rsid w:val="000A7E66"/>
    <w:rsid w:val="000A7EA4"/>
    <w:rsid w:val="000A7EEA"/>
    <w:rsid w:val="000A7F37"/>
    <w:rsid w:val="000A7F68"/>
    <w:rsid w:val="000B0026"/>
    <w:rsid w:val="000B0030"/>
    <w:rsid w:val="000B0031"/>
    <w:rsid w:val="000B006B"/>
    <w:rsid w:val="000B0127"/>
    <w:rsid w:val="000B0147"/>
    <w:rsid w:val="000B04BE"/>
    <w:rsid w:val="000B04F1"/>
    <w:rsid w:val="000B05E1"/>
    <w:rsid w:val="000B0769"/>
    <w:rsid w:val="000B095B"/>
    <w:rsid w:val="000B0AF9"/>
    <w:rsid w:val="000B0B21"/>
    <w:rsid w:val="000B0B75"/>
    <w:rsid w:val="000B0C2B"/>
    <w:rsid w:val="000B0D74"/>
    <w:rsid w:val="000B0DCE"/>
    <w:rsid w:val="000B0EA3"/>
    <w:rsid w:val="000B0F3E"/>
    <w:rsid w:val="000B0FD7"/>
    <w:rsid w:val="000B0FE4"/>
    <w:rsid w:val="000B12BB"/>
    <w:rsid w:val="000B1317"/>
    <w:rsid w:val="000B1406"/>
    <w:rsid w:val="000B1548"/>
    <w:rsid w:val="000B160F"/>
    <w:rsid w:val="000B16C1"/>
    <w:rsid w:val="000B17AF"/>
    <w:rsid w:val="000B17EA"/>
    <w:rsid w:val="000B1A42"/>
    <w:rsid w:val="000B1A7B"/>
    <w:rsid w:val="000B1A84"/>
    <w:rsid w:val="000B1C23"/>
    <w:rsid w:val="000B1C50"/>
    <w:rsid w:val="000B1DAC"/>
    <w:rsid w:val="000B1E31"/>
    <w:rsid w:val="000B1EA2"/>
    <w:rsid w:val="000B1F17"/>
    <w:rsid w:val="000B1FB8"/>
    <w:rsid w:val="000B21EB"/>
    <w:rsid w:val="000B2357"/>
    <w:rsid w:val="000B2518"/>
    <w:rsid w:val="000B258B"/>
    <w:rsid w:val="000B25B1"/>
    <w:rsid w:val="000B26E8"/>
    <w:rsid w:val="000B2726"/>
    <w:rsid w:val="000B281C"/>
    <w:rsid w:val="000B2849"/>
    <w:rsid w:val="000B2899"/>
    <w:rsid w:val="000B29CF"/>
    <w:rsid w:val="000B2CA7"/>
    <w:rsid w:val="000B2D3E"/>
    <w:rsid w:val="000B2D41"/>
    <w:rsid w:val="000B2EE8"/>
    <w:rsid w:val="000B2F40"/>
    <w:rsid w:val="000B303A"/>
    <w:rsid w:val="000B3224"/>
    <w:rsid w:val="000B323B"/>
    <w:rsid w:val="000B3363"/>
    <w:rsid w:val="000B355E"/>
    <w:rsid w:val="000B35B6"/>
    <w:rsid w:val="000B3620"/>
    <w:rsid w:val="000B3726"/>
    <w:rsid w:val="000B3730"/>
    <w:rsid w:val="000B378A"/>
    <w:rsid w:val="000B3B46"/>
    <w:rsid w:val="000B3BDC"/>
    <w:rsid w:val="000B3D7E"/>
    <w:rsid w:val="000B3E79"/>
    <w:rsid w:val="000B3EBF"/>
    <w:rsid w:val="000B4022"/>
    <w:rsid w:val="000B4059"/>
    <w:rsid w:val="000B4308"/>
    <w:rsid w:val="000B4320"/>
    <w:rsid w:val="000B4508"/>
    <w:rsid w:val="000B4657"/>
    <w:rsid w:val="000B46E7"/>
    <w:rsid w:val="000B471B"/>
    <w:rsid w:val="000B48C7"/>
    <w:rsid w:val="000B4941"/>
    <w:rsid w:val="000B49DE"/>
    <w:rsid w:val="000B4BCD"/>
    <w:rsid w:val="000B4BF7"/>
    <w:rsid w:val="000B4C52"/>
    <w:rsid w:val="000B4E5F"/>
    <w:rsid w:val="000B4E74"/>
    <w:rsid w:val="000B4E80"/>
    <w:rsid w:val="000B4EE7"/>
    <w:rsid w:val="000B4FD6"/>
    <w:rsid w:val="000B506A"/>
    <w:rsid w:val="000B5080"/>
    <w:rsid w:val="000B538A"/>
    <w:rsid w:val="000B5524"/>
    <w:rsid w:val="000B5609"/>
    <w:rsid w:val="000B5611"/>
    <w:rsid w:val="000B5630"/>
    <w:rsid w:val="000B566E"/>
    <w:rsid w:val="000B57CE"/>
    <w:rsid w:val="000B58AB"/>
    <w:rsid w:val="000B599C"/>
    <w:rsid w:val="000B59D7"/>
    <w:rsid w:val="000B5A30"/>
    <w:rsid w:val="000B5B0A"/>
    <w:rsid w:val="000B5B15"/>
    <w:rsid w:val="000B5C0D"/>
    <w:rsid w:val="000B5C17"/>
    <w:rsid w:val="000B5CA9"/>
    <w:rsid w:val="000B5CCA"/>
    <w:rsid w:val="000B5CCD"/>
    <w:rsid w:val="000B5CE7"/>
    <w:rsid w:val="000B5D39"/>
    <w:rsid w:val="000B5DC5"/>
    <w:rsid w:val="000B5E2C"/>
    <w:rsid w:val="000B5E4A"/>
    <w:rsid w:val="000B5E5F"/>
    <w:rsid w:val="000B5E9C"/>
    <w:rsid w:val="000B5EA5"/>
    <w:rsid w:val="000B5F07"/>
    <w:rsid w:val="000B5FC5"/>
    <w:rsid w:val="000B612A"/>
    <w:rsid w:val="000B61EC"/>
    <w:rsid w:val="000B64D8"/>
    <w:rsid w:val="000B65C2"/>
    <w:rsid w:val="000B6777"/>
    <w:rsid w:val="000B6842"/>
    <w:rsid w:val="000B691A"/>
    <w:rsid w:val="000B69D8"/>
    <w:rsid w:val="000B6A4A"/>
    <w:rsid w:val="000B6B3B"/>
    <w:rsid w:val="000B6E57"/>
    <w:rsid w:val="000B6E5F"/>
    <w:rsid w:val="000B6E9D"/>
    <w:rsid w:val="000B6EA6"/>
    <w:rsid w:val="000B6FC3"/>
    <w:rsid w:val="000B70B9"/>
    <w:rsid w:val="000B70CF"/>
    <w:rsid w:val="000B7187"/>
    <w:rsid w:val="000B71E5"/>
    <w:rsid w:val="000B7283"/>
    <w:rsid w:val="000B76DA"/>
    <w:rsid w:val="000B76DB"/>
    <w:rsid w:val="000B780A"/>
    <w:rsid w:val="000B78B6"/>
    <w:rsid w:val="000B79A1"/>
    <w:rsid w:val="000B7A1B"/>
    <w:rsid w:val="000B7A60"/>
    <w:rsid w:val="000B7A68"/>
    <w:rsid w:val="000B7BB7"/>
    <w:rsid w:val="000B7CFB"/>
    <w:rsid w:val="000B7D1A"/>
    <w:rsid w:val="000B7F23"/>
    <w:rsid w:val="000B7F77"/>
    <w:rsid w:val="000BE2AF"/>
    <w:rsid w:val="000BFE0A"/>
    <w:rsid w:val="000C0034"/>
    <w:rsid w:val="000C00B5"/>
    <w:rsid w:val="000C034B"/>
    <w:rsid w:val="000C0395"/>
    <w:rsid w:val="000C03BD"/>
    <w:rsid w:val="000C048D"/>
    <w:rsid w:val="000C055F"/>
    <w:rsid w:val="000C0651"/>
    <w:rsid w:val="000C0775"/>
    <w:rsid w:val="000C077F"/>
    <w:rsid w:val="000C07BA"/>
    <w:rsid w:val="000C07E3"/>
    <w:rsid w:val="000C07FE"/>
    <w:rsid w:val="000C090E"/>
    <w:rsid w:val="000C0928"/>
    <w:rsid w:val="000C09F7"/>
    <w:rsid w:val="000C0B81"/>
    <w:rsid w:val="000C0BC7"/>
    <w:rsid w:val="000C0C06"/>
    <w:rsid w:val="000C0D7E"/>
    <w:rsid w:val="000C0E2A"/>
    <w:rsid w:val="000C0EFE"/>
    <w:rsid w:val="000C0F24"/>
    <w:rsid w:val="000C0F70"/>
    <w:rsid w:val="000C0F8C"/>
    <w:rsid w:val="000C0FB3"/>
    <w:rsid w:val="000C1024"/>
    <w:rsid w:val="000C1069"/>
    <w:rsid w:val="000C12F8"/>
    <w:rsid w:val="000C1380"/>
    <w:rsid w:val="000C142B"/>
    <w:rsid w:val="000C14C6"/>
    <w:rsid w:val="000C19A4"/>
    <w:rsid w:val="000C1AAA"/>
    <w:rsid w:val="000C1BF6"/>
    <w:rsid w:val="000C1C00"/>
    <w:rsid w:val="000C1D40"/>
    <w:rsid w:val="000C1D8B"/>
    <w:rsid w:val="000C1DE2"/>
    <w:rsid w:val="000C1FFB"/>
    <w:rsid w:val="000C202D"/>
    <w:rsid w:val="000C2106"/>
    <w:rsid w:val="000C22AC"/>
    <w:rsid w:val="000C23ED"/>
    <w:rsid w:val="000C2500"/>
    <w:rsid w:val="000C253B"/>
    <w:rsid w:val="000C25D7"/>
    <w:rsid w:val="000C2729"/>
    <w:rsid w:val="000C2780"/>
    <w:rsid w:val="000C2921"/>
    <w:rsid w:val="000C293A"/>
    <w:rsid w:val="000C2B2C"/>
    <w:rsid w:val="000C2BD1"/>
    <w:rsid w:val="000C2D4C"/>
    <w:rsid w:val="000C2EAD"/>
    <w:rsid w:val="000C2F82"/>
    <w:rsid w:val="000C316B"/>
    <w:rsid w:val="000C3214"/>
    <w:rsid w:val="000C3226"/>
    <w:rsid w:val="000C330A"/>
    <w:rsid w:val="000C3363"/>
    <w:rsid w:val="000C35A9"/>
    <w:rsid w:val="000C35E9"/>
    <w:rsid w:val="000C35FB"/>
    <w:rsid w:val="000C3605"/>
    <w:rsid w:val="000C368A"/>
    <w:rsid w:val="000C36C7"/>
    <w:rsid w:val="000C3748"/>
    <w:rsid w:val="000C374F"/>
    <w:rsid w:val="000C37B4"/>
    <w:rsid w:val="000C382E"/>
    <w:rsid w:val="000C3845"/>
    <w:rsid w:val="000C3859"/>
    <w:rsid w:val="000C38E2"/>
    <w:rsid w:val="000C3BB5"/>
    <w:rsid w:val="000C3BE9"/>
    <w:rsid w:val="000C3C78"/>
    <w:rsid w:val="000C3E23"/>
    <w:rsid w:val="000C3EB5"/>
    <w:rsid w:val="000C3FD7"/>
    <w:rsid w:val="000C440B"/>
    <w:rsid w:val="000C448C"/>
    <w:rsid w:val="000C44F5"/>
    <w:rsid w:val="000C4566"/>
    <w:rsid w:val="000C474E"/>
    <w:rsid w:val="000C478A"/>
    <w:rsid w:val="000C4855"/>
    <w:rsid w:val="000C4913"/>
    <w:rsid w:val="000C4981"/>
    <w:rsid w:val="000C4A5C"/>
    <w:rsid w:val="000C4BAC"/>
    <w:rsid w:val="000C4BB4"/>
    <w:rsid w:val="000C4BC5"/>
    <w:rsid w:val="000C4C5B"/>
    <w:rsid w:val="000C4CE3"/>
    <w:rsid w:val="000C4D4F"/>
    <w:rsid w:val="000C4DEA"/>
    <w:rsid w:val="000C4E6E"/>
    <w:rsid w:val="000C4EE7"/>
    <w:rsid w:val="000C4F18"/>
    <w:rsid w:val="000C4FFD"/>
    <w:rsid w:val="000C51DA"/>
    <w:rsid w:val="000C5224"/>
    <w:rsid w:val="000C528B"/>
    <w:rsid w:val="000C5291"/>
    <w:rsid w:val="000C533C"/>
    <w:rsid w:val="000C5481"/>
    <w:rsid w:val="000C58F0"/>
    <w:rsid w:val="000C596C"/>
    <w:rsid w:val="000C59FB"/>
    <w:rsid w:val="000C5AAC"/>
    <w:rsid w:val="000C5C61"/>
    <w:rsid w:val="000C5CA8"/>
    <w:rsid w:val="000C5CB6"/>
    <w:rsid w:val="000C5D77"/>
    <w:rsid w:val="000C5DD2"/>
    <w:rsid w:val="000C5E9B"/>
    <w:rsid w:val="000C5ED3"/>
    <w:rsid w:val="000C5EED"/>
    <w:rsid w:val="000C5F76"/>
    <w:rsid w:val="000C6035"/>
    <w:rsid w:val="000C6083"/>
    <w:rsid w:val="000C615C"/>
    <w:rsid w:val="000C61F9"/>
    <w:rsid w:val="000C6308"/>
    <w:rsid w:val="000C634D"/>
    <w:rsid w:val="000C657E"/>
    <w:rsid w:val="000C6680"/>
    <w:rsid w:val="000C670C"/>
    <w:rsid w:val="000C675E"/>
    <w:rsid w:val="000C67AD"/>
    <w:rsid w:val="000C67FB"/>
    <w:rsid w:val="000C68EB"/>
    <w:rsid w:val="000C6954"/>
    <w:rsid w:val="000C6967"/>
    <w:rsid w:val="000C69D6"/>
    <w:rsid w:val="000C6B08"/>
    <w:rsid w:val="000C6B80"/>
    <w:rsid w:val="000C6CF3"/>
    <w:rsid w:val="000C6D8E"/>
    <w:rsid w:val="000C6DAB"/>
    <w:rsid w:val="000C6FA6"/>
    <w:rsid w:val="000C7238"/>
    <w:rsid w:val="000C7367"/>
    <w:rsid w:val="000C75CB"/>
    <w:rsid w:val="000C76CE"/>
    <w:rsid w:val="000C77B3"/>
    <w:rsid w:val="000C7800"/>
    <w:rsid w:val="000C78FE"/>
    <w:rsid w:val="000C7B5D"/>
    <w:rsid w:val="000C7CFB"/>
    <w:rsid w:val="000C7DED"/>
    <w:rsid w:val="000C7FF2"/>
    <w:rsid w:val="000D00B0"/>
    <w:rsid w:val="000D0346"/>
    <w:rsid w:val="000D05E5"/>
    <w:rsid w:val="000D0637"/>
    <w:rsid w:val="000D0672"/>
    <w:rsid w:val="000D0866"/>
    <w:rsid w:val="000D092C"/>
    <w:rsid w:val="000D0A97"/>
    <w:rsid w:val="000D0A98"/>
    <w:rsid w:val="000D0AFA"/>
    <w:rsid w:val="000D0C14"/>
    <w:rsid w:val="000D0C4B"/>
    <w:rsid w:val="000D0C82"/>
    <w:rsid w:val="000D0CBC"/>
    <w:rsid w:val="000D0D42"/>
    <w:rsid w:val="000D0E3B"/>
    <w:rsid w:val="000D100C"/>
    <w:rsid w:val="000D1200"/>
    <w:rsid w:val="000D15FA"/>
    <w:rsid w:val="000D160E"/>
    <w:rsid w:val="000D1650"/>
    <w:rsid w:val="000D1675"/>
    <w:rsid w:val="000D1787"/>
    <w:rsid w:val="000D17C0"/>
    <w:rsid w:val="000D18E7"/>
    <w:rsid w:val="000D1976"/>
    <w:rsid w:val="000D1B7B"/>
    <w:rsid w:val="000D1BA6"/>
    <w:rsid w:val="000D1BC7"/>
    <w:rsid w:val="000D1D13"/>
    <w:rsid w:val="000D1DBA"/>
    <w:rsid w:val="000D1E1B"/>
    <w:rsid w:val="000D1E87"/>
    <w:rsid w:val="000D1ED1"/>
    <w:rsid w:val="000D2007"/>
    <w:rsid w:val="000D2037"/>
    <w:rsid w:val="000D203E"/>
    <w:rsid w:val="000D20DB"/>
    <w:rsid w:val="000D2124"/>
    <w:rsid w:val="000D2488"/>
    <w:rsid w:val="000D24AC"/>
    <w:rsid w:val="000D27DF"/>
    <w:rsid w:val="000D27F7"/>
    <w:rsid w:val="000D2835"/>
    <w:rsid w:val="000D2A14"/>
    <w:rsid w:val="000D2ACB"/>
    <w:rsid w:val="000D2B25"/>
    <w:rsid w:val="000D2B74"/>
    <w:rsid w:val="000D2BAE"/>
    <w:rsid w:val="000D2BD4"/>
    <w:rsid w:val="000D2BFF"/>
    <w:rsid w:val="000D2CDE"/>
    <w:rsid w:val="000D2CE4"/>
    <w:rsid w:val="000D2DE4"/>
    <w:rsid w:val="000D2E0A"/>
    <w:rsid w:val="000D2EDD"/>
    <w:rsid w:val="000D32BC"/>
    <w:rsid w:val="000D32FF"/>
    <w:rsid w:val="000D35CA"/>
    <w:rsid w:val="000D365A"/>
    <w:rsid w:val="000D36E2"/>
    <w:rsid w:val="000D37BD"/>
    <w:rsid w:val="000D37F1"/>
    <w:rsid w:val="000D3962"/>
    <w:rsid w:val="000D398A"/>
    <w:rsid w:val="000D39A4"/>
    <w:rsid w:val="000D39D1"/>
    <w:rsid w:val="000D3A0A"/>
    <w:rsid w:val="000D3BE6"/>
    <w:rsid w:val="000D3C26"/>
    <w:rsid w:val="000D3CA4"/>
    <w:rsid w:val="000D3D7E"/>
    <w:rsid w:val="000D3DD7"/>
    <w:rsid w:val="000D3EAA"/>
    <w:rsid w:val="000D3ECB"/>
    <w:rsid w:val="000D3F6D"/>
    <w:rsid w:val="000D40AD"/>
    <w:rsid w:val="000D40DE"/>
    <w:rsid w:val="000D41AE"/>
    <w:rsid w:val="000D422B"/>
    <w:rsid w:val="000D440D"/>
    <w:rsid w:val="000D4492"/>
    <w:rsid w:val="000D4738"/>
    <w:rsid w:val="000D4754"/>
    <w:rsid w:val="000D4783"/>
    <w:rsid w:val="000D47DC"/>
    <w:rsid w:val="000D49A2"/>
    <w:rsid w:val="000D49E6"/>
    <w:rsid w:val="000D4ABC"/>
    <w:rsid w:val="000D4CB2"/>
    <w:rsid w:val="000D4CDE"/>
    <w:rsid w:val="000D4DAA"/>
    <w:rsid w:val="000D4DE0"/>
    <w:rsid w:val="000D4E36"/>
    <w:rsid w:val="000D50B2"/>
    <w:rsid w:val="000D5182"/>
    <w:rsid w:val="000D521C"/>
    <w:rsid w:val="000D5253"/>
    <w:rsid w:val="000D525D"/>
    <w:rsid w:val="000D535B"/>
    <w:rsid w:val="000D5388"/>
    <w:rsid w:val="000D5682"/>
    <w:rsid w:val="000D583E"/>
    <w:rsid w:val="000D588D"/>
    <w:rsid w:val="000D5911"/>
    <w:rsid w:val="000D5912"/>
    <w:rsid w:val="000D59EF"/>
    <w:rsid w:val="000D5AB8"/>
    <w:rsid w:val="000D5C3A"/>
    <w:rsid w:val="000D5CCC"/>
    <w:rsid w:val="000D5CE3"/>
    <w:rsid w:val="000D5E23"/>
    <w:rsid w:val="000D5E5E"/>
    <w:rsid w:val="000D5EFD"/>
    <w:rsid w:val="000D5FDE"/>
    <w:rsid w:val="000D5FFB"/>
    <w:rsid w:val="000D617C"/>
    <w:rsid w:val="000D6270"/>
    <w:rsid w:val="000D62CC"/>
    <w:rsid w:val="000D63C5"/>
    <w:rsid w:val="000D645C"/>
    <w:rsid w:val="000D6484"/>
    <w:rsid w:val="000D64E6"/>
    <w:rsid w:val="000D6510"/>
    <w:rsid w:val="000D6517"/>
    <w:rsid w:val="000D662D"/>
    <w:rsid w:val="000D669C"/>
    <w:rsid w:val="000D67BA"/>
    <w:rsid w:val="000D680D"/>
    <w:rsid w:val="000D68BA"/>
    <w:rsid w:val="000D695C"/>
    <w:rsid w:val="000D69F1"/>
    <w:rsid w:val="000D6B35"/>
    <w:rsid w:val="000D6C0D"/>
    <w:rsid w:val="000D6D2F"/>
    <w:rsid w:val="000D6E0D"/>
    <w:rsid w:val="000D6F2E"/>
    <w:rsid w:val="000D6F54"/>
    <w:rsid w:val="000D6F5E"/>
    <w:rsid w:val="000D7039"/>
    <w:rsid w:val="000D703A"/>
    <w:rsid w:val="000D704A"/>
    <w:rsid w:val="000D71AD"/>
    <w:rsid w:val="000D732D"/>
    <w:rsid w:val="000D74CD"/>
    <w:rsid w:val="000D7584"/>
    <w:rsid w:val="000D75FE"/>
    <w:rsid w:val="000D7682"/>
    <w:rsid w:val="000D7749"/>
    <w:rsid w:val="000D778C"/>
    <w:rsid w:val="000D77D8"/>
    <w:rsid w:val="000D7963"/>
    <w:rsid w:val="000D798F"/>
    <w:rsid w:val="000D7A5F"/>
    <w:rsid w:val="000D7BFF"/>
    <w:rsid w:val="000D7ED7"/>
    <w:rsid w:val="000E0068"/>
    <w:rsid w:val="000E0163"/>
    <w:rsid w:val="000E0196"/>
    <w:rsid w:val="000E01B9"/>
    <w:rsid w:val="000E01D1"/>
    <w:rsid w:val="000E0376"/>
    <w:rsid w:val="000E0426"/>
    <w:rsid w:val="000E0450"/>
    <w:rsid w:val="000E060A"/>
    <w:rsid w:val="000E060B"/>
    <w:rsid w:val="000E0612"/>
    <w:rsid w:val="000E0677"/>
    <w:rsid w:val="000E0862"/>
    <w:rsid w:val="000E0ADC"/>
    <w:rsid w:val="000E0C50"/>
    <w:rsid w:val="000E0C77"/>
    <w:rsid w:val="000E0DA6"/>
    <w:rsid w:val="000E0E3C"/>
    <w:rsid w:val="000E0E44"/>
    <w:rsid w:val="000E0EBD"/>
    <w:rsid w:val="000E10EE"/>
    <w:rsid w:val="000E111C"/>
    <w:rsid w:val="000E137D"/>
    <w:rsid w:val="000E1524"/>
    <w:rsid w:val="000E15A7"/>
    <w:rsid w:val="000E169C"/>
    <w:rsid w:val="000E1AC2"/>
    <w:rsid w:val="000E1B1D"/>
    <w:rsid w:val="000E1BC4"/>
    <w:rsid w:val="000E1D1F"/>
    <w:rsid w:val="000E1DB9"/>
    <w:rsid w:val="000E1E53"/>
    <w:rsid w:val="000E1EBA"/>
    <w:rsid w:val="000E1FA3"/>
    <w:rsid w:val="000E215E"/>
    <w:rsid w:val="000E21BA"/>
    <w:rsid w:val="000E21D2"/>
    <w:rsid w:val="000E2338"/>
    <w:rsid w:val="000E2376"/>
    <w:rsid w:val="000E25AE"/>
    <w:rsid w:val="000E2606"/>
    <w:rsid w:val="000E265F"/>
    <w:rsid w:val="000E26AF"/>
    <w:rsid w:val="000E2709"/>
    <w:rsid w:val="000E272D"/>
    <w:rsid w:val="000E274C"/>
    <w:rsid w:val="000E2792"/>
    <w:rsid w:val="000E292A"/>
    <w:rsid w:val="000E2A75"/>
    <w:rsid w:val="000E2AD7"/>
    <w:rsid w:val="000E2B43"/>
    <w:rsid w:val="000E2B50"/>
    <w:rsid w:val="000E2BCE"/>
    <w:rsid w:val="000E2C94"/>
    <w:rsid w:val="000E2CA2"/>
    <w:rsid w:val="000E2DED"/>
    <w:rsid w:val="000E2E23"/>
    <w:rsid w:val="000E2EA4"/>
    <w:rsid w:val="000E2F47"/>
    <w:rsid w:val="000E2F7D"/>
    <w:rsid w:val="000E3063"/>
    <w:rsid w:val="000E32C5"/>
    <w:rsid w:val="000E32D9"/>
    <w:rsid w:val="000E3376"/>
    <w:rsid w:val="000E33E0"/>
    <w:rsid w:val="000E352F"/>
    <w:rsid w:val="000E35CD"/>
    <w:rsid w:val="000E372E"/>
    <w:rsid w:val="000E377F"/>
    <w:rsid w:val="000E3A3D"/>
    <w:rsid w:val="000E3B33"/>
    <w:rsid w:val="000E3CBC"/>
    <w:rsid w:val="000E3D51"/>
    <w:rsid w:val="000E3D5E"/>
    <w:rsid w:val="000E3D97"/>
    <w:rsid w:val="000E42F5"/>
    <w:rsid w:val="000E440F"/>
    <w:rsid w:val="000E4458"/>
    <w:rsid w:val="000E463A"/>
    <w:rsid w:val="000E4663"/>
    <w:rsid w:val="000E46C2"/>
    <w:rsid w:val="000E4749"/>
    <w:rsid w:val="000E47A1"/>
    <w:rsid w:val="000E4856"/>
    <w:rsid w:val="000E49B5"/>
    <w:rsid w:val="000E4A09"/>
    <w:rsid w:val="000E4AAE"/>
    <w:rsid w:val="000E4ABA"/>
    <w:rsid w:val="000E4DD4"/>
    <w:rsid w:val="000E4DFA"/>
    <w:rsid w:val="000E4F1B"/>
    <w:rsid w:val="000E4F49"/>
    <w:rsid w:val="000E4FEE"/>
    <w:rsid w:val="000E502A"/>
    <w:rsid w:val="000E50B0"/>
    <w:rsid w:val="000E522E"/>
    <w:rsid w:val="000E52C3"/>
    <w:rsid w:val="000E53AB"/>
    <w:rsid w:val="000E53ED"/>
    <w:rsid w:val="000E5500"/>
    <w:rsid w:val="000E5666"/>
    <w:rsid w:val="000E569F"/>
    <w:rsid w:val="000E58A0"/>
    <w:rsid w:val="000E5908"/>
    <w:rsid w:val="000E5A35"/>
    <w:rsid w:val="000E5A9A"/>
    <w:rsid w:val="000E5BCE"/>
    <w:rsid w:val="000E5BD4"/>
    <w:rsid w:val="000E5CC4"/>
    <w:rsid w:val="000E5D4A"/>
    <w:rsid w:val="000E5DFA"/>
    <w:rsid w:val="000E5E2D"/>
    <w:rsid w:val="000E5E7D"/>
    <w:rsid w:val="000E5F37"/>
    <w:rsid w:val="000E6031"/>
    <w:rsid w:val="000E60A2"/>
    <w:rsid w:val="000E63FF"/>
    <w:rsid w:val="000E64AF"/>
    <w:rsid w:val="000E65AA"/>
    <w:rsid w:val="000E67A7"/>
    <w:rsid w:val="000E6999"/>
    <w:rsid w:val="000E6A9B"/>
    <w:rsid w:val="000E6AEC"/>
    <w:rsid w:val="000E6B44"/>
    <w:rsid w:val="000E6E87"/>
    <w:rsid w:val="000E6F76"/>
    <w:rsid w:val="000E6F8B"/>
    <w:rsid w:val="000E71F1"/>
    <w:rsid w:val="000E7280"/>
    <w:rsid w:val="000E7346"/>
    <w:rsid w:val="000E73A7"/>
    <w:rsid w:val="000E743E"/>
    <w:rsid w:val="000E7466"/>
    <w:rsid w:val="000E75D1"/>
    <w:rsid w:val="000E75D8"/>
    <w:rsid w:val="000E761F"/>
    <w:rsid w:val="000E7679"/>
    <w:rsid w:val="000E77B7"/>
    <w:rsid w:val="000E77F3"/>
    <w:rsid w:val="000E7803"/>
    <w:rsid w:val="000E79F2"/>
    <w:rsid w:val="000E7A94"/>
    <w:rsid w:val="000E7B42"/>
    <w:rsid w:val="000E7B51"/>
    <w:rsid w:val="000E7B59"/>
    <w:rsid w:val="000E7B5E"/>
    <w:rsid w:val="000E7C13"/>
    <w:rsid w:val="000E7C5A"/>
    <w:rsid w:val="000E7D22"/>
    <w:rsid w:val="000E7D57"/>
    <w:rsid w:val="000E7DD6"/>
    <w:rsid w:val="000E7DFC"/>
    <w:rsid w:val="000E7F61"/>
    <w:rsid w:val="000F00E1"/>
    <w:rsid w:val="000F01C3"/>
    <w:rsid w:val="000F043E"/>
    <w:rsid w:val="000F0447"/>
    <w:rsid w:val="000F0478"/>
    <w:rsid w:val="000F053F"/>
    <w:rsid w:val="000F0582"/>
    <w:rsid w:val="000F05A2"/>
    <w:rsid w:val="000F068E"/>
    <w:rsid w:val="000F0877"/>
    <w:rsid w:val="000F0A30"/>
    <w:rsid w:val="000F0B85"/>
    <w:rsid w:val="000F0E29"/>
    <w:rsid w:val="000F0EF4"/>
    <w:rsid w:val="000F0FD1"/>
    <w:rsid w:val="000F10D3"/>
    <w:rsid w:val="000F1265"/>
    <w:rsid w:val="000F14AE"/>
    <w:rsid w:val="000F1590"/>
    <w:rsid w:val="000F1627"/>
    <w:rsid w:val="000F1628"/>
    <w:rsid w:val="000F16C4"/>
    <w:rsid w:val="000F1726"/>
    <w:rsid w:val="000F18F5"/>
    <w:rsid w:val="000F1A8D"/>
    <w:rsid w:val="000F1B61"/>
    <w:rsid w:val="000F1D5D"/>
    <w:rsid w:val="000F1DC9"/>
    <w:rsid w:val="000F1E54"/>
    <w:rsid w:val="000F1FED"/>
    <w:rsid w:val="000F2288"/>
    <w:rsid w:val="000F2386"/>
    <w:rsid w:val="000F2425"/>
    <w:rsid w:val="000F2460"/>
    <w:rsid w:val="000F247D"/>
    <w:rsid w:val="000F24DD"/>
    <w:rsid w:val="000F25F2"/>
    <w:rsid w:val="000F2609"/>
    <w:rsid w:val="000F2662"/>
    <w:rsid w:val="000F2664"/>
    <w:rsid w:val="000F27C8"/>
    <w:rsid w:val="000F2825"/>
    <w:rsid w:val="000F28E2"/>
    <w:rsid w:val="000F28E9"/>
    <w:rsid w:val="000F2932"/>
    <w:rsid w:val="000F297D"/>
    <w:rsid w:val="000F2A12"/>
    <w:rsid w:val="000F2A20"/>
    <w:rsid w:val="000F2A53"/>
    <w:rsid w:val="000F2AC1"/>
    <w:rsid w:val="000F2D58"/>
    <w:rsid w:val="000F2E67"/>
    <w:rsid w:val="000F2EFF"/>
    <w:rsid w:val="000F2F4D"/>
    <w:rsid w:val="000F3015"/>
    <w:rsid w:val="000F3101"/>
    <w:rsid w:val="000F31F2"/>
    <w:rsid w:val="000F3385"/>
    <w:rsid w:val="000F3395"/>
    <w:rsid w:val="000F35A5"/>
    <w:rsid w:val="000F367D"/>
    <w:rsid w:val="000F376B"/>
    <w:rsid w:val="000F38A1"/>
    <w:rsid w:val="000F3A40"/>
    <w:rsid w:val="000F3A9D"/>
    <w:rsid w:val="000F3D2F"/>
    <w:rsid w:val="000F3DA8"/>
    <w:rsid w:val="000F3E43"/>
    <w:rsid w:val="000F3EB7"/>
    <w:rsid w:val="000F3EFF"/>
    <w:rsid w:val="000F3F97"/>
    <w:rsid w:val="000F3FD5"/>
    <w:rsid w:val="000F4159"/>
    <w:rsid w:val="000F41A3"/>
    <w:rsid w:val="000F42FF"/>
    <w:rsid w:val="000F4315"/>
    <w:rsid w:val="000F43B6"/>
    <w:rsid w:val="000F43F8"/>
    <w:rsid w:val="000F44E7"/>
    <w:rsid w:val="000F4580"/>
    <w:rsid w:val="000F45BE"/>
    <w:rsid w:val="000F45DF"/>
    <w:rsid w:val="000F474E"/>
    <w:rsid w:val="000F47FA"/>
    <w:rsid w:val="000F495C"/>
    <w:rsid w:val="000F4ABC"/>
    <w:rsid w:val="000F4B27"/>
    <w:rsid w:val="000F4BC7"/>
    <w:rsid w:val="000F4C31"/>
    <w:rsid w:val="000F4D8E"/>
    <w:rsid w:val="000F4DDF"/>
    <w:rsid w:val="000F4E2D"/>
    <w:rsid w:val="000F4E57"/>
    <w:rsid w:val="000F4F57"/>
    <w:rsid w:val="000F4F76"/>
    <w:rsid w:val="000F4FA7"/>
    <w:rsid w:val="000F5139"/>
    <w:rsid w:val="000F51D0"/>
    <w:rsid w:val="000F53E8"/>
    <w:rsid w:val="000F54C1"/>
    <w:rsid w:val="000F552F"/>
    <w:rsid w:val="000F590C"/>
    <w:rsid w:val="000F5915"/>
    <w:rsid w:val="000F591B"/>
    <w:rsid w:val="000F5A82"/>
    <w:rsid w:val="000F5BAE"/>
    <w:rsid w:val="000F5BAF"/>
    <w:rsid w:val="000F5D6E"/>
    <w:rsid w:val="000F5DA0"/>
    <w:rsid w:val="000F5DF4"/>
    <w:rsid w:val="000F5F2F"/>
    <w:rsid w:val="000F5F88"/>
    <w:rsid w:val="000F5F97"/>
    <w:rsid w:val="000F5FF0"/>
    <w:rsid w:val="000F61FD"/>
    <w:rsid w:val="000F6329"/>
    <w:rsid w:val="000F6355"/>
    <w:rsid w:val="000F63ED"/>
    <w:rsid w:val="000F6417"/>
    <w:rsid w:val="000F64B1"/>
    <w:rsid w:val="000F64D6"/>
    <w:rsid w:val="000F6609"/>
    <w:rsid w:val="000F66DB"/>
    <w:rsid w:val="000F66EF"/>
    <w:rsid w:val="000F66F9"/>
    <w:rsid w:val="000F671D"/>
    <w:rsid w:val="000F6743"/>
    <w:rsid w:val="000F6896"/>
    <w:rsid w:val="000F69BC"/>
    <w:rsid w:val="000F69FC"/>
    <w:rsid w:val="000F6BC8"/>
    <w:rsid w:val="000F6C8B"/>
    <w:rsid w:val="000F6EE4"/>
    <w:rsid w:val="000F6FCB"/>
    <w:rsid w:val="000F7082"/>
    <w:rsid w:val="000F7152"/>
    <w:rsid w:val="000F7316"/>
    <w:rsid w:val="000F7344"/>
    <w:rsid w:val="000F7374"/>
    <w:rsid w:val="000F739B"/>
    <w:rsid w:val="000F73B1"/>
    <w:rsid w:val="000F73BF"/>
    <w:rsid w:val="000F73FA"/>
    <w:rsid w:val="000F7429"/>
    <w:rsid w:val="000F7495"/>
    <w:rsid w:val="000F7497"/>
    <w:rsid w:val="000F74A5"/>
    <w:rsid w:val="000F7525"/>
    <w:rsid w:val="000F7564"/>
    <w:rsid w:val="000F7733"/>
    <w:rsid w:val="000F7B04"/>
    <w:rsid w:val="000F7C43"/>
    <w:rsid w:val="000F7C55"/>
    <w:rsid w:val="000F7CE1"/>
    <w:rsid w:val="000F7D82"/>
    <w:rsid w:val="000F7E4D"/>
    <w:rsid w:val="000F7EF3"/>
    <w:rsid w:val="0010001C"/>
    <w:rsid w:val="00100167"/>
    <w:rsid w:val="001001DD"/>
    <w:rsid w:val="001003B7"/>
    <w:rsid w:val="001003DB"/>
    <w:rsid w:val="001003ED"/>
    <w:rsid w:val="00100416"/>
    <w:rsid w:val="00100426"/>
    <w:rsid w:val="00100495"/>
    <w:rsid w:val="001006D0"/>
    <w:rsid w:val="001006D9"/>
    <w:rsid w:val="001006EC"/>
    <w:rsid w:val="001006F4"/>
    <w:rsid w:val="001008D9"/>
    <w:rsid w:val="00100A4F"/>
    <w:rsid w:val="00100B83"/>
    <w:rsid w:val="00100BF4"/>
    <w:rsid w:val="00100F91"/>
    <w:rsid w:val="00101470"/>
    <w:rsid w:val="00101484"/>
    <w:rsid w:val="0010149E"/>
    <w:rsid w:val="001014A4"/>
    <w:rsid w:val="00101711"/>
    <w:rsid w:val="001017AA"/>
    <w:rsid w:val="00101827"/>
    <w:rsid w:val="0010191E"/>
    <w:rsid w:val="001019BC"/>
    <w:rsid w:val="00101A1E"/>
    <w:rsid w:val="00101A30"/>
    <w:rsid w:val="00101A4C"/>
    <w:rsid w:val="00101A62"/>
    <w:rsid w:val="00101AB1"/>
    <w:rsid w:val="00101CB8"/>
    <w:rsid w:val="00101D61"/>
    <w:rsid w:val="00101E90"/>
    <w:rsid w:val="00101F1C"/>
    <w:rsid w:val="00102130"/>
    <w:rsid w:val="001021B8"/>
    <w:rsid w:val="001021FB"/>
    <w:rsid w:val="001022A0"/>
    <w:rsid w:val="0010233B"/>
    <w:rsid w:val="001023E6"/>
    <w:rsid w:val="0010241A"/>
    <w:rsid w:val="0010242E"/>
    <w:rsid w:val="001024D5"/>
    <w:rsid w:val="001028D4"/>
    <w:rsid w:val="00102922"/>
    <w:rsid w:val="0010298D"/>
    <w:rsid w:val="00102A91"/>
    <w:rsid w:val="00102B5A"/>
    <w:rsid w:val="00102CA0"/>
    <w:rsid w:val="00102CBE"/>
    <w:rsid w:val="00102DA7"/>
    <w:rsid w:val="00102DA9"/>
    <w:rsid w:val="00102DFF"/>
    <w:rsid w:val="001030D0"/>
    <w:rsid w:val="00103203"/>
    <w:rsid w:val="001032B0"/>
    <w:rsid w:val="001032E2"/>
    <w:rsid w:val="0010358D"/>
    <w:rsid w:val="00103596"/>
    <w:rsid w:val="0010359A"/>
    <w:rsid w:val="001035A8"/>
    <w:rsid w:val="00103671"/>
    <w:rsid w:val="001037A9"/>
    <w:rsid w:val="001037E2"/>
    <w:rsid w:val="00103926"/>
    <w:rsid w:val="0010398A"/>
    <w:rsid w:val="00103B23"/>
    <w:rsid w:val="00103B68"/>
    <w:rsid w:val="00103B97"/>
    <w:rsid w:val="00103C1C"/>
    <w:rsid w:val="00103C5A"/>
    <w:rsid w:val="00103C65"/>
    <w:rsid w:val="00103D06"/>
    <w:rsid w:val="00103D46"/>
    <w:rsid w:val="00103E62"/>
    <w:rsid w:val="00103E80"/>
    <w:rsid w:val="00103EB4"/>
    <w:rsid w:val="00103EF6"/>
    <w:rsid w:val="00104142"/>
    <w:rsid w:val="001042DC"/>
    <w:rsid w:val="0010430C"/>
    <w:rsid w:val="00104339"/>
    <w:rsid w:val="001044D8"/>
    <w:rsid w:val="001045A8"/>
    <w:rsid w:val="001046A8"/>
    <w:rsid w:val="001047D3"/>
    <w:rsid w:val="001047DB"/>
    <w:rsid w:val="00104950"/>
    <w:rsid w:val="001049C6"/>
    <w:rsid w:val="00104BD0"/>
    <w:rsid w:val="00104C03"/>
    <w:rsid w:val="00104D53"/>
    <w:rsid w:val="00104F4D"/>
    <w:rsid w:val="00104F6B"/>
    <w:rsid w:val="00104FF3"/>
    <w:rsid w:val="001050D5"/>
    <w:rsid w:val="001050EC"/>
    <w:rsid w:val="0010535A"/>
    <w:rsid w:val="00105453"/>
    <w:rsid w:val="0010548F"/>
    <w:rsid w:val="001055C9"/>
    <w:rsid w:val="00105610"/>
    <w:rsid w:val="00105705"/>
    <w:rsid w:val="001058FE"/>
    <w:rsid w:val="00105A06"/>
    <w:rsid w:val="00105B3B"/>
    <w:rsid w:val="00105D08"/>
    <w:rsid w:val="00105E72"/>
    <w:rsid w:val="00105E89"/>
    <w:rsid w:val="00105EE5"/>
    <w:rsid w:val="00106058"/>
    <w:rsid w:val="001060F8"/>
    <w:rsid w:val="0010618D"/>
    <w:rsid w:val="001061EE"/>
    <w:rsid w:val="00106265"/>
    <w:rsid w:val="001062D0"/>
    <w:rsid w:val="0010633A"/>
    <w:rsid w:val="001065B5"/>
    <w:rsid w:val="001065D6"/>
    <w:rsid w:val="001066D4"/>
    <w:rsid w:val="001066F6"/>
    <w:rsid w:val="001067DC"/>
    <w:rsid w:val="001068B0"/>
    <w:rsid w:val="001068D1"/>
    <w:rsid w:val="0010694A"/>
    <w:rsid w:val="001069E3"/>
    <w:rsid w:val="00106A71"/>
    <w:rsid w:val="00106B0C"/>
    <w:rsid w:val="00106C6E"/>
    <w:rsid w:val="00106CCE"/>
    <w:rsid w:val="00106D86"/>
    <w:rsid w:val="00106E7C"/>
    <w:rsid w:val="00106E90"/>
    <w:rsid w:val="00106ECF"/>
    <w:rsid w:val="00106EEF"/>
    <w:rsid w:val="00106F72"/>
    <w:rsid w:val="00107000"/>
    <w:rsid w:val="00107096"/>
    <w:rsid w:val="001070F1"/>
    <w:rsid w:val="001072EA"/>
    <w:rsid w:val="00107414"/>
    <w:rsid w:val="00107463"/>
    <w:rsid w:val="001074DC"/>
    <w:rsid w:val="0010751D"/>
    <w:rsid w:val="00107575"/>
    <w:rsid w:val="00107626"/>
    <w:rsid w:val="0010763D"/>
    <w:rsid w:val="0010777C"/>
    <w:rsid w:val="00107795"/>
    <w:rsid w:val="0010779F"/>
    <w:rsid w:val="001079DC"/>
    <w:rsid w:val="00107B20"/>
    <w:rsid w:val="00107C36"/>
    <w:rsid w:val="00107CBD"/>
    <w:rsid w:val="00107CE2"/>
    <w:rsid w:val="00107D32"/>
    <w:rsid w:val="00107DAE"/>
    <w:rsid w:val="00107E44"/>
    <w:rsid w:val="00107EC1"/>
    <w:rsid w:val="0011007B"/>
    <w:rsid w:val="001100CF"/>
    <w:rsid w:val="001100EF"/>
    <w:rsid w:val="0011012D"/>
    <w:rsid w:val="001101E6"/>
    <w:rsid w:val="0011020D"/>
    <w:rsid w:val="00110243"/>
    <w:rsid w:val="0011025F"/>
    <w:rsid w:val="00110386"/>
    <w:rsid w:val="00110516"/>
    <w:rsid w:val="00110562"/>
    <w:rsid w:val="00110570"/>
    <w:rsid w:val="00110614"/>
    <w:rsid w:val="001106E6"/>
    <w:rsid w:val="001107E9"/>
    <w:rsid w:val="00110858"/>
    <w:rsid w:val="001109E1"/>
    <w:rsid w:val="00110A85"/>
    <w:rsid w:val="00110C04"/>
    <w:rsid w:val="00110F92"/>
    <w:rsid w:val="00110FA9"/>
    <w:rsid w:val="00110FF9"/>
    <w:rsid w:val="00110FFC"/>
    <w:rsid w:val="001110CF"/>
    <w:rsid w:val="001110D7"/>
    <w:rsid w:val="00111160"/>
    <w:rsid w:val="001111A1"/>
    <w:rsid w:val="001111CE"/>
    <w:rsid w:val="001111FA"/>
    <w:rsid w:val="00111235"/>
    <w:rsid w:val="0011127D"/>
    <w:rsid w:val="0011128F"/>
    <w:rsid w:val="001112B7"/>
    <w:rsid w:val="0011133E"/>
    <w:rsid w:val="00111344"/>
    <w:rsid w:val="001113DE"/>
    <w:rsid w:val="0011152B"/>
    <w:rsid w:val="0011179C"/>
    <w:rsid w:val="00111C7C"/>
    <w:rsid w:val="00111E1E"/>
    <w:rsid w:val="00111F29"/>
    <w:rsid w:val="00111F32"/>
    <w:rsid w:val="00111F63"/>
    <w:rsid w:val="00111F73"/>
    <w:rsid w:val="00111FA1"/>
    <w:rsid w:val="00112095"/>
    <w:rsid w:val="001121A9"/>
    <w:rsid w:val="00112264"/>
    <w:rsid w:val="001122E4"/>
    <w:rsid w:val="00112335"/>
    <w:rsid w:val="00112341"/>
    <w:rsid w:val="00112343"/>
    <w:rsid w:val="0011237C"/>
    <w:rsid w:val="0011239E"/>
    <w:rsid w:val="0011245C"/>
    <w:rsid w:val="00112537"/>
    <w:rsid w:val="0011254A"/>
    <w:rsid w:val="00112671"/>
    <w:rsid w:val="001126BD"/>
    <w:rsid w:val="0011281B"/>
    <w:rsid w:val="001129FE"/>
    <w:rsid w:val="00112A38"/>
    <w:rsid w:val="00112AAC"/>
    <w:rsid w:val="00112AB0"/>
    <w:rsid w:val="00112B8C"/>
    <w:rsid w:val="00112B9F"/>
    <w:rsid w:val="00112BD7"/>
    <w:rsid w:val="00112E4B"/>
    <w:rsid w:val="00112F12"/>
    <w:rsid w:val="00112FEE"/>
    <w:rsid w:val="0011307F"/>
    <w:rsid w:val="00113145"/>
    <w:rsid w:val="001132BB"/>
    <w:rsid w:val="0011332F"/>
    <w:rsid w:val="0011345E"/>
    <w:rsid w:val="001134BA"/>
    <w:rsid w:val="00113519"/>
    <w:rsid w:val="001135A5"/>
    <w:rsid w:val="001135AC"/>
    <w:rsid w:val="00113741"/>
    <w:rsid w:val="0011390C"/>
    <w:rsid w:val="00113930"/>
    <w:rsid w:val="00113A1E"/>
    <w:rsid w:val="00113B77"/>
    <w:rsid w:val="00113C81"/>
    <w:rsid w:val="00113CB1"/>
    <w:rsid w:val="00113CED"/>
    <w:rsid w:val="00113DFF"/>
    <w:rsid w:val="00113F38"/>
    <w:rsid w:val="00113F94"/>
    <w:rsid w:val="001140BD"/>
    <w:rsid w:val="0011413C"/>
    <w:rsid w:val="001142EC"/>
    <w:rsid w:val="001144F6"/>
    <w:rsid w:val="001144FA"/>
    <w:rsid w:val="001145C9"/>
    <w:rsid w:val="00114657"/>
    <w:rsid w:val="00114706"/>
    <w:rsid w:val="0011475B"/>
    <w:rsid w:val="001147CD"/>
    <w:rsid w:val="00114880"/>
    <w:rsid w:val="001149A6"/>
    <w:rsid w:val="00114AA9"/>
    <w:rsid w:val="00114ACE"/>
    <w:rsid w:val="00114D74"/>
    <w:rsid w:val="00114EEA"/>
    <w:rsid w:val="00114F5E"/>
    <w:rsid w:val="00115046"/>
    <w:rsid w:val="00115049"/>
    <w:rsid w:val="0011512D"/>
    <w:rsid w:val="00115153"/>
    <w:rsid w:val="001151DB"/>
    <w:rsid w:val="001153E0"/>
    <w:rsid w:val="00115424"/>
    <w:rsid w:val="001154E0"/>
    <w:rsid w:val="00115545"/>
    <w:rsid w:val="0011557A"/>
    <w:rsid w:val="001156BE"/>
    <w:rsid w:val="00115750"/>
    <w:rsid w:val="00115785"/>
    <w:rsid w:val="001157ED"/>
    <w:rsid w:val="0011581D"/>
    <w:rsid w:val="001159AC"/>
    <w:rsid w:val="001159DE"/>
    <w:rsid w:val="00115BA3"/>
    <w:rsid w:val="00115BDC"/>
    <w:rsid w:val="00115BF0"/>
    <w:rsid w:val="00115C14"/>
    <w:rsid w:val="00115C3A"/>
    <w:rsid w:val="00115C69"/>
    <w:rsid w:val="00115DC4"/>
    <w:rsid w:val="00115E92"/>
    <w:rsid w:val="00115EA3"/>
    <w:rsid w:val="00115FEB"/>
    <w:rsid w:val="001161DC"/>
    <w:rsid w:val="00116241"/>
    <w:rsid w:val="001162E3"/>
    <w:rsid w:val="0011635B"/>
    <w:rsid w:val="001163F8"/>
    <w:rsid w:val="00116420"/>
    <w:rsid w:val="0011649C"/>
    <w:rsid w:val="00116597"/>
    <w:rsid w:val="00116613"/>
    <w:rsid w:val="001166FF"/>
    <w:rsid w:val="0011699B"/>
    <w:rsid w:val="00116ADB"/>
    <w:rsid w:val="00116B3C"/>
    <w:rsid w:val="00116C1F"/>
    <w:rsid w:val="00116D5D"/>
    <w:rsid w:val="00116D5E"/>
    <w:rsid w:val="00116D8F"/>
    <w:rsid w:val="00116DA5"/>
    <w:rsid w:val="00116E47"/>
    <w:rsid w:val="00116E64"/>
    <w:rsid w:val="00116F91"/>
    <w:rsid w:val="00116FA3"/>
    <w:rsid w:val="00116FF6"/>
    <w:rsid w:val="001170B1"/>
    <w:rsid w:val="001171CE"/>
    <w:rsid w:val="0011724A"/>
    <w:rsid w:val="001173A3"/>
    <w:rsid w:val="001174C7"/>
    <w:rsid w:val="001174F0"/>
    <w:rsid w:val="001175A2"/>
    <w:rsid w:val="001176C0"/>
    <w:rsid w:val="001178AF"/>
    <w:rsid w:val="00117A42"/>
    <w:rsid w:val="00117D6E"/>
    <w:rsid w:val="00117E09"/>
    <w:rsid w:val="00117E5D"/>
    <w:rsid w:val="00117FED"/>
    <w:rsid w:val="00120250"/>
    <w:rsid w:val="0012031C"/>
    <w:rsid w:val="00120424"/>
    <w:rsid w:val="001205E2"/>
    <w:rsid w:val="00120778"/>
    <w:rsid w:val="00120859"/>
    <w:rsid w:val="00120999"/>
    <w:rsid w:val="00120A38"/>
    <w:rsid w:val="00120A8C"/>
    <w:rsid w:val="00120AAB"/>
    <w:rsid w:val="00120B81"/>
    <w:rsid w:val="00120BCF"/>
    <w:rsid w:val="00120C91"/>
    <w:rsid w:val="00120E90"/>
    <w:rsid w:val="00120FEB"/>
    <w:rsid w:val="00121021"/>
    <w:rsid w:val="00121023"/>
    <w:rsid w:val="00121076"/>
    <w:rsid w:val="00121083"/>
    <w:rsid w:val="00121171"/>
    <w:rsid w:val="001212B4"/>
    <w:rsid w:val="001213CC"/>
    <w:rsid w:val="001214A9"/>
    <w:rsid w:val="00121566"/>
    <w:rsid w:val="00121582"/>
    <w:rsid w:val="001215E8"/>
    <w:rsid w:val="001216B6"/>
    <w:rsid w:val="00121714"/>
    <w:rsid w:val="00121814"/>
    <w:rsid w:val="001218B7"/>
    <w:rsid w:val="001219E5"/>
    <w:rsid w:val="00121A7C"/>
    <w:rsid w:val="00121C7E"/>
    <w:rsid w:val="00121F6B"/>
    <w:rsid w:val="00122009"/>
    <w:rsid w:val="00122161"/>
    <w:rsid w:val="00122247"/>
    <w:rsid w:val="001222A4"/>
    <w:rsid w:val="0012235B"/>
    <w:rsid w:val="00122391"/>
    <w:rsid w:val="001224AE"/>
    <w:rsid w:val="001224FF"/>
    <w:rsid w:val="00122530"/>
    <w:rsid w:val="001226C0"/>
    <w:rsid w:val="00122799"/>
    <w:rsid w:val="001228D9"/>
    <w:rsid w:val="00122900"/>
    <w:rsid w:val="001229F4"/>
    <w:rsid w:val="00122A5C"/>
    <w:rsid w:val="00122B18"/>
    <w:rsid w:val="00122B7D"/>
    <w:rsid w:val="00122BC1"/>
    <w:rsid w:val="00122BFD"/>
    <w:rsid w:val="00122C26"/>
    <w:rsid w:val="00122C83"/>
    <w:rsid w:val="00122CB5"/>
    <w:rsid w:val="00122D55"/>
    <w:rsid w:val="00122E88"/>
    <w:rsid w:val="00123007"/>
    <w:rsid w:val="0012316E"/>
    <w:rsid w:val="001232D6"/>
    <w:rsid w:val="001232ED"/>
    <w:rsid w:val="0012331C"/>
    <w:rsid w:val="001235D3"/>
    <w:rsid w:val="00123625"/>
    <w:rsid w:val="00123759"/>
    <w:rsid w:val="001237C6"/>
    <w:rsid w:val="00123890"/>
    <w:rsid w:val="001238E2"/>
    <w:rsid w:val="00123A66"/>
    <w:rsid w:val="00123B2C"/>
    <w:rsid w:val="00123C0C"/>
    <w:rsid w:val="00123CC1"/>
    <w:rsid w:val="00123D71"/>
    <w:rsid w:val="00123DE9"/>
    <w:rsid w:val="00123F9A"/>
    <w:rsid w:val="00124010"/>
    <w:rsid w:val="0012401B"/>
    <w:rsid w:val="001240F9"/>
    <w:rsid w:val="001241D9"/>
    <w:rsid w:val="00124270"/>
    <w:rsid w:val="001242C6"/>
    <w:rsid w:val="001243F0"/>
    <w:rsid w:val="001244F1"/>
    <w:rsid w:val="00124591"/>
    <w:rsid w:val="001246D7"/>
    <w:rsid w:val="001247CD"/>
    <w:rsid w:val="0012484C"/>
    <w:rsid w:val="001248FC"/>
    <w:rsid w:val="00124A49"/>
    <w:rsid w:val="00124AF9"/>
    <w:rsid w:val="00124B41"/>
    <w:rsid w:val="00124B66"/>
    <w:rsid w:val="00124BA2"/>
    <w:rsid w:val="00124D0C"/>
    <w:rsid w:val="00124D1B"/>
    <w:rsid w:val="00124EF0"/>
    <w:rsid w:val="0012513D"/>
    <w:rsid w:val="001251A4"/>
    <w:rsid w:val="001251BA"/>
    <w:rsid w:val="00125271"/>
    <w:rsid w:val="001252A7"/>
    <w:rsid w:val="001252BB"/>
    <w:rsid w:val="001252EF"/>
    <w:rsid w:val="001253D4"/>
    <w:rsid w:val="00125424"/>
    <w:rsid w:val="00125512"/>
    <w:rsid w:val="0012553D"/>
    <w:rsid w:val="0012579B"/>
    <w:rsid w:val="0012584F"/>
    <w:rsid w:val="00125A6C"/>
    <w:rsid w:val="00125B7A"/>
    <w:rsid w:val="00125CD2"/>
    <w:rsid w:val="00125E68"/>
    <w:rsid w:val="00125F6F"/>
    <w:rsid w:val="00126000"/>
    <w:rsid w:val="0012600C"/>
    <w:rsid w:val="00126301"/>
    <w:rsid w:val="0012637A"/>
    <w:rsid w:val="0012637C"/>
    <w:rsid w:val="00126413"/>
    <w:rsid w:val="001264AC"/>
    <w:rsid w:val="00126599"/>
    <w:rsid w:val="0012667C"/>
    <w:rsid w:val="00126775"/>
    <w:rsid w:val="0012680A"/>
    <w:rsid w:val="0012682B"/>
    <w:rsid w:val="00126913"/>
    <w:rsid w:val="0012696D"/>
    <w:rsid w:val="001269DC"/>
    <w:rsid w:val="00126A2F"/>
    <w:rsid w:val="00126C53"/>
    <w:rsid w:val="00126CFE"/>
    <w:rsid w:val="00126E8B"/>
    <w:rsid w:val="00126F02"/>
    <w:rsid w:val="00127209"/>
    <w:rsid w:val="00127227"/>
    <w:rsid w:val="00127236"/>
    <w:rsid w:val="00127306"/>
    <w:rsid w:val="001274E8"/>
    <w:rsid w:val="001276AF"/>
    <w:rsid w:val="00127754"/>
    <w:rsid w:val="001278D9"/>
    <w:rsid w:val="00127A98"/>
    <w:rsid w:val="00127B9A"/>
    <w:rsid w:val="00127C0D"/>
    <w:rsid w:val="00127C21"/>
    <w:rsid w:val="00127CDF"/>
    <w:rsid w:val="00127DDF"/>
    <w:rsid w:val="00127E02"/>
    <w:rsid w:val="00127EDE"/>
    <w:rsid w:val="0012871B"/>
    <w:rsid w:val="001300F1"/>
    <w:rsid w:val="00130170"/>
    <w:rsid w:val="00130244"/>
    <w:rsid w:val="001303A2"/>
    <w:rsid w:val="00130420"/>
    <w:rsid w:val="00130444"/>
    <w:rsid w:val="00130475"/>
    <w:rsid w:val="001304E6"/>
    <w:rsid w:val="001304ED"/>
    <w:rsid w:val="001305C7"/>
    <w:rsid w:val="001306C6"/>
    <w:rsid w:val="001306D3"/>
    <w:rsid w:val="001307B5"/>
    <w:rsid w:val="001307ED"/>
    <w:rsid w:val="0013083E"/>
    <w:rsid w:val="00130A49"/>
    <w:rsid w:val="00130D49"/>
    <w:rsid w:val="00130DA2"/>
    <w:rsid w:val="00130E30"/>
    <w:rsid w:val="00130E6A"/>
    <w:rsid w:val="00130E7A"/>
    <w:rsid w:val="00130EF4"/>
    <w:rsid w:val="00130F89"/>
    <w:rsid w:val="00130FC6"/>
    <w:rsid w:val="00131068"/>
    <w:rsid w:val="001312D7"/>
    <w:rsid w:val="00131305"/>
    <w:rsid w:val="001313EF"/>
    <w:rsid w:val="001314E8"/>
    <w:rsid w:val="00131625"/>
    <w:rsid w:val="0013162E"/>
    <w:rsid w:val="0013180A"/>
    <w:rsid w:val="0013189C"/>
    <w:rsid w:val="001318D6"/>
    <w:rsid w:val="001318F4"/>
    <w:rsid w:val="00131A39"/>
    <w:rsid w:val="00131E21"/>
    <w:rsid w:val="00131E83"/>
    <w:rsid w:val="00131EA6"/>
    <w:rsid w:val="00132143"/>
    <w:rsid w:val="001321E5"/>
    <w:rsid w:val="001323D1"/>
    <w:rsid w:val="00132480"/>
    <w:rsid w:val="001324A2"/>
    <w:rsid w:val="00132532"/>
    <w:rsid w:val="00132634"/>
    <w:rsid w:val="0013273D"/>
    <w:rsid w:val="001328BB"/>
    <w:rsid w:val="00132914"/>
    <w:rsid w:val="00132A4F"/>
    <w:rsid w:val="00132A80"/>
    <w:rsid w:val="00132AAB"/>
    <w:rsid w:val="00132B27"/>
    <w:rsid w:val="00132BFE"/>
    <w:rsid w:val="00132CFE"/>
    <w:rsid w:val="001331C0"/>
    <w:rsid w:val="00133272"/>
    <w:rsid w:val="0013327D"/>
    <w:rsid w:val="00133371"/>
    <w:rsid w:val="00133454"/>
    <w:rsid w:val="001334ED"/>
    <w:rsid w:val="00133557"/>
    <w:rsid w:val="00133598"/>
    <w:rsid w:val="00133649"/>
    <w:rsid w:val="001336D9"/>
    <w:rsid w:val="00133715"/>
    <w:rsid w:val="00133825"/>
    <w:rsid w:val="001338C9"/>
    <w:rsid w:val="00133989"/>
    <w:rsid w:val="001339A1"/>
    <w:rsid w:val="001339B9"/>
    <w:rsid w:val="00133C2C"/>
    <w:rsid w:val="00133C6C"/>
    <w:rsid w:val="00133CFC"/>
    <w:rsid w:val="00133FF4"/>
    <w:rsid w:val="001340E4"/>
    <w:rsid w:val="0013417E"/>
    <w:rsid w:val="0013431E"/>
    <w:rsid w:val="001343C3"/>
    <w:rsid w:val="0013459B"/>
    <w:rsid w:val="001345B6"/>
    <w:rsid w:val="0013467E"/>
    <w:rsid w:val="0013470D"/>
    <w:rsid w:val="001348C0"/>
    <w:rsid w:val="00134931"/>
    <w:rsid w:val="0013495C"/>
    <w:rsid w:val="00134A0C"/>
    <w:rsid w:val="00134A1A"/>
    <w:rsid w:val="00134A36"/>
    <w:rsid w:val="00134C87"/>
    <w:rsid w:val="00134E95"/>
    <w:rsid w:val="00134FFB"/>
    <w:rsid w:val="001350B3"/>
    <w:rsid w:val="0013510B"/>
    <w:rsid w:val="0013516D"/>
    <w:rsid w:val="001351E4"/>
    <w:rsid w:val="0013521E"/>
    <w:rsid w:val="0013530B"/>
    <w:rsid w:val="0013534D"/>
    <w:rsid w:val="00135373"/>
    <w:rsid w:val="001353AE"/>
    <w:rsid w:val="0013541B"/>
    <w:rsid w:val="001354B0"/>
    <w:rsid w:val="001354EB"/>
    <w:rsid w:val="00135536"/>
    <w:rsid w:val="001355E5"/>
    <w:rsid w:val="001355E9"/>
    <w:rsid w:val="001355EF"/>
    <w:rsid w:val="0013564B"/>
    <w:rsid w:val="00135707"/>
    <w:rsid w:val="001357D8"/>
    <w:rsid w:val="00135829"/>
    <w:rsid w:val="00135979"/>
    <w:rsid w:val="00135A64"/>
    <w:rsid w:val="00135AF0"/>
    <w:rsid w:val="00135B0E"/>
    <w:rsid w:val="00135B1B"/>
    <w:rsid w:val="00135B5C"/>
    <w:rsid w:val="00135B9E"/>
    <w:rsid w:val="00135D3A"/>
    <w:rsid w:val="00135E61"/>
    <w:rsid w:val="00135E87"/>
    <w:rsid w:val="00135E9F"/>
    <w:rsid w:val="00135EB3"/>
    <w:rsid w:val="0013609D"/>
    <w:rsid w:val="001361D6"/>
    <w:rsid w:val="001362AF"/>
    <w:rsid w:val="00136392"/>
    <w:rsid w:val="001363F0"/>
    <w:rsid w:val="00136514"/>
    <w:rsid w:val="0013683D"/>
    <w:rsid w:val="0013689C"/>
    <w:rsid w:val="001368B9"/>
    <w:rsid w:val="00136ADA"/>
    <w:rsid w:val="00136B03"/>
    <w:rsid w:val="00136BAE"/>
    <w:rsid w:val="00136C2F"/>
    <w:rsid w:val="00136C8D"/>
    <w:rsid w:val="00136C9D"/>
    <w:rsid w:val="00136D13"/>
    <w:rsid w:val="00136D14"/>
    <w:rsid w:val="00136D2A"/>
    <w:rsid w:val="00136D6F"/>
    <w:rsid w:val="00136E2A"/>
    <w:rsid w:val="00136EC6"/>
    <w:rsid w:val="00136FED"/>
    <w:rsid w:val="001370CC"/>
    <w:rsid w:val="0013711F"/>
    <w:rsid w:val="0013719C"/>
    <w:rsid w:val="0013735C"/>
    <w:rsid w:val="001373C5"/>
    <w:rsid w:val="00137496"/>
    <w:rsid w:val="0013749A"/>
    <w:rsid w:val="00137541"/>
    <w:rsid w:val="001376DC"/>
    <w:rsid w:val="00137798"/>
    <w:rsid w:val="001377C7"/>
    <w:rsid w:val="00137BED"/>
    <w:rsid w:val="00137C81"/>
    <w:rsid w:val="00137C8F"/>
    <w:rsid w:val="00137CC1"/>
    <w:rsid w:val="00137FD1"/>
    <w:rsid w:val="00140064"/>
    <w:rsid w:val="00140109"/>
    <w:rsid w:val="0014011A"/>
    <w:rsid w:val="00140150"/>
    <w:rsid w:val="001401C0"/>
    <w:rsid w:val="001401CA"/>
    <w:rsid w:val="00140484"/>
    <w:rsid w:val="00140517"/>
    <w:rsid w:val="00140603"/>
    <w:rsid w:val="0014067D"/>
    <w:rsid w:val="00140682"/>
    <w:rsid w:val="001406BB"/>
    <w:rsid w:val="001406C1"/>
    <w:rsid w:val="001406C9"/>
    <w:rsid w:val="00140721"/>
    <w:rsid w:val="001407C8"/>
    <w:rsid w:val="00140838"/>
    <w:rsid w:val="00140855"/>
    <w:rsid w:val="0014096A"/>
    <w:rsid w:val="00140AED"/>
    <w:rsid w:val="00140B87"/>
    <w:rsid w:val="00140B98"/>
    <w:rsid w:val="00140BDC"/>
    <w:rsid w:val="00140D20"/>
    <w:rsid w:val="00140DC2"/>
    <w:rsid w:val="00140DDA"/>
    <w:rsid w:val="00140ECB"/>
    <w:rsid w:val="00140EEC"/>
    <w:rsid w:val="001411FE"/>
    <w:rsid w:val="00141227"/>
    <w:rsid w:val="0014130B"/>
    <w:rsid w:val="0014132A"/>
    <w:rsid w:val="001413CE"/>
    <w:rsid w:val="00141456"/>
    <w:rsid w:val="00141461"/>
    <w:rsid w:val="00141592"/>
    <w:rsid w:val="001415AA"/>
    <w:rsid w:val="0014168C"/>
    <w:rsid w:val="0014183C"/>
    <w:rsid w:val="001419CD"/>
    <w:rsid w:val="00141A09"/>
    <w:rsid w:val="00141A26"/>
    <w:rsid w:val="00141A46"/>
    <w:rsid w:val="00141AAC"/>
    <w:rsid w:val="00141BBE"/>
    <w:rsid w:val="00141D46"/>
    <w:rsid w:val="00141DA8"/>
    <w:rsid w:val="00141E99"/>
    <w:rsid w:val="001420B0"/>
    <w:rsid w:val="00142159"/>
    <w:rsid w:val="001422BA"/>
    <w:rsid w:val="001424AE"/>
    <w:rsid w:val="001426FB"/>
    <w:rsid w:val="00142776"/>
    <w:rsid w:val="0014277F"/>
    <w:rsid w:val="00142798"/>
    <w:rsid w:val="00142A0E"/>
    <w:rsid w:val="00142A60"/>
    <w:rsid w:val="00142A78"/>
    <w:rsid w:val="00142AA0"/>
    <w:rsid w:val="00142AB8"/>
    <w:rsid w:val="00142B31"/>
    <w:rsid w:val="00142BD9"/>
    <w:rsid w:val="00142E3A"/>
    <w:rsid w:val="00142F64"/>
    <w:rsid w:val="0014305A"/>
    <w:rsid w:val="0014313E"/>
    <w:rsid w:val="001431CE"/>
    <w:rsid w:val="0014325A"/>
    <w:rsid w:val="001432AE"/>
    <w:rsid w:val="001432DE"/>
    <w:rsid w:val="00143375"/>
    <w:rsid w:val="001433EC"/>
    <w:rsid w:val="00143410"/>
    <w:rsid w:val="001434DE"/>
    <w:rsid w:val="001434E2"/>
    <w:rsid w:val="00143652"/>
    <w:rsid w:val="001436FF"/>
    <w:rsid w:val="00143783"/>
    <w:rsid w:val="001437C8"/>
    <w:rsid w:val="00143896"/>
    <w:rsid w:val="001439AF"/>
    <w:rsid w:val="00143BF8"/>
    <w:rsid w:val="00143D6A"/>
    <w:rsid w:val="00143E08"/>
    <w:rsid w:val="00143E0B"/>
    <w:rsid w:val="00143E39"/>
    <w:rsid w:val="00143EA1"/>
    <w:rsid w:val="0014400D"/>
    <w:rsid w:val="0014448B"/>
    <w:rsid w:val="00144519"/>
    <w:rsid w:val="0014464F"/>
    <w:rsid w:val="00144703"/>
    <w:rsid w:val="00144A81"/>
    <w:rsid w:val="00144A94"/>
    <w:rsid w:val="00144AA4"/>
    <w:rsid w:val="00144BBB"/>
    <w:rsid w:val="00144C84"/>
    <w:rsid w:val="00144D71"/>
    <w:rsid w:val="00144DE9"/>
    <w:rsid w:val="00144E14"/>
    <w:rsid w:val="00144E8F"/>
    <w:rsid w:val="0014509D"/>
    <w:rsid w:val="00145217"/>
    <w:rsid w:val="0014547E"/>
    <w:rsid w:val="00145565"/>
    <w:rsid w:val="001459CC"/>
    <w:rsid w:val="001459E1"/>
    <w:rsid w:val="00145A34"/>
    <w:rsid w:val="00145A5C"/>
    <w:rsid w:val="00145AA9"/>
    <w:rsid w:val="00145C17"/>
    <w:rsid w:val="00145C19"/>
    <w:rsid w:val="00145C22"/>
    <w:rsid w:val="00145C89"/>
    <w:rsid w:val="00145C8F"/>
    <w:rsid w:val="00145D39"/>
    <w:rsid w:val="00145D71"/>
    <w:rsid w:val="00145ED9"/>
    <w:rsid w:val="00145FE2"/>
    <w:rsid w:val="00145FF3"/>
    <w:rsid w:val="00146088"/>
    <w:rsid w:val="00146089"/>
    <w:rsid w:val="00146169"/>
    <w:rsid w:val="001462F5"/>
    <w:rsid w:val="001464BC"/>
    <w:rsid w:val="00146627"/>
    <w:rsid w:val="00146629"/>
    <w:rsid w:val="00146716"/>
    <w:rsid w:val="0014675D"/>
    <w:rsid w:val="00146A0D"/>
    <w:rsid w:val="00146A18"/>
    <w:rsid w:val="00146ADB"/>
    <w:rsid w:val="00146B6B"/>
    <w:rsid w:val="00146C79"/>
    <w:rsid w:val="00146C8D"/>
    <w:rsid w:val="00146DE7"/>
    <w:rsid w:val="00146F14"/>
    <w:rsid w:val="00146F27"/>
    <w:rsid w:val="00147054"/>
    <w:rsid w:val="001470E8"/>
    <w:rsid w:val="00147157"/>
    <w:rsid w:val="00147238"/>
    <w:rsid w:val="00147264"/>
    <w:rsid w:val="001472AF"/>
    <w:rsid w:val="00147308"/>
    <w:rsid w:val="001474F8"/>
    <w:rsid w:val="00147656"/>
    <w:rsid w:val="00147696"/>
    <w:rsid w:val="001476E8"/>
    <w:rsid w:val="00147768"/>
    <w:rsid w:val="00147909"/>
    <w:rsid w:val="00147AB9"/>
    <w:rsid w:val="00147ACA"/>
    <w:rsid w:val="00147AE1"/>
    <w:rsid w:val="00147BB2"/>
    <w:rsid w:val="00147D04"/>
    <w:rsid w:val="00147D30"/>
    <w:rsid w:val="00147DA9"/>
    <w:rsid w:val="00147FDB"/>
    <w:rsid w:val="0014C314"/>
    <w:rsid w:val="0015007D"/>
    <w:rsid w:val="00150095"/>
    <w:rsid w:val="001500C2"/>
    <w:rsid w:val="001500CE"/>
    <w:rsid w:val="00150223"/>
    <w:rsid w:val="0015022C"/>
    <w:rsid w:val="0015053A"/>
    <w:rsid w:val="00150613"/>
    <w:rsid w:val="00150630"/>
    <w:rsid w:val="00150866"/>
    <w:rsid w:val="0015092C"/>
    <w:rsid w:val="00150BDA"/>
    <w:rsid w:val="00150BEE"/>
    <w:rsid w:val="00150C19"/>
    <w:rsid w:val="00150C20"/>
    <w:rsid w:val="00150D2E"/>
    <w:rsid w:val="00150E09"/>
    <w:rsid w:val="00150EF7"/>
    <w:rsid w:val="00150F1B"/>
    <w:rsid w:val="00150F7D"/>
    <w:rsid w:val="00150FF2"/>
    <w:rsid w:val="00150FFF"/>
    <w:rsid w:val="001510BC"/>
    <w:rsid w:val="001510EF"/>
    <w:rsid w:val="00151180"/>
    <w:rsid w:val="00151181"/>
    <w:rsid w:val="00151199"/>
    <w:rsid w:val="00151205"/>
    <w:rsid w:val="0015129D"/>
    <w:rsid w:val="001512F8"/>
    <w:rsid w:val="0015133C"/>
    <w:rsid w:val="0015148A"/>
    <w:rsid w:val="001515D5"/>
    <w:rsid w:val="001516AD"/>
    <w:rsid w:val="001516B3"/>
    <w:rsid w:val="001516C6"/>
    <w:rsid w:val="00151707"/>
    <w:rsid w:val="0015173B"/>
    <w:rsid w:val="001518D4"/>
    <w:rsid w:val="0015191E"/>
    <w:rsid w:val="0015193D"/>
    <w:rsid w:val="00151955"/>
    <w:rsid w:val="00151BD7"/>
    <w:rsid w:val="00151C8C"/>
    <w:rsid w:val="00151D5D"/>
    <w:rsid w:val="00151D93"/>
    <w:rsid w:val="00151DB3"/>
    <w:rsid w:val="00151DBD"/>
    <w:rsid w:val="00151DDE"/>
    <w:rsid w:val="00151E52"/>
    <w:rsid w:val="00151ED2"/>
    <w:rsid w:val="00151F0E"/>
    <w:rsid w:val="00151F39"/>
    <w:rsid w:val="001520FB"/>
    <w:rsid w:val="00152166"/>
    <w:rsid w:val="001521D9"/>
    <w:rsid w:val="0015221D"/>
    <w:rsid w:val="0015231B"/>
    <w:rsid w:val="001523F6"/>
    <w:rsid w:val="00152417"/>
    <w:rsid w:val="001525A2"/>
    <w:rsid w:val="001525DE"/>
    <w:rsid w:val="0015269F"/>
    <w:rsid w:val="001527A5"/>
    <w:rsid w:val="00152865"/>
    <w:rsid w:val="001528C4"/>
    <w:rsid w:val="00152947"/>
    <w:rsid w:val="001529EA"/>
    <w:rsid w:val="001529F1"/>
    <w:rsid w:val="00152B07"/>
    <w:rsid w:val="00152B65"/>
    <w:rsid w:val="00152C40"/>
    <w:rsid w:val="00152CCB"/>
    <w:rsid w:val="00152D35"/>
    <w:rsid w:val="00152E3B"/>
    <w:rsid w:val="00152EF2"/>
    <w:rsid w:val="0015306B"/>
    <w:rsid w:val="001530A9"/>
    <w:rsid w:val="0015317C"/>
    <w:rsid w:val="001531C5"/>
    <w:rsid w:val="0015323B"/>
    <w:rsid w:val="00153246"/>
    <w:rsid w:val="001532BF"/>
    <w:rsid w:val="00153347"/>
    <w:rsid w:val="00153460"/>
    <w:rsid w:val="00153683"/>
    <w:rsid w:val="001537E9"/>
    <w:rsid w:val="0015383F"/>
    <w:rsid w:val="0015393C"/>
    <w:rsid w:val="00153C37"/>
    <w:rsid w:val="00153E67"/>
    <w:rsid w:val="00153F39"/>
    <w:rsid w:val="00153F8C"/>
    <w:rsid w:val="00154268"/>
    <w:rsid w:val="00154309"/>
    <w:rsid w:val="00154349"/>
    <w:rsid w:val="001543BE"/>
    <w:rsid w:val="0015442F"/>
    <w:rsid w:val="0015446E"/>
    <w:rsid w:val="00154470"/>
    <w:rsid w:val="00154586"/>
    <w:rsid w:val="0015468F"/>
    <w:rsid w:val="00154729"/>
    <w:rsid w:val="001547B6"/>
    <w:rsid w:val="0015485B"/>
    <w:rsid w:val="0015486E"/>
    <w:rsid w:val="00154970"/>
    <w:rsid w:val="001549E7"/>
    <w:rsid w:val="00154A92"/>
    <w:rsid w:val="00154A97"/>
    <w:rsid w:val="00154B25"/>
    <w:rsid w:val="00154B5D"/>
    <w:rsid w:val="00154B63"/>
    <w:rsid w:val="00154DC6"/>
    <w:rsid w:val="00154DEE"/>
    <w:rsid w:val="00154E3D"/>
    <w:rsid w:val="00154E57"/>
    <w:rsid w:val="0015505B"/>
    <w:rsid w:val="0015512A"/>
    <w:rsid w:val="00155182"/>
    <w:rsid w:val="0015518D"/>
    <w:rsid w:val="001551AE"/>
    <w:rsid w:val="0015527E"/>
    <w:rsid w:val="0015528C"/>
    <w:rsid w:val="0015530F"/>
    <w:rsid w:val="0015561C"/>
    <w:rsid w:val="00155626"/>
    <w:rsid w:val="00155680"/>
    <w:rsid w:val="001556E4"/>
    <w:rsid w:val="0015575A"/>
    <w:rsid w:val="00155782"/>
    <w:rsid w:val="001557FC"/>
    <w:rsid w:val="00155877"/>
    <w:rsid w:val="00155982"/>
    <w:rsid w:val="001559EC"/>
    <w:rsid w:val="00155AEA"/>
    <w:rsid w:val="00155BC7"/>
    <w:rsid w:val="00155C02"/>
    <w:rsid w:val="00155C51"/>
    <w:rsid w:val="00155D12"/>
    <w:rsid w:val="00155D82"/>
    <w:rsid w:val="00155DFC"/>
    <w:rsid w:val="00155DFE"/>
    <w:rsid w:val="00155E70"/>
    <w:rsid w:val="00155E81"/>
    <w:rsid w:val="00156002"/>
    <w:rsid w:val="00156453"/>
    <w:rsid w:val="00156459"/>
    <w:rsid w:val="0015654B"/>
    <w:rsid w:val="0015655B"/>
    <w:rsid w:val="001565AC"/>
    <w:rsid w:val="00156693"/>
    <w:rsid w:val="001567B6"/>
    <w:rsid w:val="0015682F"/>
    <w:rsid w:val="0015688D"/>
    <w:rsid w:val="0015688F"/>
    <w:rsid w:val="00156897"/>
    <w:rsid w:val="00156949"/>
    <w:rsid w:val="00156A8A"/>
    <w:rsid w:val="00156B07"/>
    <w:rsid w:val="00156B77"/>
    <w:rsid w:val="00156CCE"/>
    <w:rsid w:val="00156D8A"/>
    <w:rsid w:val="00156D90"/>
    <w:rsid w:val="00156E00"/>
    <w:rsid w:val="00156E8A"/>
    <w:rsid w:val="0015705E"/>
    <w:rsid w:val="0015707E"/>
    <w:rsid w:val="001570F2"/>
    <w:rsid w:val="001570F7"/>
    <w:rsid w:val="0015712A"/>
    <w:rsid w:val="00157185"/>
    <w:rsid w:val="001571DF"/>
    <w:rsid w:val="001571ED"/>
    <w:rsid w:val="0015722F"/>
    <w:rsid w:val="00157251"/>
    <w:rsid w:val="001572B9"/>
    <w:rsid w:val="001574D5"/>
    <w:rsid w:val="001574E1"/>
    <w:rsid w:val="0015758A"/>
    <w:rsid w:val="00157614"/>
    <w:rsid w:val="0015764A"/>
    <w:rsid w:val="00157685"/>
    <w:rsid w:val="00157689"/>
    <w:rsid w:val="001577B0"/>
    <w:rsid w:val="0015783C"/>
    <w:rsid w:val="00157CE5"/>
    <w:rsid w:val="00157D40"/>
    <w:rsid w:val="00157F94"/>
    <w:rsid w:val="0015E84A"/>
    <w:rsid w:val="0016005A"/>
    <w:rsid w:val="00160227"/>
    <w:rsid w:val="0016024F"/>
    <w:rsid w:val="0016036A"/>
    <w:rsid w:val="001603DF"/>
    <w:rsid w:val="001604A2"/>
    <w:rsid w:val="001604A8"/>
    <w:rsid w:val="001604C6"/>
    <w:rsid w:val="001605A6"/>
    <w:rsid w:val="001605B0"/>
    <w:rsid w:val="001606FC"/>
    <w:rsid w:val="0016070B"/>
    <w:rsid w:val="001608C5"/>
    <w:rsid w:val="001609D3"/>
    <w:rsid w:val="00160A3E"/>
    <w:rsid w:val="00160B96"/>
    <w:rsid w:val="00160BBA"/>
    <w:rsid w:val="00160C9A"/>
    <w:rsid w:val="00160D6A"/>
    <w:rsid w:val="00160D84"/>
    <w:rsid w:val="00160FB7"/>
    <w:rsid w:val="00161000"/>
    <w:rsid w:val="0016125F"/>
    <w:rsid w:val="00161333"/>
    <w:rsid w:val="00161684"/>
    <w:rsid w:val="0016168D"/>
    <w:rsid w:val="001616E8"/>
    <w:rsid w:val="001616FC"/>
    <w:rsid w:val="00161753"/>
    <w:rsid w:val="00161A96"/>
    <w:rsid w:val="00161BC3"/>
    <w:rsid w:val="00161D4E"/>
    <w:rsid w:val="00161D8E"/>
    <w:rsid w:val="00161E7F"/>
    <w:rsid w:val="00161EA0"/>
    <w:rsid w:val="00162172"/>
    <w:rsid w:val="001622D5"/>
    <w:rsid w:val="001622FB"/>
    <w:rsid w:val="00162353"/>
    <w:rsid w:val="00162557"/>
    <w:rsid w:val="0016256C"/>
    <w:rsid w:val="00162592"/>
    <w:rsid w:val="0016273B"/>
    <w:rsid w:val="0016276A"/>
    <w:rsid w:val="001628A4"/>
    <w:rsid w:val="001629B2"/>
    <w:rsid w:val="001629B6"/>
    <w:rsid w:val="00162C20"/>
    <w:rsid w:val="00162C7E"/>
    <w:rsid w:val="00162CBA"/>
    <w:rsid w:val="00162D5D"/>
    <w:rsid w:val="00162E69"/>
    <w:rsid w:val="00162EF0"/>
    <w:rsid w:val="00162FA2"/>
    <w:rsid w:val="00162FDB"/>
    <w:rsid w:val="0016309D"/>
    <w:rsid w:val="00163118"/>
    <w:rsid w:val="00163236"/>
    <w:rsid w:val="0016334B"/>
    <w:rsid w:val="001633B9"/>
    <w:rsid w:val="001633C2"/>
    <w:rsid w:val="0016347F"/>
    <w:rsid w:val="001635A7"/>
    <w:rsid w:val="0016365D"/>
    <w:rsid w:val="00163668"/>
    <w:rsid w:val="00163735"/>
    <w:rsid w:val="001639B4"/>
    <w:rsid w:val="001639B7"/>
    <w:rsid w:val="00163B3B"/>
    <w:rsid w:val="00163BCD"/>
    <w:rsid w:val="00163C57"/>
    <w:rsid w:val="00163D0D"/>
    <w:rsid w:val="00163D27"/>
    <w:rsid w:val="00163D37"/>
    <w:rsid w:val="00163D5D"/>
    <w:rsid w:val="00163DEA"/>
    <w:rsid w:val="00163E5D"/>
    <w:rsid w:val="00163EB5"/>
    <w:rsid w:val="00163FD7"/>
    <w:rsid w:val="0016408C"/>
    <w:rsid w:val="0016409E"/>
    <w:rsid w:val="0016411A"/>
    <w:rsid w:val="00164133"/>
    <w:rsid w:val="00164212"/>
    <w:rsid w:val="00164213"/>
    <w:rsid w:val="00164241"/>
    <w:rsid w:val="00164345"/>
    <w:rsid w:val="001643AC"/>
    <w:rsid w:val="00164530"/>
    <w:rsid w:val="001647A9"/>
    <w:rsid w:val="00164B07"/>
    <w:rsid w:val="00164CE3"/>
    <w:rsid w:val="00164F9A"/>
    <w:rsid w:val="00165042"/>
    <w:rsid w:val="00165178"/>
    <w:rsid w:val="001652AC"/>
    <w:rsid w:val="001652AF"/>
    <w:rsid w:val="001653EB"/>
    <w:rsid w:val="001654F6"/>
    <w:rsid w:val="00165652"/>
    <w:rsid w:val="00165791"/>
    <w:rsid w:val="001657E8"/>
    <w:rsid w:val="00165875"/>
    <w:rsid w:val="00165910"/>
    <w:rsid w:val="00165940"/>
    <w:rsid w:val="0016599D"/>
    <w:rsid w:val="00165B7F"/>
    <w:rsid w:val="00165B9E"/>
    <w:rsid w:val="00165BC1"/>
    <w:rsid w:val="00165C74"/>
    <w:rsid w:val="00165CC2"/>
    <w:rsid w:val="00165F4C"/>
    <w:rsid w:val="00165F73"/>
    <w:rsid w:val="00165FA1"/>
    <w:rsid w:val="00165FED"/>
    <w:rsid w:val="0016613A"/>
    <w:rsid w:val="00166164"/>
    <w:rsid w:val="001662A8"/>
    <w:rsid w:val="001662F3"/>
    <w:rsid w:val="00166384"/>
    <w:rsid w:val="001664C4"/>
    <w:rsid w:val="0016655B"/>
    <w:rsid w:val="001665FF"/>
    <w:rsid w:val="00166686"/>
    <w:rsid w:val="00166779"/>
    <w:rsid w:val="001667B4"/>
    <w:rsid w:val="001667F7"/>
    <w:rsid w:val="0016680C"/>
    <w:rsid w:val="001668DC"/>
    <w:rsid w:val="001668F9"/>
    <w:rsid w:val="00166A2E"/>
    <w:rsid w:val="00166A6D"/>
    <w:rsid w:val="00166B27"/>
    <w:rsid w:val="00166BA4"/>
    <w:rsid w:val="00166E04"/>
    <w:rsid w:val="00166F26"/>
    <w:rsid w:val="00166F6D"/>
    <w:rsid w:val="001671EB"/>
    <w:rsid w:val="00167271"/>
    <w:rsid w:val="00167367"/>
    <w:rsid w:val="00167416"/>
    <w:rsid w:val="001674EF"/>
    <w:rsid w:val="00167501"/>
    <w:rsid w:val="00167640"/>
    <w:rsid w:val="00167687"/>
    <w:rsid w:val="0016768A"/>
    <w:rsid w:val="0016769E"/>
    <w:rsid w:val="001676CE"/>
    <w:rsid w:val="001677E0"/>
    <w:rsid w:val="00167821"/>
    <w:rsid w:val="00167887"/>
    <w:rsid w:val="001678B9"/>
    <w:rsid w:val="0016799B"/>
    <w:rsid w:val="001679F0"/>
    <w:rsid w:val="00167A4A"/>
    <w:rsid w:val="00167D00"/>
    <w:rsid w:val="00167D19"/>
    <w:rsid w:val="00167E6F"/>
    <w:rsid w:val="00167E7F"/>
    <w:rsid w:val="001700B0"/>
    <w:rsid w:val="001700C0"/>
    <w:rsid w:val="00170171"/>
    <w:rsid w:val="00170193"/>
    <w:rsid w:val="0017024A"/>
    <w:rsid w:val="001702DA"/>
    <w:rsid w:val="00170307"/>
    <w:rsid w:val="00170377"/>
    <w:rsid w:val="0017040E"/>
    <w:rsid w:val="00170419"/>
    <w:rsid w:val="001704B9"/>
    <w:rsid w:val="00170657"/>
    <w:rsid w:val="0017072F"/>
    <w:rsid w:val="00170768"/>
    <w:rsid w:val="0017076C"/>
    <w:rsid w:val="001707EC"/>
    <w:rsid w:val="001709C2"/>
    <w:rsid w:val="00170A74"/>
    <w:rsid w:val="00170B46"/>
    <w:rsid w:val="00170B81"/>
    <w:rsid w:val="00170B88"/>
    <w:rsid w:val="00170C29"/>
    <w:rsid w:val="00170DFE"/>
    <w:rsid w:val="00170ED0"/>
    <w:rsid w:val="00170EFB"/>
    <w:rsid w:val="00171017"/>
    <w:rsid w:val="001710AD"/>
    <w:rsid w:val="001711E4"/>
    <w:rsid w:val="001712F5"/>
    <w:rsid w:val="00171318"/>
    <w:rsid w:val="0017137C"/>
    <w:rsid w:val="00171392"/>
    <w:rsid w:val="001713C8"/>
    <w:rsid w:val="00171497"/>
    <w:rsid w:val="001714A7"/>
    <w:rsid w:val="0017151A"/>
    <w:rsid w:val="00171574"/>
    <w:rsid w:val="00171765"/>
    <w:rsid w:val="00171795"/>
    <w:rsid w:val="0017187D"/>
    <w:rsid w:val="001718E1"/>
    <w:rsid w:val="00171933"/>
    <w:rsid w:val="00171986"/>
    <w:rsid w:val="00171A93"/>
    <w:rsid w:val="00171C32"/>
    <w:rsid w:val="00171EDE"/>
    <w:rsid w:val="00171F31"/>
    <w:rsid w:val="00171F7F"/>
    <w:rsid w:val="00171FC8"/>
    <w:rsid w:val="001721AA"/>
    <w:rsid w:val="001721C7"/>
    <w:rsid w:val="00172241"/>
    <w:rsid w:val="00172290"/>
    <w:rsid w:val="001722DD"/>
    <w:rsid w:val="00172435"/>
    <w:rsid w:val="00172576"/>
    <w:rsid w:val="00172855"/>
    <w:rsid w:val="0017296B"/>
    <w:rsid w:val="0017299F"/>
    <w:rsid w:val="001729D5"/>
    <w:rsid w:val="00172A27"/>
    <w:rsid w:val="00172B15"/>
    <w:rsid w:val="00172B31"/>
    <w:rsid w:val="00172C79"/>
    <w:rsid w:val="00172C7E"/>
    <w:rsid w:val="00172CD6"/>
    <w:rsid w:val="00172E12"/>
    <w:rsid w:val="00172E89"/>
    <w:rsid w:val="00172EBF"/>
    <w:rsid w:val="00173073"/>
    <w:rsid w:val="00173093"/>
    <w:rsid w:val="001731CC"/>
    <w:rsid w:val="001732CD"/>
    <w:rsid w:val="0017334C"/>
    <w:rsid w:val="001734CB"/>
    <w:rsid w:val="0017359A"/>
    <w:rsid w:val="001735B9"/>
    <w:rsid w:val="0017361A"/>
    <w:rsid w:val="00173B5E"/>
    <w:rsid w:val="00173CA9"/>
    <w:rsid w:val="00173D18"/>
    <w:rsid w:val="00173DBD"/>
    <w:rsid w:val="00173E17"/>
    <w:rsid w:val="00173F43"/>
    <w:rsid w:val="00173F7A"/>
    <w:rsid w:val="00173F84"/>
    <w:rsid w:val="00174071"/>
    <w:rsid w:val="0017424F"/>
    <w:rsid w:val="00174298"/>
    <w:rsid w:val="001745C8"/>
    <w:rsid w:val="001745F6"/>
    <w:rsid w:val="00174757"/>
    <w:rsid w:val="0017477F"/>
    <w:rsid w:val="00174869"/>
    <w:rsid w:val="00174925"/>
    <w:rsid w:val="001749C5"/>
    <w:rsid w:val="00174ADD"/>
    <w:rsid w:val="00174BF5"/>
    <w:rsid w:val="00174C89"/>
    <w:rsid w:val="00174CAE"/>
    <w:rsid w:val="00174D12"/>
    <w:rsid w:val="0017506F"/>
    <w:rsid w:val="00175113"/>
    <w:rsid w:val="0017517D"/>
    <w:rsid w:val="00175191"/>
    <w:rsid w:val="001753D1"/>
    <w:rsid w:val="001753D3"/>
    <w:rsid w:val="0017547D"/>
    <w:rsid w:val="00175486"/>
    <w:rsid w:val="00175561"/>
    <w:rsid w:val="001755C8"/>
    <w:rsid w:val="001755F0"/>
    <w:rsid w:val="001756BB"/>
    <w:rsid w:val="0017582C"/>
    <w:rsid w:val="0017583B"/>
    <w:rsid w:val="001758C0"/>
    <w:rsid w:val="00175DC2"/>
    <w:rsid w:val="00175E6F"/>
    <w:rsid w:val="00175EFB"/>
    <w:rsid w:val="00175FCC"/>
    <w:rsid w:val="00176090"/>
    <w:rsid w:val="0017609D"/>
    <w:rsid w:val="00176130"/>
    <w:rsid w:val="00176168"/>
    <w:rsid w:val="001761B2"/>
    <w:rsid w:val="00176266"/>
    <w:rsid w:val="001762C9"/>
    <w:rsid w:val="001762DC"/>
    <w:rsid w:val="001764D7"/>
    <w:rsid w:val="00176520"/>
    <w:rsid w:val="001765C0"/>
    <w:rsid w:val="001766C1"/>
    <w:rsid w:val="001766D0"/>
    <w:rsid w:val="00176717"/>
    <w:rsid w:val="001767C8"/>
    <w:rsid w:val="0017689A"/>
    <w:rsid w:val="001768D4"/>
    <w:rsid w:val="00176962"/>
    <w:rsid w:val="00176ABB"/>
    <w:rsid w:val="00176AF0"/>
    <w:rsid w:val="00176B25"/>
    <w:rsid w:val="00176B5A"/>
    <w:rsid w:val="00176CA2"/>
    <w:rsid w:val="00176D13"/>
    <w:rsid w:val="00176E90"/>
    <w:rsid w:val="00176EEB"/>
    <w:rsid w:val="00176F2D"/>
    <w:rsid w:val="00176F32"/>
    <w:rsid w:val="00176FBC"/>
    <w:rsid w:val="001771A1"/>
    <w:rsid w:val="0017721E"/>
    <w:rsid w:val="00177231"/>
    <w:rsid w:val="001772C4"/>
    <w:rsid w:val="00177361"/>
    <w:rsid w:val="00177401"/>
    <w:rsid w:val="0017752E"/>
    <w:rsid w:val="00177639"/>
    <w:rsid w:val="0017766F"/>
    <w:rsid w:val="001776C7"/>
    <w:rsid w:val="001777AD"/>
    <w:rsid w:val="00177908"/>
    <w:rsid w:val="00177961"/>
    <w:rsid w:val="001779F0"/>
    <w:rsid w:val="00177C0C"/>
    <w:rsid w:val="00177CD2"/>
    <w:rsid w:val="00177D2F"/>
    <w:rsid w:val="00177D87"/>
    <w:rsid w:val="00177EF2"/>
    <w:rsid w:val="00177FA0"/>
    <w:rsid w:val="0018001F"/>
    <w:rsid w:val="00180124"/>
    <w:rsid w:val="0018013A"/>
    <w:rsid w:val="0018015B"/>
    <w:rsid w:val="001801B7"/>
    <w:rsid w:val="00180318"/>
    <w:rsid w:val="00180388"/>
    <w:rsid w:val="001804EC"/>
    <w:rsid w:val="001806F2"/>
    <w:rsid w:val="001807ED"/>
    <w:rsid w:val="001807FC"/>
    <w:rsid w:val="00180817"/>
    <w:rsid w:val="00180838"/>
    <w:rsid w:val="00180883"/>
    <w:rsid w:val="001808EF"/>
    <w:rsid w:val="001809C0"/>
    <w:rsid w:val="001809E3"/>
    <w:rsid w:val="00180A9E"/>
    <w:rsid w:val="00180AB2"/>
    <w:rsid w:val="00180CCB"/>
    <w:rsid w:val="00180D04"/>
    <w:rsid w:val="00180E15"/>
    <w:rsid w:val="00180E25"/>
    <w:rsid w:val="00180E44"/>
    <w:rsid w:val="0018107D"/>
    <w:rsid w:val="001810CE"/>
    <w:rsid w:val="00181224"/>
    <w:rsid w:val="00181241"/>
    <w:rsid w:val="001816DE"/>
    <w:rsid w:val="00181789"/>
    <w:rsid w:val="001818CC"/>
    <w:rsid w:val="00181952"/>
    <w:rsid w:val="00181980"/>
    <w:rsid w:val="00181A7D"/>
    <w:rsid w:val="00181C06"/>
    <w:rsid w:val="00181C70"/>
    <w:rsid w:val="00181EA9"/>
    <w:rsid w:val="00181EC7"/>
    <w:rsid w:val="00181F35"/>
    <w:rsid w:val="00181FA4"/>
    <w:rsid w:val="00181FB0"/>
    <w:rsid w:val="001821E0"/>
    <w:rsid w:val="0018236B"/>
    <w:rsid w:val="001823C5"/>
    <w:rsid w:val="0018242C"/>
    <w:rsid w:val="0018245D"/>
    <w:rsid w:val="00182529"/>
    <w:rsid w:val="001825AB"/>
    <w:rsid w:val="001827CB"/>
    <w:rsid w:val="00182882"/>
    <w:rsid w:val="00182924"/>
    <w:rsid w:val="0018298B"/>
    <w:rsid w:val="00182993"/>
    <w:rsid w:val="00182A13"/>
    <w:rsid w:val="00182A25"/>
    <w:rsid w:val="00182A70"/>
    <w:rsid w:val="00182B12"/>
    <w:rsid w:val="00182B4C"/>
    <w:rsid w:val="00182B6E"/>
    <w:rsid w:val="00182B95"/>
    <w:rsid w:val="00182DDC"/>
    <w:rsid w:val="00182E40"/>
    <w:rsid w:val="00182EBC"/>
    <w:rsid w:val="00182ECC"/>
    <w:rsid w:val="00182F85"/>
    <w:rsid w:val="00182F88"/>
    <w:rsid w:val="00182FC5"/>
    <w:rsid w:val="0018314B"/>
    <w:rsid w:val="00183236"/>
    <w:rsid w:val="00183278"/>
    <w:rsid w:val="00183280"/>
    <w:rsid w:val="001834ED"/>
    <w:rsid w:val="0018361B"/>
    <w:rsid w:val="00183672"/>
    <w:rsid w:val="00183692"/>
    <w:rsid w:val="001836FB"/>
    <w:rsid w:val="001837A3"/>
    <w:rsid w:val="001838D9"/>
    <w:rsid w:val="00183923"/>
    <w:rsid w:val="00183A70"/>
    <w:rsid w:val="00183B06"/>
    <w:rsid w:val="00183B3E"/>
    <w:rsid w:val="00183BFA"/>
    <w:rsid w:val="00183C07"/>
    <w:rsid w:val="00183E31"/>
    <w:rsid w:val="00183E77"/>
    <w:rsid w:val="00183F1D"/>
    <w:rsid w:val="00183FED"/>
    <w:rsid w:val="001842F0"/>
    <w:rsid w:val="00184333"/>
    <w:rsid w:val="001845E7"/>
    <w:rsid w:val="00184632"/>
    <w:rsid w:val="001846B5"/>
    <w:rsid w:val="00184A15"/>
    <w:rsid w:val="00184AAB"/>
    <w:rsid w:val="00184AC0"/>
    <w:rsid w:val="00184ACA"/>
    <w:rsid w:val="00184BBD"/>
    <w:rsid w:val="00184C23"/>
    <w:rsid w:val="00184D1C"/>
    <w:rsid w:val="00184DD1"/>
    <w:rsid w:val="00184E6B"/>
    <w:rsid w:val="001851A9"/>
    <w:rsid w:val="0018526B"/>
    <w:rsid w:val="0018544A"/>
    <w:rsid w:val="00185931"/>
    <w:rsid w:val="00185965"/>
    <w:rsid w:val="00185A5A"/>
    <w:rsid w:val="00185AB3"/>
    <w:rsid w:val="00185AC6"/>
    <w:rsid w:val="00185B76"/>
    <w:rsid w:val="00185BAB"/>
    <w:rsid w:val="00185E41"/>
    <w:rsid w:val="00185F73"/>
    <w:rsid w:val="00185FD6"/>
    <w:rsid w:val="00186024"/>
    <w:rsid w:val="0018618C"/>
    <w:rsid w:val="001861DF"/>
    <w:rsid w:val="001862B4"/>
    <w:rsid w:val="00186364"/>
    <w:rsid w:val="00186597"/>
    <w:rsid w:val="001865E0"/>
    <w:rsid w:val="00186637"/>
    <w:rsid w:val="00186658"/>
    <w:rsid w:val="001866D6"/>
    <w:rsid w:val="001868E2"/>
    <w:rsid w:val="00186AD6"/>
    <w:rsid w:val="00186B72"/>
    <w:rsid w:val="00186BCF"/>
    <w:rsid w:val="00186C2B"/>
    <w:rsid w:val="00186C39"/>
    <w:rsid w:val="00186DE5"/>
    <w:rsid w:val="00186DE7"/>
    <w:rsid w:val="00186EE1"/>
    <w:rsid w:val="00186FF2"/>
    <w:rsid w:val="0018700E"/>
    <w:rsid w:val="001870D8"/>
    <w:rsid w:val="0018710B"/>
    <w:rsid w:val="0018727B"/>
    <w:rsid w:val="001872CF"/>
    <w:rsid w:val="001875E6"/>
    <w:rsid w:val="00187632"/>
    <w:rsid w:val="001877D3"/>
    <w:rsid w:val="001878BB"/>
    <w:rsid w:val="001878C9"/>
    <w:rsid w:val="0018790B"/>
    <w:rsid w:val="00187A21"/>
    <w:rsid w:val="00187A57"/>
    <w:rsid w:val="00187B71"/>
    <w:rsid w:val="00187BD5"/>
    <w:rsid w:val="00187C6A"/>
    <w:rsid w:val="00187C74"/>
    <w:rsid w:val="00187CA6"/>
    <w:rsid w:val="00187DFC"/>
    <w:rsid w:val="00187E9F"/>
    <w:rsid w:val="00187ED3"/>
    <w:rsid w:val="00190289"/>
    <w:rsid w:val="00190393"/>
    <w:rsid w:val="001903C1"/>
    <w:rsid w:val="00190428"/>
    <w:rsid w:val="0019047B"/>
    <w:rsid w:val="001905D5"/>
    <w:rsid w:val="0019069C"/>
    <w:rsid w:val="00190802"/>
    <w:rsid w:val="00190821"/>
    <w:rsid w:val="00190A4A"/>
    <w:rsid w:val="00190BE4"/>
    <w:rsid w:val="00190C41"/>
    <w:rsid w:val="00190D2B"/>
    <w:rsid w:val="00190D5E"/>
    <w:rsid w:val="00190D6E"/>
    <w:rsid w:val="00190E3F"/>
    <w:rsid w:val="001910B0"/>
    <w:rsid w:val="001911EA"/>
    <w:rsid w:val="00191215"/>
    <w:rsid w:val="00191249"/>
    <w:rsid w:val="00191325"/>
    <w:rsid w:val="00191425"/>
    <w:rsid w:val="00191436"/>
    <w:rsid w:val="00191451"/>
    <w:rsid w:val="00191566"/>
    <w:rsid w:val="00191848"/>
    <w:rsid w:val="001918F3"/>
    <w:rsid w:val="0019196A"/>
    <w:rsid w:val="001919E4"/>
    <w:rsid w:val="00191ABD"/>
    <w:rsid w:val="00191BD8"/>
    <w:rsid w:val="00191C71"/>
    <w:rsid w:val="00191CD9"/>
    <w:rsid w:val="00191D4B"/>
    <w:rsid w:val="00191F31"/>
    <w:rsid w:val="00191F87"/>
    <w:rsid w:val="00192044"/>
    <w:rsid w:val="001920FB"/>
    <w:rsid w:val="00192133"/>
    <w:rsid w:val="00192281"/>
    <w:rsid w:val="0019233B"/>
    <w:rsid w:val="001923E3"/>
    <w:rsid w:val="00192634"/>
    <w:rsid w:val="00192645"/>
    <w:rsid w:val="0019265D"/>
    <w:rsid w:val="00192846"/>
    <w:rsid w:val="0019288C"/>
    <w:rsid w:val="001928C1"/>
    <w:rsid w:val="001928D5"/>
    <w:rsid w:val="00192912"/>
    <w:rsid w:val="00192A2D"/>
    <w:rsid w:val="00192AC9"/>
    <w:rsid w:val="00192B06"/>
    <w:rsid w:val="00192CD3"/>
    <w:rsid w:val="00192D5F"/>
    <w:rsid w:val="00192DB4"/>
    <w:rsid w:val="00192DCC"/>
    <w:rsid w:val="00192DDE"/>
    <w:rsid w:val="00192EDB"/>
    <w:rsid w:val="00192FC0"/>
    <w:rsid w:val="0019311B"/>
    <w:rsid w:val="001931D0"/>
    <w:rsid w:val="00193303"/>
    <w:rsid w:val="0019335B"/>
    <w:rsid w:val="00193528"/>
    <w:rsid w:val="0019354C"/>
    <w:rsid w:val="00193567"/>
    <w:rsid w:val="00193691"/>
    <w:rsid w:val="00193791"/>
    <w:rsid w:val="00193844"/>
    <w:rsid w:val="0019385E"/>
    <w:rsid w:val="001938D0"/>
    <w:rsid w:val="001938D3"/>
    <w:rsid w:val="001938EB"/>
    <w:rsid w:val="001938F3"/>
    <w:rsid w:val="001939E4"/>
    <w:rsid w:val="00193B28"/>
    <w:rsid w:val="00193BF8"/>
    <w:rsid w:val="00193BF9"/>
    <w:rsid w:val="00193D82"/>
    <w:rsid w:val="00193D9E"/>
    <w:rsid w:val="00193F27"/>
    <w:rsid w:val="00193FAE"/>
    <w:rsid w:val="00193FBB"/>
    <w:rsid w:val="0019400D"/>
    <w:rsid w:val="0019401B"/>
    <w:rsid w:val="0019414E"/>
    <w:rsid w:val="00194193"/>
    <w:rsid w:val="001941F7"/>
    <w:rsid w:val="001942AF"/>
    <w:rsid w:val="00194423"/>
    <w:rsid w:val="0019447A"/>
    <w:rsid w:val="00194480"/>
    <w:rsid w:val="00194531"/>
    <w:rsid w:val="0019456D"/>
    <w:rsid w:val="0019458E"/>
    <w:rsid w:val="001947BF"/>
    <w:rsid w:val="00194828"/>
    <w:rsid w:val="001949B4"/>
    <w:rsid w:val="001949E2"/>
    <w:rsid w:val="00194A1E"/>
    <w:rsid w:val="00194B5D"/>
    <w:rsid w:val="00194DCD"/>
    <w:rsid w:val="00194E3C"/>
    <w:rsid w:val="00194EF0"/>
    <w:rsid w:val="00194F34"/>
    <w:rsid w:val="00194F9F"/>
    <w:rsid w:val="001950A9"/>
    <w:rsid w:val="00195169"/>
    <w:rsid w:val="001952A9"/>
    <w:rsid w:val="001954C0"/>
    <w:rsid w:val="0019572B"/>
    <w:rsid w:val="0019575C"/>
    <w:rsid w:val="00195760"/>
    <w:rsid w:val="001957C7"/>
    <w:rsid w:val="001957E6"/>
    <w:rsid w:val="001957EC"/>
    <w:rsid w:val="0019589D"/>
    <w:rsid w:val="0019593E"/>
    <w:rsid w:val="00195A49"/>
    <w:rsid w:val="00195A6B"/>
    <w:rsid w:val="00195B8B"/>
    <w:rsid w:val="00195C2E"/>
    <w:rsid w:val="00195C9C"/>
    <w:rsid w:val="00195D71"/>
    <w:rsid w:val="00195DE7"/>
    <w:rsid w:val="0019603A"/>
    <w:rsid w:val="0019607D"/>
    <w:rsid w:val="00196279"/>
    <w:rsid w:val="0019638D"/>
    <w:rsid w:val="001963C9"/>
    <w:rsid w:val="001963F8"/>
    <w:rsid w:val="00196498"/>
    <w:rsid w:val="001964C8"/>
    <w:rsid w:val="001965BF"/>
    <w:rsid w:val="00196658"/>
    <w:rsid w:val="00196781"/>
    <w:rsid w:val="001967F2"/>
    <w:rsid w:val="00196869"/>
    <w:rsid w:val="0019690F"/>
    <w:rsid w:val="00196988"/>
    <w:rsid w:val="00196990"/>
    <w:rsid w:val="001969BE"/>
    <w:rsid w:val="001969DE"/>
    <w:rsid w:val="001969F3"/>
    <w:rsid w:val="00196AC2"/>
    <w:rsid w:val="00196B1A"/>
    <w:rsid w:val="00196D4F"/>
    <w:rsid w:val="00196E8C"/>
    <w:rsid w:val="00197270"/>
    <w:rsid w:val="00197287"/>
    <w:rsid w:val="001972B2"/>
    <w:rsid w:val="001974F2"/>
    <w:rsid w:val="00197590"/>
    <w:rsid w:val="00197756"/>
    <w:rsid w:val="00197772"/>
    <w:rsid w:val="0019777D"/>
    <w:rsid w:val="0019779F"/>
    <w:rsid w:val="00197855"/>
    <w:rsid w:val="001978E1"/>
    <w:rsid w:val="00197A1C"/>
    <w:rsid w:val="00197B45"/>
    <w:rsid w:val="00197C20"/>
    <w:rsid w:val="00197CA2"/>
    <w:rsid w:val="00197CC5"/>
    <w:rsid w:val="00197D30"/>
    <w:rsid w:val="00197E8D"/>
    <w:rsid w:val="00197F22"/>
    <w:rsid w:val="00197FCA"/>
    <w:rsid w:val="00197FE0"/>
    <w:rsid w:val="001A009C"/>
    <w:rsid w:val="001A011D"/>
    <w:rsid w:val="001A02DA"/>
    <w:rsid w:val="001A0389"/>
    <w:rsid w:val="001A03B4"/>
    <w:rsid w:val="001A0798"/>
    <w:rsid w:val="001A0809"/>
    <w:rsid w:val="001A0878"/>
    <w:rsid w:val="001A08C4"/>
    <w:rsid w:val="001A08EC"/>
    <w:rsid w:val="001A096B"/>
    <w:rsid w:val="001A0AD7"/>
    <w:rsid w:val="001A0B50"/>
    <w:rsid w:val="001A0C89"/>
    <w:rsid w:val="001A0E70"/>
    <w:rsid w:val="001A0EA4"/>
    <w:rsid w:val="001A0F0A"/>
    <w:rsid w:val="001A0FC0"/>
    <w:rsid w:val="001A103E"/>
    <w:rsid w:val="001A1183"/>
    <w:rsid w:val="001A11EA"/>
    <w:rsid w:val="001A1225"/>
    <w:rsid w:val="001A133F"/>
    <w:rsid w:val="001A1578"/>
    <w:rsid w:val="001A1769"/>
    <w:rsid w:val="001A1876"/>
    <w:rsid w:val="001A1918"/>
    <w:rsid w:val="001A195F"/>
    <w:rsid w:val="001A19D3"/>
    <w:rsid w:val="001A1A8B"/>
    <w:rsid w:val="001A1B65"/>
    <w:rsid w:val="001A1BE6"/>
    <w:rsid w:val="001A1E54"/>
    <w:rsid w:val="001A1E62"/>
    <w:rsid w:val="001A1F7A"/>
    <w:rsid w:val="001A2280"/>
    <w:rsid w:val="001A26C7"/>
    <w:rsid w:val="001A2965"/>
    <w:rsid w:val="001A2983"/>
    <w:rsid w:val="001A2A0A"/>
    <w:rsid w:val="001A2B53"/>
    <w:rsid w:val="001A2CF3"/>
    <w:rsid w:val="001A2DD5"/>
    <w:rsid w:val="001A2E32"/>
    <w:rsid w:val="001A2EFC"/>
    <w:rsid w:val="001A2F90"/>
    <w:rsid w:val="001A30CD"/>
    <w:rsid w:val="001A314D"/>
    <w:rsid w:val="001A31C6"/>
    <w:rsid w:val="001A33C3"/>
    <w:rsid w:val="001A37BB"/>
    <w:rsid w:val="001A383E"/>
    <w:rsid w:val="001A38FA"/>
    <w:rsid w:val="001A398D"/>
    <w:rsid w:val="001A3A92"/>
    <w:rsid w:val="001A3AEA"/>
    <w:rsid w:val="001A3BA6"/>
    <w:rsid w:val="001A3C6E"/>
    <w:rsid w:val="001A3D72"/>
    <w:rsid w:val="001A3D8A"/>
    <w:rsid w:val="001A3E07"/>
    <w:rsid w:val="001A4000"/>
    <w:rsid w:val="001A411B"/>
    <w:rsid w:val="001A4333"/>
    <w:rsid w:val="001A4426"/>
    <w:rsid w:val="001A450F"/>
    <w:rsid w:val="001A45C0"/>
    <w:rsid w:val="001A475B"/>
    <w:rsid w:val="001A47AD"/>
    <w:rsid w:val="001A481C"/>
    <w:rsid w:val="001A490D"/>
    <w:rsid w:val="001A4948"/>
    <w:rsid w:val="001A4A36"/>
    <w:rsid w:val="001A4A72"/>
    <w:rsid w:val="001A4B1D"/>
    <w:rsid w:val="001A4B90"/>
    <w:rsid w:val="001A4BD5"/>
    <w:rsid w:val="001A4DBF"/>
    <w:rsid w:val="001A5025"/>
    <w:rsid w:val="001A5089"/>
    <w:rsid w:val="001A50E4"/>
    <w:rsid w:val="001A5128"/>
    <w:rsid w:val="001A52E9"/>
    <w:rsid w:val="001A5371"/>
    <w:rsid w:val="001A553A"/>
    <w:rsid w:val="001A553F"/>
    <w:rsid w:val="001A5557"/>
    <w:rsid w:val="001A5647"/>
    <w:rsid w:val="001A5693"/>
    <w:rsid w:val="001A56E7"/>
    <w:rsid w:val="001A5973"/>
    <w:rsid w:val="001A5C91"/>
    <w:rsid w:val="001A5CC9"/>
    <w:rsid w:val="001A5D56"/>
    <w:rsid w:val="001A5D6D"/>
    <w:rsid w:val="001A5DC8"/>
    <w:rsid w:val="001A5E06"/>
    <w:rsid w:val="001A5E57"/>
    <w:rsid w:val="001A6029"/>
    <w:rsid w:val="001A6039"/>
    <w:rsid w:val="001A6088"/>
    <w:rsid w:val="001A633E"/>
    <w:rsid w:val="001A63BD"/>
    <w:rsid w:val="001A6410"/>
    <w:rsid w:val="001A6424"/>
    <w:rsid w:val="001A64E1"/>
    <w:rsid w:val="001A650A"/>
    <w:rsid w:val="001A65F4"/>
    <w:rsid w:val="001A662E"/>
    <w:rsid w:val="001A666D"/>
    <w:rsid w:val="001A6770"/>
    <w:rsid w:val="001A6799"/>
    <w:rsid w:val="001A67A8"/>
    <w:rsid w:val="001A6ED5"/>
    <w:rsid w:val="001A6F80"/>
    <w:rsid w:val="001A6FC7"/>
    <w:rsid w:val="001A70CA"/>
    <w:rsid w:val="001A7158"/>
    <w:rsid w:val="001A71C7"/>
    <w:rsid w:val="001A71FF"/>
    <w:rsid w:val="001A73C4"/>
    <w:rsid w:val="001A747B"/>
    <w:rsid w:val="001A7548"/>
    <w:rsid w:val="001A75E1"/>
    <w:rsid w:val="001A76D3"/>
    <w:rsid w:val="001A771B"/>
    <w:rsid w:val="001A7985"/>
    <w:rsid w:val="001A7A48"/>
    <w:rsid w:val="001A7A86"/>
    <w:rsid w:val="001A7AAF"/>
    <w:rsid w:val="001A7AE5"/>
    <w:rsid w:val="001A7B38"/>
    <w:rsid w:val="001A7B80"/>
    <w:rsid w:val="001A7C1F"/>
    <w:rsid w:val="001A7C50"/>
    <w:rsid w:val="001A7DC6"/>
    <w:rsid w:val="001A7DDC"/>
    <w:rsid w:val="001B0098"/>
    <w:rsid w:val="001B01B6"/>
    <w:rsid w:val="001B01D4"/>
    <w:rsid w:val="001B02FB"/>
    <w:rsid w:val="001B0586"/>
    <w:rsid w:val="001B05B3"/>
    <w:rsid w:val="001B062B"/>
    <w:rsid w:val="001B070C"/>
    <w:rsid w:val="001B072C"/>
    <w:rsid w:val="001B097C"/>
    <w:rsid w:val="001B09AF"/>
    <w:rsid w:val="001B09F6"/>
    <w:rsid w:val="001B0A7E"/>
    <w:rsid w:val="001B0AE4"/>
    <w:rsid w:val="001B0B21"/>
    <w:rsid w:val="001B0B81"/>
    <w:rsid w:val="001B0D2D"/>
    <w:rsid w:val="001B0FB3"/>
    <w:rsid w:val="001B113F"/>
    <w:rsid w:val="001B12A0"/>
    <w:rsid w:val="001B12BD"/>
    <w:rsid w:val="001B134A"/>
    <w:rsid w:val="001B134D"/>
    <w:rsid w:val="001B14AE"/>
    <w:rsid w:val="001B157E"/>
    <w:rsid w:val="001B161A"/>
    <w:rsid w:val="001B167D"/>
    <w:rsid w:val="001B1717"/>
    <w:rsid w:val="001B17CE"/>
    <w:rsid w:val="001B180C"/>
    <w:rsid w:val="001B1890"/>
    <w:rsid w:val="001B1899"/>
    <w:rsid w:val="001B199E"/>
    <w:rsid w:val="001B19E6"/>
    <w:rsid w:val="001B1ABD"/>
    <w:rsid w:val="001B1B86"/>
    <w:rsid w:val="001B1B9F"/>
    <w:rsid w:val="001B1D38"/>
    <w:rsid w:val="001B1E48"/>
    <w:rsid w:val="001B1F7F"/>
    <w:rsid w:val="001B209F"/>
    <w:rsid w:val="001B20B7"/>
    <w:rsid w:val="001B21F6"/>
    <w:rsid w:val="001B22B6"/>
    <w:rsid w:val="001B22B9"/>
    <w:rsid w:val="001B27D0"/>
    <w:rsid w:val="001B2812"/>
    <w:rsid w:val="001B2817"/>
    <w:rsid w:val="001B2824"/>
    <w:rsid w:val="001B2831"/>
    <w:rsid w:val="001B2899"/>
    <w:rsid w:val="001B2943"/>
    <w:rsid w:val="001B2A47"/>
    <w:rsid w:val="001B2A74"/>
    <w:rsid w:val="001B2AD1"/>
    <w:rsid w:val="001B2DE8"/>
    <w:rsid w:val="001B2E15"/>
    <w:rsid w:val="001B2EAB"/>
    <w:rsid w:val="001B2EE8"/>
    <w:rsid w:val="001B2F20"/>
    <w:rsid w:val="001B2FE6"/>
    <w:rsid w:val="001B3010"/>
    <w:rsid w:val="001B30CC"/>
    <w:rsid w:val="001B30D1"/>
    <w:rsid w:val="001B31B6"/>
    <w:rsid w:val="001B32B6"/>
    <w:rsid w:val="001B33E0"/>
    <w:rsid w:val="001B34A0"/>
    <w:rsid w:val="001B3682"/>
    <w:rsid w:val="001B36E8"/>
    <w:rsid w:val="001B37C6"/>
    <w:rsid w:val="001B3915"/>
    <w:rsid w:val="001B3BB5"/>
    <w:rsid w:val="001B3CFF"/>
    <w:rsid w:val="001B3D0D"/>
    <w:rsid w:val="001B3D78"/>
    <w:rsid w:val="001B3DA1"/>
    <w:rsid w:val="001B3DD5"/>
    <w:rsid w:val="001B3E6D"/>
    <w:rsid w:val="001B3E79"/>
    <w:rsid w:val="001B3F0A"/>
    <w:rsid w:val="001B3FB1"/>
    <w:rsid w:val="001B400D"/>
    <w:rsid w:val="001B4076"/>
    <w:rsid w:val="001B408B"/>
    <w:rsid w:val="001B4171"/>
    <w:rsid w:val="001B41D0"/>
    <w:rsid w:val="001B4226"/>
    <w:rsid w:val="001B4326"/>
    <w:rsid w:val="001B45B1"/>
    <w:rsid w:val="001B4622"/>
    <w:rsid w:val="001B46FC"/>
    <w:rsid w:val="001B471A"/>
    <w:rsid w:val="001B474D"/>
    <w:rsid w:val="001B474F"/>
    <w:rsid w:val="001B493F"/>
    <w:rsid w:val="001B4973"/>
    <w:rsid w:val="001B4A05"/>
    <w:rsid w:val="001B4A2E"/>
    <w:rsid w:val="001B4BE3"/>
    <w:rsid w:val="001B4C1F"/>
    <w:rsid w:val="001B4D59"/>
    <w:rsid w:val="001B4D5C"/>
    <w:rsid w:val="001B4D66"/>
    <w:rsid w:val="001B4D9C"/>
    <w:rsid w:val="001B4DA1"/>
    <w:rsid w:val="001B4DB9"/>
    <w:rsid w:val="001B4F2A"/>
    <w:rsid w:val="001B4F54"/>
    <w:rsid w:val="001B51C1"/>
    <w:rsid w:val="001B52AF"/>
    <w:rsid w:val="001B52D8"/>
    <w:rsid w:val="001B530B"/>
    <w:rsid w:val="001B5380"/>
    <w:rsid w:val="001B5397"/>
    <w:rsid w:val="001B56C9"/>
    <w:rsid w:val="001B56F4"/>
    <w:rsid w:val="001B5822"/>
    <w:rsid w:val="001B5899"/>
    <w:rsid w:val="001B59A4"/>
    <w:rsid w:val="001B59E1"/>
    <w:rsid w:val="001B5A0C"/>
    <w:rsid w:val="001B5AD5"/>
    <w:rsid w:val="001B5C46"/>
    <w:rsid w:val="001B5C84"/>
    <w:rsid w:val="001B5D86"/>
    <w:rsid w:val="001B5DE2"/>
    <w:rsid w:val="001B5EA5"/>
    <w:rsid w:val="001B5F4A"/>
    <w:rsid w:val="001B6071"/>
    <w:rsid w:val="001B60B6"/>
    <w:rsid w:val="001B6392"/>
    <w:rsid w:val="001B640D"/>
    <w:rsid w:val="001B66AF"/>
    <w:rsid w:val="001B674A"/>
    <w:rsid w:val="001B6794"/>
    <w:rsid w:val="001B67A9"/>
    <w:rsid w:val="001B680C"/>
    <w:rsid w:val="001B693B"/>
    <w:rsid w:val="001B69C2"/>
    <w:rsid w:val="001B69D9"/>
    <w:rsid w:val="001B6A80"/>
    <w:rsid w:val="001B6AB1"/>
    <w:rsid w:val="001B6C52"/>
    <w:rsid w:val="001B6C72"/>
    <w:rsid w:val="001B6E57"/>
    <w:rsid w:val="001B70FB"/>
    <w:rsid w:val="001B7262"/>
    <w:rsid w:val="001B72C1"/>
    <w:rsid w:val="001B73C9"/>
    <w:rsid w:val="001B744D"/>
    <w:rsid w:val="001B7598"/>
    <w:rsid w:val="001B77D9"/>
    <w:rsid w:val="001B7842"/>
    <w:rsid w:val="001B7986"/>
    <w:rsid w:val="001B7B39"/>
    <w:rsid w:val="001B7C4D"/>
    <w:rsid w:val="001B7E2D"/>
    <w:rsid w:val="001B7E60"/>
    <w:rsid w:val="001B7E90"/>
    <w:rsid w:val="001B7E93"/>
    <w:rsid w:val="001B7EFA"/>
    <w:rsid w:val="001C006E"/>
    <w:rsid w:val="001C0080"/>
    <w:rsid w:val="001C00C4"/>
    <w:rsid w:val="001C00CA"/>
    <w:rsid w:val="001C00DA"/>
    <w:rsid w:val="001C0154"/>
    <w:rsid w:val="001C036B"/>
    <w:rsid w:val="001C03C3"/>
    <w:rsid w:val="001C0530"/>
    <w:rsid w:val="001C0565"/>
    <w:rsid w:val="001C05EC"/>
    <w:rsid w:val="001C0730"/>
    <w:rsid w:val="001C087B"/>
    <w:rsid w:val="001C0AF1"/>
    <w:rsid w:val="001C0C2A"/>
    <w:rsid w:val="001C0C90"/>
    <w:rsid w:val="001C0D1A"/>
    <w:rsid w:val="001C0D6E"/>
    <w:rsid w:val="001C0E1E"/>
    <w:rsid w:val="001C1090"/>
    <w:rsid w:val="001C11D1"/>
    <w:rsid w:val="001C12BA"/>
    <w:rsid w:val="001C131D"/>
    <w:rsid w:val="001C13B2"/>
    <w:rsid w:val="001C14B6"/>
    <w:rsid w:val="001C166B"/>
    <w:rsid w:val="001C1744"/>
    <w:rsid w:val="001C1824"/>
    <w:rsid w:val="001C19AE"/>
    <w:rsid w:val="001C19E4"/>
    <w:rsid w:val="001C1AEB"/>
    <w:rsid w:val="001C1C34"/>
    <w:rsid w:val="001C1C77"/>
    <w:rsid w:val="001C1D1E"/>
    <w:rsid w:val="001C1EDE"/>
    <w:rsid w:val="001C1F8A"/>
    <w:rsid w:val="001C205D"/>
    <w:rsid w:val="001C22B1"/>
    <w:rsid w:val="001C244B"/>
    <w:rsid w:val="001C24BB"/>
    <w:rsid w:val="001C254A"/>
    <w:rsid w:val="001C2598"/>
    <w:rsid w:val="001C263D"/>
    <w:rsid w:val="001C268A"/>
    <w:rsid w:val="001C268E"/>
    <w:rsid w:val="001C2708"/>
    <w:rsid w:val="001C297C"/>
    <w:rsid w:val="001C29E5"/>
    <w:rsid w:val="001C2C9A"/>
    <w:rsid w:val="001C3015"/>
    <w:rsid w:val="001C30E8"/>
    <w:rsid w:val="001C315A"/>
    <w:rsid w:val="001C31D4"/>
    <w:rsid w:val="001C31DE"/>
    <w:rsid w:val="001C32A4"/>
    <w:rsid w:val="001C32DB"/>
    <w:rsid w:val="001C340D"/>
    <w:rsid w:val="001C3469"/>
    <w:rsid w:val="001C3634"/>
    <w:rsid w:val="001C36F4"/>
    <w:rsid w:val="001C377D"/>
    <w:rsid w:val="001C3837"/>
    <w:rsid w:val="001C398C"/>
    <w:rsid w:val="001C39C8"/>
    <w:rsid w:val="001C3A97"/>
    <w:rsid w:val="001C3AB2"/>
    <w:rsid w:val="001C3ADA"/>
    <w:rsid w:val="001C3B0A"/>
    <w:rsid w:val="001C3BB6"/>
    <w:rsid w:val="001C3BDD"/>
    <w:rsid w:val="001C3BFF"/>
    <w:rsid w:val="001C3D1F"/>
    <w:rsid w:val="001C3DE7"/>
    <w:rsid w:val="001C3F50"/>
    <w:rsid w:val="001C4053"/>
    <w:rsid w:val="001C4126"/>
    <w:rsid w:val="001C4145"/>
    <w:rsid w:val="001C4190"/>
    <w:rsid w:val="001C419C"/>
    <w:rsid w:val="001C423B"/>
    <w:rsid w:val="001C424B"/>
    <w:rsid w:val="001C430E"/>
    <w:rsid w:val="001C432D"/>
    <w:rsid w:val="001C4400"/>
    <w:rsid w:val="001C444C"/>
    <w:rsid w:val="001C4534"/>
    <w:rsid w:val="001C4810"/>
    <w:rsid w:val="001C485D"/>
    <w:rsid w:val="001C4957"/>
    <w:rsid w:val="001C4A3F"/>
    <w:rsid w:val="001C4C89"/>
    <w:rsid w:val="001C4D5F"/>
    <w:rsid w:val="001C4D73"/>
    <w:rsid w:val="001C4DA7"/>
    <w:rsid w:val="001C4DF1"/>
    <w:rsid w:val="001C4F2E"/>
    <w:rsid w:val="001C4FC7"/>
    <w:rsid w:val="001C516E"/>
    <w:rsid w:val="001C52BC"/>
    <w:rsid w:val="001C52EC"/>
    <w:rsid w:val="001C5310"/>
    <w:rsid w:val="001C5337"/>
    <w:rsid w:val="001C537B"/>
    <w:rsid w:val="001C53D4"/>
    <w:rsid w:val="001C5447"/>
    <w:rsid w:val="001C54A7"/>
    <w:rsid w:val="001C554C"/>
    <w:rsid w:val="001C555B"/>
    <w:rsid w:val="001C56F1"/>
    <w:rsid w:val="001C57D3"/>
    <w:rsid w:val="001C58F9"/>
    <w:rsid w:val="001C5908"/>
    <w:rsid w:val="001C5928"/>
    <w:rsid w:val="001C595E"/>
    <w:rsid w:val="001C59F7"/>
    <w:rsid w:val="001C5A04"/>
    <w:rsid w:val="001C5B24"/>
    <w:rsid w:val="001C5B51"/>
    <w:rsid w:val="001C5B7C"/>
    <w:rsid w:val="001C5B80"/>
    <w:rsid w:val="001C5BBC"/>
    <w:rsid w:val="001C5C42"/>
    <w:rsid w:val="001C5E4F"/>
    <w:rsid w:val="001C5EE6"/>
    <w:rsid w:val="001C606E"/>
    <w:rsid w:val="001C60AF"/>
    <w:rsid w:val="001C6124"/>
    <w:rsid w:val="001C6161"/>
    <w:rsid w:val="001C6180"/>
    <w:rsid w:val="001C6202"/>
    <w:rsid w:val="001C620E"/>
    <w:rsid w:val="001C6293"/>
    <w:rsid w:val="001C62A0"/>
    <w:rsid w:val="001C642F"/>
    <w:rsid w:val="001C6453"/>
    <w:rsid w:val="001C64FC"/>
    <w:rsid w:val="001C662A"/>
    <w:rsid w:val="001C696B"/>
    <w:rsid w:val="001C697F"/>
    <w:rsid w:val="001C69CE"/>
    <w:rsid w:val="001C6A09"/>
    <w:rsid w:val="001C6A10"/>
    <w:rsid w:val="001C6AFB"/>
    <w:rsid w:val="001C6C7D"/>
    <w:rsid w:val="001C6DE9"/>
    <w:rsid w:val="001C6E19"/>
    <w:rsid w:val="001C6E7E"/>
    <w:rsid w:val="001C6F89"/>
    <w:rsid w:val="001C6FAD"/>
    <w:rsid w:val="001C7092"/>
    <w:rsid w:val="001C709E"/>
    <w:rsid w:val="001C7264"/>
    <w:rsid w:val="001C72D4"/>
    <w:rsid w:val="001C75FD"/>
    <w:rsid w:val="001C76B1"/>
    <w:rsid w:val="001C76CF"/>
    <w:rsid w:val="001C77AE"/>
    <w:rsid w:val="001C781B"/>
    <w:rsid w:val="001C78DC"/>
    <w:rsid w:val="001C798C"/>
    <w:rsid w:val="001C79FD"/>
    <w:rsid w:val="001C7AA9"/>
    <w:rsid w:val="001C7BB6"/>
    <w:rsid w:val="001C7C3F"/>
    <w:rsid w:val="001C7CB9"/>
    <w:rsid w:val="001C7CF0"/>
    <w:rsid w:val="001C7D9C"/>
    <w:rsid w:val="001C7DA8"/>
    <w:rsid w:val="001C7E53"/>
    <w:rsid w:val="001C7F3C"/>
    <w:rsid w:val="001C7F90"/>
    <w:rsid w:val="001CD61B"/>
    <w:rsid w:val="001D0106"/>
    <w:rsid w:val="001D0203"/>
    <w:rsid w:val="001D020B"/>
    <w:rsid w:val="001D02BE"/>
    <w:rsid w:val="001D03C0"/>
    <w:rsid w:val="001D04F0"/>
    <w:rsid w:val="001D0510"/>
    <w:rsid w:val="001D0574"/>
    <w:rsid w:val="001D05F2"/>
    <w:rsid w:val="001D05F3"/>
    <w:rsid w:val="001D0661"/>
    <w:rsid w:val="001D0781"/>
    <w:rsid w:val="001D09A0"/>
    <w:rsid w:val="001D09E3"/>
    <w:rsid w:val="001D0A7A"/>
    <w:rsid w:val="001D0ACD"/>
    <w:rsid w:val="001D0B99"/>
    <w:rsid w:val="001D0D1B"/>
    <w:rsid w:val="001D0D88"/>
    <w:rsid w:val="001D0DE1"/>
    <w:rsid w:val="001D0EA4"/>
    <w:rsid w:val="001D0EF0"/>
    <w:rsid w:val="001D0F25"/>
    <w:rsid w:val="001D0F6B"/>
    <w:rsid w:val="001D1049"/>
    <w:rsid w:val="001D1164"/>
    <w:rsid w:val="001D116D"/>
    <w:rsid w:val="001D118C"/>
    <w:rsid w:val="001D11FB"/>
    <w:rsid w:val="001D1249"/>
    <w:rsid w:val="001D133F"/>
    <w:rsid w:val="001D1561"/>
    <w:rsid w:val="001D15CF"/>
    <w:rsid w:val="001D1655"/>
    <w:rsid w:val="001D16CF"/>
    <w:rsid w:val="001D181A"/>
    <w:rsid w:val="001D18C3"/>
    <w:rsid w:val="001D1916"/>
    <w:rsid w:val="001D1927"/>
    <w:rsid w:val="001D1985"/>
    <w:rsid w:val="001D199B"/>
    <w:rsid w:val="001D19F5"/>
    <w:rsid w:val="001D1A58"/>
    <w:rsid w:val="001D1A8E"/>
    <w:rsid w:val="001D1BC9"/>
    <w:rsid w:val="001D1E11"/>
    <w:rsid w:val="001D1ECA"/>
    <w:rsid w:val="001D1EE4"/>
    <w:rsid w:val="001D1FDA"/>
    <w:rsid w:val="001D239C"/>
    <w:rsid w:val="001D2482"/>
    <w:rsid w:val="001D2487"/>
    <w:rsid w:val="001D25C9"/>
    <w:rsid w:val="001D267D"/>
    <w:rsid w:val="001D2687"/>
    <w:rsid w:val="001D26DE"/>
    <w:rsid w:val="001D271F"/>
    <w:rsid w:val="001D287F"/>
    <w:rsid w:val="001D296F"/>
    <w:rsid w:val="001D2ABC"/>
    <w:rsid w:val="001D2B19"/>
    <w:rsid w:val="001D2C11"/>
    <w:rsid w:val="001D2E66"/>
    <w:rsid w:val="001D2ECC"/>
    <w:rsid w:val="001D2FFB"/>
    <w:rsid w:val="001D30E0"/>
    <w:rsid w:val="001D30E5"/>
    <w:rsid w:val="001D31C6"/>
    <w:rsid w:val="001D32DE"/>
    <w:rsid w:val="001D33BF"/>
    <w:rsid w:val="001D33D2"/>
    <w:rsid w:val="001D34AE"/>
    <w:rsid w:val="001D3560"/>
    <w:rsid w:val="001D3605"/>
    <w:rsid w:val="001D378B"/>
    <w:rsid w:val="001D38D0"/>
    <w:rsid w:val="001D39DC"/>
    <w:rsid w:val="001D3B78"/>
    <w:rsid w:val="001D3BC8"/>
    <w:rsid w:val="001D3BFA"/>
    <w:rsid w:val="001D3CF2"/>
    <w:rsid w:val="001D3D20"/>
    <w:rsid w:val="001D3D96"/>
    <w:rsid w:val="001D3E1E"/>
    <w:rsid w:val="001D3E4C"/>
    <w:rsid w:val="001D3F2B"/>
    <w:rsid w:val="001D3F4A"/>
    <w:rsid w:val="001D4112"/>
    <w:rsid w:val="001D4128"/>
    <w:rsid w:val="001D4178"/>
    <w:rsid w:val="001D428A"/>
    <w:rsid w:val="001D42BB"/>
    <w:rsid w:val="001D438D"/>
    <w:rsid w:val="001D4431"/>
    <w:rsid w:val="001D4441"/>
    <w:rsid w:val="001D464E"/>
    <w:rsid w:val="001D46AB"/>
    <w:rsid w:val="001D46D6"/>
    <w:rsid w:val="001D47AA"/>
    <w:rsid w:val="001D47B9"/>
    <w:rsid w:val="001D4803"/>
    <w:rsid w:val="001D4856"/>
    <w:rsid w:val="001D4883"/>
    <w:rsid w:val="001D48A3"/>
    <w:rsid w:val="001D4951"/>
    <w:rsid w:val="001D4A54"/>
    <w:rsid w:val="001D4ABE"/>
    <w:rsid w:val="001D4B1B"/>
    <w:rsid w:val="001D4BEE"/>
    <w:rsid w:val="001D4D75"/>
    <w:rsid w:val="001D4EB9"/>
    <w:rsid w:val="001D4ED5"/>
    <w:rsid w:val="001D5109"/>
    <w:rsid w:val="001D51DD"/>
    <w:rsid w:val="001D52E1"/>
    <w:rsid w:val="001D52F6"/>
    <w:rsid w:val="001D5424"/>
    <w:rsid w:val="001D554C"/>
    <w:rsid w:val="001D56BC"/>
    <w:rsid w:val="001D5732"/>
    <w:rsid w:val="001D5900"/>
    <w:rsid w:val="001D5AF0"/>
    <w:rsid w:val="001D5B05"/>
    <w:rsid w:val="001D5C6F"/>
    <w:rsid w:val="001D5CCD"/>
    <w:rsid w:val="001D5E1E"/>
    <w:rsid w:val="001D5E82"/>
    <w:rsid w:val="001D5EFD"/>
    <w:rsid w:val="001D5F52"/>
    <w:rsid w:val="001D5F7B"/>
    <w:rsid w:val="001D62C7"/>
    <w:rsid w:val="001D62DF"/>
    <w:rsid w:val="001D62F8"/>
    <w:rsid w:val="001D66F1"/>
    <w:rsid w:val="001D6877"/>
    <w:rsid w:val="001D69F6"/>
    <w:rsid w:val="001D6A69"/>
    <w:rsid w:val="001D6AC0"/>
    <w:rsid w:val="001D6AD8"/>
    <w:rsid w:val="001D6AE1"/>
    <w:rsid w:val="001D6C0A"/>
    <w:rsid w:val="001D6CA3"/>
    <w:rsid w:val="001D6CE6"/>
    <w:rsid w:val="001D6D06"/>
    <w:rsid w:val="001D6F06"/>
    <w:rsid w:val="001D6F17"/>
    <w:rsid w:val="001D7055"/>
    <w:rsid w:val="001D717E"/>
    <w:rsid w:val="001D721A"/>
    <w:rsid w:val="001D7279"/>
    <w:rsid w:val="001D7347"/>
    <w:rsid w:val="001D73D1"/>
    <w:rsid w:val="001D7449"/>
    <w:rsid w:val="001D7489"/>
    <w:rsid w:val="001D74BE"/>
    <w:rsid w:val="001D755C"/>
    <w:rsid w:val="001D762E"/>
    <w:rsid w:val="001D776F"/>
    <w:rsid w:val="001D77C9"/>
    <w:rsid w:val="001D7809"/>
    <w:rsid w:val="001D786B"/>
    <w:rsid w:val="001D7884"/>
    <w:rsid w:val="001D7ABE"/>
    <w:rsid w:val="001D7B78"/>
    <w:rsid w:val="001D7C02"/>
    <w:rsid w:val="001D7C51"/>
    <w:rsid w:val="001D7C80"/>
    <w:rsid w:val="001D7DD5"/>
    <w:rsid w:val="001DF798"/>
    <w:rsid w:val="001E0016"/>
    <w:rsid w:val="001E014D"/>
    <w:rsid w:val="001E0275"/>
    <w:rsid w:val="001E03A5"/>
    <w:rsid w:val="001E04BE"/>
    <w:rsid w:val="001E05E1"/>
    <w:rsid w:val="001E069F"/>
    <w:rsid w:val="001E06E0"/>
    <w:rsid w:val="001E074F"/>
    <w:rsid w:val="001E0856"/>
    <w:rsid w:val="001E08C6"/>
    <w:rsid w:val="001E08D9"/>
    <w:rsid w:val="001E095B"/>
    <w:rsid w:val="001E0BA3"/>
    <w:rsid w:val="001E0D3F"/>
    <w:rsid w:val="001E0F9F"/>
    <w:rsid w:val="001E0FDF"/>
    <w:rsid w:val="001E109A"/>
    <w:rsid w:val="001E1171"/>
    <w:rsid w:val="001E1401"/>
    <w:rsid w:val="001E1561"/>
    <w:rsid w:val="001E15B8"/>
    <w:rsid w:val="001E16CF"/>
    <w:rsid w:val="001E1732"/>
    <w:rsid w:val="001E17D6"/>
    <w:rsid w:val="001E1AE5"/>
    <w:rsid w:val="001E1AEC"/>
    <w:rsid w:val="001E1BCE"/>
    <w:rsid w:val="001E1D6B"/>
    <w:rsid w:val="001E1DA5"/>
    <w:rsid w:val="001E1DE6"/>
    <w:rsid w:val="001E1E0A"/>
    <w:rsid w:val="001E1EFB"/>
    <w:rsid w:val="001E1FE5"/>
    <w:rsid w:val="001E2242"/>
    <w:rsid w:val="001E2298"/>
    <w:rsid w:val="001E22E6"/>
    <w:rsid w:val="001E2320"/>
    <w:rsid w:val="001E23D1"/>
    <w:rsid w:val="001E24FC"/>
    <w:rsid w:val="001E2502"/>
    <w:rsid w:val="001E256D"/>
    <w:rsid w:val="001E256F"/>
    <w:rsid w:val="001E2632"/>
    <w:rsid w:val="001E27E7"/>
    <w:rsid w:val="001E286C"/>
    <w:rsid w:val="001E296F"/>
    <w:rsid w:val="001E29A7"/>
    <w:rsid w:val="001E2AB7"/>
    <w:rsid w:val="001E2C39"/>
    <w:rsid w:val="001E2CA7"/>
    <w:rsid w:val="001E2D9F"/>
    <w:rsid w:val="001E2ED2"/>
    <w:rsid w:val="001E3065"/>
    <w:rsid w:val="001E314F"/>
    <w:rsid w:val="001E3230"/>
    <w:rsid w:val="001E32B0"/>
    <w:rsid w:val="001E331E"/>
    <w:rsid w:val="001E3332"/>
    <w:rsid w:val="001E342F"/>
    <w:rsid w:val="001E34A9"/>
    <w:rsid w:val="001E34BF"/>
    <w:rsid w:val="001E3502"/>
    <w:rsid w:val="001E3555"/>
    <w:rsid w:val="001E35A0"/>
    <w:rsid w:val="001E35E8"/>
    <w:rsid w:val="001E3612"/>
    <w:rsid w:val="001E365F"/>
    <w:rsid w:val="001E36B0"/>
    <w:rsid w:val="001E370A"/>
    <w:rsid w:val="001E37BC"/>
    <w:rsid w:val="001E391A"/>
    <w:rsid w:val="001E394E"/>
    <w:rsid w:val="001E39DA"/>
    <w:rsid w:val="001E3A27"/>
    <w:rsid w:val="001E3B9F"/>
    <w:rsid w:val="001E3BA1"/>
    <w:rsid w:val="001E3E83"/>
    <w:rsid w:val="001E3F70"/>
    <w:rsid w:val="001E40E5"/>
    <w:rsid w:val="001E416A"/>
    <w:rsid w:val="001E4258"/>
    <w:rsid w:val="001E4575"/>
    <w:rsid w:val="001E4649"/>
    <w:rsid w:val="001E46B4"/>
    <w:rsid w:val="001E46D5"/>
    <w:rsid w:val="001E47A3"/>
    <w:rsid w:val="001E47CB"/>
    <w:rsid w:val="001E483E"/>
    <w:rsid w:val="001E4898"/>
    <w:rsid w:val="001E494D"/>
    <w:rsid w:val="001E4A16"/>
    <w:rsid w:val="001E4B84"/>
    <w:rsid w:val="001E4BF7"/>
    <w:rsid w:val="001E4D97"/>
    <w:rsid w:val="001E4F35"/>
    <w:rsid w:val="001E4F92"/>
    <w:rsid w:val="001E5067"/>
    <w:rsid w:val="001E5206"/>
    <w:rsid w:val="001E5362"/>
    <w:rsid w:val="001E549B"/>
    <w:rsid w:val="001E55F0"/>
    <w:rsid w:val="001E563E"/>
    <w:rsid w:val="001E56C4"/>
    <w:rsid w:val="001E576D"/>
    <w:rsid w:val="001E5826"/>
    <w:rsid w:val="001E583D"/>
    <w:rsid w:val="001E58DB"/>
    <w:rsid w:val="001E59B6"/>
    <w:rsid w:val="001E5A40"/>
    <w:rsid w:val="001E5CC4"/>
    <w:rsid w:val="001E5EE9"/>
    <w:rsid w:val="001E5F50"/>
    <w:rsid w:val="001E5FE5"/>
    <w:rsid w:val="001E60F3"/>
    <w:rsid w:val="001E617C"/>
    <w:rsid w:val="001E626D"/>
    <w:rsid w:val="001E6298"/>
    <w:rsid w:val="001E64A3"/>
    <w:rsid w:val="001E64B6"/>
    <w:rsid w:val="001E6554"/>
    <w:rsid w:val="001E6632"/>
    <w:rsid w:val="001E67DD"/>
    <w:rsid w:val="001E6896"/>
    <w:rsid w:val="001E68E6"/>
    <w:rsid w:val="001E698E"/>
    <w:rsid w:val="001E69CA"/>
    <w:rsid w:val="001E6A11"/>
    <w:rsid w:val="001E6ACB"/>
    <w:rsid w:val="001E6AF4"/>
    <w:rsid w:val="001E6C80"/>
    <w:rsid w:val="001E6DF6"/>
    <w:rsid w:val="001E6F96"/>
    <w:rsid w:val="001E704E"/>
    <w:rsid w:val="001E70D4"/>
    <w:rsid w:val="001E7130"/>
    <w:rsid w:val="001E71CC"/>
    <w:rsid w:val="001E7209"/>
    <w:rsid w:val="001E73A0"/>
    <w:rsid w:val="001E74C5"/>
    <w:rsid w:val="001E74D4"/>
    <w:rsid w:val="001E7565"/>
    <w:rsid w:val="001E771F"/>
    <w:rsid w:val="001E77D8"/>
    <w:rsid w:val="001E780C"/>
    <w:rsid w:val="001E78C2"/>
    <w:rsid w:val="001E793E"/>
    <w:rsid w:val="001E7A87"/>
    <w:rsid w:val="001E7A9E"/>
    <w:rsid w:val="001E7AB4"/>
    <w:rsid w:val="001E7BBD"/>
    <w:rsid w:val="001E7BFD"/>
    <w:rsid w:val="001E7C0D"/>
    <w:rsid w:val="001E7DE0"/>
    <w:rsid w:val="001E7E86"/>
    <w:rsid w:val="001E7E8A"/>
    <w:rsid w:val="001F0047"/>
    <w:rsid w:val="001F00F6"/>
    <w:rsid w:val="001F0118"/>
    <w:rsid w:val="001F0130"/>
    <w:rsid w:val="001F0480"/>
    <w:rsid w:val="001F0527"/>
    <w:rsid w:val="001F06AD"/>
    <w:rsid w:val="001F06EA"/>
    <w:rsid w:val="001F0875"/>
    <w:rsid w:val="001F091A"/>
    <w:rsid w:val="001F0924"/>
    <w:rsid w:val="001F09C2"/>
    <w:rsid w:val="001F0D42"/>
    <w:rsid w:val="001F0D68"/>
    <w:rsid w:val="001F0DA0"/>
    <w:rsid w:val="001F1013"/>
    <w:rsid w:val="001F1169"/>
    <w:rsid w:val="001F11D1"/>
    <w:rsid w:val="001F11D3"/>
    <w:rsid w:val="001F11E2"/>
    <w:rsid w:val="001F131D"/>
    <w:rsid w:val="001F1432"/>
    <w:rsid w:val="001F15D7"/>
    <w:rsid w:val="001F160B"/>
    <w:rsid w:val="001F18AA"/>
    <w:rsid w:val="001F1909"/>
    <w:rsid w:val="001F197B"/>
    <w:rsid w:val="001F19D6"/>
    <w:rsid w:val="001F1A41"/>
    <w:rsid w:val="001F1ACE"/>
    <w:rsid w:val="001F1B26"/>
    <w:rsid w:val="001F1C56"/>
    <w:rsid w:val="001F1CD2"/>
    <w:rsid w:val="001F1CE9"/>
    <w:rsid w:val="001F1E39"/>
    <w:rsid w:val="001F1EF7"/>
    <w:rsid w:val="001F1FB4"/>
    <w:rsid w:val="001F1FCB"/>
    <w:rsid w:val="001F20D3"/>
    <w:rsid w:val="001F21D5"/>
    <w:rsid w:val="001F21E5"/>
    <w:rsid w:val="001F23B7"/>
    <w:rsid w:val="001F23F6"/>
    <w:rsid w:val="001F2408"/>
    <w:rsid w:val="001F24A3"/>
    <w:rsid w:val="001F2505"/>
    <w:rsid w:val="001F27D5"/>
    <w:rsid w:val="001F28C6"/>
    <w:rsid w:val="001F2AA1"/>
    <w:rsid w:val="001F2AA3"/>
    <w:rsid w:val="001F2B1B"/>
    <w:rsid w:val="001F2BE5"/>
    <w:rsid w:val="001F2D4A"/>
    <w:rsid w:val="001F2DAF"/>
    <w:rsid w:val="001F2E1D"/>
    <w:rsid w:val="001F301C"/>
    <w:rsid w:val="001F3091"/>
    <w:rsid w:val="001F31AE"/>
    <w:rsid w:val="001F328E"/>
    <w:rsid w:val="001F32BC"/>
    <w:rsid w:val="001F32C7"/>
    <w:rsid w:val="001F3302"/>
    <w:rsid w:val="001F3488"/>
    <w:rsid w:val="001F34A4"/>
    <w:rsid w:val="001F35BC"/>
    <w:rsid w:val="001F363B"/>
    <w:rsid w:val="001F36E4"/>
    <w:rsid w:val="001F3724"/>
    <w:rsid w:val="001F383B"/>
    <w:rsid w:val="001F38D9"/>
    <w:rsid w:val="001F395D"/>
    <w:rsid w:val="001F3A68"/>
    <w:rsid w:val="001F3BD6"/>
    <w:rsid w:val="001F3E19"/>
    <w:rsid w:val="001F3E2A"/>
    <w:rsid w:val="001F3EEE"/>
    <w:rsid w:val="001F4002"/>
    <w:rsid w:val="001F4041"/>
    <w:rsid w:val="001F40C1"/>
    <w:rsid w:val="001F40D0"/>
    <w:rsid w:val="001F434C"/>
    <w:rsid w:val="001F43EC"/>
    <w:rsid w:val="001F4443"/>
    <w:rsid w:val="001F46D1"/>
    <w:rsid w:val="001F46D7"/>
    <w:rsid w:val="001F46F0"/>
    <w:rsid w:val="001F4723"/>
    <w:rsid w:val="001F4779"/>
    <w:rsid w:val="001F496E"/>
    <w:rsid w:val="001F4A8C"/>
    <w:rsid w:val="001F4ADF"/>
    <w:rsid w:val="001F4C6E"/>
    <w:rsid w:val="001F4CD7"/>
    <w:rsid w:val="001F4CD9"/>
    <w:rsid w:val="001F4DA9"/>
    <w:rsid w:val="001F4E27"/>
    <w:rsid w:val="001F4EA7"/>
    <w:rsid w:val="001F4F86"/>
    <w:rsid w:val="001F509C"/>
    <w:rsid w:val="001F50FD"/>
    <w:rsid w:val="001F510C"/>
    <w:rsid w:val="001F5119"/>
    <w:rsid w:val="001F5154"/>
    <w:rsid w:val="001F5199"/>
    <w:rsid w:val="001F5310"/>
    <w:rsid w:val="001F53FF"/>
    <w:rsid w:val="001F541B"/>
    <w:rsid w:val="001F5499"/>
    <w:rsid w:val="001F5632"/>
    <w:rsid w:val="001F56FB"/>
    <w:rsid w:val="001F571E"/>
    <w:rsid w:val="001F5D7A"/>
    <w:rsid w:val="001F5DA1"/>
    <w:rsid w:val="001F5DA5"/>
    <w:rsid w:val="001F5E3C"/>
    <w:rsid w:val="001F5F14"/>
    <w:rsid w:val="001F602E"/>
    <w:rsid w:val="001F60D3"/>
    <w:rsid w:val="001F61F9"/>
    <w:rsid w:val="001F6284"/>
    <w:rsid w:val="001F643B"/>
    <w:rsid w:val="001F653B"/>
    <w:rsid w:val="001F65E4"/>
    <w:rsid w:val="001F678E"/>
    <w:rsid w:val="001F684E"/>
    <w:rsid w:val="001F68B1"/>
    <w:rsid w:val="001F6950"/>
    <w:rsid w:val="001F697D"/>
    <w:rsid w:val="001F69BA"/>
    <w:rsid w:val="001F6B61"/>
    <w:rsid w:val="001F6B86"/>
    <w:rsid w:val="001F6BF6"/>
    <w:rsid w:val="001F6D72"/>
    <w:rsid w:val="001F6D83"/>
    <w:rsid w:val="001F6D97"/>
    <w:rsid w:val="001F6DED"/>
    <w:rsid w:val="001F6DFC"/>
    <w:rsid w:val="001F6E24"/>
    <w:rsid w:val="001F6F53"/>
    <w:rsid w:val="001F7180"/>
    <w:rsid w:val="001F7394"/>
    <w:rsid w:val="001F73BB"/>
    <w:rsid w:val="001F7464"/>
    <w:rsid w:val="001F78A6"/>
    <w:rsid w:val="001F7A72"/>
    <w:rsid w:val="001F7A7A"/>
    <w:rsid w:val="001F7AC6"/>
    <w:rsid w:val="001F7ACE"/>
    <w:rsid w:val="001F7CA2"/>
    <w:rsid w:val="001F7D8F"/>
    <w:rsid w:val="001F7E81"/>
    <w:rsid w:val="001F7E8F"/>
    <w:rsid w:val="001F7EAE"/>
    <w:rsid w:val="001F7EB3"/>
    <w:rsid w:val="001F7F23"/>
    <w:rsid w:val="001F7FFA"/>
    <w:rsid w:val="00200008"/>
    <w:rsid w:val="00200289"/>
    <w:rsid w:val="002002B3"/>
    <w:rsid w:val="00200721"/>
    <w:rsid w:val="00200723"/>
    <w:rsid w:val="00200A42"/>
    <w:rsid w:val="00200B4F"/>
    <w:rsid w:val="00200D27"/>
    <w:rsid w:val="00200DD4"/>
    <w:rsid w:val="00200E58"/>
    <w:rsid w:val="00200F75"/>
    <w:rsid w:val="00200FAD"/>
    <w:rsid w:val="0020107F"/>
    <w:rsid w:val="0020127F"/>
    <w:rsid w:val="002013A7"/>
    <w:rsid w:val="002013DC"/>
    <w:rsid w:val="00201404"/>
    <w:rsid w:val="00201443"/>
    <w:rsid w:val="0020149C"/>
    <w:rsid w:val="00201546"/>
    <w:rsid w:val="0020168F"/>
    <w:rsid w:val="00201830"/>
    <w:rsid w:val="0020193A"/>
    <w:rsid w:val="0020197F"/>
    <w:rsid w:val="002019EE"/>
    <w:rsid w:val="00201A37"/>
    <w:rsid w:val="00201A69"/>
    <w:rsid w:val="00201AD0"/>
    <w:rsid w:val="00201B3E"/>
    <w:rsid w:val="00201B97"/>
    <w:rsid w:val="00201DE0"/>
    <w:rsid w:val="00201E29"/>
    <w:rsid w:val="0020212B"/>
    <w:rsid w:val="002022F7"/>
    <w:rsid w:val="002023D8"/>
    <w:rsid w:val="00202429"/>
    <w:rsid w:val="0020264D"/>
    <w:rsid w:val="00202658"/>
    <w:rsid w:val="00202705"/>
    <w:rsid w:val="00202764"/>
    <w:rsid w:val="0020284F"/>
    <w:rsid w:val="00202858"/>
    <w:rsid w:val="00202902"/>
    <w:rsid w:val="00202995"/>
    <w:rsid w:val="00202A5B"/>
    <w:rsid w:val="00202BC9"/>
    <w:rsid w:val="00202BFC"/>
    <w:rsid w:val="00202C59"/>
    <w:rsid w:val="00202F90"/>
    <w:rsid w:val="0020309F"/>
    <w:rsid w:val="00203393"/>
    <w:rsid w:val="00203420"/>
    <w:rsid w:val="002036E2"/>
    <w:rsid w:val="002037A0"/>
    <w:rsid w:val="00203841"/>
    <w:rsid w:val="0020396F"/>
    <w:rsid w:val="00203AAA"/>
    <w:rsid w:val="00203BC2"/>
    <w:rsid w:val="00203C51"/>
    <w:rsid w:val="00203C5B"/>
    <w:rsid w:val="00203E3D"/>
    <w:rsid w:val="00203F28"/>
    <w:rsid w:val="00203F48"/>
    <w:rsid w:val="00204093"/>
    <w:rsid w:val="00204099"/>
    <w:rsid w:val="002042A3"/>
    <w:rsid w:val="002043BF"/>
    <w:rsid w:val="00204630"/>
    <w:rsid w:val="002046F8"/>
    <w:rsid w:val="00204824"/>
    <w:rsid w:val="00204B20"/>
    <w:rsid w:val="00204B82"/>
    <w:rsid w:val="00204C11"/>
    <w:rsid w:val="00204D96"/>
    <w:rsid w:val="00204E51"/>
    <w:rsid w:val="00204EBA"/>
    <w:rsid w:val="00204F06"/>
    <w:rsid w:val="00204F1D"/>
    <w:rsid w:val="00204F1F"/>
    <w:rsid w:val="00204F4D"/>
    <w:rsid w:val="00204F9A"/>
    <w:rsid w:val="0020509B"/>
    <w:rsid w:val="0020522E"/>
    <w:rsid w:val="002052E6"/>
    <w:rsid w:val="002052FE"/>
    <w:rsid w:val="00205396"/>
    <w:rsid w:val="002053FF"/>
    <w:rsid w:val="002054D2"/>
    <w:rsid w:val="0020563B"/>
    <w:rsid w:val="0020566F"/>
    <w:rsid w:val="00205674"/>
    <w:rsid w:val="002059AC"/>
    <w:rsid w:val="002059F3"/>
    <w:rsid w:val="002059F6"/>
    <w:rsid w:val="00205AA2"/>
    <w:rsid w:val="00205B4D"/>
    <w:rsid w:val="00205B62"/>
    <w:rsid w:val="00205C73"/>
    <w:rsid w:val="00205CD7"/>
    <w:rsid w:val="00205E15"/>
    <w:rsid w:val="00205E1F"/>
    <w:rsid w:val="00205E53"/>
    <w:rsid w:val="00205E56"/>
    <w:rsid w:val="00205F31"/>
    <w:rsid w:val="0020601E"/>
    <w:rsid w:val="00206053"/>
    <w:rsid w:val="0020611D"/>
    <w:rsid w:val="00206161"/>
    <w:rsid w:val="002061B2"/>
    <w:rsid w:val="00206369"/>
    <w:rsid w:val="00206466"/>
    <w:rsid w:val="00206653"/>
    <w:rsid w:val="002067DE"/>
    <w:rsid w:val="0020684D"/>
    <w:rsid w:val="0020687E"/>
    <w:rsid w:val="002068C3"/>
    <w:rsid w:val="002068E6"/>
    <w:rsid w:val="00206960"/>
    <w:rsid w:val="002069AD"/>
    <w:rsid w:val="002069EA"/>
    <w:rsid w:val="00206A34"/>
    <w:rsid w:val="00206BA8"/>
    <w:rsid w:val="00206C09"/>
    <w:rsid w:val="00206DF2"/>
    <w:rsid w:val="00206EF6"/>
    <w:rsid w:val="002072B7"/>
    <w:rsid w:val="002073BA"/>
    <w:rsid w:val="002074E1"/>
    <w:rsid w:val="002074F1"/>
    <w:rsid w:val="00207582"/>
    <w:rsid w:val="0020766B"/>
    <w:rsid w:val="00207762"/>
    <w:rsid w:val="002077C6"/>
    <w:rsid w:val="0020798A"/>
    <w:rsid w:val="00207BA9"/>
    <w:rsid w:val="00207D46"/>
    <w:rsid w:val="00207DB7"/>
    <w:rsid w:val="00207E57"/>
    <w:rsid w:val="00207E7D"/>
    <w:rsid w:val="00207EEB"/>
    <w:rsid w:val="00210004"/>
    <w:rsid w:val="0021000A"/>
    <w:rsid w:val="002100D3"/>
    <w:rsid w:val="002101FC"/>
    <w:rsid w:val="00210243"/>
    <w:rsid w:val="00210607"/>
    <w:rsid w:val="00210635"/>
    <w:rsid w:val="00210809"/>
    <w:rsid w:val="0021087B"/>
    <w:rsid w:val="0021090B"/>
    <w:rsid w:val="002109EE"/>
    <w:rsid w:val="00210C03"/>
    <w:rsid w:val="00210C81"/>
    <w:rsid w:val="00210D00"/>
    <w:rsid w:val="00210EAD"/>
    <w:rsid w:val="00210F76"/>
    <w:rsid w:val="00211000"/>
    <w:rsid w:val="00211072"/>
    <w:rsid w:val="00211091"/>
    <w:rsid w:val="00211142"/>
    <w:rsid w:val="0021116D"/>
    <w:rsid w:val="0021133B"/>
    <w:rsid w:val="00211418"/>
    <w:rsid w:val="002114D3"/>
    <w:rsid w:val="002116F6"/>
    <w:rsid w:val="00211786"/>
    <w:rsid w:val="002117EA"/>
    <w:rsid w:val="002118CC"/>
    <w:rsid w:val="00211919"/>
    <w:rsid w:val="00211977"/>
    <w:rsid w:val="00211990"/>
    <w:rsid w:val="00211AA4"/>
    <w:rsid w:val="00211B43"/>
    <w:rsid w:val="00211B81"/>
    <w:rsid w:val="00211BAB"/>
    <w:rsid w:val="00211BAE"/>
    <w:rsid w:val="00211BB0"/>
    <w:rsid w:val="00211BBD"/>
    <w:rsid w:val="00211BC2"/>
    <w:rsid w:val="00211C28"/>
    <w:rsid w:val="00211CAF"/>
    <w:rsid w:val="00211D2C"/>
    <w:rsid w:val="00211DDB"/>
    <w:rsid w:val="00211EC9"/>
    <w:rsid w:val="00212183"/>
    <w:rsid w:val="0021233C"/>
    <w:rsid w:val="00212462"/>
    <w:rsid w:val="00212585"/>
    <w:rsid w:val="00212587"/>
    <w:rsid w:val="002125AE"/>
    <w:rsid w:val="002125BF"/>
    <w:rsid w:val="00212671"/>
    <w:rsid w:val="00212705"/>
    <w:rsid w:val="00212861"/>
    <w:rsid w:val="002128E5"/>
    <w:rsid w:val="00212911"/>
    <w:rsid w:val="00212916"/>
    <w:rsid w:val="00212942"/>
    <w:rsid w:val="00212AE1"/>
    <w:rsid w:val="00212C2F"/>
    <w:rsid w:val="00212DB2"/>
    <w:rsid w:val="002130F8"/>
    <w:rsid w:val="00213243"/>
    <w:rsid w:val="0021325E"/>
    <w:rsid w:val="002135A9"/>
    <w:rsid w:val="002136C8"/>
    <w:rsid w:val="002137E0"/>
    <w:rsid w:val="002138E7"/>
    <w:rsid w:val="00213A56"/>
    <w:rsid w:val="00213ADA"/>
    <w:rsid w:val="00213B2B"/>
    <w:rsid w:val="00213BA9"/>
    <w:rsid w:val="00213BE1"/>
    <w:rsid w:val="00213D68"/>
    <w:rsid w:val="00213E30"/>
    <w:rsid w:val="00213E3D"/>
    <w:rsid w:val="002143A4"/>
    <w:rsid w:val="002143F1"/>
    <w:rsid w:val="00214453"/>
    <w:rsid w:val="0021447F"/>
    <w:rsid w:val="0021460D"/>
    <w:rsid w:val="00214687"/>
    <w:rsid w:val="002148D5"/>
    <w:rsid w:val="002149AB"/>
    <w:rsid w:val="00214A1E"/>
    <w:rsid w:val="00214AE7"/>
    <w:rsid w:val="00214B3A"/>
    <w:rsid w:val="00214C67"/>
    <w:rsid w:val="00214D95"/>
    <w:rsid w:val="00214E68"/>
    <w:rsid w:val="00215061"/>
    <w:rsid w:val="0021508A"/>
    <w:rsid w:val="002150BF"/>
    <w:rsid w:val="002151DA"/>
    <w:rsid w:val="0021529C"/>
    <w:rsid w:val="002152FF"/>
    <w:rsid w:val="0021541B"/>
    <w:rsid w:val="00215646"/>
    <w:rsid w:val="00215672"/>
    <w:rsid w:val="002156B5"/>
    <w:rsid w:val="002156FF"/>
    <w:rsid w:val="0021571E"/>
    <w:rsid w:val="00215728"/>
    <w:rsid w:val="002157A8"/>
    <w:rsid w:val="002157E1"/>
    <w:rsid w:val="0021587A"/>
    <w:rsid w:val="0021587F"/>
    <w:rsid w:val="002158D0"/>
    <w:rsid w:val="002159BF"/>
    <w:rsid w:val="00215A40"/>
    <w:rsid w:val="00215C25"/>
    <w:rsid w:val="00215CD0"/>
    <w:rsid w:val="00215D30"/>
    <w:rsid w:val="00215D39"/>
    <w:rsid w:val="00215D8B"/>
    <w:rsid w:val="00215F05"/>
    <w:rsid w:val="00215FB7"/>
    <w:rsid w:val="00215FDC"/>
    <w:rsid w:val="00216098"/>
    <w:rsid w:val="00216185"/>
    <w:rsid w:val="0021619D"/>
    <w:rsid w:val="002161AD"/>
    <w:rsid w:val="002161C8"/>
    <w:rsid w:val="002162F2"/>
    <w:rsid w:val="002163A9"/>
    <w:rsid w:val="002163E4"/>
    <w:rsid w:val="00216486"/>
    <w:rsid w:val="002164D1"/>
    <w:rsid w:val="002164DB"/>
    <w:rsid w:val="00216541"/>
    <w:rsid w:val="0021672D"/>
    <w:rsid w:val="00216774"/>
    <w:rsid w:val="0021686F"/>
    <w:rsid w:val="00216943"/>
    <w:rsid w:val="0021696A"/>
    <w:rsid w:val="00216A0C"/>
    <w:rsid w:val="00216A26"/>
    <w:rsid w:val="00216AE3"/>
    <w:rsid w:val="00216B21"/>
    <w:rsid w:val="00216B75"/>
    <w:rsid w:val="00216BD9"/>
    <w:rsid w:val="00216BEF"/>
    <w:rsid w:val="00216D23"/>
    <w:rsid w:val="00216E8C"/>
    <w:rsid w:val="00216EF2"/>
    <w:rsid w:val="00216F20"/>
    <w:rsid w:val="00216FA1"/>
    <w:rsid w:val="00216FBE"/>
    <w:rsid w:val="00217238"/>
    <w:rsid w:val="002172A4"/>
    <w:rsid w:val="002172F1"/>
    <w:rsid w:val="00217368"/>
    <w:rsid w:val="00217407"/>
    <w:rsid w:val="0021743E"/>
    <w:rsid w:val="0021744B"/>
    <w:rsid w:val="0021749D"/>
    <w:rsid w:val="002174FA"/>
    <w:rsid w:val="0021796F"/>
    <w:rsid w:val="00217A34"/>
    <w:rsid w:val="00217A46"/>
    <w:rsid w:val="00217C5C"/>
    <w:rsid w:val="00217D46"/>
    <w:rsid w:val="00217F01"/>
    <w:rsid w:val="00217F0B"/>
    <w:rsid w:val="00217F51"/>
    <w:rsid w:val="00217FC8"/>
    <w:rsid w:val="0021B0F2"/>
    <w:rsid w:val="002201BF"/>
    <w:rsid w:val="00220204"/>
    <w:rsid w:val="002202BE"/>
    <w:rsid w:val="0022044F"/>
    <w:rsid w:val="002205A2"/>
    <w:rsid w:val="00220759"/>
    <w:rsid w:val="002207B2"/>
    <w:rsid w:val="0022091A"/>
    <w:rsid w:val="0022097D"/>
    <w:rsid w:val="00220B8D"/>
    <w:rsid w:val="00220C33"/>
    <w:rsid w:val="00220C76"/>
    <w:rsid w:val="00220DA7"/>
    <w:rsid w:val="00220E37"/>
    <w:rsid w:val="00220F40"/>
    <w:rsid w:val="00220F9A"/>
    <w:rsid w:val="00220FA5"/>
    <w:rsid w:val="00220FC5"/>
    <w:rsid w:val="00221190"/>
    <w:rsid w:val="00221268"/>
    <w:rsid w:val="0022138F"/>
    <w:rsid w:val="00221649"/>
    <w:rsid w:val="00221738"/>
    <w:rsid w:val="0022188B"/>
    <w:rsid w:val="00221CF0"/>
    <w:rsid w:val="00221D22"/>
    <w:rsid w:val="00221F3F"/>
    <w:rsid w:val="00221F51"/>
    <w:rsid w:val="00221FC3"/>
    <w:rsid w:val="00221FCD"/>
    <w:rsid w:val="00221FE8"/>
    <w:rsid w:val="002220CF"/>
    <w:rsid w:val="00222152"/>
    <w:rsid w:val="00222162"/>
    <w:rsid w:val="002221D3"/>
    <w:rsid w:val="00222267"/>
    <w:rsid w:val="0022230A"/>
    <w:rsid w:val="002223FA"/>
    <w:rsid w:val="00222519"/>
    <w:rsid w:val="00222576"/>
    <w:rsid w:val="00222696"/>
    <w:rsid w:val="0022275B"/>
    <w:rsid w:val="0022284E"/>
    <w:rsid w:val="002228AC"/>
    <w:rsid w:val="002229D4"/>
    <w:rsid w:val="002229EF"/>
    <w:rsid w:val="00222A08"/>
    <w:rsid w:val="00222A7E"/>
    <w:rsid w:val="00222B10"/>
    <w:rsid w:val="00222B2C"/>
    <w:rsid w:val="00222BEE"/>
    <w:rsid w:val="00222DE1"/>
    <w:rsid w:val="00223151"/>
    <w:rsid w:val="00223257"/>
    <w:rsid w:val="00223444"/>
    <w:rsid w:val="002234E4"/>
    <w:rsid w:val="002235AF"/>
    <w:rsid w:val="00223646"/>
    <w:rsid w:val="00223663"/>
    <w:rsid w:val="00223703"/>
    <w:rsid w:val="00223745"/>
    <w:rsid w:val="002238E3"/>
    <w:rsid w:val="002239EA"/>
    <w:rsid w:val="00223B45"/>
    <w:rsid w:val="00223B88"/>
    <w:rsid w:val="00223BD8"/>
    <w:rsid w:val="00223CB8"/>
    <w:rsid w:val="00223D26"/>
    <w:rsid w:val="00223FCE"/>
    <w:rsid w:val="002240E2"/>
    <w:rsid w:val="002241B7"/>
    <w:rsid w:val="00224338"/>
    <w:rsid w:val="00224373"/>
    <w:rsid w:val="0022444E"/>
    <w:rsid w:val="00224708"/>
    <w:rsid w:val="0022476A"/>
    <w:rsid w:val="0022482F"/>
    <w:rsid w:val="00224837"/>
    <w:rsid w:val="00224985"/>
    <w:rsid w:val="0022498E"/>
    <w:rsid w:val="00224A3B"/>
    <w:rsid w:val="00224B87"/>
    <w:rsid w:val="00224C47"/>
    <w:rsid w:val="00224C75"/>
    <w:rsid w:val="00224EAB"/>
    <w:rsid w:val="00224F30"/>
    <w:rsid w:val="00224F63"/>
    <w:rsid w:val="00224F85"/>
    <w:rsid w:val="00224F97"/>
    <w:rsid w:val="0022500B"/>
    <w:rsid w:val="00225053"/>
    <w:rsid w:val="0022507C"/>
    <w:rsid w:val="00225094"/>
    <w:rsid w:val="0022528B"/>
    <w:rsid w:val="002252BE"/>
    <w:rsid w:val="002253E4"/>
    <w:rsid w:val="002256E0"/>
    <w:rsid w:val="00225774"/>
    <w:rsid w:val="00225791"/>
    <w:rsid w:val="002259A3"/>
    <w:rsid w:val="002259C6"/>
    <w:rsid w:val="00225A82"/>
    <w:rsid w:val="00225A8D"/>
    <w:rsid w:val="00225AC2"/>
    <w:rsid w:val="00225CC7"/>
    <w:rsid w:val="00225DC5"/>
    <w:rsid w:val="00225DDB"/>
    <w:rsid w:val="00225DF7"/>
    <w:rsid w:val="00225E36"/>
    <w:rsid w:val="00225EF0"/>
    <w:rsid w:val="00226013"/>
    <w:rsid w:val="0022612A"/>
    <w:rsid w:val="0022612E"/>
    <w:rsid w:val="002261CF"/>
    <w:rsid w:val="00226276"/>
    <w:rsid w:val="00226290"/>
    <w:rsid w:val="002262F6"/>
    <w:rsid w:val="00226381"/>
    <w:rsid w:val="002263B8"/>
    <w:rsid w:val="002265EB"/>
    <w:rsid w:val="0022667D"/>
    <w:rsid w:val="0022672A"/>
    <w:rsid w:val="00226A92"/>
    <w:rsid w:val="00226AE3"/>
    <w:rsid w:val="00226C5C"/>
    <w:rsid w:val="00226E8E"/>
    <w:rsid w:val="00226F06"/>
    <w:rsid w:val="00227025"/>
    <w:rsid w:val="0022709B"/>
    <w:rsid w:val="00227254"/>
    <w:rsid w:val="00227393"/>
    <w:rsid w:val="00227630"/>
    <w:rsid w:val="00227836"/>
    <w:rsid w:val="00227B81"/>
    <w:rsid w:val="00227C48"/>
    <w:rsid w:val="00227D04"/>
    <w:rsid w:val="00227DB9"/>
    <w:rsid w:val="00227DDE"/>
    <w:rsid w:val="0023002E"/>
    <w:rsid w:val="0023006C"/>
    <w:rsid w:val="002300D2"/>
    <w:rsid w:val="00230484"/>
    <w:rsid w:val="00230594"/>
    <w:rsid w:val="002305A9"/>
    <w:rsid w:val="002305EF"/>
    <w:rsid w:val="002305F0"/>
    <w:rsid w:val="00230698"/>
    <w:rsid w:val="00230700"/>
    <w:rsid w:val="0023072A"/>
    <w:rsid w:val="002307A2"/>
    <w:rsid w:val="0023086F"/>
    <w:rsid w:val="0023087B"/>
    <w:rsid w:val="00230BB8"/>
    <w:rsid w:val="00230C46"/>
    <w:rsid w:val="00230DE1"/>
    <w:rsid w:val="00230E85"/>
    <w:rsid w:val="00230EAF"/>
    <w:rsid w:val="00230EDB"/>
    <w:rsid w:val="00230EEC"/>
    <w:rsid w:val="00230F69"/>
    <w:rsid w:val="00230F9C"/>
    <w:rsid w:val="00231023"/>
    <w:rsid w:val="002312E2"/>
    <w:rsid w:val="002312E9"/>
    <w:rsid w:val="002313AD"/>
    <w:rsid w:val="00231475"/>
    <w:rsid w:val="00231736"/>
    <w:rsid w:val="00231782"/>
    <w:rsid w:val="00231795"/>
    <w:rsid w:val="002317D1"/>
    <w:rsid w:val="00231B45"/>
    <w:rsid w:val="002320DB"/>
    <w:rsid w:val="00232127"/>
    <w:rsid w:val="0023215F"/>
    <w:rsid w:val="002321AD"/>
    <w:rsid w:val="00232227"/>
    <w:rsid w:val="00232340"/>
    <w:rsid w:val="002323BE"/>
    <w:rsid w:val="00232415"/>
    <w:rsid w:val="00232445"/>
    <w:rsid w:val="0023244E"/>
    <w:rsid w:val="002324AD"/>
    <w:rsid w:val="002324C2"/>
    <w:rsid w:val="002326C4"/>
    <w:rsid w:val="0023276C"/>
    <w:rsid w:val="002327BB"/>
    <w:rsid w:val="00232977"/>
    <w:rsid w:val="00232986"/>
    <w:rsid w:val="002329AD"/>
    <w:rsid w:val="00232AB1"/>
    <w:rsid w:val="00232CB8"/>
    <w:rsid w:val="00232DD6"/>
    <w:rsid w:val="00233057"/>
    <w:rsid w:val="002330EC"/>
    <w:rsid w:val="0023319E"/>
    <w:rsid w:val="002331D0"/>
    <w:rsid w:val="0023321A"/>
    <w:rsid w:val="00233276"/>
    <w:rsid w:val="00233460"/>
    <w:rsid w:val="00233629"/>
    <w:rsid w:val="002336BD"/>
    <w:rsid w:val="00233744"/>
    <w:rsid w:val="00233971"/>
    <w:rsid w:val="00233B45"/>
    <w:rsid w:val="00233B68"/>
    <w:rsid w:val="00233BA1"/>
    <w:rsid w:val="00233C07"/>
    <w:rsid w:val="00233C1C"/>
    <w:rsid w:val="00233C8B"/>
    <w:rsid w:val="00233CA1"/>
    <w:rsid w:val="00233CF3"/>
    <w:rsid w:val="00233D0E"/>
    <w:rsid w:val="00233D44"/>
    <w:rsid w:val="00233D9B"/>
    <w:rsid w:val="00233E05"/>
    <w:rsid w:val="00233EB7"/>
    <w:rsid w:val="00233FFF"/>
    <w:rsid w:val="00234227"/>
    <w:rsid w:val="002342D9"/>
    <w:rsid w:val="002342EF"/>
    <w:rsid w:val="00234362"/>
    <w:rsid w:val="00234440"/>
    <w:rsid w:val="00234494"/>
    <w:rsid w:val="0023461E"/>
    <w:rsid w:val="00234629"/>
    <w:rsid w:val="002347E0"/>
    <w:rsid w:val="002347E7"/>
    <w:rsid w:val="00234836"/>
    <w:rsid w:val="00234A6C"/>
    <w:rsid w:val="00234D84"/>
    <w:rsid w:val="00234E87"/>
    <w:rsid w:val="00234F27"/>
    <w:rsid w:val="00235007"/>
    <w:rsid w:val="00235029"/>
    <w:rsid w:val="0023504E"/>
    <w:rsid w:val="00235167"/>
    <w:rsid w:val="00235249"/>
    <w:rsid w:val="00235253"/>
    <w:rsid w:val="002352C6"/>
    <w:rsid w:val="00235372"/>
    <w:rsid w:val="002353EA"/>
    <w:rsid w:val="002355CA"/>
    <w:rsid w:val="00235710"/>
    <w:rsid w:val="00235713"/>
    <w:rsid w:val="00235744"/>
    <w:rsid w:val="002357C8"/>
    <w:rsid w:val="00235977"/>
    <w:rsid w:val="002359A7"/>
    <w:rsid w:val="00235B15"/>
    <w:rsid w:val="00235C00"/>
    <w:rsid w:val="00235DF0"/>
    <w:rsid w:val="00235EAA"/>
    <w:rsid w:val="00235F23"/>
    <w:rsid w:val="00235F39"/>
    <w:rsid w:val="00235F70"/>
    <w:rsid w:val="00235FAB"/>
    <w:rsid w:val="00236040"/>
    <w:rsid w:val="002360DE"/>
    <w:rsid w:val="00236155"/>
    <w:rsid w:val="002361A7"/>
    <w:rsid w:val="00236227"/>
    <w:rsid w:val="00236283"/>
    <w:rsid w:val="002362C8"/>
    <w:rsid w:val="002363B9"/>
    <w:rsid w:val="002363F2"/>
    <w:rsid w:val="00236432"/>
    <w:rsid w:val="0023650F"/>
    <w:rsid w:val="002365D1"/>
    <w:rsid w:val="002365F1"/>
    <w:rsid w:val="00236669"/>
    <w:rsid w:val="0023667F"/>
    <w:rsid w:val="00236759"/>
    <w:rsid w:val="002367AC"/>
    <w:rsid w:val="00236821"/>
    <w:rsid w:val="002369FF"/>
    <w:rsid w:val="00236B87"/>
    <w:rsid w:val="00236BE5"/>
    <w:rsid w:val="00236C98"/>
    <w:rsid w:val="00236CE4"/>
    <w:rsid w:val="00236D37"/>
    <w:rsid w:val="00236E36"/>
    <w:rsid w:val="00236E6E"/>
    <w:rsid w:val="00236E71"/>
    <w:rsid w:val="00236E7A"/>
    <w:rsid w:val="00236F3A"/>
    <w:rsid w:val="00236F8A"/>
    <w:rsid w:val="00236FC6"/>
    <w:rsid w:val="00237120"/>
    <w:rsid w:val="00237358"/>
    <w:rsid w:val="00237466"/>
    <w:rsid w:val="0023762D"/>
    <w:rsid w:val="0023769B"/>
    <w:rsid w:val="00237787"/>
    <w:rsid w:val="002378CE"/>
    <w:rsid w:val="002378F5"/>
    <w:rsid w:val="00237B22"/>
    <w:rsid w:val="00237E47"/>
    <w:rsid w:val="00237E63"/>
    <w:rsid w:val="00237EDB"/>
    <w:rsid w:val="00237F93"/>
    <w:rsid w:val="00237FA0"/>
    <w:rsid w:val="00237FEF"/>
    <w:rsid w:val="00240017"/>
    <w:rsid w:val="0024005E"/>
    <w:rsid w:val="0024007A"/>
    <w:rsid w:val="002400CB"/>
    <w:rsid w:val="00240197"/>
    <w:rsid w:val="00240450"/>
    <w:rsid w:val="00240490"/>
    <w:rsid w:val="002404F3"/>
    <w:rsid w:val="00240585"/>
    <w:rsid w:val="002405E0"/>
    <w:rsid w:val="00240831"/>
    <w:rsid w:val="002408E6"/>
    <w:rsid w:val="002408F5"/>
    <w:rsid w:val="00240987"/>
    <w:rsid w:val="002409B9"/>
    <w:rsid w:val="00240A43"/>
    <w:rsid w:val="00240BC9"/>
    <w:rsid w:val="00240D2A"/>
    <w:rsid w:val="00240DD2"/>
    <w:rsid w:val="00240E21"/>
    <w:rsid w:val="00240F53"/>
    <w:rsid w:val="00241126"/>
    <w:rsid w:val="00241183"/>
    <w:rsid w:val="002411AB"/>
    <w:rsid w:val="00241243"/>
    <w:rsid w:val="002412D4"/>
    <w:rsid w:val="002412E2"/>
    <w:rsid w:val="00241446"/>
    <w:rsid w:val="00241477"/>
    <w:rsid w:val="002414BA"/>
    <w:rsid w:val="00241614"/>
    <w:rsid w:val="002417A9"/>
    <w:rsid w:val="002417D1"/>
    <w:rsid w:val="00241898"/>
    <w:rsid w:val="002418BA"/>
    <w:rsid w:val="00241A85"/>
    <w:rsid w:val="00241AB9"/>
    <w:rsid w:val="00241BC6"/>
    <w:rsid w:val="00241DDF"/>
    <w:rsid w:val="00241E8E"/>
    <w:rsid w:val="00241E9F"/>
    <w:rsid w:val="00241F8A"/>
    <w:rsid w:val="00241FED"/>
    <w:rsid w:val="00242065"/>
    <w:rsid w:val="002422C3"/>
    <w:rsid w:val="0024243B"/>
    <w:rsid w:val="002426AA"/>
    <w:rsid w:val="00242765"/>
    <w:rsid w:val="002427BA"/>
    <w:rsid w:val="0024288A"/>
    <w:rsid w:val="002428E3"/>
    <w:rsid w:val="00242AE8"/>
    <w:rsid w:val="00242C34"/>
    <w:rsid w:val="00242C63"/>
    <w:rsid w:val="00242E9A"/>
    <w:rsid w:val="002430F7"/>
    <w:rsid w:val="00243188"/>
    <w:rsid w:val="002431EC"/>
    <w:rsid w:val="0024324B"/>
    <w:rsid w:val="0024329F"/>
    <w:rsid w:val="002433D5"/>
    <w:rsid w:val="00243583"/>
    <w:rsid w:val="00243699"/>
    <w:rsid w:val="002438CA"/>
    <w:rsid w:val="0024393F"/>
    <w:rsid w:val="00243B4A"/>
    <w:rsid w:val="00243BC7"/>
    <w:rsid w:val="00243C07"/>
    <w:rsid w:val="00243CE6"/>
    <w:rsid w:val="00243D23"/>
    <w:rsid w:val="00243DD0"/>
    <w:rsid w:val="00243FFC"/>
    <w:rsid w:val="0024401B"/>
    <w:rsid w:val="00244080"/>
    <w:rsid w:val="002440A1"/>
    <w:rsid w:val="002441DB"/>
    <w:rsid w:val="0024421C"/>
    <w:rsid w:val="00244276"/>
    <w:rsid w:val="002443E2"/>
    <w:rsid w:val="00244428"/>
    <w:rsid w:val="00244445"/>
    <w:rsid w:val="00244615"/>
    <w:rsid w:val="002447C2"/>
    <w:rsid w:val="00244966"/>
    <w:rsid w:val="002449D0"/>
    <w:rsid w:val="00244B3D"/>
    <w:rsid w:val="00244BA3"/>
    <w:rsid w:val="00244C82"/>
    <w:rsid w:val="00244D03"/>
    <w:rsid w:val="00244E60"/>
    <w:rsid w:val="00244F19"/>
    <w:rsid w:val="00244F23"/>
    <w:rsid w:val="00244FBE"/>
    <w:rsid w:val="002450AE"/>
    <w:rsid w:val="002450F1"/>
    <w:rsid w:val="00245111"/>
    <w:rsid w:val="00245170"/>
    <w:rsid w:val="0024527A"/>
    <w:rsid w:val="0024528B"/>
    <w:rsid w:val="002452FB"/>
    <w:rsid w:val="00245372"/>
    <w:rsid w:val="0024538E"/>
    <w:rsid w:val="00245453"/>
    <w:rsid w:val="002454A3"/>
    <w:rsid w:val="0024553F"/>
    <w:rsid w:val="00245615"/>
    <w:rsid w:val="00245668"/>
    <w:rsid w:val="002457D2"/>
    <w:rsid w:val="0024594F"/>
    <w:rsid w:val="00245959"/>
    <w:rsid w:val="00245A26"/>
    <w:rsid w:val="00245A40"/>
    <w:rsid w:val="00245BAC"/>
    <w:rsid w:val="00245C08"/>
    <w:rsid w:val="00245D56"/>
    <w:rsid w:val="00245E92"/>
    <w:rsid w:val="00245F00"/>
    <w:rsid w:val="00245F0B"/>
    <w:rsid w:val="00245F23"/>
    <w:rsid w:val="00245FED"/>
    <w:rsid w:val="00246020"/>
    <w:rsid w:val="0024607D"/>
    <w:rsid w:val="00246150"/>
    <w:rsid w:val="002463DA"/>
    <w:rsid w:val="002466AD"/>
    <w:rsid w:val="0024676E"/>
    <w:rsid w:val="0024677D"/>
    <w:rsid w:val="002467D6"/>
    <w:rsid w:val="002467FC"/>
    <w:rsid w:val="00246B03"/>
    <w:rsid w:val="00246C13"/>
    <w:rsid w:val="00246CE9"/>
    <w:rsid w:val="00246D02"/>
    <w:rsid w:val="00246E4A"/>
    <w:rsid w:val="00246EA6"/>
    <w:rsid w:val="0024710F"/>
    <w:rsid w:val="00247141"/>
    <w:rsid w:val="00247180"/>
    <w:rsid w:val="002471BC"/>
    <w:rsid w:val="002471CD"/>
    <w:rsid w:val="00247204"/>
    <w:rsid w:val="002472C7"/>
    <w:rsid w:val="00247332"/>
    <w:rsid w:val="0024747F"/>
    <w:rsid w:val="002474B7"/>
    <w:rsid w:val="0024755C"/>
    <w:rsid w:val="00247644"/>
    <w:rsid w:val="00247652"/>
    <w:rsid w:val="002476BF"/>
    <w:rsid w:val="00247711"/>
    <w:rsid w:val="002477A7"/>
    <w:rsid w:val="002477DC"/>
    <w:rsid w:val="00247811"/>
    <w:rsid w:val="00247978"/>
    <w:rsid w:val="00247A55"/>
    <w:rsid w:val="00247B01"/>
    <w:rsid w:val="00247C30"/>
    <w:rsid w:val="00247D0C"/>
    <w:rsid w:val="00247DAA"/>
    <w:rsid w:val="00247E1D"/>
    <w:rsid w:val="00247EB4"/>
    <w:rsid w:val="00247F0E"/>
    <w:rsid w:val="00247F48"/>
    <w:rsid w:val="00247F54"/>
    <w:rsid w:val="00250286"/>
    <w:rsid w:val="002502A5"/>
    <w:rsid w:val="002502AA"/>
    <w:rsid w:val="00250346"/>
    <w:rsid w:val="0025034E"/>
    <w:rsid w:val="0025043D"/>
    <w:rsid w:val="002507B9"/>
    <w:rsid w:val="002507D6"/>
    <w:rsid w:val="0025088A"/>
    <w:rsid w:val="002509AA"/>
    <w:rsid w:val="00250A4E"/>
    <w:rsid w:val="00250AE0"/>
    <w:rsid w:val="00250B27"/>
    <w:rsid w:val="00250B47"/>
    <w:rsid w:val="00250D33"/>
    <w:rsid w:val="00250E45"/>
    <w:rsid w:val="00250EB8"/>
    <w:rsid w:val="00250F58"/>
    <w:rsid w:val="00250F7F"/>
    <w:rsid w:val="0025112E"/>
    <w:rsid w:val="00251188"/>
    <w:rsid w:val="00251295"/>
    <w:rsid w:val="0025132D"/>
    <w:rsid w:val="00251358"/>
    <w:rsid w:val="002514B9"/>
    <w:rsid w:val="00251517"/>
    <w:rsid w:val="00251524"/>
    <w:rsid w:val="00251557"/>
    <w:rsid w:val="00251750"/>
    <w:rsid w:val="00251780"/>
    <w:rsid w:val="002517B8"/>
    <w:rsid w:val="0025181A"/>
    <w:rsid w:val="00251835"/>
    <w:rsid w:val="00251857"/>
    <w:rsid w:val="0025197A"/>
    <w:rsid w:val="00251981"/>
    <w:rsid w:val="002519EC"/>
    <w:rsid w:val="00251A12"/>
    <w:rsid w:val="00251B3B"/>
    <w:rsid w:val="00251BCA"/>
    <w:rsid w:val="00251BFE"/>
    <w:rsid w:val="00251D53"/>
    <w:rsid w:val="00251D8C"/>
    <w:rsid w:val="00251DFC"/>
    <w:rsid w:val="00251F60"/>
    <w:rsid w:val="00251FB6"/>
    <w:rsid w:val="00252018"/>
    <w:rsid w:val="00252129"/>
    <w:rsid w:val="002522E7"/>
    <w:rsid w:val="00252314"/>
    <w:rsid w:val="0025245B"/>
    <w:rsid w:val="00252571"/>
    <w:rsid w:val="002525BD"/>
    <w:rsid w:val="0025265F"/>
    <w:rsid w:val="0025268B"/>
    <w:rsid w:val="002527A5"/>
    <w:rsid w:val="00252896"/>
    <w:rsid w:val="002528F4"/>
    <w:rsid w:val="0025290C"/>
    <w:rsid w:val="00252B46"/>
    <w:rsid w:val="00252F2A"/>
    <w:rsid w:val="00252FEE"/>
    <w:rsid w:val="00253130"/>
    <w:rsid w:val="00253192"/>
    <w:rsid w:val="00253277"/>
    <w:rsid w:val="002532E3"/>
    <w:rsid w:val="002535D6"/>
    <w:rsid w:val="002535DE"/>
    <w:rsid w:val="00253616"/>
    <w:rsid w:val="00253642"/>
    <w:rsid w:val="002536CD"/>
    <w:rsid w:val="002537A1"/>
    <w:rsid w:val="0025388E"/>
    <w:rsid w:val="0025393F"/>
    <w:rsid w:val="002539A9"/>
    <w:rsid w:val="00253AC4"/>
    <w:rsid w:val="00253BB0"/>
    <w:rsid w:val="00253D4C"/>
    <w:rsid w:val="00253E1E"/>
    <w:rsid w:val="00253E93"/>
    <w:rsid w:val="00253ED9"/>
    <w:rsid w:val="00253EF5"/>
    <w:rsid w:val="00253F13"/>
    <w:rsid w:val="00253FFD"/>
    <w:rsid w:val="00254023"/>
    <w:rsid w:val="002540EE"/>
    <w:rsid w:val="00254103"/>
    <w:rsid w:val="00254127"/>
    <w:rsid w:val="0025417F"/>
    <w:rsid w:val="0025418A"/>
    <w:rsid w:val="0025419F"/>
    <w:rsid w:val="002541B1"/>
    <w:rsid w:val="00254280"/>
    <w:rsid w:val="002542CB"/>
    <w:rsid w:val="002543AA"/>
    <w:rsid w:val="00254427"/>
    <w:rsid w:val="0025445B"/>
    <w:rsid w:val="002544B1"/>
    <w:rsid w:val="002544E4"/>
    <w:rsid w:val="0025457F"/>
    <w:rsid w:val="002545D4"/>
    <w:rsid w:val="00254653"/>
    <w:rsid w:val="00254738"/>
    <w:rsid w:val="00254769"/>
    <w:rsid w:val="00254984"/>
    <w:rsid w:val="00254B1C"/>
    <w:rsid w:val="00254B94"/>
    <w:rsid w:val="002550CA"/>
    <w:rsid w:val="00255209"/>
    <w:rsid w:val="0025522E"/>
    <w:rsid w:val="00255325"/>
    <w:rsid w:val="002553D8"/>
    <w:rsid w:val="002556BE"/>
    <w:rsid w:val="002557F2"/>
    <w:rsid w:val="002558B6"/>
    <w:rsid w:val="002559BC"/>
    <w:rsid w:val="002559F8"/>
    <w:rsid w:val="00255A05"/>
    <w:rsid w:val="00255AE0"/>
    <w:rsid w:val="00255F2F"/>
    <w:rsid w:val="00256173"/>
    <w:rsid w:val="002562AD"/>
    <w:rsid w:val="002562F7"/>
    <w:rsid w:val="00256316"/>
    <w:rsid w:val="00256363"/>
    <w:rsid w:val="002563CC"/>
    <w:rsid w:val="00256411"/>
    <w:rsid w:val="0025641E"/>
    <w:rsid w:val="00256509"/>
    <w:rsid w:val="002565F7"/>
    <w:rsid w:val="00256698"/>
    <w:rsid w:val="0025673E"/>
    <w:rsid w:val="002567AA"/>
    <w:rsid w:val="00256B1A"/>
    <w:rsid w:val="00256C25"/>
    <w:rsid w:val="00256C3C"/>
    <w:rsid w:val="00256CD5"/>
    <w:rsid w:val="00256D1C"/>
    <w:rsid w:val="00256D8E"/>
    <w:rsid w:val="00256FD3"/>
    <w:rsid w:val="002572A6"/>
    <w:rsid w:val="002572D6"/>
    <w:rsid w:val="00257345"/>
    <w:rsid w:val="00257399"/>
    <w:rsid w:val="002573B6"/>
    <w:rsid w:val="002573E3"/>
    <w:rsid w:val="0025763C"/>
    <w:rsid w:val="00257818"/>
    <w:rsid w:val="0025782E"/>
    <w:rsid w:val="00257911"/>
    <w:rsid w:val="0025798E"/>
    <w:rsid w:val="002579DC"/>
    <w:rsid w:val="00257A54"/>
    <w:rsid w:val="00257B2B"/>
    <w:rsid w:val="00257C9C"/>
    <w:rsid w:val="00257CC1"/>
    <w:rsid w:val="00257DA4"/>
    <w:rsid w:val="00257DBE"/>
    <w:rsid w:val="00257E5A"/>
    <w:rsid w:val="002600DC"/>
    <w:rsid w:val="002601B6"/>
    <w:rsid w:val="002601E6"/>
    <w:rsid w:val="00260252"/>
    <w:rsid w:val="002603E7"/>
    <w:rsid w:val="0026059C"/>
    <w:rsid w:val="002609BB"/>
    <w:rsid w:val="00260BD0"/>
    <w:rsid w:val="00260BD7"/>
    <w:rsid w:val="00260C7F"/>
    <w:rsid w:val="00260CF0"/>
    <w:rsid w:val="00260E06"/>
    <w:rsid w:val="00260F28"/>
    <w:rsid w:val="00260F6B"/>
    <w:rsid w:val="00260F6D"/>
    <w:rsid w:val="00261095"/>
    <w:rsid w:val="002610C1"/>
    <w:rsid w:val="0026133F"/>
    <w:rsid w:val="002614FE"/>
    <w:rsid w:val="002616E6"/>
    <w:rsid w:val="00261724"/>
    <w:rsid w:val="00261871"/>
    <w:rsid w:val="002618CF"/>
    <w:rsid w:val="00261C6F"/>
    <w:rsid w:val="00261E14"/>
    <w:rsid w:val="00261FDB"/>
    <w:rsid w:val="00262042"/>
    <w:rsid w:val="00262067"/>
    <w:rsid w:val="002622EC"/>
    <w:rsid w:val="00262313"/>
    <w:rsid w:val="0026231B"/>
    <w:rsid w:val="0026238A"/>
    <w:rsid w:val="00262502"/>
    <w:rsid w:val="0026257A"/>
    <w:rsid w:val="002625A1"/>
    <w:rsid w:val="00262632"/>
    <w:rsid w:val="002626C0"/>
    <w:rsid w:val="002626CA"/>
    <w:rsid w:val="00262745"/>
    <w:rsid w:val="002627B9"/>
    <w:rsid w:val="002627BA"/>
    <w:rsid w:val="002628A4"/>
    <w:rsid w:val="002629B2"/>
    <w:rsid w:val="002629D9"/>
    <w:rsid w:val="00262A08"/>
    <w:rsid w:val="00262A52"/>
    <w:rsid w:val="00262AC1"/>
    <w:rsid w:val="00262C08"/>
    <w:rsid w:val="00262C73"/>
    <w:rsid w:val="00262EE9"/>
    <w:rsid w:val="00263046"/>
    <w:rsid w:val="00263054"/>
    <w:rsid w:val="002630F5"/>
    <w:rsid w:val="00263200"/>
    <w:rsid w:val="00263293"/>
    <w:rsid w:val="00263295"/>
    <w:rsid w:val="00263331"/>
    <w:rsid w:val="00263566"/>
    <w:rsid w:val="002636D6"/>
    <w:rsid w:val="00263761"/>
    <w:rsid w:val="0026376C"/>
    <w:rsid w:val="002638D8"/>
    <w:rsid w:val="002639C3"/>
    <w:rsid w:val="002639CD"/>
    <w:rsid w:val="002639F4"/>
    <w:rsid w:val="00263ABB"/>
    <w:rsid w:val="00263BB7"/>
    <w:rsid w:val="00263BEB"/>
    <w:rsid w:val="00263CFE"/>
    <w:rsid w:val="00263D18"/>
    <w:rsid w:val="00263D4D"/>
    <w:rsid w:val="00263E56"/>
    <w:rsid w:val="00263E61"/>
    <w:rsid w:val="00263EDD"/>
    <w:rsid w:val="00264142"/>
    <w:rsid w:val="0026428C"/>
    <w:rsid w:val="002643F0"/>
    <w:rsid w:val="00264423"/>
    <w:rsid w:val="00264626"/>
    <w:rsid w:val="00264705"/>
    <w:rsid w:val="00264940"/>
    <w:rsid w:val="00264A10"/>
    <w:rsid w:val="00264A2B"/>
    <w:rsid w:val="00264C4E"/>
    <w:rsid w:val="00264D44"/>
    <w:rsid w:val="00264E0D"/>
    <w:rsid w:val="00264E2B"/>
    <w:rsid w:val="00264E55"/>
    <w:rsid w:val="00264EAC"/>
    <w:rsid w:val="00264F97"/>
    <w:rsid w:val="00264FAC"/>
    <w:rsid w:val="00264FCF"/>
    <w:rsid w:val="00265085"/>
    <w:rsid w:val="00265163"/>
    <w:rsid w:val="00265341"/>
    <w:rsid w:val="0026543C"/>
    <w:rsid w:val="002655D3"/>
    <w:rsid w:val="002655EA"/>
    <w:rsid w:val="00265600"/>
    <w:rsid w:val="00265643"/>
    <w:rsid w:val="0026567F"/>
    <w:rsid w:val="002656C2"/>
    <w:rsid w:val="002657E2"/>
    <w:rsid w:val="0026586D"/>
    <w:rsid w:val="00265919"/>
    <w:rsid w:val="00265A67"/>
    <w:rsid w:val="00265C60"/>
    <w:rsid w:val="00265CD3"/>
    <w:rsid w:val="00265DC0"/>
    <w:rsid w:val="00265ECC"/>
    <w:rsid w:val="00265FB6"/>
    <w:rsid w:val="00265FFE"/>
    <w:rsid w:val="00266344"/>
    <w:rsid w:val="00266496"/>
    <w:rsid w:val="0026650D"/>
    <w:rsid w:val="00266513"/>
    <w:rsid w:val="0026657D"/>
    <w:rsid w:val="002665FE"/>
    <w:rsid w:val="00266629"/>
    <w:rsid w:val="00266814"/>
    <w:rsid w:val="002668A7"/>
    <w:rsid w:val="002668DC"/>
    <w:rsid w:val="00266B02"/>
    <w:rsid w:val="00266BA7"/>
    <w:rsid w:val="00266C47"/>
    <w:rsid w:val="00266CA2"/>
    <w:rsid w:val="00266CCE"/>
    <w:rsid w:val="00266E36"/>
    <w:rsid w:val="00266EE1"/>
    <w:rsid w:val="00266F07"/>
    <w:rsid w:val="00266F4A"/>
    <w:rsid w:val="00267010"/>
    <w:rsid w:val="00267044"/>
    <w:rsid w:val="00267153"/>
    <w:rsid w:val="002671A4"/>
    <w:rsid w:val="0026722D"/>
    <w:rsid w:val="00267263"/>
    <w:rsid w:val="002672E4"/>
    <w:rsid w:val="00267303"/>
    <w:rsid w:val="0026740B"/>
    <w:rsid w:val="00267462"/>
    <w:rsid w:val="00267540"/>
    <w:rsid w:val="00267629"/>
    <w:rsid w:val="002676CC"/>
    <w:rsid w:val="002677B2"/>
    <w:rsid w:val="00267892"/>
    <w:rsid w:val="00267AA2"/>
    <w:rsid w:val="00267BD3"/>
    <w:rsid w:val="00267BEF"/>
    <w:rsid w:val="00267C53"/>
    <w:rsid w:val="00267CA2"/>
    <w:rsid w:val="00267D3B"/>
    <w:rsid w:val="00267D56"/>
    <w:rsid w:val="00267EDC"/>
    <w:rsid w:val="002700D3"/>
    <w:rsid w:val="00270159"/>
    <w:rsid w:val="002701E1"/>
    <w:rsid w:val="00270207"/>
    <w:rsid w:val="0027020A"/>
    <w:rsid w:val="00270291"/>
    <w:rsid w:val="00270300"/>
    <w:rsid w:val="00270363"/>
    <w:rsid w:val="002703D4"/>
    <w:rsid w:val="002704AA"/>
    <w:rsid w:val="002704D1"/>
    <w:rsid w:val="00270AF3"/>
    <w:rsid w:val="00270AF6"/>
    <w:rsid w:val="00270C98"/>
    <w:rsid w:val="00270CB5"/>
    <w:rsid w:val="00270D03"/>
    <w:rsid w:val="00270DC0"/>
    <w:rsid w:val="00270DDB"/>
    <w:rsid w:val="0027117B"/>
    <w:rsid w:val="002711A1"/>
    <w:rsid w:val="00271230"/>
    <w:rsid w:val="0027135B"/>
    <w:rsid w:val="002713D7"/>
    <w:rsid w:val="00271576"/>
    <w:rsid w:val="00271630"/>
    <w:rsid w:val="00271731"/>
    <w:rsid w:val="0027175C"/>
    <w:rsid w:val="0027175F"/>
    <w:rsid w:val="00271810"/>
    <w:rsid w:val="0027191A"/>
    <w:rsid w:val="0027194F"/>
    <w:rsid w:val="002719DC"/>
    <w:rsid w:val="002719EB"/>
    <w:rsid w:val="00271A58"/>
    <w:rsid w:val="00271B17"/>
    <w:rsid w:val="00271B7E"/>
    <w:rsid w:val="0027207C"/>
    <w:rsid w:val="002720CA"/>
    <w:rsid w:val="00272102"/>
    <w:rsid w:val="002722EC"/>
    <w:rsid w:val="002722EE"/>
    <w:rsid w:val="00272429"/>
    <w:rsid w:val="0027253C"/>
    <w:rsid w:val="00272596"/>
    <w:rsid w:val="002725E9"/>
    <w:rsid w:val="00272797"/>
    <w:rsid w:val="00272841"/>
    <w:rsid w:val="002728AE"/>
    <w:rsid w:val="00272AD2"/>
    <w:rsid w:val="00272CC5"/>
    <w:rsid w:val="00272CFF"/>
    <w:rsid w:val="00272D0C"/>
    <w:rsid w:val="00272D37"/>
    <w:rsid w:val="00272DD2"/>
    <w:rsid w:val="00272EBF"/>
    <w:rsid w:val="00272F8E"/>
    <w:rsid w:val="00273001"/>
    <w:rsid w:val="002730AB"/>
    <w:rsid w:val="0027314C"/>
    <w:rsid w:val="00273186"/>
    <w:rsid w:val="002731C3"/>
    <w:rsid w:val="00273271"/>
    <w:rsid w:val="00273369"/>
    <w:rsid w:val="002733E8"/>
    <w:rsid w:val="002733E9"/>
    <w:rsid w:val="00273609"/>
    <w:rsid w:val="002738CD"/>
    <w:rsid w:val="00273B2D"/>
    <w:rsid w:val="00273BC6"/>
    <w:rsid w:val="00273C7B"/>
    <w:rsid w:val="00273CDB"/>
    <w:rsid w:val="00273D80"/>
    <w:rsid w:val="00273FF2"/>
    <w:rsid w:val="00273FFA"/>
    <w:rsid w:val="00274209"/>
    <w:rsid w:val="00274229"/>
    <w:rsid w:val="0027446D"/>
    <w:rsid w:val="00274475"/>
    <w:rsid w:val="0027448D"/>
    <w:rsid w:val="002746EC"/>
    <w:rsid w:val="0027473B"/>
    <w:rsid w:val="00274782"/>
    <w:rsid w:val="00274894"/>
    <w:rsid w:val="002749FD"/>
    <w:rsid w:val="00274B19"/>
    <w:rsid w:val="00274B6F"/>
    <w:rsid w:val="00274B74"/>
    <w:rsid w:val="00274BC5"/>
    <w:rsid w:val="00274CD2"/>
    <w:rsid w:val="00274D18"/>
    <w:rsid w:val="00274D8D"/>
    <w:rsid w:val="00274D98"/>
    <w:rsid w:val="00274DBF"/>
    <w:rsid w:val="00274E38"/>
    <w:rsid w:val="00274E83"/>
    <w:rsid w:val="00274EE2"/>
    <w:rsid w:val="00274F9D"/>
    <w:rsid w:val="00275061"/>
    <w:rsid w:val="0027509C"/>
    <w:rsid w:val="002750E7"/>
    <w:rsid w:val="002752BB"/>
    <w:rsid w:val="00275382"/>
    <w:rsid w:val="002753C7"/>
    <w:rsid w:val="00275484"/>
    <w:rsid w:val="00275495"/>
    <w:rsid w:val="00275666"/>
    <w:rsid w:val="002756E0"/>
    <w:rsid w:val="0027584C"/>
    <w:rsid w:val="00275A10"/>
    <w:rsid w:val="00275A58"/>
    <w:rsid w:val="00275A6E"/>
    <w:rsid w:val="00275C0E"/>
    <w:rsid w:val="00275D44"/>
    <w:rsid w:val="00275E04"/>
    <w:rsid w:val="00275E84"/>
    <w:rsid w:val="00275F20"/>
    <w:rsid w:val="00275F31"/>
    <w:rsid w:val="00275F4D"/>
    <w:rsid w:val="00276053"/>
    <w:rsid w:val="002761E8"/>
    <w:rsid w:val="002762A5"/>
    <w:rsid w:val="00276376"/>
    <w:rsid w:val="00276520"/>
    <w:rsid w:val="002765BD"/>
    <w:rsid w:val="0027663B"/>
    <w:rsid w:val="00276CE3"/>
    <w:rsid w:val="00276DE9"/>
    <w:rsid w:val="00276E9C"/>
    <w:rsid w:val="00276F2B"/>
    <w:rsid w:val="00276FB3"/>
    <w:rsid w:val="00277223"/>
    <w:rsid w:val="00277325"/>
    <w:rsid w:val="002773EB"/>
    <w:rsid w:val="00277511"/>
    <w:rsid w:val="002775C7"/>
    <w:rsid w:val="0027760E"/>
    <w:rsid w:val="0027767E"/>
    <w:rsid w:val="0027783B"/>
    <w:rsid w:val="00277865"/>
    <w:rsid w:val="0027788C"/>
    <w:rsid w:val="002778BD"/>
    <w:rsid w:val="0027798E"/>
    <w:rsid w:val="002779FA"/>
    <w:rsid w:val="00277B2D"/>
    <w:rsid w:val="00277B99"/>
    <w:rsid w:val="00277B9C"/>
    <w:rsid w:val="00277D01"/>
    <w:rsid w:val="00277E73"/>
    <w:rsid w:val="00277F1E"/>
    <w:rsid w:val="0027F710"/>
    <w:rsid w:val="00280077"/>
    <w:rsid w:val="0028025E"/>
    <w:rsid w:val="002802B6"/>
    <w:rsid w:val="0028038B"/>
    <w:rsid w:val="002803DD"/>
    <w:rsid w:val="00280428"/>
    <w:rsid w:val="0028042D"/>
    <w:rsid w:val="002805B2"/>
    <w:rsid w:val="002805C5"/>
    <w:rsid w:val="00280617"/>
    <w:rsid w:val="0028088B"/>
    <w:rsid w:val="00280998"/>
    <w:rsid w:val="00280A73"/>
    <w:rsid w:val="00280E6F"/>
    <w:rsid w:val="00280F07"/>
    <w:rsid w:val="00280F41"/>
    <w:rsid w:val="00280F51"/>
    <w:rsid w:val="00280FC5"/>
    <w:rsid w:val="0028105F"/>
    <w:rsid w:val="00281118"/>
    <w:rsid w:val="002811BE"/>
    <w:rsid w:val="002812C6"/>
    <w:rsid w:val="00281469"/>
    <w:rsid w:val="00281530"/>
    <w:rsid w:val="00281567"/>
    <w:rsid w:val="002815C4"/>
    <w:rsid w:val="002818E6"/>
    <w:rsid w:val="0028191E"/>
    <w:rsid w:val="00281C25"/>
    <w:rsid w:val="00281C74"/>
    <w:rsid w:val="00281C78"/>
    <w:rsid w:val="00281CAD"/>
    <w:rsid w:val="00281D1C"/>
    <w:rsid w:val="00281DAE"/>
    <w:rsid w:val="00281E69"/>
    <w:rsid w:val="00281EB9"/>
    <w:rsid w:val="00281EC6"/>
    <w:rsid w:val="00281F1B"/>
    <w:rsid w:val="00281F38"/>
    <w:rsid w:val="00281F4D"/>
    <w:rsid w:val="00281FD4"/>
    <w:rsid w:val="00281FDB"/>
    <w:rsid w:val="002821ED"/>
    <w:rsid w:val="0028231C"/>
    <w:rsid w:val="00282525"/>
    <w:rsid w:val="00282685"/>
    <w:rsid w:val="002826A4"/>
    <w:rsid w:val="00282795"/>
    <w:rsid w:val="00282A64"/>
    <w:rsid w:val="00282A71"/>
    <w:rsid w:val="00282AE9"/>
    <w:rsid w:val="00282B0F"/>
    <w:rsid w:val="00282C3E"/>
    <w:rsid w:val="00282E04"/>
    <w:rsid w:val="00282E95"/>
    <w:rsid w:val="00282F5E"/>
    <w:rsid w:val="00282F9F"/>
    <w:rsid w:val="00283012"/>
    <w:rsid w:val="0028310E"/>
    <w:rsid w:val="0028316A"/>
    <w:rsid w:val="002831D8"/>
    <w:rsid w:val="0028334C"/>
    <w:rsid w:val="002833A7"/>
    <w:rsid w:val="0028371F"/>
    <w:rsid w:val="00283754"/>
    <w:rsid w:val="00283759"/>
    <w:rsid w:val="0028379E"/>
    <w:rsid w:val="00283870"/>
    <w:rsid w:val="0028391B"/>
    <w:rsid w:val="0028391F"/>
    <w:rsid w:val="002839D1"/>
    <w:rsid w:val="00283A03"/>
    <w:rsid w:val="00283B6D"/>
    <w:rsid w:val="00283D5C"/>
    <w:rsid w:val="00283DA5"/>
    <w:rsid w:val="00283F52"/>
    <w:rsid w:val="0028413D"/>
    <w:rsid w:val="00284179"/>
    <w:rsid w:val="002841AC"/>
    <w:rsid w:val="00284250"/>
    <w:rsid w:val="002842B5"/>
    <w:rsid w:val="002843B6"/>
    <w:rsid w:val="002844B5"/>
    <w:rsid w:val="002844CA"/>
    <w:rsid w:val="00284559"/>
    <w:rsid w:val="002846FF"/>
    <w:rsid w:val="00284760"/>
    <w:rsid w:val="0028478D"/>
    <w:rsid w:val="002847AF"/>
    <w:rsid w:val="002847C4"/>
    <w:rsid w:val="00284823"/>
    <w:rsid w:val="0028484D"/>
    <w:rsid w:val="002848DC"/>
    <w:rsid w:val="00284A01"/>
    <w:rsid w:val="00284BB7"/>
    <w:rsid w:val="00284C61"/>
    <w:rsid w:val="00284CDB"/>
    <w:rsid w:val="00284DAD"/>
    <w:rsid w:val="00284E4B"/>
    <w:rsid w:val="00284E9F"/>
    <w:rsid w:val="00284EE0"/>
    <w:rsid w:val="00284F66"/>
    <w:rsid w:val="00284F84"/>
    <w:rsid w:val="00284FCC"/>
    <w:rsid w:val="002851A6"/>
    <w:rsid w:val="002851C7"/>
    <w:rsid w:val="00285453"/>
    <w:rsid w:val="002854C8"/>
    <w:rsid w:val="002854FA"/>
    <w:rsid w:val="00285520"/>
    <w:rsid w:val="00285667"/>
    <w:rsid w:val="0028567E"/>
    <w:rsid w:val="00285928"/>
    <w:rsid w:val="00285A77"/>
    <w:rsid w:val="00285B22"/>
    <w:rsid w:val="00285BC5"/>
    <w:rsid w:val="00285BE7"/>
    <w:rsid w:val="00285C52"/>
    <w:rsid w:val="00285C69"/>
    <w:rsid w:val="00285CDB"/>
    <w:rsid w:val="00285D3C"/>
    <w:rsid w:val="00285E86"/>
    <w:rsid w:val="00286110"/>
    <w:rsid w:val="0028616D"/>
    <w:rsid w:val="002862AD"/>
    <w:rsid w:val="00286425"/>
    <w:rsid w:val="0028653E"/>
    <w:rsid w:val="0028675A"/>
    <w:rsid w:val="00286834"/>
    <w:rsid w:val="002868CD"/>
    <w:rsid w:val="00286909"/>
    <w:rsid w:val="00286941"/>
    <w:rsid w:val="00286A97"/>
    <w:rsid w:val="00286C3F"/>
    <w:rsid w:val="00286D7B"/>
    <w:rsid w:val="00286DF7"/>
    <w:rsid w:val="00286EC0"/>
    <w:rsid w:val="00286EEE"/>
    <w:rsid w:val="00286F03"/>
    <w:rsid w:val="00286F4E"/>
    <w:rsid w:val="002870FC"/>
    <w:rsid w:val="0028728F"/>
    <w:rsid w:val="00287293"/>
    <w:rsid w:val="00287516"/>
    <w:rsid w:val="0028755F"/>
    <w:rsid w:val="00287591"/>
    <w:rsid w:val="002875A0"/>
    <w:rsid w:val="002875D1"/>
    <w:rsid w:val="00287808"/>
    <w:rsid w:val="00287813"/>
    <w:rsid w:val="00287989"/>
    <w:rsid w:val="002879C7"/>
    <w:rsid w:val="00287A92"/>
    <w:rsid w:val="00287BEB"/>
    <w:rsid w:val="00287C82"/>
    <w:rsid w:val="00287D7D"/>
    <w:rsid w:val="00287DD1"/>
    <w:rsid w:val="00287DEC"/>
    <w:rsid w:val="00287FBA"/>
    <w:rsid w:val="0029019A"/>
    <w:rsid w:val="002901BA"/>
    <w:rsid w:val="002902F7"/>
    <w:rsid w:val="0029049E"/>
    <w:rsid w:val="002904B6"/>
    <w:rsid w:val="00290514"/>
    <w:rsid w:val="0029069C"/>
    <w:rsid w:val="002907AE"/>
    <w:rsid w:val="002907BA"/>
    <w:rsid w:val="0029081D"/>
    <w:rsid w:val="00290B40"/>
    <w:rsid w:val="00290B9A"/>
    <w:rsid w:val="00290BC9"/>
    <w:rsid w:val="00290D00"/>
    <w:rsid w:val="00290DD5"/>
    <w:rsid w:val="00290DE5"/>
    <w:rsid w:val="00290E15"/>
    <w:rsid w:val="00290E2A"/>
    <w:rsid w:val="00290E9F"/>
    <w:rsid w:val="00290EB9"/>
    <w:rsid w:val="00291012"/>
    <w:rsid w:val="00291068"/>
    <w:rsid w:val="002910EA"/>
    <w:rsid w:val="00291157"/>
    <w:rsid w:val="002914EB"/>
    <w:rsid w:val="002915BB"/>
    <w:rsid w:val="00291639"/>
    <w:rsid w:val="002917C5"/>
    <w:rsid w:val="0029184F"/>
    <w:rsid w:val="002918F4"/>
    <w:rsid w:val="002919FB"/>
    <w:rsid w:val="00291A19"/>
    <w:rsid w:val="00291A74"/>
    <w:rsid w:val="00291D04"/>
    <w:rsid w:val="00291DD3"/>
    <w:rsid w:val="00291F07"/>
    <w:rsid w:val="00291F33"/>
    <w:rsid w:val="002920A7"/>
    <w:rsid w:val="00292111"/>
    <w:rsid w:val="00292266"/>
    <w:rsid w:val="0029226F"/>
    <w:rsid w:val="00292274"/>
    <w:rsid w:val="002922EB"/>
    <w:rsid w:val="0029238E"/>
    <w:rsid w:val="0029240B"/>
    <w:rsid w:val="002924D0"/>
    <w:rsid w:val="002925FC"/>
    <w:rsid w:val="002927C2"/>
    <w:rsid w:val="002927EF"/>
    <w:rsid w:val="00292817"/>
    <w:rsid w:val="00292887"/>
    <w:rsid w:val="00292971"/>
    <w:rsid w:val="00292972"/>
    <w:rsid w:val="00292A05"/>
    <w:rsid w:val="00292AA7"/>
    <w:rsid w:val="00292B7F"/>
    <w:rsid w:val="00292BEE"/>
    <w:rsid w:val="00292C2B"/>
    <w:rsid w:val="00292C34"/>
    <w:rsid w:val="00292E1D"/>
    <w:rsid w:val="00292E58"/>
    <w:rsid w:val="00292F1B"/>
    <w:rsid w:val="0029301E"/>
    <w:rsid w:val="00293042"/>
    <w:rsid w:val="00293094"/>
    <w:rsid w:val="0029311D"/>
    <w:rsid w:val="0029314C"/>
    <w:rsid w:val="00293185"/>
    <w:rsid w:val="0029321C"/>
    <w:rsid w:val="0029328B"/>
    <w:rsid w:val="002933FE"/>
    <w:rsid w:val="0029348A"/>
    <w:rsid w:val="0029353F"/>
    <w:rsid w:val="0029359A"/>
    <w:rsid w:val="002937C3"/>
    <w:rsid w:val="00293957"/>
    <w:rsid w:val="00293A1D"/>
    <w:rsid w:val="00293AC3"/>
    <w:rsid w:val="00293B52"/>
    <w:rsid w:val="00293C00"/>
    <w:rsid w:val="00293C7C"/>
    <w:rsid w:val="00293D52"/>
    <w:rsid w:val="00293D86"/>
    <w:rsid w:val="00293DD4"/>
    <w:rsid w:val="00293E94"/>
    <w:rsid w:val="00293ED6"/>
    <w:rsid w:val="00293EFB"/>
    <w:rsid w:val="0029402E"/>
    <w:rsid w:val="00294081"/>
    <w:rsid w:val="00294085"/>
    <w:rsid w:val="002941CE"/>
    <w:rsid w:val="0029424F"/>
    <w:rsid w:val="002943CA"/>
    <w:rsid w:val="002944A0"/>
    <w:rsid w:val="002944A2"/>
    <w:rsid w:val="002945DB"/>
    <w:rsid w:val="00294862"/>
    <w:rsid w:val="00294B97"/>
    <w:rsid w:val="00294B9B"/>
    <w:rsid w:val="00294D1B"/>
    <w:rsid w:val="00294EE5"/>
    <w:rsid w:val="00294FAD"/>
    <w:rsid w:val="0029508D"/>
    <w:rsid w:val="0029523E"/>
    <w:rsid w:val="0029525D"/>
    <w:rsid w:val="002953B7"/>
    <w:rsid w:val="0029553A"/>
    <w:rsid w:val="002955C9"/>
    <w:rsid w:val="00295612"/>
    <w:rsid w:val="00295636"/>
    <w:rsid w:val="00295657"/>
    <w:rsid w:val="002956A3"/>
    <w:rsid w:val="002957C3"/>
    <w:rsid w:val="0029584D"/>
    <w:rsid w:val="00295A29"/>
    <w:rsid w:val="00295B47"/>
    <w:rsid w:val="00295CBF"/>
    <w:rsid w:val="00295D19"/>
    <w:rsid w:val="00295DE2"/>
    <w:rsid w:val="00295F4B"/>
    <w:rsid w:val="00295FFB"/>
    <w:rsid w:val="002961CC"/>
    <w:rsid w:val="002961DE"/>
    <w:rsid w:val="00296268"/>
    <w:rsid w:val="0029627A"/>
    <w:rsid w:val="00296291"/>
    <w:rsid w:val="00296306"/>
    <w:rsid w:val="0029649E"/>
    <w:rsid w:val="00296679"/>
    <w:rsid w:val="00296831"/>
    <w:rsid w:val="00296BCE"/>
    <w:rsid w:val="00296C79"/>
    <w:rsid w:val="00296C7F"/>
    <w:rsid w:val="00296CD1"/>
    <w:rsid w:val="00296CE8"/>
    <w:rsid w:val="00296F72"/>
    <w:rsid w:val="00296FCA"/>
    <w:rsid w:val="0029703B"/>
    <w:rsid w:val="00297173"/>
    <w:rsid w:val="002971AB"/>
    <w:rsid w:val="0029725F"/>
    <w:rsid w:val="00297310"/>
    <w:rsid w:val="00297406"/>
    <w:rsid w:val="0029746F"/>
    <w:rsid w:val="002974C6"/>
    <w:rsid w:val="00297511"/>
    <w:rsid w:val="00297525"/>
    <w:rsid w:val="00297770"/>
    <w:rsid w:val="002979DF"/>
    <w:rsid w:val="00297D63"/>
    <w:rsid w:val="00297E07"/>
    <w:rsid w:val="002A0080"/>
    <w:rsid w:val="002A00FC"/>
    <w:rsid w:val="002A018B"/>
    <w:rsid w:val="002A019C"/>
    <w:rsid w:val="002A043D"/>
    <w:rsid w:val="002A0665"/>
    <w:rsid w:val="002A0674"/>
    <w:rsid w:val="002A06B5"/>
    <w:rsid w:val="002A072C"/>
    <w:rsid w:val="002A0855"/>
    <w:rsid w:val="002A08D8"/>
    <w:rsid w:val="002A09BA"/>
    <w:rsid w:val="002A09E0"/>
    <w:rsid w:val="002A0A08"/>
    <w:rsid w:val="002A0A57"/>
    <w:rsid w:val="002A0AA8"/>
    <w:rsid w:val="002A0ABB"/>
    <w:rsid w:val="002A0ACA"/>
    <w:rsid w:val="002A0B3A"/>
    <w:rsid w:val="002A0C68"/>
    <w:rsid w:val="002A0CF4"/>
    <w:rsid w:val="002A0D4F"/>
    <w:rsid w:val="002A0E50"/>
    <w:rsid w:val="002A0FA3"/>
    <w:rsid w:val="002A1039"/>
    <w:rsid w:val="002A10FA"/>
    <w:rsid w:val="002A1150"/>
    <w:rsid w:val="002A1214"/>
    <w:rsid w:val="002A1232"/>
    <w:rsid w:val="002A125F"/>
    <w:rsid w:val="002A128D"/>
    <w:rsid w:val="002A1411"/>
    <w:rsid w:val="002A1431"/>
    <w:rsid w:val="002A15AB"/>
    <w:rsid w:val="002A1648"/>
    <w:rsid w:val="002A164E"/>
    <w:rsid w:val="002A1677"/>
    <w:rsid w:val="002A168D"/>
    <w:rsid w:val="002A1813"/>
    <w:rsid w:val="002A1842"/>
    <w:rsid w:val="002A1AB0"/>
    <w:rsid w:val="002A1DD2"/>
    <w:rsid w:val="002A1DDF"/>
    <w:rsid w:val="002A1EF8"/>
    <w:rsid w:val="002A1F37"/>
    <w:rsid w:val="002A1F59"/>
    <w:rsid w:val="002A2078"/>
    <w:rsid w:val="002A2094"/>
    <w:rsid w:val="002A2140"/>
    <w:rsid w:val="002A21B5"/>
    <w:rsid w:val="002A21F2"/>
    <w:rsid w:val="002A224E"/>
    <w:rsid w:val="002A22D4"/>
    <w:rsid w:val="002A232F"/>
    <w:rsid w:val="002A245F"/>
    <w:rsid w:val="002A25E6"/>
    <w:rsid w:val="002A2799"/>
    <w:rsid w:val="002A27BA"/>
    <w:rsid w:val="002A28C8"/>
    <w:rsid w:val="002A2947"/>
    <w:rsid w:val="002A2C23"/>
    <w:rsid w:val="002A2C2E"/>
    <w:rsid w:val="002A2CA4"/>
    <w:rsid w:val="002A2F09"/>
    <w:rsid w:val="002A2FA8"/>
    <w:rsid w:val="002A2FC5"/>
    <w:rsid w:val="002A306A"/>
    <w:rsid w:val="002A315C"/>
    <w:rsid w:val="002A3246"/>
    <w:rsid w:val="002A3303"/>
    <w:rsid w:val="002A3462"/>
    <w:rsid w:val="002A3569"/>
    <w:rsid w:val="002A3717"/>
    <w:rsid w:val="002A373D"/>
    <w:rsid w:val="002A3760"/>
    <w:rsid w:val="002A399D"/>
    <w:rsid w:val="002A39BB"/>
    <w:rsid w:val="002A3A75"/>
    <w:rsid w:val="002A3A81"/>
    <w:rsid w:val="002A3ACF"/>
    <w:rsid w:val="002A3BAD"/>
    <w:rsid w:val="002A3C60"/>
    <w:rsid w:val="002A3CB2"/>
    <w:rsid w:val="002A3D6D"/>
    <w:rsid w:val="002A3E63"/>
    <w:rsid w:val="002A3EDA"/>
    <w:rsid w:val="002A40A6"/>
    <w:rsid w:val="002A40CB"/>
    <w:rsid w:val="002A40FA"/>
    <w:rsid w:val="002A4156"/>
    <w:rsid w:val="002A4182"/>
    <w:rsid w:val="002A4190"/>
    <w:rsid w:val="002A4427"/>
    <w:rsid w:val="002A4729"/>
    <w:rsid w:val="002A480B"/>
    <w:rsid w:val="002A4882"/>
    <w:rsid w:val="002A496C"/>
    <w:rsid w:val="002A49F0"/>
    <w:rsid w:val="002A4A1A"/>
    <w:rsid w:val="002A4A8A"/>
    <w:rsid w:val="002A4B1A"/>
    <w:rsid w:val="002A4BDA"/>
    <w:rsid w:val="002A4C27"/>
    <w:rsid w:val="002A4C41"/>
    <w:rsid w:val="002A4DFB"/>
    <w:rsid w:val="002A4F77"/>
    <w:rsid w:val="002A4FCA"/>
    <w:rsid w:val="002A50D8"/>
    <w:rsid w:val="002A50E5"/>
    <w:rsid w:val="002A50EE"/>
    <w:rsid w:val="002A51CD"/>
    <w:rsid w:val="002A52FF"/>
    <w:rsid w:val="002A53C4"/>
    <w:rsid w:val="002A53C9"/>
    <w:rsid w:val="002A53F4"/>
    <w:rsid w:val="002A54EB"/>
    <w:rsid w:val="002A55C9"/>
    <w:rsid w:val="002A55E2"/>
    <w:rsid w:val="002A5608"/>
    <w:rsid w:val="002A5676"/>
    <w:rsid w:val="002A56DF"/>
    <w:rsid w:val="002A5729"/>
    <w:rsid w:val="002A584B"/>
    <w:rsid w:val="002A586B"/>
    <w:rsid w:val="002A58DA"/>
    <w:rsid w:val="002A5940"/>
    <w:rsid w:val="002A5968"/>
    <w:rsid w:val="002A5A82"/>
    <w:rsid w:val="002A5A83"/>
    <w:rsid w:val="002A5B28"/>
    <w:rsid w:val="002A5B86"/>
    <w:rsid w:val="002A5BB7"/>
    <w:rsid w:val="002A5C43"/>
    <w:rsid w:val="002A5CD3"/>
    <w:rsid w:val="002A5D4E"/>
    <w:rsid w:val="002A5E5A"/>
    <w:rsid w:val="002A5EED"/>
    <w:rsid w:val="002A604C"/>
    <w:rsid w:val="002A605B"/>
    <w:rsid w:val="002A60CD"/>
    <w:rsid w:val="002A6172"/>
    <w:rsid w:val="002A6327"/>
    <w:rsid w:val="002A6347"/>
    <w:rsid w:val="002A63B2"/>
    <w:rsid w:val="002A6475"/>
    <w:rsid w:val="002A6504"/>
    <w:rsid w:val="002A6553"/>
    <w:rsid w:val="002A65A8"/>
    <w:rsid w:val="002A65B2"/>
    <w:rsid w:val="002A67D9"/>
    <w:rsid w:val="002A6924"/>
    <w:rsid w:val="002A697A"/>
    <w:rsid w:val="002A6A11"/>
    <w:rsid w:val="002A6AE5"/>
    <w:rsid w:val="002A6B76"/>
    <w:rsid w:val="002A6CCA"/>
    <w:rsid w:val="002A6D29"/>
    <w:rsid w:val="002A6DD0"/>
    <w:rsid w:val="002A6E80"/>
    <w:rsid w:val="002A6F49"/>
    <w:rsid w:val="002A6FFA"/>
    <w:rsid w:val="002A73B8"/>
    <w:rsid w:val="002A7469"/>
    <w:rsid w:val="002A7691"/>
    <w:rsid w:val="002A76BA"/>
    <w:rsid w:val="002A7773"/>
    <w:rsid w:val="002A77E6"/>
    <w:rsid w:val="002A7891"/>
    <w:rsid w:val="002A79CB"/>
    <w:rsid w:val="002A7A16"/>
    <w:rsid w:val="002A7A48"/>
    <w:rsid w:val="002A7A6C"/>
    <w:rsid w:val="002A7AB4"/>
    <w:rsid w:val="002A7AE3"/>
    <w:rsid w:val="002A7BE0"/>
    <w:rsid w:val="002A7BFD"/>
    <w:rsid w:val="002A7C8D"/>
    <w:rsid w:val="002A7CB8"/>
    <w:rsid w:val="002A7CE7"/>
    <w:rsid w:val="002A7F13"/>
    <w:rsid w:val="002B0099"/>
    <w:rsid w:val="002B01BF"/>
    <w:rsid w:val="002B0209"/>
    <w:rsid w:val="002B0369"/>
    <w:rsid w:val="002B0400"/>
    <w:rsid w:val="002B0471"/>
    <w:rsid w:val="002B04F1"/>
    <w:rsid w:val="002B055C"/>
    <w:rsid w:val="002B07ED"/>
    <w:rsid w:val="002B0889"/>
    <w:rsid w:val="002B08A8"/>
    <w:rsid w:val="002B0908"/>
    <w:rsid w:val="002B096B"/>
    <w:rsid w:val="002B0B09"/>
    <w:rsid w:val="002B0C81"/>
    <w:rsid w:val="002B1040"/>
    <w:rsid w:val="002B12C0"/>
    <w:rsid w:val="002B15E6"/>
    <w:rsid w:val="002B1728"/>
    <w:rsid w:val="002B173D"/>
    <w:rsid w:val="002B17EC"/>
    <w:rsid w:val="002B1841"/>
    <w:rsid w:val="002B184B"/>
    <w:rsid w:val="002B1944"/>
    <w:rsid w:val="002B1B09"/>
    <w:rsid w:val="002B1D1D"/>
    <w:rsid w:val="002B1EA9"/>
    <w:rsid w:val="002B1F25"/>
    <w:rsid w:val="002B205E"/>
    <w:rsid w:val="002B21E6"/>
    <w:rsid w:val="002B21F9"/>
    <w:rsid w:val="002B22A2"/>
    <w:rsid w:val="002B239C"/>
    <w:rsid w:val="002B265D"/>
    <w:rsid w:val="002B26F3"/>
    <w:rsid w:val="002B2795"/>
    <w:rsid w:val="002B27E9"/>
    <w:rsid w:val="002B27EE"/>
    <w:rsid w:val="002B2892"/>
    <w:rsid w:val="002B2941"/>
    <w:rsid w:val="002B297B"/>
    <w:rsid w:val="002B2B3E"/>
    <w:rsid w:val="002B2B5A"/>
    <w:rsid w:val="002B2C2E"/>
    <w:rsid w:val="002B2C73"/>
    <w:rsid w:val="002B2CED"/>
    <w:rsid w:val="002B2CFA"/>
    <w:rsid w:val="002B2D7D"/>
    <w:rsid w:val="002B2DD5"/>
    <w:rsid w:val="002B2E1E"/>
    <w:rsid w:val="002B2F24"/>
    <w:rsid w:val="002B2F26"/>
    <w:rsid w:val="002B3122"/>
    <w:rsid w:val="002B3278"/>
    <w:rsid w:val="002B33F2"/>
    <w:rsid w:val="002B34CE"/>
    <w:rsid w:val="002B3546"/>
    <w:rsid w:val="002B36A0"/>
    <w:rsid w:val="002B3A1A"/>
    <w:rsid w:val="002B3A68"/>
    <w:rsid w:val="002B3BCC"/>
    <w:rsid w:val="002B3CAE"/>
    <w:rsid w:val="002B3DD6"/>
    <w:rsid w:val="002B3E54"/>
    <w:rsid w:val="002B3EAB"/>
    <w:rsid w:val="002B3FB9"/>
    <w:rsid w:val="002B4137"/>
    <w:rsid w:val="002B41FC"/>
    <w:rsid w:val="002B4391"/>
    <w:rsid w:val="002B44AC"/>
    <w:rsid w:val="002B44EF"/>
    <w:rsid w:val="002B45C5"/>
    <w:rsid w:val="002B45E7"/>
    <w:rsid w:val="002B491D"/>
    <w:rsid w:val="002B4926"/>
    <w:rsid w:val="002B493A"/>
    <w:rsid w:val="002B4A6B"/>
    <w:rsid w:val="002B4A87"/>
    <w:rsid w:val="002B4C0D"/>
    <w:rsid w:val="002B4E09"/>
    <w:rsid w:val="002B4E33"/>
    <w:rsid w:val="002B4FCF"/>
    <w:rsid w:val="002B5130"/>
    <w:rsid w:val="002B529B"/>
    <w:rsid w:val="002B5635"/>
    <w:rsid w:val="002B566A"/>
    <w:rsid w:val="002B57AB"/>
    <w:rsid w:val="002B57CF"/>
    <w:rsid w:val="002B58C7"/>
    <w:rsid w:val="002B58EA"/>
    <w:rsid w:val="002B5985"/>
    <w:rsid w:val="002B5AC5"/>
    <w:rsid w:val="002B5BAC"/>
    <w:rsid w:val="002B5CC9"/>
    <w:rsid w:val="002B5D23"/>
    <w:rsid w:val="002B5FB2"/>
    <w:rsid w:val="002B6005"/>
    <w:rsid w:val="002B61D6"/>
    <w:rsid w:val="002B61EE"/>
    <w:rsid w:val="002B6291"/>
    <w:rsid w:val="002B65C8"/>
    <w:rsid w:val="002B65FA"/>
    <w:rsid w:val="002B6732"/>
    <w:rsid w:val="002B6762"/>
    <w:rsid w:val="002B677F"/>
    <w:rsid w:val="002B698C"/>
    <w:rsid w:val="002B6A7F"/>
    <w:rsid w:val="002B6B65"/>
    <w:rsid w:val="002B6BEA"/>
    <w:rsid w:val="002B6BF6"/>
    <w:rsid w:val="002B6E34"/>
    <w:rsid w:val="002B702C"/>
    <w:rsid w:val="002B7039"/>
    <w:rsid w:val="002B707C"/>
    <w:rsid w:val="002B71F7"/>
    <w:rsid w:val="002B7255"/>
    <w:rsid w:val="002B72EE"/>
    <w:rsid w:val="002B7388"/>
    <w:rsid w:val="002B7480"/>
    <w:rsid w:val="002B7481"/>
    <w:rsid w:val="002B765C"/>
    <w:rsid w:val="002B7777"/>
    <w:rsid w:val="002B78C2"/>
    <w:rsid w:val="002B7900"/>
    <w:rsid w:val="002B7941"/>
    <w:rsid w:val="002B7B60"/>
    <w:rsid w:val="002B7C1B"/>
    <w:rsid w:val="002B7D0B"/>
    <w:rsid w:val="002B7DD6"/>
    <w:rsid w:val="002B7DEC"/>
    <w:rsid w:val="002B7F44"/>
    <w:rsid w:val="002B7FD2"/>
    <w:rsid w:val="002B7FF2"/>
    <w:rsid w:val="002C01EA"/>
    <w:rsid w:val="002C0266"/>
    <w:rsid w:val="002C0279"/>
    <w:rsid w:val="002C02B8"/>
    <w:rsid w:val="002C02C1"/>
    <w:rsid w:val="002C035A"/>
    <w:rsid w:val="002C0360"/>
    <w:rsid w:val="002C05CC"/>
    <w:rsid w:val="002C0871"/>
    <w:rsid w:val="002C089E"/>
    <w:rsid w:val="002C08BD"/>
    <w:rsid w:val="002C0A52"/>
    <w:rsid w:val="002C0A87"/>
    <w:rsid w:val="002C0A90"/>
    <w:rsid w:val="002C0ADA"/>
    <w:rsid w:val="002C0C67"/>
    <w:rsid w:val="002C0D7B"/>
    <w:rsid w:val="002C0DAC"/>
    <w:rsid w:val="002C10C7"/>
    <w:rsid w:val="002C10EA"/>
    <w:rsid w:val="002C1104"/>
    <w:rsid w:val="002C1197"/>
    <w:rsid w:val="002C147A"/>
    <w:rsid w:val="002C1651"/>
    <w:rsid w:val="002C191D"/>
    <w:rsid w:val="002C1B15"/>
    <w:rsid w:val="002C1B52"/>
    <w:rsid w:val="002C1BAB"/>
    <w:rsid w:val="002C1C83"/>
    <w:rsid w:val="002C1C8F"/>
    <w:rsid w:val="002C1D0E"/>
    <w:rsid w:val="002C1E8B"/>
    <w:rsid w:val="002C1F7B"/>
    <w:rsid w:val="002C2245"/>
    <w:rsid w:val="002C25F6"/>
    <w:rsid w:val="002C262A"/>
    <w:rsid w:val="002C26E0"/>
    <w:rsid w:val="002C276B"/>
    <w:rsid w:val="002C2812"/>
    <w:rsid w:val="002C286B"/>
    <w:rsid w:val="002C28FD"/>
    <w:rsid w:val="002C2984"/>
    <w:rsid w:val="002C2AC6"/>
    <w:rsid w:val="002C2ADF"/>
    <w:rsid w:val="002C2AF8"/>
    <w:rsid w:val="002C2C3B"/>
    <w:rsid w:val="002C2D13"/>
    <w:rsid w:val="002C2E78"/>
    <w:rsid w:val="002C2F46"/>
    <w:rsid w:val="002C2F4A"/>
    <w:rsid w:val="002C2FF4"/>
    <w:rsid w:val="002C31B4"/>
    <w:rsid w:val="002C324D"/>
    <w:rsid w:val="002C32EA"/>
    <w:rsid w:val="002C3353"/>
    <w:rsid w:val="002C34FE"/>
    <w:rsid w:val="002C3585"/>
    <w:rsid w:val="002C36C4"/>
    <w:rsid w:val="002C36E0"/>
    <w:rsid w:val="002C37F2"/>
    <w:rsid w:val="002C38A3"/>
    <w:rsid w:val="002C39B8"/>
    <w:rsid w:val="002C3C06"/>
    <w:rsid w:val="002C3C75"/>
    <w:rsid w:val="002C3D0B"/>
    <w:rsid w:val="002C3D56"/>
    <w:rsid w:val="002C4007"/>
    <w:rsid w:val="002C412A"/>
    <w:rsid w:val="002C41F3"/>
    <w:rsid w:val="002C42BA"/>
    <w:rsid w:val="002C44F6"/>
    <w:rsid w:val="002C4742"/>
    <w:rsid w:val="002C494D"/>
    <w:rsid w:val="002C4A50"/>
    <w:rsid w:val="002C4A8E"/>
    <w:rsid w:val="002C4B3A"/>
    <w:rsid w:val="002C4C02"/>
    <w:rsid w:val="002C4CE1"/>
    <w:rsid w:val="002C4D35"/>
    <w:rsid w:val="002C4ECB"/>
    <w:rsid w:val="002C5062"/>
    <w:rsid w:val="002C5081"/>
    <w:rsid w:val="002C5188"/>
    <w:rsid w:val="002C52DF"/>
    <w:rsid w:val="002C54C2"/>
    <w:rsid w:val="002C5569"/>
    <w:rsid w:val="002C5620"/>
    <w:rsid w:val="002C584B"/>
    <w:rsid w:val="002C589F"/>
    <w:rsid w:val="002C5923"/>
    <w:rsid w:val="002C596D"/>
    <w:rsid w:val="002C5A52"/>
    <w:rsid w:val="002C5B12"/>
    <w:rsid w:val="002C5CDE"/>
    <w:rsid w:val="002C5D2E"/>
    <w:rsid w:val="002C5DEF"/>
    <w:rsid w:val="002C5E78"/>
    <w:rsid w:val="002C5EBA"/>
    <w:rsid w:val="002C601A"/>
    <w:rsid w:val="002C60C6"/>
    <w:rsid w:val="002C61B7"/>
    <w:rsid w:val="002C6203"/>
    <w:rsid w:val="002C6282"/>
    <w:rsid w:val="002C63CC"/>
    <w:rsid w:val="002C643E"/>
    <w:rsid w:val="002C64AC"/>
    <w:rsid w:val="002C64BA"/>
    <w:rsid w:val="002C64D3"/>
    <w:rsid w:val="002C64E1"/>
    <w:rsid w:val="002C6509"/>
    <w:rsid w:val="002C6599"/>
    <w:rsid w:val="002C6714"/>
    <w:rsid w:val="002C67A5"/>
    <w:rsid w:val="002C69D8"/>
    <w:rsid w:val="002C6B26"/>
    <w:rsid w:val="002C6C04"/>
    <w:rsid w:val="002C6CE5"/>
    <w:rsid w:val="002C6D9C"/>
    <w:rsid w:val="002C6E7D"/>
    <w:rsid w:val="002C6FDA"/>
    <w:rsid w:val="002C6FF7"/>
    <w:rsid w:val="002C7090"/>
    <w:rsid w:val="002C71B7"/>
    <w:rsid w:val="002C71F6"/>
    <w:rsid w:val="002C721D"/>
    <w:rsid w:val="002C73B0"/>
    <w:rsid w:val="002C744F"/>
    <w:rsid w:val="002C751A"/>
    <w:rsid w:val="002C7687"/>
    <w:rsid w:val="002C776C"/>
    <w:rsid w:val="002C7816"/>
    <w:rsid w:val="002C78D4"/>
    <w:rsid w:val="002C7A47"/>
    <w:rsid w:val="002C7E06"/>
    <w:rsid w:val="002C7E4A"/>
    <w:rsid w:val="002C7EC4"/>
    <w:rsid w:val="002C7EED"/>
    <w:rsid w:val="002C7EF3"/>
    <w:rsid w:val="002C7F5F"/>
    <w:rsid w:val="002C7F9E"/>
    <w:rsid w:val="002D0011"/>
    <w:rsid w:val="002D0021"/>
    <w:rsid w:val="002D0038"/>
    <w:rsid w:val="002D0049"/>
    <w:rsid w:val="002D008E"/>
    <w:rsid w:val="002D01A6"/>
    <w:rsid w:val="002D01D7"/>
    <w:rsid w:val="002D01E2"/>
    <w:rsid w:val="002D04CE"/>
    <w:rsid w:val="002D04E0"/>
    <w:rsid w:val="002D0547"/>
    <w:rsid w:val="002D05AD"/>
    <w:rsid w:val="002D05C7"/>
    <w:rsid w:val="002D063B"/>
    <w:rsid w:val="002D06D8"/>
    <w:rsid w:val="002D06E2"/>
    <w:rsid w:val="002D075B"/>
    <w:rsid w:val="002D08A1"/>
    <w:rsid w:val="002D08C9"/>
    <w:rsid w:val="002D0A28"/>
    <w:rsid w:val="002D0ADE"/>
    <w:rsid w:val="002D0BA7"/>
    <w:rsid w:val="002D0C31"/>
    <w:rsid w:val="002D0CE0"/>
    <w:rsid w:val="002D0D24"/>
    <w:rsid w:val="002D0D43"/>
    <w:rsid w:val="002D0E76"/>
    <w:rsid w:val="002D0FF0"/>
    <w:rsid w:val="002D102E"/>
    <w:rsid w:val="002D1092"/>
    <w:rsid w:val="002D131D"/>
    <w:rsid w:val="002D1600"/>
    <w:rsid w:val="002D183E"/>
    <w:rsid w:val="002D1A29"/>
    <w:rsid w:val="002D1A40"/>
    <w:rsid w:val="002D1AEB"/>
    <w:rsid w:val="002D1C02"/>
    <w:rsid w:val="002D1DE7"/>
    <w:rsid w:val="002D1EC1"/>
    <w:rsid w:val="002D1ECC"/>
    <w:rsid w:val="002D1ED8"/>
    <w:rsid w:val="002D1EE5"/>
    <w:rsid w:val="002D1F27"/>
    <w:rsid w:val="002D1FC5"/>
    <w:rsid w:val="002D20AD"/>
    <w:rsid w:val="002D215E"/>
    <w:rsid w:val="002D21DD"/>
    <w:rsid w:val="002D2295"/>
    <w:rsid w:val="002D2384"/>
    <w:rsid w:val="002D23A3"/>
    <w:rsid w:val="002D23D0"/>
    <w:rsid w:val="002D2480"/>
    <w:rsid w:val="002D2610"/>
    <w:rsid w:val="002D2646"/>
    <w:rsid w:val="002D2664"/>
    <w:rsid w:val="002D26F0"/>
    <w:rsid w:val="002D26FD"/>
    <w:rsid w:val="002D27F0"/>
    <w:rsid w:val="002D2897"/>
    <w:rsid w:val="002D28ED"/>
    <w:rsid w:val="002D2916"/>
    <w:rsid w:val="002D29C6"/>
    <w:rsid w:val="002D2A4B"/>
    <w:rsid w:val="002D2B79"/>
    <w:rsid w:val="002D2B93"/>
    <w:rsid w:val="002D2C70"/>
    <w:rsid w:val="002D2CA9"/>
    <w:rsid w:val="002D2CD8"/>
    <w:rsid w:val="002D2D63"/>
    <w:rsid w:val="002D2DEE"/>
    <w:rsid w:val="002D2E1F"/>
    <w:rsid w:val="002D2E6E"/>
    <w:rsid w:val="002D2EB1"/>
    <w:rsid w:val="002D2F82"/>
    <w:rsid w:val="002D2FDE"/>
    <w:rsid w:val="002D2FEA"/>
    <w:rsid w:val="002D3141"/>
    <w:rsid w:val="002D314A"/>
    <w:rsid w:val="002D31B8"/>
    <w:rsid w:val="002D3306"/>
    <w:rsid w:val="002D331A"/>
    <w:rsid w:val="002D34C0"/>
    <w:rsid w:val="002D353A"/>
    <w:rsid w:val="002D35BE"/>
    <w:rsid w:val="002D374F"/>
    <w:rsid w:val="002D3912"/>
    <w:rsid w:val="002D3955"/>
    <w:rsid w:val="002D3A3A"/>
    <w:rsid w:val="002D3A8D"/>
    <w:rsid w:val="002D3B59"/>
    <w:rsid w:val="002D3C1E"/>
    <w:rsid w:val="002D3E7E"/>
    <w:rsid w:val="002D3F39"/>
    <w:rsid w:val="002D4013"/>
    <w:rsid w:val="002D40ED"/>
    <w:rsid w:val="002D40FC"/>
    <w:rsid w:val="002D415F"/>
    <w:rsid w:val="002D4170"/>
    <w:rsid w:val="002D4390"/>
    <w:rsid w:val="002D43B0"/>
    <w:rsid w:val="002D4437"/>
    <w:rsid w:val="002D450F"/>
    <w:rsid w:val="002D4510"/>
    <w:rsid w:val="002D494A"/>
    <w:rsid w:val="002D4A56"/>
    <w:rsid w:val="002D4D20"/>
    <w:rsid w:val="002D4E95"/>
    <w:rsid w:val="002D4F74"/>
    <w:rsid w:val="002D4F94"/>
    <w:rsid w:val="002D50D5"/>
    <w:rsid w:val="002D51D4"/>
    <w:rsid w:val="002D525D"/>
    <w:rsid w:val="002D537C"/>
    <w:rsid w:val="002D5579"/>
    <w:rsid w:val="002D5711"/>
    <w:rsid w:val="002D5742"/>
    <w:rsid w:val="002D5BBD"/>
    <w:rsid w:val="002D5BC6"/>
    <w:rsid w:val="002D5BE4"/>
    <w:rsid w:val="002D5C26"/>
    <w:rsid w:val="002D5C34"/>
    <w:rsid w:val="002D5D2A"/>
    <w:rsid w:val="002D5DC6"/>
    <w:rsid w:val="002D5F20"/>
    <w:rsid w:val="002D5F3E"/>
    <w:rsid w:val="002D5F4D"/>
    <w:rsid w:val="002D60F7"/>
    <w:rsid w:val="002D6118"/>
    <w:rsid w:val="002D62EC"/>
    <w:rsid w:val="002D651A"/>
    <w:rsid w:val="002D656E"/>
    <w:rsid w:val="002D6664"/>
    <w:rsid w:val="002D66BF"/>
    <w:rsid w:val="002D67A7"/>
    <w:rsid w:val="002D696D"/>
    <w:rsid w:val="002D69A1"/>
    <w:rsid w:val="002D6AB5"/>
    <w:rsid w:val="002D6B64"/>
    <w:rsid w:val="002D6BCC"/>
    <w:rsid w:val="002D6BD9"/>
    <w:rsid w:val="002D6CE7"/>
    <w:rsid w:val="002D6DB4"/>
    <w:rsid w:val="002D6E42"/>
    <w:rsid w:val="002D6F9D"/>
    <w:rsid w:val="002D7043"/>
    <w:rsid w:val="002D706B"/>
    <w:rsid w:val="002D70C3"/>
    <w:rsid w:val="002D70E4"/>
    <w:rsid w:val="002D7266"/>
    <w:rsid w:val="002D7324"/>
    <w:rsid w:val="002D7420"/>
    <w:rsid w:val="002D7500"/>
    <w:rsid w:val="002D7687"/>
    <w:rsid w:val="002D77ED"/>
    <w:rsid w:val="002D782C"/>
    <w:rsid w:val="002D78AB"/>
    <w:rsid w:val="002D7AB4"/>
    <w:rsid w:val="002D7AE1"/>
    <w:rsid w:val="002D7BA9"/>
    <w:rsid w:val="002D7C61"/>
    <w:rsid w:val="002D7E52"/>
    <w:rsid w:val="002D7F4B"/>
    <w:rsid w:val="002D7F76"/>
    <w:rsid w:val="002E0090"/>
    <w:rsid w:val="002E0299"/>
    <w:rsid w:val="002E02A8"/>
    <w:rsid w:val="002E02DB"/>
    <w:rsid w:val="002E0335"/>
    <w:rsid w:val="002E0343"/>
    <w:rsid w:val="002E056F"/>
    <w:rsid w:val="002E061B"/>
    <w:rsid w:val="002E086C"/>
    <w:rsid w:val="002E0891"/>
    <w:rsid w:val="002E0899"/>
    <w:rsid w:val="002E08E4"/>
    <w:rsid w:val="002E08F4"/>
    <w:rsid w:val="002E0A7B"/>
    <w:rsid w:val="002E0B81"/>
    <w:rsid w:val="002E0B8C"/>
    <w:rsid w:val="002E0C31"/>
    <w:rsid w:val="002E0D4B"/>
    <w:rsid w:val="002E0DC5"/>
    <w:rsid w:val="002E0E84"/>
    <w:rsid w:val="002E0E8D"/>
    <w:rsid w:val="002E0F16"/>
    <w:rsid w:val="002E10E1"/>
    <w:rsid w:val="002E1193"/>
    <w:rsid w:val="002E11E7"/>
    <w:rsid w:val="002E12BF"/>
    <w:rsid w:val="002E132E"/>
    <w:rsid w:val="002E146D"/>
    <w:rsid w:val="002E14DF"/>
    <w:rsid w:val="002E1712"/>
    <w:rsid w:val="002E1719"/>
    <w:rsid w:val="002E1856"/>
    <w:rsid w:val="002E19A3"/>
    <w:rsid w:val="002E19EA"/>
    <w:rsid w:val="002E1A74"/>
    <w:rsid w:val="002E1ABE"/>
    <w:rsid w:val="002E1B79"/>
    <w:rsid w:val="002E1B89"/>
    <w:rsid w:val="002E1BC6"/>
    <w:rsid w:val="002E1C48"/>
    <w:rsid w:val="002E1CD9"/>
    <w:rsid w:val="002E1D7C"/>
    <w:rsid w:val="002E1D93"/>
    <w:rsid w:val="002E1F58"/>
    <w:rsid w:val="002E2073"/>
    <w:rsid w:val="002E221C"/>
    <w:rsid w:val="002E224C"/>
    <w:rsid w:val="002E22B7"/>
    <w:rsid w:val="002E25F4"/>
    <w:rsid w:val="002E261D"/>
    <w:rsid w:val="002E280C"/>
    <w:rsid w:val="002E28A4"/>
    <w:rsid w:val="002E2941"/>
    <w:rsid w:val="002E29E3"/>
    <w:rsid w:val="002E2A87"/>
    <w:rsid w:val="002E2AE1"/>
    <w:rsid w:val="002E2AF3"/>
    <w:rsid w:val="002E2B5C"/>
    <w:rsid w:val="002E2B98"/>
    <w:rsid w:val="002E2DD1"/>
    <w:rsid w:val="002E2F72"/>
    <w:rsid w:val="002E30C3"/>
    <w:rsid w:val="002E3115"/>
    <w:rsid w:val="002E32A1"/>
    <w:rsid w:val="002E331E"/>
    <w:rsid w:val="002E33A1"/>
    <w:rsid w:val="002E3420"/>
    <w:rsid w:val="002E348F"/>
    <w:rsid w:val="002E35A2"/>
    <w:rsid w:val="002E375A"/>
    <w:rsid w:val="002E3765"/>
    <w:rsid w:val="002E3808"/>
    <w:rsid w:val="002E38BA"/>
    <w:rsid w:val="002E39E5"/>
    <w:rsid w:val="002E3AE4"/>
    <w:rsid w:val="002E3B1B"/>
    <w:rsid w:val="002E3B1E"/>
    <w:rsid w:val="002E3BB8"/>
    <w:rsid w:val="002E3BC8"/>
    <w:rsid w:val="002E3C64"/>
    <w:rsid w:val="002E3CC8"/>
    <w:rsid w:val="002E3D3A"/>
    <w:rsid w:val="002E3E1A"/>
    <w:rsid w:val="002E3EAA"/>
    <w:rsid w:val="002E3F42"/>
    <w:rsid w:val="002E3FC5"/>
    <w:rsid w:val="002E40CC"/>
    <w:rsid w:val="002E42C4"/>
    <w:rsid w:val="002E4310"/>
    <w:rsid w:val="002E431D"/>
    <w:rsid w:val="002E4405"/>
    <w:rsid w:val="002E446C"/>
    <w:rsid w:val="002E4471"/>
    <w:rsid w:val="002E44D2"/>
    <w:rsid w:val="002E44DE"/>
    <w:rsid w:val="002E4549"/>
    <w:rsid w:val="002E46EC"/>
    <w:rsid w:val="002E4708"/>
    <w:rsid w:val="002E4747"/>
    <w:rsid w:val="002E47C8"/>
    <w:rsid w:val="002E4B06"/>
    <w:rsid w:val="002E4C27"/>
    <w:rsid w:val="002E4C50"/>
    <w:rsid w:val="002E4C8D"/>
    <w:rsid w:val="002E4C9E"/>
    <w:rsid w:val="002E4CA1"/>
    <w:rsid w:val="002E4CB0"/>
    <w:rsid w:val="002E4D84"/>
    <w:rsid w:val="002E4DF5"/>
    <w:rsid w:val="002E4EDD"/>
    <w:rsid w:val="002E4F6E"/>
    <w:rsid w:val="002E5004"/>
    <w:rsid w:val="002E5150"/>
    <w:rsid w:val="002E5160"/>
    <w:rsid w:val="002E527F"/>
    <w:rsid w:val="002E538D"/>
    <w:rsid w:val="002E539C"/>
    <w:rsid w:val="002E53A5"/>
    <w:rsid w:val="002E5498"/>
    <w:rsid w:val="002E549D"/>
    <w:rsid w:val="002E54B2"/>
    <w:rsid w:val="002E55C1"/>
    <w:rsid w:val="002E56F5"/>
    <w:rsid w:val="002E573C"/>
    <w:rsid w:val="002E57B9"/>
    <w:rsid w:val="002E5809"/>
    <w:rsid w:val="002E5818"/>
    <w:rsid w:val="002E5828"/>
    <w:rsid w:val="002E589E"/>
    <w:rsid w:val="002E59FB"/>
    <w:rsid w:val="002E5AC6"/>
    <w:rsid w:val="002E5B1A"/>
    <w:rsid w:val="002E5D6A"/>
    <w:rsid w:val="002E5DAA"/>
    <w:rsid w:val="002E5FF2"/>
    <w:rsid w:val="002E6170"/>
    <w:rsid w:val="002E6186"/>
    <w:rsid w:val="002E618D"/>
    <w:rsid w:val="002E62FE"/>
    <w:rsid w:val="002E635D"/>
    <w:rsid w:val="002E63F3"/>
    <w:rsid w:val="002E6405"/>
    <w:rsid w:val="002E64A7"/>
    <w:rsid w:val="002E64B3"/>
    <w:rsid w:val="002E64B5"/>
    <w:rsid w:val="002E651F"/>
    <w:rsid w:val="002E6543"/>
    <w:rsid w:val="002E655A"/>
    <w:rsid w:val="002E694B"/>
    <w:rsid w:val="002E6976"/>
    <w:rsid w:val="002E6CBF"/>
    <w:rsid w:val="002E6CE1"/>
    <w:rsid w:val="002E6DDB"/>
    <w:rsid w:val="002E6E5B"/>
    <w:rsid w:val="002E6E9E"/>
    <w:rsid w:val="002E6EB6"/>
    <w:rsid w:val="002E6F18"/>
    <w:rsid w:val="002E6F3F"/>
    <w:rsid w:val="002E7376"/>
    <w:rsid w:val="002E7433"/>
    <w:rsid w:val="002E747D"/>
    <w:rsid w:val="002E7602"/>
    <w:rsid w:val="002E77AB"/>
    <w:rsid w:val="002E78DB"/>
    <w:rsid w:val="002E7916"/>
    <w:rsid w:val="002E79A2"/>
    <w:rsid w:val="002E7A6B"/>
    <w:rsid w:val="002E7B43"/>
    <w:rsid w:val="002E7BE2"/>
    <w:rsid w:val="002E7C04"/>
    <w:rsid w:val="002E7CC3"/>
    <w:rsid w:val="002E7CFF"/>
    <w:rsid w:val="002E7D2B"/>
    <w:rsid w:val="002E7D4E"/>
    <w:rsid w:val="002E7F5B"/>
    <w:rsid w:val="002E7F86"/>
    <w:rsid w:val="002E7FE0"/>
    <w:rsid w:val="002F00AC"/>
    <w:rsid w:val="002F0107"/>
    <w:rsid w:val="002F014D"/>
    <w:rsid w:val="002F024A"/>
    <w:rsid w:val="002F03A5"/>
    <w:rsid w:val="002F04B1"/>
    <w:rsid w:val="002F04DB"/>
    <w:rsid w:val="002F0602"/>
    <w:rsid w:val="002F07B2"/>
    <w:rsid w:val="002F089F"/>
    <w:rsid w:val="002F0903"/>
    <w:rsid w:val="002F0935"/>
    <w:rsid w:val="002F0958"/>
    <w:rsid w:val="002F0968"/>
    <w:rsid w:val="002F09D3"/>
    <w:rsid w:val="002F09DC"/>
    <w:rsid w:val="002F09DF"/>
    <w:rsid w:val="002F0B86"/>
    <w:rsid w:val="002F0BA5"/>
    <w:rsid w:val="002F0BE6"/>
    <w:rsid w:val="002F0C63"/>
    <w:rsid w:val="002F0F2D"/>
    <w:rsid w:val="002F13F6"/>
    <w:rsid w:val="002F14B4"/>
    <w:rsid w:val="002F1548"/>
    <w:rsid w:val="002F1551"/>
    <w:rsid w:val="002F1835"/>
    <w:rsid w:val="002F19D1"/>
    <w:rsid w:val="002F1AF0"/>
    <w:rsid w:val="002F1B05"/>
    <w:rsid w:val="002F1B3D"/>
    <w:rsid w:val="002F1CC2"/>
    <w:rsid w:val="002F2102"/>
    <w:rsid w:val="002F21CE"/>
    <w:rsid w:val="002F23A4"/>
    <w:rsid w:val="002F245A"/>
    <w:rsid w:val="002F2489"/>
    <w:rsid w:val="002F261B"/>
    <w:rsid w:val="002F26C2"/>
    <w:rsid w:val="002F27E9"/>
    <w:rsid w:val="002F28BE"/>
    <w:rsid w:val="002F2921"/>
    <w:rsid w:val="002F2985"/>
    <w:rsid w:val="002F2996"/>
    <w:rsid w:val="002F2A56"/>
    <w:rsid w:val="002F2B4E"/>
    <w:rsid w:val="002F2B93"/>
    <w:rsid w:val="002F2BCE"/>
    <w:rsid w:val="002F2BF1"/>
    <w:rsid w:val="002F2C2F"/>
    <w:rsid w:val="002F2D97"/>
    <w:rsid w:val="002F2E10"/>
    <w:rsid w:val="002F2EDE"/>
    <w:rsid w:val="002F2F05"/>
    <w:rsid w:val="002F2FA5"/>
    <w:rsid w:val="002F2FED"/>
    <w:rsid w:val="002F313F"/>
    <w:rsid w:val="002F3146"/>
    <w:rsid w:val="002F369A"/>
    <w:rsid w:val="002F37A4"/>
    <w:rsid w:val="002F38A0"/>
    <w:rsid w:val="002F39DE"/>
    <w:rsid w:val="002F3A87"/>
    <w:rsid w:val="002F3A9D"/>
    <w:rsid w:val="002F3ABA"/>
    <w:rsid w:val="002F3AFA"/>
    <w:rsid w:val="002F3C63"/>
    <w:rsid w:val="002F3EA2"/>
    <w:rsid w:val="002F3EAE"/>
    <w:rsid w:val="002F3F24"/>
    <w:rsid w:val="002F401D"/>
    <w:rsid w:val="002F4023"/>
    <w:rsid w:val="002F418E"/>
    <w:rsid w:val="002F420E"/>
    <w:rsid w:val="002F4357"/>
    <w:rsid w:val="002F4367"/>
    <w:rsid w:val="002F4490"/>
    <w:rsid w:val="002F4542"/>
    <w:rsid w:val="002F457E"/>
    <w:rsid w:val="002F458B"/>
    <w:rsid w:val="002F4622"/>
    <w:rsid w:val="002F46F3"/>
    <w:rsid w:val="002F475A"/>
    <w:rsid w:val="002F4843"/>
    <w:rsid w:val="002F48F7"/>
    <w:rsid w:val="002F491F"/>
    <w:rsid w:val="002F4939"/>
    <w:rsid w:val="002F4C1B"/>
    <w:rsid w:val="002F4CEF"/>
    <w:rsid w:val="002F4DC5"/>
    <w:rsid w:val="002F4DFF"/>
    <w:rsid w:val="002F4E63"/>
    <w:rsid w:val="002F4E6E"/>
    <w:rsid w:val="002F4EFC"/>
    <w:rsid w:val="002F4F84"/>
    <w:rsid w:val="002F4FAE"/>
    <w:rsid w:val="002F4FCD"/>
    <w:rsid w:val="002F4FF4"/>
    <w:rsid w:val="002F51F3"/>
    <w:rsid w:val="002F520A"/>
    <w:rsid w:val="002F547B"/>
    <w:rsid w:val="002F5509"/>
    <w:rsid w:val="002F5683"/>
    <w:rsid w:val="002F5712"/>
    <w:rsid w:val="002F579B"/>
    <w:rsid w:val="002F57A3"/>
    <w:rsid w:val="002F57D5"/>
    <w:rsid w:val="002F585E"/>
    <w:rsid w:val="002F586D"/>
    <w:rsid w:val="002F5885"/>
    <w:rsid w:val="002F58EF"/>
    <w:rsid w:val="002F59F5"/>
    <w:rsid w:val="002F59FA"/>
    <w:rsid w:val="002F5A02"/>
    <w:rsid w:val="002F5B24"/>
    <w:rsid w:val="002F5B4F"/>
    <w:rsid w:val="002F5BEC"/>
    <w:rsid w:val="002F5F1C"/>
    <w:rsid w:val="002F5F84"/>
    <w:rsid w:val="002F5FBC"/>
    <w:rsid w:val="002F6054"/>
    <w:rsid w:val="002F60AA"/>
    <w:rsid w:val="002F60F2"/>
    <w:rsid w:val="002F6131"/>
    <w:rsid w:val="002F635D"/>
    <w:rsid w:val="002F63B0"/>
    <w:rsid w:val="002F63DE"/>
    <w:rsid w:val="002F63F8"/>
    <w:rsid w:val="002F64C7"/>
    <w:rsid w:val="002F67D6"/>
    <w:rsid w:val="002F6891"/>
    <w:rsid w:val="002F69B2"/>
    <w:rsid w:val="002F6B3E"/>
    <w:rsid w:val="002F6C6E"/>
    <w:rsid w:val="002F6CE8"/>
    <w:rsid w:val="002F6DCC"/>
    <w:rsid w:val="002F6E99"/>
    <w:rsid w:val="002F6EA1"/>
    <w:rsid w:val="002F71A4"/>
    <w:rsid w:val="002F71F5"/>
    <w:rsid w:val="002F7253"/>
    <w:rsid w:val="002F751F"/>
    <w:rsid w:val="002F77C0"/>
    <w:rsid w:val="002F77CC"/>
    <w:rsid w:val="002F7816"/>
    <w:rsid w:val="002F796B"/>
    <w:rsid w:val="002F7A1C"/>
    <w:rsid w:val="002F7A22"/>
    <w:rsid w:val="002F7B2A"/>
    <w:rsid w:val="002F7BE8"/>
    <w:rsid w:val="002F7DE0"/>
    <w:rsid w:val="002F7E0F"/>
    <w:rsid w:val="002F7F78"/>
    <w:rsid w:val="002F7FA6"/>
    <w:rsid w:val="0030005F"/>
    <w:rsid w:val="003003BD"/>
    <w:rsid w:val="003004DF"/>
    <w:rsid w:val="00300623"/>
    <w:rsid w:val="00300642"/>
    <w:rsid w:val="00300750"/>
    <w:rsid w:val="003008C7"/>
    <w:rsid w:val="003009D7"/>
    <w:rsid w:val="00300A15"/>
    <w:rsid w:val="00300A73"/>
    <w:rsid w:val="00300BA9"/>
    <w:rsid w:val="00300D5E"/>
    <w:rsid w:val="00300E5D"/>
    <w:rsid w:val="00300F34"/>
    <w:rsid w:val="00300FBF"/>
    <w:rsid w:val="00301312"/>
    <w:rsid w:val="0030138C"/>
    <w:rsid w:val="003013E0"/>
    <w:rsid w:val="003015B2"/>
    <w:rsid w:val="0030190B"/>
    <w:rsid w:val="0030193D"/>
    <w:rsid w:val="00301999"/>
    <w:rsid w:val="003019E4"/>
    <w:rsid w:val="00301A19"/>
    <w:rsid w:val="00301A90"/>
    <w:rsid w:val="00301AE3"/>
    <w:rsid w:val="00301B49"/>
    <w:rsid w:val="00301C0D"/>
    <w:rsid w:val="00301C92"/>
    <w:rsid w:val="00301CB4"/>
    <w:rsid w:val="00301CFD"/>
    <w:rsid w:val="00301F12"/>
    <w:rsid w:val="00301F4C"/>
    <w:rsid w:val="00302048"/>
    <w:rsid w:val="00302066"/>
    <w:rsid w:val="00302253"/>
    <w:rsid w:val="003023B6"/>
    <w:rsid w:val="00302486"/>
    <w:rsid w:val="003024D9"/>
    <w:rsid w:val="00302597"/>
    <w:rsid w:val="003025F5"/>
    <w:rsid w:val="00302655"/>
    <w:rsid w:val="00302950"/>
    <w:rsid w:val="00302B3B"/>
    <w:rsid w:val="00302C61"/>
    <w:rsid w:val="00302C8F"/>
    <w:rsid w:val="00302D79"/>
    <w:rsid w:val="00302D80"/>
    <w:rsid w:val="00302E11"/>
    <w:rsid w:val="00302E3D"/>
    <w:rsid w:val="00302E59"/>
    <w:rsid w:val="00302E8F"/>
    <w:rsid w:val="00302E97"/>
    <w:rsid w:val="00302F56"/>
    <w:rsid w:val="00302FB2"/>
    <w:rsid w:val="003030AA"/>
    <w:rsid w:val="00303106"/>
    <w:rsid w:val="0030311E"/>
    <w:rsid w:val="003031E4"/>
    <w:rsid w:val="00303487"/>
    <w:rsid w:val="00303629"/>
    <w:rsid w:val="003036BB"/>
    <w:rsid w:val="003036CD"/>
    <w:rsid w:val="003037EF"/>
    <w:rsid w:val="00303956"/>
    <w:rsid w:val="00303A0D"/>
    <w:rsid w:val="00303A43"/>
    <w:rsid w:val="00303B2B"/>
    <w:rsid w:val="00303CFD"/>
    <w:rsid w:val="00303D07"/>
    <w:rsid w:val="00303EC4"/>
    <w:rsid w:val="00303EE2"/>
    <w:rsid w:val="00303F20"/>
    <w:rsid w:val="00303F89"/>
    <w:rsid w:val="00304122"/>
    <w:rsid w:val="00304203"/>
    <w:rsid w:val="00304262"/>
    <w:rsid w:val="0030433B"/>
    <w:rsid w:val="00304392"/>
    <w:rsid w:val="00304395"/>
    <w:rsid w:val="003043BD"/>
    <w:rsid w:val="003043F2"/>
    <w:rsid w:val="00304660"/>
    <w:rsid w:val="00304699"/>
    <w:rsid w:val="00304729"/>
    <w:rsid w:val="0030484B"/>
    <w:rsid w:val="003048A3"/>
    <w:rsid w:val="003048FD"/>
    <w:rsid w:val="00304924"/>
    <w:rsid w:val="0030494C"/>
    <w:rsid w:val="00304962"/>
    <w:rsid w:val="00304A80"/>
    <w:rsid w:val="00304AFE"/>
    <w:rsid w:val="00304B35"/>
    <w:rsid w:val="00304B55"/>
    <w:rsid w:val="00304BCC"/>
    <w:rsid w:val="00304C1C"/>
    <w:rsid w:val="00304DCA"/>
    <w:rsid w:val="00304E93"/>
    <w:rsid w:val="00304EDD"/>
    <w:rsid w:val="00304F70"/>
    <w:rsid w:val="00304F99"/>
    <w:rsid w:val="00305008"/>
    <w:rsid w:val="00305059"/>
    <w:rsid w:val="0030507D"/>
    <w:rsid w:val="003050C3"/>
    <w:rsid w:val="00305451"/>
    <w:rsid w:val="00305552"/>
    <w:rsid w:val="003055C5"/>
    <w:rsid w:val="003055F8"/>
    <w:rsid w:val="0030579F"/>
    <w:rsid w:val="003057A2"/>
    <w:rsid w:val="00305873"/>
    <w:rsid w:val="003058E8"/>
    <w:rsid w:val="0030592C"/>
    <w:rsid w:val="00305ABA"/>
    <w:rsid w:val="00305BC3"/>
    <w:rsid w:val="00305CAB"/>
    <w:rsid w:val="00305CC1"/>
    <w:rsid w:val="00305D57"/>
    <w:rsid w:val="00305D60"/>
    <w:rsid w:val="00305D78"/>
    <w:rsid w:val="00305DC4"/>
    <w:rsid w:val="00305E46"/>
    <w:rsid w:val="00305F5D"/>
    <w:rsid w:val="00305F99"/>
    <w:rsid w:val="00305FAB"/>
    <w:rsid w:val="003060D1"/>
    <w:rsid w:val="003061FB"/>
    <w:rsid w:val="00306473"/>
    <w:rsid w:val="003064F2"/>
    <w:rsid w:val="00306528"/>
    <w:rsid w:val="00306600"/>
    <w:rsid w:val="0030672A"/>
    <w:rsid w:val="00306882"/>
    <w:rsid w:val="003068F7"/>
    <w:rsid w:val="00306B7B"/>
    <w:rsid w:val="00306BB7"/>
    <w:rsid w:val="00306C19"/>
    <w:rsid w:val="00306C5F"/>
    <w:rsid w:val="00306CD6"/>
    <w:rsid w:val="00306D71"/>
    <w:rsid w:val="00306E00"/>
    <w:rsid w:val="00306ED8"/>
    <w:rsid w:val="003070DE"/>
    <w:rsid w:val="00307225"/>
    <w:rsid w:val="0030734B"/>
    <w:rsid w:val="003074F1"/>
    <w:rsid w:val="003076BC"/>
    <w:rsid w:val="003076D8"/>
    <w:rsid w:val="003076F2"/>
    <w:rsid w:val="003077A3"/>
    <w:rsid w:val="003079BE"/>
    <w:rsid w:val="00307A42"/>
    <w:rsid w:val="00307A53"/>
    <w:rsid w:val="00307B87"/>
    <w:rsid w:val="00307C49"/>
    <w:rsid w:val="00307C80"/>
    <w:rsid w:val="00307CB0"/>
    <w:rsid w:val="00307D4E"/>
    <w:rsid w:val="00307E50"/>
    <w:rsid w:val="00307EF9"/>
    <w:rsid w:val="00307F61"/>
    <w:rsid w:val="00310087"/>
    <w:rsid w:val="003100D0"/>
    <w:rsid w:val="00310137"/>
    <w:rsid w:val="0031025A"/>
    <w:rsid w:val="0031035D"/>
    <w:rsid w:val="003103F1"/>
    <w:rsid w:val="003104A6"/>
    <w:rsid w:val="003104FD"/>
    <w:rsid w:val="0031056B"/>
    <w:rsid w:val="00310589"/>
    <w:rsid w:val="00310651"/>
    <w:rsid w:val="00310747"/>
    <w:rsid w:val="003107B1"/>
    <w:rsid w:val="00310857"/>
    <w:rsid w:val="00310891"/>
    <w:rsid w:val="00310AEC"/>
    <w:rsid w:val="00310D3E"/>
    <w:rsid w:val="00310E32"/>
    <w:rsid w:val="00310EC4"/>
    <w:rsid w:val="00311082"/>
    <w:rsid w:val="003110FF"/>
    <w:rsid w:val="0031121B"/>
    <w:rsid w:val="003113C7"/>
    <w:rsid w:val="00311421"/>
    <w:rsid w:val="0031146B"/>
    <w:rsid w:val="0031160F"/>
    <w:rsid w:val="00311653"/>
    <w:rsid w:val="003116E1"/>
    <w:rsid w:val="00311964"/>
    <w:rsid w:val="00311A48"/>
    <w:rsid w:val="00311B70"/>
    <w:rsid w:val="00311BE2"/>
    <w:rsid w:val="00311C2C"/>
    <w:rsid w:val="00311C40"/>
    <w:rsid w:val="00311DE9"/>
    <w:rsid w:val="00311EFE"/>
    <w:rsid w:val="00311FA7"/>
    <w:rsid w:val="0031222F"/>
    <w:rsid w:val="003122D3"/>
    <w:rsid w:val="00312676"/>
    <w:rsid w:val="00312A61"/>
    <w:rsid w:val="00312C37"/>
    <w:rsid w:val="00312DFD"/>
    <w:rsid w:val="003130DE"/>
    <w:rsid w:val="00313418"/>
    <w:rsid w:val="00313455"/>
    <w:rsid w:val="00313573"/>
    <w:rsid w:val="00313645"/>
    <w:rsid w:val="00313820"/>
    <w:rsid w:val="003138B2"/>
    <w:rsid w:val="00313A44"/>
    <w:rsid w:val="00313AC7"/>
    <w:rsid w:val="00313C6E"/>
    <w:rsid w:val="00313EE0"/>
    <w:rsid w:val="00313F71"/>
    <w:rsid w:val="00313FC9"/>
    <w:rsid w:val="0031405D"/>
    <w:rsid w:val="00314097"/>
    <w:rsid w:val="003140DD"/>
    <w:rsid w:val="003140F2"/>
    <w:rsid w:val="003141CC"/>
    <w:rsid w:val="0031422D"/>
    <w:rsid w:val="00314251"/>
    <w:rsid w:val="003142DC"/>
    <w:rsid w:val="0031435C"/>
    <w:rsid w:val="00314402"/>
    <w:rsid w:val="00314438"/>
    <w:rsid w:val="00314500"/>
    <w:rsid w:val="0031453B"/>
    <w:rsid w:val="0031460D"/>
    <w:rsid w:val="003146AA"/>
    <w:rsid w:val="003146C1"/>
    <w:rsid w:val="003147E4"/>
    <w:rsid w:val="00314CA3"/>
    <w:rsid w:val="00314CA9"/>
    <w:rsid w:val="00314D0F"/>
    <w:rsid w:val="00314D21"/>
    <w:rsid w:val="00314DBC"/>
    <w:rsid w:val="00314E85"/>
    <w:rsid w:val="00314EF2"/>
    <w:rsid w:val="00315004"/>
    <w:rsid w:val="0031508F"/>
    <w:rsid w:val="003151F0"/>
    <w:rsid w:val="003151FB"/>
    <w:rsid w:val="00315239"/>
    <w:rsid w:val="00315268"/>
    <w:rsid w:val="00315293"/>
    <w:rsid w:val="003152FF"/>
    <w:rsid w:val="003153F2"/>
    <w:rsid w:val="00315471"/>
    <w:rsid w:val="00315693"/>
    <w:rsid w:val="00315C30"/>
    <w:rsid w:val="00315C32"/>
    <w:rsid w:val="00315DAA"/>
    <w:rsid w:val="00315E05"/>
    <w:rsid w:val="00315E22"/>
    <w:rsid w:val="00315F1B"/>
    <w:rsid w:val="00315F2D"/>
    <w:rsid w:val="00315FCF"/>
    <w:rsid w:val="003160C9"/>
    <w:rsid w:val="003160E9"/>
    <w:rsid w:val="0031612C"/>
    <w:rsid w:val="00316227"/>
    <w:rsid w:val="0031642E"/>
    <w:rsid w:val="00316479"/>
    <w:rsid w:val="00316602"/>
    <w:rsid w:val="00316631"/>
    <w:rsid w:val="00316654"/>
    <w:rsid w:val="003167B0"/>
    <w:rsid w:val="00316816"/>
    <w:rsid w:val="0031684F"/>
    <w:rsid w:val="003168E0"/>
    <w:rsid w:val="00316A42"/>
    <w:rsid w:val="00316A92"/>
    <w:rsid w:val="00316B16"/>
    <w:rsid w:val="00316B57"/>
    <w:rsid w:val="00316BEB"/>
    <w:rsid w:val="00316CAA"/>
    <w:rsid w:val="00316D15"/>
    <w:rsid w:val="00316D26"/>
    <w:rsid w:val="00316D76"/>
    <w:rsid w:val="00316DB0"/>
    <w:rsid w:val="00316E09"/>
    <w:rsid w:val="00316E85"/>
    <w:rsid w:val="003170CF"/>
    <w:rsid w:val="003170F9"/>
    <w:rsid w:val="00317148"/>
    <w:rsid w:val="003172B5"/>
    <w:rsid w:val="00317366"/>
    <w:rsid w:val="003173A9"/>
    <w:rsid w:val="0031741F"/>
    <w:rsid w:val="003174DD"/>
    <w:rsid w:val="00317525"/>
    <w:rsid w:val="003175A5"/>
    <w:rsid w:val="00317615"/>
    <w:rsid w:val="00317648"/>
    <w:rsid w:val="003176E9"/>
    <w:rsid w:val="003177DC"/>
    <w:rsid w:val="00317817"/>
    <w:rsid w:val="0031790E"/>
    <w:rsid w:val="0031796E"/>
    <w:rsid w:val="00317A0C"/>
    <w:rsid w:val="00317A4A"/>
    <w:rsid w:val="00317BEC"/>
    <w:rsid w:val="00317C45"/>
    <w:rsid w:val="00317CC2"/>
    <w:rsid w:val="0032004B"/>
    <w:rsid w:val="00320050"/>
    <w:rsid w:val="003200A6"/>
    <w:rsid w:val="003200D3"/>
    <w:rsid w:val="003202DC"/>
    <w:rsid w:val="003203C2"/>
    <w:rsid w:val="0032045B"/>
    <w:rsid w:val="0032050C"/>
    <w:rsid w:val="00320522"/>
    <w:rsid w:val="003205CC"/>
    <w:rsid w:val="003205E6"/>
    <w:rsid w:val="00320646"/>
    <w:rsid w:val="00320681"/>
    <w:rsid w:val="003206FD"/>
    <w:rsid w:val="00320710"/>
    <w:rsid w:val="00320761"/>
    <w:rsid w:val="0032080F"/>
    <w:rsid w:val="00320835"/>
    <w:rsid w:val="00320864"/>
    <w:rsid w:val="00320877"/>
    <w:rsid w:val="0032092C"/>
    <w:rsid w:val="00320997"/>
    <w:rsid w:val="00320A13"/>
    <w:rsid w:val="00320BFE"/>
    <w:rsid w:val="00320DB0"/>
    <w:rsid w:val="00320E97"/>
    <w:rsid w:val="00320F4B"/>
    <w:rsid w:val="0032110C"/>
    <w:rsid w:val="00321315"/>
    <w:rsid w:val="00321373"/>
    <w:rsid w:val="00321394"/>
    <w:rsid w:val="003215C6"/>
    <w:rsid w:val="003215E2"/>
    <w:rsid w:val="00321661"/>
    <w:rsid w:val="0032169A"/>
    <w:rsid w:val="003216FD"/>
    <w:rsid w:val="0032175C"/>
    <w:rsid w:val="00321A25"/>
    <w:rsid w:val="00321B10"/>
    <w:rsid w:val="00321B56"/>
    <w:rsid w:val="00321C46"/>
    <w:rsid w:val="00321D21"/>
    <w:rsid w:val="00321E43"/>
    <w:rsid w:val="00321E4C"/>
    <w:rsid w:val="00321E73"/>
    <w:rsid w:val="00321EC3"/>
    <w:rsid w:val="00321EC4"/>
    <w:rsid w:val="00322126"/>
    <w:rsid w:val="0032229E"/>
    <w:rsid w:val="00322463"/>
    <w:rsid w:val="00322532"/>
    <w:rsid w:val="003225B1"/>
    <w:rsid w:val="003225D8"/>
    <w:rsid w:val="003225DF"/>
    <w:rsid w:val="0032279F"/>
    <w:rsid w:val="003227C3"/>
    <w:rsid w:val="00322849"/>
    <w:rsid w:val="00322A8C"/>
    <w:rsid w:val="00322A93"/>
    <w:rsid w:val="00322B03"/>
    <w:rsid w:val="00322B09"/>
    <w:rsid w:val="00322BAE"/>
    <w:rsid w:val="00322C12"/>
    <w:rsid w:val="00322C5B"/>
    <w:rsid w:val="00322E1A"/>
    <w:rsid w:val="00322ECE"/>
    <w:rsid w:val="00322FBD"/>
    <w:rsid w:val="00323218"/>
    <w:rsid w:val="003232EC"/>
    <w:rsid w:val="0032339E"/>
    <w:rsid w:val="003234D7"/>
    <w:rsid w:val="003234DA"/>
    <w:rsid w:val="00323561"/>
    <w:rsid w:val="003235C8"/>
    <w:rsid w:val="003235D4"/>
    <w:rsid w:val="003236CE"/>
    <w:rsid w:val="00323715"/>
    <w:rsid w:val="0032375C"/>
    <w:rsid w:val="00323866"/>
    <w:rsid w:val="003239CD"/>
    <w:rsid w:val="003239CE"/>
    <w:rsid w:val="00323A84"/>
    <w:rsid w:val="00323AEE"/>
    <w:rsid w:val="00323B4C"/>
    <w:rsid w:val="00323DD5"/>
    <w:rsid w:val="00323E13"/>
    <w:rsid w:val="00323EFC"/>
    <w:rsid w:val="00324230"/>
    <w:rsid w:val="003242DC"/>
    <w:rsid w:val="00324314"/>
    <w:rsid w:val="00324328"/>
    <w:rsid w:val="003243E8"/>
    <w:rsid w:val="003244FD"/>
    <w:rsid w:val="00324527"/>
    <w:rsid w:val="00324596"/>
    <w:rsid w:val="003245CC"/>
    <w:rsid w:val="003247FC"/>
    <w:rsid w:val="00324A05"/>
    <w:rsid w:val="00324AA0"/>
    <w:rsid w:val="00324BEB"/>
    <w:rsid w:val="00324CD2"/>
    <w:rsid w:val="00324D82"/>
    <w:rsid w:val="00324E51"/>
    <w:rsid w:val="00324E60"/>
    <w:rsid w:val="00324E62"/>
    <w:rsid w:val="00324FC0"/>
    <w:rsid w:val="00324FF5"/>
    <w:rsid w:val="00325336"/>
    <w:rsid w:val="003253B1"/>
    <w:rsid w:val="00325441"/>
    <w:rsid w:val="00325452"/>
    <w:rsid w:val="00325462"/>
    <w:rsid w:val="00325654"/>
    <w:rsid w:val="0032578D"/>
    <w:rsid w:val="0032579C"/>
    <w:rsid w:val="0032579E"/>
    <w:rsid w:val="00325937"/>
    <w:rsid w:val="00325952"/>
    <w:rsid w:val="0032595D"/>
    <w:rsid w:val="00325A51"/>
    <w:rsid w:val="00325CED"/>
    <w:rsid w:val="00325D8E"/>
    <w:rsid w:val="00325E04"/>
    <w:rsid w:val="00325E1C"/>
    <w:rsid w:val="00325E2A"/>
    <w:rsid w:val="00325E6B"/>
    <w:rsid w:val="0032604F"/>
    <w:rsid w:val="00326093"/>
    <w:rsid w:val="003260E7"/>
    <w:rsid w:val="003262B7"/>
    <w:rsid w:val="00326313"/>
    <w:rsid w:val="00326361"/>
    <w:rsid w:val="003263E2"/>
    <w:rsid w:val="0032646F"/>
    <w:rsid w:val="00326667"/>
    <w:rsid w:val="003266C8"/>
    <w:rsid w:val="00326710"/>
    <w:rsid w:val="00326799"/>
    <w:rsid w:val="003267FF"/>
    <w:rsid w:val="003268B3"/>
    <w:rsid w:val="00326991"/>
    <w:rsid w:val="003269F6"/>
    <w:rsid w:val="00326ACF"/>
    <w:rsid w:val="00326AE9"/>
    <w:rsid w:val="00326C62"/>
    <w:rsid w:val="00326CDD"/>
    <w:rsid w:val="00326CF7"/>
    <w:rsid w:val="00326CFF"/>
    <w:rsid w:val="00326D53"/>
    <w:rsid w:val="00326F84"/>
    <w:rsid w:val="00326FE4"/>
    <w:rsid w:val="00327163"/>
    <w:rsid w:val="00327215"/>
    <w:rsid w:val="00327346"/>
    <w:rsid w:val="0032737C"/>
    <w:rsid w:val="0032738C"/>
    <w:rsid w:val="00327568"/>
    <w:rsid w:val="00327582"/>
    <w:rsid w:val="00327583"/>
    <w:rsid w:val="003275CF"/>
    <w:rsid w:val="0032783E"/>
    <w:rsid w:val="00327929"/>
    <w:rsid w:val="00327945"/>
    <w:rsid w:val="00327BC2"/>
    <w:rsid w:val="00327D4E"/>
    <w:rsid w:val="00327D7F"/>
    <w:rsid w:val="00327DE3"/>
    <w:rsid w:val="00327F45"/>
    <w:rsid w:val="00327F69"/>
    <w:rsid w:val="00330033"/>
    <w:rsid w:val="00330044"/>
    <w:rsid w:val="0033004B"/>
    <w:rsid w:val="00330051"/>
    <w:rsid w:val="0033036E"/>
    <w:rsid w:val="00330546"/>
    <w:rsid w:val="003305F6"/>
    <w:rsid w:val="00330716"/>
    <w:rsid w:val="0033078F"/>
    <w:rsid w:val="003307D7"/>
    <w:rsid w:val="0033083D"/>
    <w:rsid w:val="00330964"/>
    <w:rsid w:val="00330A8E"/>
    <w:rsid w:val="00330D3C"/>
    <w:rsid w:val="00330DA4"/>
    <w:rsid w:val="00330E0A"/>
    <w:rsid w:val="00330F63"/>
    <w:rsid w:val="00331019"/>
    <w:rsid w:val="003311A1"/>
    <w:rsid w:val="003312CE"/>
    <w:rsid w:val="00331354"/>
    <w:rsid w:val="00331408"/>
    <w:rsid w:val="00331461"/>
    <w:rsid w:val="003314B1"/>
    <w:rsid w:val="0033150A"/>
    <w:rsid w:val="00331544"/>
    <w:rsid w:val="003315DA"/>
    <w:rsid w:val="003316E0"/>
    <w:rsid w:val="00331706"/>
    <w:rsid w:val="00331966"/>
    <w:rsid w:val="003319C6"/>
    <w:rsid w:val="003319F1"/>
    <w:rsid w:val="00331B3C"/>
    <w:rsid w:val="00331B88"/>
    <w:rsid w:val="00331B9E"/>
    <w:rsid w:val="00331C71"/>
    <w:rsid w:val="00331D38"/>
    <w:rsid w:val="00331EF4"/>
    <w:rsid w:val="00332086"/>
    <w:rsid w:val="003320E6"/>
    <w:rsid w:val="00332163"/>
    <w:rsid w:val="003322A7"/>
    <w:rsid w:val="003325F7"/>
    <w:rsid w:val="0033266B"/>
    <w:rsid w:val="003326E6"/>
    <w:rsid w:val="0033275E"/>
    <w:rsid w:val="00332856"/>
    <w:rsid w:val="003328C4"/>
    <w:rsid w:val="00332913"/>
    <w:rsid w:val="003329C1"/>
    <w:rsid w:val="00332A91"/>
    <w:rsid w:val="00332BF5"/>
    <w:rsid w:val="00332C79"/>
    <w:rsid w:val="00332D79"/>
    <w:rsid w:val="00332EE3"/>
    <w:rsid w:val="00332FD6"/>
    <w:rsid w:val="0033323F"/>
    <w:rsid w:val="00333356"/>
    <w:rsid w:val="00333431"/>
    <w:rsid w:val="003334A1"/>
    <w:rsid w:val="00333573"/>
    <w:rsid w:val="00333693"/>
    <w:rsid w:val="003336F4"/>
    <w:rsid w:val="00333760"/>
    <w:rsid w:val="0033377C"/>
    <w:rsid w:val="003337AE"/>
    <w:rsid w:val="0033380E"/>
    <w:rsid w:val="00333821"/>
    <w:rsid w:val="003339C9"/>
    <w:rsid w:val="00333A35"/>
    <w:rsid w:val="00333A9B"/>
    <w:rsid w:val="00333AFD"/>
    <w:rsid w:val="00333B47"/>
    <w:rsid w:val="00333C23"/>
    <w:rsid w:val="00333C3C"/>
    <w:rsid w:val="00333CF2"/>
    <w:rsid w:val="00333D6B"/>
    <w:rsid w:val="00333D6E"/>
    <w:rsid w:val="00333F13"/>
    <w:rsid w:val="0033402A"/>
    <w:rsid w:val="00334075"/>
    <w:rsid w:val="003340CC"/>
    <w:rsid w:val="003341DF"/>
    <w:rsid w:val="00334257"/>
    <w:rsid w:val="00334458"/>
    <w:rsid w:val="00334553"/>
    <w:rsid w:val="00334610"/>
    <w:rsid w:val="00334614"/>
    <w:rsid w:val="0033463E"/>
    <w:rsid w:val="00334654"/>
    <w:rsid w:val="00334706"/>
    <w:rsid w:val="003347F0"/>
    <w:rsid w:val="003348A9"/>
    <w:rsid w:val="003348D4"/>
    <w:rsid w:val="0033492E"/>
    <w:rsid w:val="003349C9"/>
    <w:rsid w:val="00334B8A"/>
    <w:rsid w:val="00334BC0"/>
    <w:rsid w:val="00334D43"/>
    <w:rsid w:val="00334DFC"/>
    <w:rsid w:val="00334E32"/>
    <w:rsid w:val="00334F47"/>
    <w:rsid w:val="00334F67"/>
    <w:rsid w:val="003350B9"/>
    <w:rsid w:val="003350F3"/>
    <w:rsid w:val="00335309"/>
    <w:rsid w:val="00335668"/>
    <w:rsid w:val="00335991"/>
    <w:rsid w:val="003359FA"/>
    <w:rsid w:val="00335A4E"/>
    <w:rsid w:val="00335B90"/>
    <w:rsid w:val="00335D6A"/>
    <w:rsid w:val="00335EB9"/>
    <w:rsid w:val="00335FA4"/>
    <w:rsid w:val="003360D8"/>
    <w:rsid w:val="00336175"/>
    <w:rsid w:val="003361B6"/>
    <w:rsid w:val="0033625C"/>
    <w:rsid w:val="003362E9"/>
    <w:rsid w:val="00336413"/>
    <w:rsid w:val="0033643D"/>
    <w:rsid w:val="003364B0"/>
    <w:rsid w:val="003365A5"/>
    <w:rsid w:val="0033670B"/>
    <w:rsid w:val="00336744"/>
    <w:rsid w:val="0033684A"/>
    <w:rsid w:val="00336989"/>
    <w:rsid w:val="00336BA0"/>
    <w:rsid w:val="00336BE8"/>
    <w:rsid w:val="00336C2A"/>
    <w:rsid w:val="00336E14"/>
    <w:rsid w:val="00336EA9"/>
    <w:rsid w:val="00336EE5"/>
    <w:rsid w:val="00336F0E"/>
    <w:rsid w:val="00336F4D"/>
    <w:rsid w:val="00336F81"/>
    <w:rsid w:val="00336FA8"/>
    <w:rsid w:val="003370AF"/>
    <w:rsid w:val="003370DD"/>
    <w:rsid w:val="00337325"/>
    <w:rsid w:val="0033746C"/>
    <w:rsid w:val="00337660"/>
    <w:rsid w:val="00337703"/>
    <w:rsid w:val="003378B5"/>
    <w:rsid w:val="003378FE"/>
    <w:rsid w:val="00337993"/>
    <w:rsid w:val="003379A0"/>
    <w:rsid w:val="003379E5"/>
    <w:rsid w:val="00337B56"/>
    <w:rsid w:val="00337C0C"/>
    <w:rsid w:val="00337CDF"/>
    <w:rsid w:val="00337D65"/>
    <w:rsid w:val="00337EF8"/>
    <w:rsid w:val="00337FF6"/>
    <w:rsid w:val="00340048"/>
    <w:rsid w:val="0034030D"/>
    <w:rsid w:val="00340754"/>
    <w:rsid w:val="0034077B"/>
    <w:rsid w:val="003407DF"/>
    <w:rsid w:val="003407E2"/>
    <w:rsid w:val="00340B16"/>
    <w:rsid w:val="00340B30"/>
    <w:rsid w:val="00340C17"/>
    <w:rsid w:val="00340E55"/>
    <w:rsid w:val="00340E7F"/>
    <w:rsid w:val="00340F1D"/>
    <w:rsid w:val="00340FCA"/>
    <w:rsid w:val="00340FEF"/>
    <w:rsid w:val="003410C5"/>
    <w:rsid w:val="0034136D"/>
    <w:rsid w:val="00341412"/>
    <w:rsid w:val="00341415"/>
    <w:rsid w:val="003414BE"/>
    <w:rsid w:val="00341572"/>
    <w:rsid w:val="003415B0"/>
    <w:rsid w:val="003415BE"/>
    <w:rsid w:val="00341665"/>
    <w:rsid w:val="003416F4"/>
    <w:rsid w:val="00341783"/>
    <w:rsid w:val="003418CC"/>
    <w:rsid w:val="00341AB7"/>
    <w:rsid w:val="00341FA0"/>
    <w:rsid w:val="00341FA2"/>
    <w:rsid w:val="00341FBE"/>
    <w:rsid w:val="003420BF"/>
    <w:rsid w:val="00342188"/>
    <w:rsid w:val="003421F4"/>
    <w:rsid w:val="00342203"/>
    <w:rsid w:val="00342206"/>
    <w:rsid w:val="003424D6"/>
    <w:rsid w:val="003424DA"/>
    <w:rsid w:val="003425C3"/>
    <w:rsid w:val="003425E9"/>
    <w:rsid w:val="003426C9"/>
    <w:rsid w:val="0034284C"/>
    <w:rsid w:val="00342B4B"/>
    <w:rsid w:val="00342B6B"/>
    <w:rsid w:val="00342B7E"/>
    <w:rsid w:val="00342BB1"/>
    <w:rsid w:val="00342BB9"/>
    <w:rsid w:val="00342C78"/>
    <w:rsid w:val="00342C9E"/>
    <w:rsid w:val="00342CF3"/>
    <w:rsid w:val="00342D42"/>
    <w:rsid w:val="00342D9E"/>
    <w:rsid w:val="00342E46"/>
    <w:rsid w:val="00342EBB"/>
    <w:rsid w:val="00342FBC"/>
    <w:rsid w:val="00343109"/>
    <w:rsid w:val="0034311F"/>
    <w:rsid w:val="00343135"/>
    <w:rsid w:val="003431CA"/>
    <w:rsid w:val="003431E4"/>
    <w:rsid w:val="003433D8"/>
    <w:rsid w:val="003435B2"/>
    <w:rsid w:val="0034362E"/>
    <w:rsid w:val="0034364E"/>
    <w:rsid w:val="00343668"/>
    <w:rsid w:val="003438D7"/>
    <w:rsid w:val="0034395E"/>
    <w:rsid w:val="00343B04"/>
    <w:rsid w:val="00343C18"/>
    <w:rsid w:val="00343C5C"/>
    <w:rsid w:val="00343CC7"/>
    <w:rsid w:val="00343E0D"/>
    <w:rsid w:val="00343EB2"/>
    <w:rsid w:val="00343FD7"/>
    <w:rsid w:val="00344134"/>
    <w:rsid w:val="00344155"/>
    <w:rsid w:val="0034417F"/>
    <w:rsid w:val="003441B6"/>
    <w:rsid w:val="003441C7"/>
    <w:rsid w:val="0034427A"/>
    <w:rsid w:val="00344346"/>
    <w:rsid w:val="0034456B"/>
    <w:rsid w:val="0034466F"/>
    <w:rsid w:val="0034467C"/>
    <w:rsid w:val="003446A7"/>
    <w:rsid w:val="0034479A"/>
    <w:rsid w:val="0034499D"/>
    <w:rsid w:val="00344A09"/>
    <w:rsid w:val="00344A39"/>
    <w:rsid w:val="00344A89"/>
    <w:rsid w:val="00344ACC"/>
    <w:rsid w:val="00344B4A"/>
    <w:rsid w:val="00344B92"/>
    <w:rsid w:val="00344DB7"/>
    <w:rsid w:val="00344E9A"/>
    <w:rsid w:val="00344E9C"/>
    <w:rsid w:val="00344F60"/>
    <w:rsid w:val="0034502F"/>
    <w:rsid w:val="00345092"/>
    <w:rsid w:val="003450A5"/>
    <w:rsid w:val="003450DD"/>
    <w:rsid w:val="00345203"/>
    <w:rsid w:val="00345506"/>
    <w:rsid w:val="00345567"/>
    <w:rsid w:val="0034559D"/>
    <w:rsid w:val="0034559E"/>
    <w:rsid w:val="0034562E"/>
    <w:rsid w:val="003458E4"/>
    <w:rsid w:val="0034590A"/>
    <w:rsid w:val="00345995"/>
    <w:rsid w:val="00345C1F"/>
    <w:rsid w:val="00345C7F"/>
    <w:rsid w:val="00345D02"/>
    <w:rsid w:val="00345D0E"/>
    <w:rsid w:val="00345DA0"/>
    <w:rsid w:val="00345E93"/>
    <w:rsid w:val="00345EC3"/>
    <w:rsid w:val="0034605F"/>
    <w:rsid w:val="00346099"/>
    <w:rsid w:val="003460E3"/>
    <w:rsid w:val="003461F1"/>
    <w:rsid w:val="00346210"/>
    <w:rsid w:val="00346275"/>
    <w:rsid w:val="00346285"/>
    <w:rsid w:val="00346488"/>
    <w:rsid w:val="003465C1"/>
    <w:rsid w:val="00346762"/>
    <w:rsid w:val="00346869"/>
    <w:rsid w:val="00346970"/>
    <w:rsid w:val="003469D6"/>
    <w:rsid w:val="00346CC5"/>
    <w:rsid w:val="00346D06"/>
    <w:rsid w:val="00346EB2"/>
    <w:rsid w:val="00346EFA"/>
    <w:rsid w:val="00346F86"/>
    <w:rsid w:val="0034701E"/>
    <w:rsid w:val="003470DF"/>
    <w:rsid w:val="00347205"/>
    <w:rsid w:val="0034737C"/>
    <w:rsid w:val="00347450"/>
    <w:rsid w:val="003475D8"/>
    <w:rsid w:val="003475F5"/>
    <w:rsid w:val="003476C7"/>
    <w:rsid w:val="00347784"/>
    <w:rsid w:val="003478C4"/>
    <w:rsid w:val="003479DF"/>
    <w:rsid w:val="00347A98"/>
    <w:rsid w:val="00347B35"/>
    <w:rsid w:val="00347BC2"/>
    <w:rsid w:val="00347BD4"/>
    <w:rsid w:val="00347C04"/>
    <w:rsid w:val="00347CBE"/>
    <w:rsid w:val="00347CE0"/>
    <w:rsid w:val="00347DA4"/>
    <w:rsid w:val="00347DC9"/>
    <w:rsid w:val="00347F0F"/>
    <w:rsid w:val="00347F37"/>
    <w:rsid w:val="00347F43"/>
    <w:rsid w:val="00347F5E"/>
    <w:rsid w:val="00347F8B"/>
    <w:rsid w:val="0035012C"/>
    <w:rsid w:val="00350256"/>
    <w:rsid w:val="003502C7"/>
    <w:rsid w:val="003502F8"/>
    <w:rsid w:val="00350449"/>
    <w:rsid w:val="00350464"/>
    <w:rsid w:val="00350472"/>
    <w:rsid w:val="00350522"/>
    <w:rsid w:val="0035062A"/>
    <w:rsid w:val="003506B8"/>
    <w:rsid w:val="003506D0"/>
    <w:rsid w:val="00350974"/>
    <w:rsid w:val="00350A60"/>
    <w:rsid w:val="00350B33"/>
    <w:rsid w:val="00350B36"/>
    <w:rsid w:val="00350C16"/>
    <w:rsid w:val="00350CDF"/>
    <w:rsid w:val="00350D57"/>
    <w:rsid w:val="00350DAD"/>
    <w:rsid w:val="00350E2D"/>
    <w:rsid w:val="00350E33"/>
    <w:rsid w:val="00350E71"/>
    <w:rsid w:val="00350EAE"/>
    <w:rsid w:val="00350ED4"/>
    <w:rsid w:val="0035110A"/>
    <w:rsid w:val="00351246"/>
    <w:rsid w:val="0035124E"/>
    <w:rsid w:val="00351257"/>
    <w:rsid w:val="003512F2"/>
    <w:rsid w:val="003513A1"/>
    <w:rsid w:val="003514D0"/>
    <w:rsid w:val="003516F7"/>
    <w:rsid w:val="0035177C"/>
    <w:rsid w:val="003517DC"/>
    <w:rsid w:val="003517EF"/>
    <w:rsid w:val="003517FC"/>
    <w:rsid w:val="00351AA2"/>
    <w:rsid w:val="00351B76"/>
    <w:rsid w:val="00351BD7"/>
    <w:rsid w:val="00351CDB"/>
    <w:rsid w:val="00351D14"/>
    <w:rsid w:val="00351D6F"/>
    <w:rsid w:val="00351D9E"/>
    <w:rsid w:val="00351E0A"/>
    <w:rsid w:val="00351E29"/>
    <w:rsid w:val="00351E68"/>
    <w:rsid w:val="00351ED8"/>
    <w:rsid w:val="00351F30"/>
    <w:rsid w:val="00351F44"/>
    <w:rsid w:val="00352039"/>
    <w:rsid w:val="003521E0"/>
    <w:rsid w:val="0035236F"/>
    <w:rsid w:val="003523C4"/>
    <w:rsid w:val="003523DB"/>
    <w:rsid w:val="003524E3"/>
    <w:rsid w:val="0035257A"/>
    <w:rsid w:val="003525EE"/>
    <w:rsid w:val="00352615"/>
    <w:rsid w:val="0035261E"/>
    <w:rsid w:val="00352670"/>
    <w:rsid w:val="0035273F"/>
    <w:rsid w:val="00352791"/>
    <w:rsid w:val="00352802"/>
    <w:rsid w:val="0035290E"/>
    <w:rsid w:val="00352941"/>
    <w:rsid w:val="00352BFE"/>
    <w:rsid w:val="00352D96"/>
    <w:rsid w:val="00352DF5"/>
    <w:rsid w:val="0035304C"/>
    <w:rsid w:val="003530A2"/>
    <w:rsid w:val="00353228"/>
    <w:rsid w:val="00353253"/>
    <w:rsid w:val="0035329E"/>
    <w:rsid w:val="0035335B"/>
    <w:rsid w:val="003533E6"/>
    <w:rsid w:val="00353582"/>
    <w:rsid w:val="00353634"/>
    <w:rsid w:val="003536D0"/>
    <w:rsid w:val="0035389A"/>
    <w:rsid w:val="00353A1C"/>
    <w:rsid w:val="00353B34"/>
    <w:rsid w:val="00353C43"/>
    <w:rsid w:val="00353D16"/>
    <w:rsid w:val="00353DF2"/>
    <w:rsid w:val="00353E3F"/>
    <w:rsid w:val="0035405C"/>
    <w:rsid w:val="003541C0"/>
    <w:rsid w:val="00354213"/>
    <w:rsid w:val="003542E5"/>
    <w:rsid w:val="0035432D"/>
    <w:rsid w:val="0035437D"/>
    <w:rsid w:val="003543E0"/>
    <w:rsid w:val="00354456"/>
    <w:rsid w:val="003544AB"/>
    <w:rsid w:val="003544D3"/>
    <w:rsid w:val="00354782"/>
    <w:rsid w:val="0035481E"/>
    <w:rsid w:val="003548F9"/>
    <w:rsid w:val="003549E4"/>
    <w:rsid w:val="00354A37"/>
    <w:rsid w:val="00354ACE"/>
    <w:rsid w:val="00354DE3"/>
    <w:rsid w:val="00354E67"/>
    <w:rsid w:val="00354E7D"/>
    <w:rsid w:val="00354E90"/>
    <w:rsid w:val="00354EA7"/>
    <w:rsid w:val="00354F11"/>
    <w:rsid w:val="00354F95"/>
    <w:rsid w:val="00355011"/>
    <w:rsid w:val="0035516D"/>
    <w:rsid w:val="00355184"/>
    <w:rsid w:val="003552CC"/>
    <w:rsid w:val="0035538E"/>
    <w:rsid w:val="003554E3"/>
    <w:rsid w:val="00355538"/>
    <w:rsid w:val="003555C7"/>
    <w:rsid w:val="003555CD"/>
    <w:rsid w:val="003555F1"/>
    <w:rsid w:val="0035567D"/>
    <w:rsid w:val="003556BD"/>
    <w:rsid w:val="0035582C"/>
    <w:rsid w:val="003558CA"/>
    <w:rsid w:val="00355940"/>
    <w:rsid w:val="00355985"/>
    <w:rsid w:val="00355B18"/>
    <w:rsid w:val="00355B65"/>
    <w:rsid w:val="00355BE1"/>
    <w:rsid w:val="00355C1C"/>
    <w:rsid w:val="00355C21"/>
    <w:rsid w:val="00355DBA"/>
    <w:rsid w:val="00355DE3"/>
    <w:rsid w:val="00355EF4"/>
    <w:rsid w:val="00355F1D"/>
    <w:rsid w:val="00356016"/>
    <w:rsid w:val="003560E1"/>
    <w:rsid w:val="00356228"/>
    <w:rsid w:val="0035625B"/>
    <w:rsid w:val="0035632A"/>
    <w:rsid w:val="003563A9"/>
    <w:rsid w:val="0035648E"/>
    <w:rsid w:val="003565D0"/>
    <w:rsid w:val="0035670C"/>
    <w:rsid w:val="00356861"/>
    <w:rsid w:val="0035686D"/>
    <w:rsid w:val="003568CC"/>
    <w:rsid w:val="003569D0"/>
    <w:rsid w:val="00356A22"/>
    <w:rsid w:val="00356C0B"/>
    <w:rsid w:val="00356D5F"/>
    <w:rsid w:val="00356E34"/>
    <w:rsid w:val="0035702A"/>
    <w:rsid w:val="00357093"/>
    <w:rsid w:val="0035730B"/>
    <w:rsid w:val="003573D2"/>
    <w:rsid w:val="00357435"/>
    <w:rsid w:val="0035761A"/>
    <w:rsid w:val="00357620"/>
    <w:rsid w:val="003579DF"/>
    <w:rsid w:val="00357A5B"/>
    <w:rsid w:val="00357D20"/>
    <w:rsid w:val="00357F9C"/>
    <w:rsid w:val="003602D9"/>
    <w:rsid w:val="0036039F"/>
    <w:rsid w:val="003603A5"/>
    <w:rsid w:val="0036055F"/>
    <w:rsid w:val="00360594"/>
    <w:rsid w:val="003605E0"/>
    <w:rsid w:val="00360613"/>
    <w:rsid w:val="0036073F"/>
    <w:rsid w:val="0036092F"/>
    <w:rsid w:val="003609EE"/>
    <w:rsid w:val="003609F1"/>
    <w:rsid w:val="00360A1E"/>
    <w:rsid w:val="00360A33"/>
    <w:rsid w:val="00360B6B"/>
    <w:rsid w:val="00360C3C"/>
    <w:rsid w:val="00360D2C"/>
    <w:rsid w:val="00360D96"/>
    <w:rsid w:val="00360F2C"/>
    <w:rsid w:val="003610AD"/>
    <w:rsid w:val="003610B5"/>
    <w:rsid w:val="0036114E"/>
    <w:rsid w:val="00361157"/>
    <w:rsid w:val="0036122B"/>
    <w:rsid w:val="003612BB"/>
    <w:rsid w:val="0036134B"/>
    <w:rsid w:val="0036138F"/>
    <w:rsid w:val="0036157A"/>
    <w:rsid w:val="00361660"/>
    <w:rsid w:val="00361816"/>
    <w:rsid w:val="00361829"/>
    <w:rsid w:val="00361A0E"/>
    <w:rsid w:val="00361A6E"/>
    <w:rsid w:val="00361BC4"/>
    <w:rsid w:val="00361C82"/>
    <w:rsid w:val="00361E63"/>
    <w:rsid w:val="00361F68"/>
    <w:rsid w:val="00361F94"/>
    <w:rsid w:val="003621E5"/>
    <w:rsid w:val="0036227C"/>
    <w:rsid w:val="00362326"/>
    <w:rsid w:val="003624C6"/>
    <w:rsid w:val="0036262D"/>
    <w:rsid w:val="00362677"/>
    <w:rsid w:val="00362713"/>
    <w:rsid w:val="0036272C"/>
    <w:rsid w:val="00362755"/>
    <w:rsid w:val="00362826"/>
    <w:rsid w:val="00362999"/>
    <w:rsid w:val="00362A1E"/>
    <w:rsid w:val="00362A7F"/>
    <w:rsid w:val="00362A8E"/>
    <w:rsid w:val="00362AB3"/>
    <w:rsid w:val="00362AB7"/>
    <w:rsid w:val="00362BAA"/>
    <w:rsid w:val="00362C20"/>
    <w:rsid w:val="00362C7E"/>
    <w:rsid w:val="00362C9E"/>
    <w:rsid w:val="00362CE0"/>
    <w:rsid w:val="00362F4B"/>
    <w:rsid w:val="003630A1"/>
    <w:rsid w:val="003630BA"/>
    <w:rsid w:val="003630E1"/>
    <w:rsid w:val="0036317D"/>
    <w:rsid w:val="0036337D"/>
    <w:rsid w:val="003633C5"/>
    <w:rsid w:val="0036353E"/>
    <w:rsid w:val="003635BA"/>
    <w:rsid w:val="00363658"/>
    <w:rsid w:val="0036377E"/>
    <w:rsid w:val="00363A33"/>
    <w:rsid w:val="00363AF8"/>
    <w:rsid w:val="00363B0F"/>
    <w:rsid w:val="00363B57"/>
    <w:rsid w:val="00363BFC"/>
    <w:rsid w:val="00363C56"/>
    <w:rsid w:val="00363CF6"/>
    <w:rsid w:val="00363CFC"/>
    <w:rsid w:val="00363D35"/>
    <w:rsid w:val="00363DBF"/>
    <w:rsid w:val="00363E11"/>
    <w:rsid w:val="00363E8A"/>
    <w:rsid w:val="00363ECC"/>
    <w:rsid w:val="00364043"/>
    <w:rsid w:val="003640B8"/>
    <w:rsid w:val="0036414F"/>
    <w:rsid w:val="0036416F"/>
    <w:rsid w:val="0036417A"/>
    <w:rsid w:val="00364299"/>
    <w:rsid w:val="003642D6"/>
    <w:rsid w:val="00364397"/>
    <w:rsid w:val="00364423"/>
    <w:rsid w:val="003644B9"/>
    <w:rsid w:val="0036485D"/>
    <w:rsid w:val="0036486D"/>
    <w:rsid w:val="0036487B"/>
    <w:rsid w:val="00364982"/>
    <w:rsid w:val="00364B95"/>
    <w:rsid w:val="00364BC8"/>
    <w:rsid w:val="00364C2F"/>
    <w:rsid w:val="00364C6F"/>
    <w:rsid w:val="00364D2B"/>
    <w:rsid w:val="00364D7C"/>
    <w:rsid w:val="00364E7A"/>
    <w:rsid w:val="00364EC3"/>
    <w:rsid w:val="00365157"/>
    <w:rsid w:val="003651B7"/>
    <w:rsid w:val="003651CC"/>
    <w:rsid w:val="003654A1"/>
    <w:rsid w:val="00365522"/>
    <w:rsid w:val="00365593"/>
    <w:rsid w:val="003655CA"/>
    <w:rsid w:val="003655FD"/>
    <w:rsid w:val="0036574D"/>
    <w:rsid w:val="00365788"/>
    <w:rsid w:val="00365828"/>
    <w:rsid w:val="0036598E"/>
    <w:rsid w:val="00365A13"/>
    <w:rsid w:val="00365A9F"/>
    <w:rsid w:val="00365AF6"/>
    <w:rsid w:val="00365B08"/>
    <w:rsid w:val="00365C2D"/>
    <w:rsid w:val="00365C82"/>
    <w:rsid w:val="00365CBA"/>
    <w:rsid w:val="00365CCB"/>
    <w:rsid w:val="00365F4C"/>
    <w:rsid w:val="00365F92"/>
    <w:rsid w:val="00365FA2"/>
    <w:rsid w:val="0036616C"/>
    <w:rsid w:val="00366178"/>
    <w:rsid w:val="0036625B"/>
    <w:rsid w:val="00366262"/>
    <w:rsid w:val="0036628E"/>
    <w:rsid w:val="0036635A"/>
    <w:rsid w:val="003663F6"/>
    <w:rsid w:val="0036644B"/>
    <w:rsid w:val="0036651B"/>
    <w:rsid w:val="003665EB"/>
    <w:rsid w:val="00366612"/>
    <w:rsid w:val="003667CB"/>
    <w:rsid w:val="003667F5"/>
    <w:rsid w:val="0036680A"/>
    <w:rsid w:val="0036696B"/>
    <w:rsid w:val="00366989"/>
    <w:rsid w:val="00366AFB"/>
    <w:rsid w:val="00366B93"/>
    <w:rsid w:val="00366C6C"/>
    <w:rsid w:val="00366C8D"/>
    <w:rsid w:val="00366CFF"/>
    <w:rsid w:val="00366F03"/>
    <w:rsid w:val="00366FE4"/>
    <w:rsid w:val="00367132"/>
    <w:rsid w:val="003671E8"/>
    <w:rsid w:val="003672BF"/>
    <w:rsid w:val="003672EB"/>
    <w:rsid w:val="003672F4"/>
    <w:rsid w:val="00367319"/>
    <w:rsid w:val="00367354"/>
    <w:rsid w:val="00367503"/>
    <w:rsid w:val="0036750A"/>
    <w:rsid w:val="003677B9"/>
    <w:rsid w:val="003677CD"/>
    <w:rsid w:val="00367806"/>
    <w:rsid w:val="00367822"/>
    <w:rsid w:val="0036789A"/>
    <w:rsid w:val="0036792C"/>
    <w:rsid w:val="00367999"/>
    <w:rsid w:val="00367B9B"/>
    <w:rsid w:val="00367D1D"/>
    <w:rsid w:val="00367D8B"/>
    <w:rsid w:val="00367D98"/>
    <w:rsid w:val="00367DDE"/>
    <w:rsid w:val="00367E56"/>
    <w:rsid w:val="00367EDA"/>
    <w:rsid w:val="00367F08"/>
    <w:rsid w:val="00370037"/>
    <w:rsid w:val="003700C7"/>
    <w:rsid w:val="0037036B"/>
    <w:rsid w:val="0037043A"/>
    <w:rsid w:val="0037049C"/>
    <w:rsid w:val="003704CC"/>
    <w:rsid w:val="00370520"/>
    <w:rsid w:val="003705F4"/>
    <w:rsid w:val="003707EB"/>
    <w:rsid w:val="00370869"/>
    <w:rsid w:val="00370878"/>
    <w:rsid w:val="00370894"/>
    <w:rsid w:val="0037090C"/>
    <w:rsid w:val="00370934"/>
    <w:rsid w:val="00370945"/>
    <w:rsid w:val="00370AEB"/>
    <w:rsid w:val="00370AF2"/>
    <w:rsid w:val="00370BDF"/>
    <w:rsid w:val="00370DC0"/>
    <w:rsid w:val="00370E1D"/>
    <w:rsid w:val="0037103E"/>
    <w:rsid w:val="00371132"/>
    <w:rsid w:val="003711C6"/>
    <w:rsid w:val="00371237"/>
    <w:rsid w:val="003712A4"/>
    <w:rsid w:val="003712EA"/>
    <w:rsid w:val="00371375"/>
    <w:rsid w:val="003713DF"/>
    <w:rsid w:val="0037152C"/>
    <w:rsid w:val="00371560"/>
    <w:rsid w:val="003716BE"/>
    <w:rsid w:val="00371761"/>
    <w:rsid w:val="003717AB"/>
    <w:rsid w:val="003717F4"/>
    <w:rsid w:val="00371839"/>
    <w:rsid w:val="00371961"/>
    <w:rsid w:val="00371DB9"/>
    <w:rsid w:val="00371DF7"/>
    <w:rsid w:val="00371E30"/>
    <w:rsid w:val="00371E3E"/>
    <w:rsid w:val="00371E45"/>
    <w:rsid w:val="00371E69"/>
    <w:rsid w:val="00371E78"/>
    <w:rsid w:val="00371F74"/>
    <w:rsid w:val="00372069"/>
    <w:rsid w:val="003720A0"/>
    <w:rsid w:val="0037238E"/>
    <w:rsid w:val="003723F6"/>
    <w:rsid w:val="00372505"/>
    <w:rsid w:val="00372546"/>
    <w:rsid w:val="003725A1"/>
    <w:rsid w:val="003725AA"/>
    <w:rsid w:val="0037263D"/>
    <w:rsid w:val="0037264E"/>
    <w:rsid w:val="00372770"/>
    <w:rsid w:val="00372BAB"/>
    <w:rsid w:val="00372E18"/>
    <w:rsid w:val="00372E4C"/>
    <w:rsid w:val="003730B9"/>
    <w:rsid w:val="003730EA"/>
    <w:rsid w:val="003731E3"/>
    <w:rsid w:val="00373224"/>
    <w:rsid w:val="0037329D"/>
    <w:rsid w:val="0037335F"/>
    <w:rsid w:val="003733F7"/>
    <w:rsid w:val="003734EA"/>
    <w:rsid w:val="00373601"/>
    <w:rsid w:val="00373607"/>
    <w:rsid w:val="003736AA"/>
    <w:rsid w:val="0037372E"/>
    <w:rsid w:val="00373984"/>
    <w:rsid w:val="00373C8E"/>
    <w:rsid w:val="00373D51"/>
    <w:rsid w:val="00373EFA"/>
    <w:rsid w:val="00374044"/>
    <w:rsid w:val="003740DB"/>
    <w:rsid w:val="00374212"/>
    <w:rsid w:val="003742C3"/>
    <w:rsid w:val="00374580"/>
    <w:rsid w:val="0037467D"/>
    <w:rsid w:val="00374765"/>
    <w:rsid w:val="003747C8"/>
    <w:rsid w:val="0037481F"/>
    <w:rsid w:val="00374A0F"/>
    <w:rsid w:val="00374AF3"/>
    <w:rsid w:val="00374B1D"/>
    <w:rsid w:val="00374C9C"/>
    <w:rsid w:val="00374D8C"/>
    <w:rsid w:val="00374DE0"/>
    <w:rsid w:val="00374E2B"/>
    <w:rsid w:val="00374EEA"/>
    <w:rsid w:val="00374EFB"/>
    <w:rsid w:val="00375137"/>
    <w:rsid w:val="00375154"/>
    <w:rsid w:val="003752EA"/>
    <w:rsid w:val="00375443"/>
    <w:rsid w:val="003754DF"/>
    <w:rsid w:val="00375926"/>
    <w:rsid w:val="00375AA6"/>
    <w:rsid w:val="00375B8E"/>
    <w:rsid w:val="00375BAF"/>
    <w:rsid w:val="00375BDA"/>
    <w:rsid w:val="00375CE8"/>
    <w:rsid w:val="00375D51"/>
    <w:rsid w:val="00375DA7"/>
    <w:rsid w:val="00375DBF"/>
    <w:rsid w:val="00375FC6"/>
    <w:rsid w:val="003760F3"/>
    <w:rsid w:val="003762BA"/>
    <w:rsid w:val="003762C1"/>
    <w:rsid w:val="003763D6"/>
    <w:rsid w:val="00376510"/>
    <w:rsid w:val="00376586"/>
    <w:rsid w:val="003765F5"/>
    <w:rsid w:val="00376608"/>
    <w:rsid w:val="003767A0"/>
    <w:rsid w:val="003768BF"/>
    <w:rsid w:val="00376A5A"/>
    <w:rsid w:val="00376ACF"/>
    <w:rsid w:val="00376AE4"/>
    <w:rsid w:val="00376D54"/>
    <w:rsid w:val="00376E09"/>
    <w:rsid w:val="00376F3B"/>
    <w:rsid w:val="00376FC4"/>
    <w:rsid w:val="00376FF4"/>
    <w:rsid w:val="00377445"/>
    <w:rsid w:val="00377544"/>
    <w:rsid w:val="00377574"/>
    <w:rsid w:val="00377798"/>
    <w:rsid w:val="003777DA"/>
    <w:rsid w:val="00377806"/>
    <w:rsid w:val="00377A16"/>
    <w:rsid w:val="00377BFA"/>
    <w:rsid w:val="00377CC7"/>
    <w:rsid w:val="00377CEA"/>
    <w:rsid w:val="00377D57"/>
    <w:rsid w:val="00377DCE"/>
    <w:rsid w:val="00377E08"/>
    <w:rsid w:val="00377E19"/>
    <w:rsid w:val="00377FED"/>
    <w:rsid w:val="00380007"/>
    <w:rsid w:val="0038005A"/>
    <w:rsid w:val="00380226"/>
    <w:rsid w:val="003803BE"/>
    <w:rsid w:val="003803D3"/>
    <w:rsid w:val="0038040D"/>
    <w:rsid w:val="0038042C"/>
    <w:rsid w:val="00380559"/>
    <w:rsid w:val="0038055F"/>
    <w:rsid w:val="0038056B"/>
    <w:rsid w:val="0038072A"/>
    <w:rsid w:val="003807D4"/>
    <w:rsid w:val="0038081B"/>
    <w:rsid w:val="00380953"/>
    <w:rsid w:val="00380A68"/>
    <w:rsid w:val="00380BB6"/>
    <w:rsid w:val="00380BFE"/>
    <w:rsid w:val="00380CCF"/>
    <w:rsid w:val="00380CDD"/>
    <w:rsid w:val="00380CF9"/>
    <w:rsid w:val="00380D8D"/>
    <w:rsid w:val="00380DDF"/>
    <w:rsid w:val="00380E97"/>
    <w:rsid w:val="00381010"/>
    <w:rsid w:val="0038103D"/>
    <w:rsid w:val="00381070"/>
    <w:rsid w:val="003810B7"/>
    <w:rsid w:val="003811A3"/>
    <w:rsid w:val="003811E8"/>
    <w:rsid w:val="003812FA"/>
    <w:rsid w:val="003813A7"/>
    <w:rsid w:val="003813C4"/>
    <w:rsid w:val="003813FA"/>
    <w:rsid w:val="003814B8"/>
    <w:rsid w:val="0038199C"/>
    <w:rsid w:val="00381AAB"/>
    <w:rsid w:val="00381C08"/>
    <w:rsid w:val="00381C6F"/>
    <w:rsid w:val="00381CB0"/>
    <w:rsid w:val="00381D43"/>
    <w:rsid w:val="00381E1B"/>
    <w:rsid w:val="00381EEE"/>
    <w:rsid w:val="00381EF5"/>
    <w:rsid w:val="00381F32"/>
    <w:rsid w:val="00382090"/>
    <w:rsid w:val="003821D9"/>
    <w:rsid w:val="003822A6"/>
    <w:rsid w:val="003822A8"/>
    <w:rsid w:val="0038234D"/>
    <w:rsid w:val="003823BA"/>
    <w:rsid w:val="003823D0"/>
    <w:rsid w:val="00382440"/>
    <w:rsid w:val="00382455"/>
    <w:rsid w:val="00382534"/>
    <w:rsid w:val="0038279D"/>
    <w:rsid w:val="0038288F"/>
    <w:rsid w:val="0038291C"/>
    <w:rsid w:val="003829A9"/>
    <w:rsid w:val="00382A9A"/>
    <w:rsid w:val="00382B26"/>
    <w:rsid w:val="00382B66"/>
    <w:rsid w:val="00382B77"/>
    <w:rsid w:val="00382B95"/>
    <w:rsid w:val="00382BC7"/>
    <w:rsid w:val="00382CBC"/>
    <w:rsid w:val="00382D3F"/>
    <w:rsid w:val="00382D5A"/>
    <w:rsid w:val="00382E3D"/>
    <w:rsid w:val="00382F56"/>
    <w:rsid w:val="00382FCC"/>
    <w:rsid w:val="00383083"/>
    <w:rsid w:val="003830B2"/>
    <w:rsid w:val="0038338F"/>
    <w:rsid w:val="00383408"/>
    <w:rsid w:val="003834EE"/>
    <w:rsid w:val="0038355E"/>
    <w:rsid w:val="003837E5"/>
    <w:rsid w:val="00383813"/>
    <w:rsid w:val="003839A5"/>
    <w:rsid w:val="003839AD"/>
    <w:rsid w:val="003839BB"/>
    <w:rsid w:val="00383A6B"/>
    <w:rsid w:val="00383A78"/>
    <w:rsid w:val="00383B35"/>
    <w:rsid w:val="00383BAD"/>
    <w:rsid w:val="00383BEF"/>
    <w:rsid w:val="00383C5B"/>
    <w:rsid w:val="00383DBF"/>
    <w:rsid w:val="0038407B"/>
    <w:rsid w:val="0038410F"/>
    <w:rsid w:val="00384145"/>
    <w:rsid w:val="00384193"/>
    <w:rsid w:val="0038419C"/>
    <w:rsid w:val="003841AA"/>
    <w:rsid w:val="003841D7"/>
    <w:rsid w:val="003841FE"/>
    <w:rsid w:val="0038420F"/>
    <w:rsid w:val="00384292"/>
    <w:rsid w:val="00384332"/>
    <w:rsid w:val="00384464"/>
    <w:rsid w:val="00384479"/>
    <w:rsid w:val="00384505"/>
    <w:rsid w:val="0038454C"/>
    <w:rsid w:val="00384602"/>
    <w:rsid w:val="003846D1"/>
    <w:rsid w:val="0038474C"/>
    <w:rsid w:val="00384759"/>
    <w:rsid w:val="0038499D"/>
    <w:rsid w:val="00384A5E"/>
    <w:rsid w:val="00384A91"/>
    <w:rsid w:val="00384AE6"/>
    <w:rsid w:val="00384C42"/>
    <w:rsid w:val="00384CE8"/>
    <w:rsid w:val="00384D24"/>
    <w:rsid w:val="00384DB0"/>
    <w:rsid w:val="00384E7D"/>
    <w:rsid w:val="00384F13"/>
    <w:rsid w:val="00384FBC"/>
    <w:rsid w:val="003850E7"/>
    <w:rsid w:val="003850F0"/>
    <w:rsid w:val="00385137"/>
    <w:rsid w:val="003851F3"/>
    <w:rsid w:val="0038526B"/>
    <w:rsid w:val="003852D9"/>
    <w:rsid w:val="0038531C"/>
    <w:rsid w:val="00385354"/>
    <w:rsid w:val="00385474"/>
    <w:rsid w:val="0038554E"/>
    <w:rsid w:val="00385666"/>
    <w:rsid w:val="003857B7"/>
    <w:rsid w:val="0038586C"/>
    <w:rsid w:val="0038588F"/>
    <w:rsid w:val="003858A5"/>
    <w:rsid w:val="003858F0"/>
    <w:rsid w:val="00385A6D"/>
    <w:rsid w:val="00385AC8"/>
    <w:rsid w:val="00385B8E"/>
    <w:rsid w:val="00385BB2"/>
    <w:rsid w:val="00385D0C"/>
    <w:rsid w:val="00385D42"/>
    <w:rsid w:val="00385D64"/>
    <w:rsid w:val="00385D8F"/>
    <w:rsid w:val="00385E69"/>
    <w:rsid w:val="00386007"/>
    <w:rsid w:val="00386070"/>
    <w:rsid w:val="00386079"/>
    <w:rsid w:val="003860C0"/>
    <w:rsid w:val="0038627C"/>
    <w:rsid w:val="00386317"/>
    <w:rsid w:val="0038638C"/>
    <w:rsid w:val="003863B9"/>
    <w:rsid w:val="003863BC"/>
    <w:rsid w:val="00386428"/>
    <w:rsid w:val="003865D8"/>
    <w:rsid w:val="00386778"/>
    <w:rsid w:val="003868E4"/>
    <w:rsid w:val="0038694A"/>
    <w:rsid w:val="00386A1E"/>
    <w:rsid w:val="00386B67"/>
    <w:rsid w:val="00386C6D"/>
    <w:rsid w:val="00386D45"/>
    <w:rsid w:val="0038700F"/>
    <w:rsid w:val="00387052"/>
    <w:rsid w:val="0038712E"/>
    <w:rsid w:val="003871D0"/>
    <w:rsid w:val="003871DA"/>
    <w:rsid w:val="003871E0"/>
    <w:rsid w:val="0038722C"/>
    <w:rsid w:val="0038726D"/>
    <w:rsid w:val="003872F0"/>
    <w:rsid w:val="00387300"/>
    <w:rsid w:val="003874A4"/>
    <w:rsid w:val="00387668"/>
    <w:rsid w:val="0038790E"/>
    <w:rsid w:val="00387971"/>
    <w:rsid w:val="00387AF7"/>
    <w:rsid w:val="00387DF2"/>
    <w:rsid w:val="00387E0F"/>
    <w:rsid w:val="00387E77"/>
    <w:rsid w:val="00387ECE"/>
    <w:rsid w:val="00387EDF"/>
    <w:rsid w:val="00389037"/>
    <w:rsid w:val="003901C3"/>
    <w:rsid w:val="00390319"/>
    <w:rsid w:val="003903E0"/>
    <w:rsid w:val="003904A0"/>
    <w:rsid w:val="00390551"/>
    <w:rsid w:val="00390572"/>
    <w:rsid w:val="003906B8"/>
    <w:rsid w:val="00390744"/>
    <w:rsid w:val="00390A81"/>
    <w:rsid w:val="00390B57"/>
    <w:rsid w:val="00390E45"/>
    <w:rsid w:val="00390EB8"/>
    <w:rsid w:val="0039119A"/>
    <w:rsid w:val="00391506"/>
    <w:rsid w:val="00391554"/>
    <w:rsid w:val="003915C1"/>
    <w:rsid w:val="00391821"/>
    <w:rsid w:val="0039183D"/>
    <w:rsid w:val="0039197E"/>
    <w:rsid w:val="0039198A"/>
    <w:rsid w:val="003919B6"/>
    <w:rsid w:val="00391A46"/>
    <w:rsid w:val="00391A87"/>
    <w:rsid w:val="00391A8C"/>
    <w:rsid w:val="00391BF3"/>
    <w:rsid w:val="00391E25"/>
    <w:rsid w:val="00391FF7"/>
    <w:rsid w:val="00392067"/>
    <w:rsid w:val="0039218D"/>
    <w:rsid w:val="003921B6"/>
    <w:rsid w:val="00392250"/>
    <w:rsid w:val="00392268"/>
    <w:rsid w:val="003922FA"/>
    <w:rsid w:val="00392331"/>
    <w:rsid w:val="0039233D"/>
    <w:rsid w:val="00392356"/>
    <w:rsid w:val="00392379"/>
    <w:rsid w:val="0039243B"/>
    <w:rsid w:val="0039245E"/>
    <w:rsid w:val="0039256E"/>
    <w:rsid w:val="003925BC"/>
    <w:rsid w:val="003926AA"/>
    <w:rsid w:val="00392727"/>
    <w:rsid w:val="0039272E"/>
    <w:rsid w:val="00392927"/>
    <w:rsid w:val="00392A26"/>
    <w:rsid w:val="00392C1B"/>
    <w:rsid w:val="00392D78"/>
    <w:rsid w:val="00392E1A"/>
    <w:rsid w:val="00393110"/>
    <w:rsid w:val="00393294"/>
    <w:rsid w:val="003932BC"/>
    <w:rsid w:val="00393325"/>
    <w:rsid w:val="00393347"/>
    <w:rsid w:val="003933F1"/>
    <w:rsid w:val="00393415"/>
    <w:rsid w:val="0039350A"/>
    <w:rsid w:val="00393584"/>
    <w:rsid w:val="00393674"/>
    <w:rsid w:val="00393763"/>
    <w:rsid w:val="0039378C"/>
    <w:rsid w:val="0039387A"/>
    <w:rsid w:val="0039387F"/>
    <w:rsid w:val="0039390E"/>
    <w:rsid w:val="00393935"/>
    <w:rsid w:val="00393ACA"/>
    <w:rsid w:val="00393BF4"/>
    <w:rsid w:val="00393C83"/>
    <w:rsid w:val="00393D9C"/>
    <w:rsid w:val="00393DE1"/>
    <w:rsid w:val="00394009"/>
    <w:rsid w:val="00394084"/>
    <w:rsid w:val="003941D9"/>
    <w:rsid w:val="003943CA"/>
    <w:rsid w:val="003945E4"/>
    <w:rsid w:val="00394663"/>
    <w:rsid w:val="003946EA"/>
    <w:rsid w:val="00394719"/>
    <w:rsid w:val="003947CF"/>
    <w:rsid w:val="003947D8"/>
    <w:rsid w:val="0039481E"/>
    <w:rsid w:val="003948A2"/>
    <w:rsid w:val="0039490D"/>
    <w:rsid w:val="00394980"/>
    <w:rsid w:val="00394AE5"/>
    <w:rsid w:val="00394B93"/>
    <w:rsid w:val="00394E20"/>
    <w:rsid w:val="00394E35"/>
    <w:rsid w:val="00394F18"/>
    <w:rsid w:val="003950FD"/>
    <w:rsid w:val="00395164"/>
    <w:rsid w:val="00395213"/>
    <w:rsid w:val="00395463"/>
    <w:rsid w:val="003954B5"/>
    <w:rsid w:val="003955FD"/>
    <w:rsid w:val="003956E1"/>
    <w:rsid w:val="003957FE"/>
    <w:rsid w:val="00395994"/>
    <w:rsid w:val="003959BD"/>
    <w:rsid w:val="00395A0C"/>
    <w:rsid w:val="00395AC6"/>
    <w:rsid w:val="00395B07"/>
    <w:rsid w:val="00395BB2"/>
    <w:rsid w:val="00395C8A"/>
    <w:rsid w:val="00395E4C"/>
    <w:rsid w:val="0039603E"/>
    <w:rsid w:val="0039610D"/>
    <w:rsid w:val="00396190"/>
    <w:rsid w:val="0039620F"/>
    <w:rsid w:val="003963A4"/>
    <w:rsid w:val="00396421"/>
    <w:rsid w:val="00396431"/>
    <w:rsid w:val="0039658D"/>
    <w:rsid w:val="003965B1"/>
    <w:rsid w:val="003965DE"/>
    <w:rsid w:val="0039662A"/>
    <w:rsid w:val="0039694A"/>
    <w:rsid w:val="00396A37"/>
    <w:rsid w:val="00396B07"/>
    <w:rsid w:val="00396BCC"/>
    <w:rsid w:val="00396DE6"/>
    <w:rsid w:val="00396EBE"/>
    <w:rsid w:val="00396EF8"/>
    <w:rsid w:val="00397057"/>
    <w:rsid w:val="00397267"/>
    <w:rsid w:val="00397297"/>
    <w:rsid w:val="003975E5"/>
    <w:rsid w:val="003975ED"/>
    <w:rsid w:val="00397619"/>
    <w:rsid w:val="0039762D"/>
    <w:rsid w:val="0039767B"/>
    <w:rsid w:val="00397748"/>
    <w:rsid w:val="00397754"/>
    <w:rsid w:val="00397845"/>
    <w:rsid w:val="003978AE"/>
    <w:rsid w:val="003978C8"/>
    <w:rsid w:val="00397900"/>
    <w:rsid w:val="003979DF"/>
    <w:rsid w:val="00397A32"/>
    <w:rsid w:val="00397B83"/>
    <w:rsid w:val="00397D76"/>
    <w:rsid w:val="00397E33"/>
    <w:rsid w:val="003A00E6"/>
    <w:rsid w:val="003A0280"/>
    <w:rsid w:val="003A0396"/>
    <w:rsid w:val="003A03BA"/>
    <w:rsid w:val="003A04D3"/>
    <w:rsid w:val="003A05BB"/>
    <w:rsid w:val="003A067C"/>
    <w:rsid w:val="003A069D"/>
    <w:rsid w:val="003A07EE"/>
    <w:rsid w:val="003A0A0F"/>
    <w:rsid w:val="003A0DB1"/>
    <w:rsid w:val="003A0F4A"/>
    <w:rsid w:val="003A0FF0"/>
    <w:rsid w:val="003A102D"/>
    <w:rsid w:val="003A1116"/>
    <w:rsid w:val="003A131E"/>
    <w:rsid w:val="003A1633"/>
    <w:rsid w:val="003A164C"/>
    <w:rsid w:val="003A167F"/>
    <w:rsid w:val="003A1722"/>
    <w:rsid w:val="003A17AE"/>
    <w:rsid w:val="003A18E2"/>
    <w:rsid w:val="003A1A9E"/>
    <w:rsid w:val="003A1ABA"/>
    <w:rsid w:val="003A1AC0"/>
    <w:rsid w:val="003A1B93"/>
    <w:rsid w:val="003A1BDC"/>
    <w:rsid w:val="003A1C49"/>
    <w:rsid w:val="003A1CC2"/>
    <w:rsid w:val="003A1CE5"/>
    <w:rsid w:val="003A1DFF"/>
    <w:rsid w:val="003A20D0"/>
    <w:rsid w:val="003A20F3"/>
    <w:rsid w:val="003A2117"/>
    <w:rsid w:val="003A211B"/>
    <w:rsid w:val="003A21C0"/>
    <w:rsid w:val="003A21CC"/>
    <w:rsid w:val="003A21EC"/>
    <w:rsid w:val="003A22B1"/>
    <w:rsid w:val="003A2380"/>
    <w:rsid w:val="003A2569"/>
    <w:rsid w:val="003A283C"/>
    <w:rsid w:val="003A2842"/>
    <w:rsid w:val="003A284C"/>
    <w:rsid w:val="003A290B"/>
    <w:rsid w:val="003A291E"/>
    <w:rsid w:val="003A2972"/>
    <w:rsid w:val="003A2A24"/>
    <w:rsid w:val="003A2AF9"/>
    <w:rsid w:val="003A2B60"/>
    <w:rsid w:val="003A2BD9"/>
    <w:rsid w:val="003A2BE2"/>
    <w:rsid w:val="003A2BFF"/>
    <w:rsid w:val="003A2CB2"/>
    <w:rsid w:val="003A2CFC"/>
    <w:rsid w:val="003A2D70"/>
    <w:rsid w:val="003A2DB7"/>
    <w:rsid w:val="003A2DEB"/>
    <w:rsid w:val="003A301B"/>
    <w:rsid w:val="003A3121"/>
    <w:rsid w:val="003A3148"/>
    <w:rsid w:val="003A33B0"/>
    <w:rsid w:val="003A33C6"/>
    <w:rsid w:val="003A34C0"/>
    <w:rsid w:val="003A3582"/>
    <w:rsid w:val="003A3591"/>
    <w:rsid w:val="003A3614"/>
    <w:rsid w:val="003A36D9"/>
    <w:rsid w:val="003A3712"/>
    <w:rsid w:val="003A3744"/>
    <w:rsid w:val="003A38D4"/>
    <w:rsid w:val="003A3969"/>
    <w:rsid w:val="003A3AFB"/>
    <w:rsid w:val="003A3B22"/>
    <w:rsid w:val="003A3B33"/>
    <w:rsid w:val="003A3BEE"/>
    <w:rsid w:val="003A3C07"/>
    <w:rsid w:val="003A3C22"/>
    <w:rsid w:val="003A3C45"/>
    <w:rsid w:val="003A3D90"/>
    <w:rsid w:val="003A3DC9"/>
    <w:rsid w:val="003A3E5E"/>
    <w:rsid w:val="003A402E"/>
    <w:rsid w:val="003A40AC"/>
    <w:rsid w:val="003A40B1"/>
    <w:rsid w:val="003A40F4"/>
    <w:rsid w:val="003A430E"/>
    <w:rsid w:val="003A4322"/>
    <w:rsid w:val="003A4387"/>
    <w:rsid w:val="003A4651"/>
    <w:rsid w:val="003A473D"/>
    <w:rsid w:val="003A489B"/>
    <w:rsid w:val="003A4CB9"/>
    <w:rsid w:val="003A4E3C"/>
    <w:rsid w:val="003A4ED2"/>
    <w:rsid w:val="003A4EF1"/>
    <w:rsid w:val="003A4F6D"/>
    <w:rsid w:val="003A4F77"/>
    <w:rsid w:val="003A5041"/>
    <w:rsid w:val="003A5089"/>
    <w:rsid w:val="003A50ED"/>
    <w:rsid w:val="003A5181"/>
    <w:rsid w:val="003A5213"/>
    <w:rsid w:val="003A5373"/>
    <w:rsid w:val="003A5385"/>
    <w:rsid w:val="003A538E"/>
    <w:rsid w:val="003A5452"/>
    <w:rsid w:val="003A562D"/>
    <w:rsid w:val="003A5735"/>
    <w:rsid w:val="003A5938"/>
    <w:rsid w:val="003A5AC5"/>
    <w:rsid w:val="003A5B3E"/>
    <w:rsid w:val="003A5B8C"/>
    <w:rsid w:val="003A5BD8"/>
    <w:rsid w:val="003A5C3A"/>
    <w:rsid w:val="003A5C69"/>
    <w:rsid w:val="003A5C80"/>
    <w:rsid w:val="003A5CA9"/>
    <w:rsid w:val="003A5D36"/>
    <w:rsid w:val="003A5E1B"/>
    <w:rsid w:val="003A5E2C"/>
    <w:rsid w:val="003A5EBF"/>
    <w:rsid w:val="003A5F7C"/>
    <w:rsid w:val="003A5FF8"/>
    <w:rsid w:val="003A6102"/>
    <w:rsid w:val="003A6323"/>
    <w:rsid w:val="003A6372"/>
    <w:rsid w:val="003A637B"/>
    <w:rsid w:val="003A6461"/>
    <w:rsid w:val="003A64C2"/>
    <w:rsid w:val="003A6572"/>
    <w:rsid w:val="003A65D5"/>
    <w:rsid w:val="003A660C"/>
    <w:rsid w:val="003A66A9"/>
    <w:rsid w:val="003A68A5"/>
    <w:rsid w:val="003A68F4"/>
    <w:rsid w:val="003A6A65"/>
    <w:rsid w:val="003A6A77"/>
    <w:rsid w:val="003A6B01"/>
    <w:rsid w:val="003A6C4A"/>
    <w:rsid w:val="003A6D16"/>
    <w:rsid w:val="003A6DF7"/>
    <w:rsid w:val="003A6F32"/>
    <w:rsid w:val="003A70A7"/>
    <w:rsid w:val="003A7282"/>
    <w:rsid w:val="003A7493"/>
    <w:rsid w:val="003A7553"/>
    <w:rsid w:val="003A75AB"/>
    <w:rsid w:val="003A760C"/>
    <w:rsid w:val="003A7623"/>
    <w:rsid w:val="003A764F"/>
    <w:rsid w:val="003A7AC9"/>
    <w:rsid w:val="003A7AF2"/>
    <w:rsid w:val="003A7C2F"/>
    <w:rsid w:val="003A7D2F"/>
    <w:rsid w:val="003A7D65"/>
    <w:rsid w:val="003A7E85"/>
    <w:rsid w:val="003A7F5D"/>
    <w:rsid w:val="003B0041"/>
    <w:rsid w:val="003B0046"/>
    <w:rsid w:val="003B0059"/>
    <w:rsid w:val="003B0065"/>
    <w:rsid w:val="003B00E7"/>
    <w:rsid w:val="003B012D"/>
    <w:rsid w:val="003B017A"/>
    <w:rsid w:val="003B0198"/>
    <w:rsid w:val="003B0232"/>
    <w:rsid w:val="003B026A"/>
    <w:rsid w:val="003B037F"/>
    <w:rsid w:val="003B0473"/>
    <w:rsid w:val="003B05E9"/>
    <w:rsid w:val="003B0793"/>
    <w:rsid w:val="003B07E2"/>
    <w:rsid w:val="003B07FF"/>
    <w:rsid w:val="003B08F7"/>
    <w:rsid w:val="003B0A03"/>
    <w:rsid w:val="003B0A72"/>
    <w:rsid w:val="003B0A80"/>
    <w:rsid w:val="003B0ABD"/>
    <w:rsid w:val="003B0C73"/>
    <w:rsid w:val="003B0CA9"/>
    <w:rsid w:val="003B0D65"/>
    <w:rsid w:val="003B0E66"/>
    <w:rsid w:val="003B0FDF"/>
    <w:rsid w:val="003B1047"/>
    <w:rsid w:val="003B1135"/>
    <w:rsid w:val="003B115B"/>
    <w:rsid w:val="003B11F8"/>
    <w:rsid w:val="003B143A"/>
    <w:rsid w:val="003B1461"/>
    <w:rsid w:val="003B1643"/>
    <w:rsid w:val="003B183C"/>
    <w:rsid w:val="003B18AF"/>
    <w:rsid w:val="003B1A2C"/>
    <w:rsid w:val="003B1A38"/>
    <w:rsid w:val="003B1B35"/>
    <w:rsid w:val="003B1B6D"/>
    <w:rsid w:val="003B1BA0"/>
    <w:rsid w:val="003B1C3F"/>
    <w:rsid w:val="003B1D12"/>
    <w:rsid w:val="003B1D2C"/>
    <w:rsid w:val="003B1F4A"/>
    <w:rsid w:val="003B207C"/>
    <w:rsid w:val="003B227A"/>
    <w:rsid w:val="003B2336"/>
    <w:rsid w:val="003B25C2"/>
    <w:rsid w:val="003B264B"/>
    <w:rsid w:val="003B2687"/>
    <w:rsid w:val="003B269A"/>
    <w:rsid w:val="003B2745"/>
    <w:rsid w:val="003B28FD"/>
    <w:rsid w:val="003B2904"/>
    <w:rsid w:val="003B2D76"/>
    <w:rsid w:val="003B2E2F"/>
    <w:rsid w:val="003B2F99"/>
    <w:rsid w:val="003B30B7"/>
    <w:rsid w:val="003B3244"/>
    <w:rsid w:val="003B34F0"/>
    <w:rsid w:val="003B366A"/>
    <w:rsid w:val="003B374E"/>
    <w:rsid w:val="003B38AB"/>
    <w:rsid w:val="003B38D7"/>
    <w:rsid w:val="003B38DB"/>
    <w:rsid w:val="003B399B"/>
    <w:rsid w:val="003B3AE5"/>
    <w:rsid w:val="003B3BD6"/>
    <w:rsid w:val="003B3C71"/>
    <w:rsid w:val="003B3D06"/>
    <w:rsid w:val="003B3DE1"/>
    <w:rsid w:val="003B3E7A"/>
    <w:rsid w:val="003B3F32"/>
    <w:rsid w:val="003B3F39"/>
    <w:rsid w:val="003B41D5"/>
    <w:rsid w:val="003B4220"/>
    <w:rsid w:val="003B4229"/>
    <w:rsid w:val="003B4289"/>
    <w:rsid w:val="003B4361"/>
    <w:rsid w:val="003B437B"/>
    <w:rsid w:val="003B44CD"/>
    <w:rsid w:val="003B470E"/>
    <w:rsid w:val="003B4720"/>
    <w:rsid w:val="003B474E"/>
    <w:rsid w:val="003B49EF"/>
    <w:rsid w:val="003B49F8"/>
    <w:rsid w:val="003B4D06"/>
    <w:rsid w:val="003B4FBE"/>
    <w:rsid w:val="003B50C3"/>
    <w:rsid w:val="003B536B"/>
    <w:rsid w:val="003B53B4"/>
    <w:rsid w:val="003B543C"/>
    <w:rsid w:val="003B5486"/>
    <w:rsid w:val="003B5549"/>
    <w:rsid w:val="003B5747"/>
    <w:rsid w:val="003B5795"/>
    <w:rsid w:val="003B581F"/>
    <w:rsid w:val="003B5870"/>
    <w:rsid w:val="003B59E3"/>
    <w:rsid w:val="003B5A3D"/>
    <w:rsid w:val="003B5D9B"/>
    <w:rsid w:val="003B5E6C"/>
    <w:rsid w:val="003B5E94"/>
    <w:rsid w:val="003B5ED9"/>
    <w:rsid w:val="003B5F11"/>
    <w:rsid w:val="003B5FDD"/>
    <w:rsid w:val="003B5FF8"/>
    <w:rsid w:val="003B60B9"/>
    <w:rsid w:val="003B60DE"/>
    <w:rsid w:val="003B60FD"/>
    <w:rsid w:val="003B616F"/>
    <w:rsid w:val="003B61B5"/>
    <w:rsid w:val="003B61E0"/>
    <w:rsid w:val="003B62EE"/>
    <w:rsid w:val="003B63C0"/>
    <w:rsid w:val="003B63D8"/>
    <w:rsid w:val="003B641C"/>
    <w:rsid w:val="003B644A"/>
    <w:rsid w:val="003B6610"/>
    <w:rsid w:val="003B664B"/>
    <w:rsid w:val="003B6889"/>
    <w:rsid w:val="003B69A1"/>
    <w:rsid w:val="003B69E7"/>
    <w:rsid w:val="003B6AB5"/>
    <w:rsid w:val="003B6ADB"/>
    <w:rsid w:val="003B6BBB"/>
    <w:rsid w:val="003B6C0F"/>
    <w:rsid w:val="003B6CA6"/>
    <w:rsid w:val="003B6CF4"/>
    <w:rsid w:val="003B6D1D"/>
    <w:rsid w:val="003B6D67"/>
    <w:rsid w:val="003B6D6E"/>
    <w:rsid w:val="003B6DC5"/>
    <w:rsid w:val="003B6FEA"/>
    <w:rsid w:val="003B6FFA"/>
    <w:rsid w:val="003B709A"/>
    <w:rsid w:val="003B7149"/>
    <w:rsid w:val="003B716F"/>
    <w:rsid w:val="003B72C5"/>
    <w:rsid w:val="003B7449"/>
    <w:rsid w:val="003B75C5"/>
    <w:rsid w:val="003B763F"/>
    <w:rsid w:val="003B76E9"/>
    <w:rsid w:val="003B77B9"/>
    <w:rsid w:val="003B7933"/>
    <w:rsid w:val="003B7A4C"/>
    <w:rsid w:val="003B7A69"/>
    <w:rsid w:val="003B7B74"/>
    <w:rsid w:val="003B7C3A"/>
    <w:rsid w:val="003B7D21"/>
    <w:rsid w:val="003B7D7E"/>
    <w:rsid w:val="003B7FF3"/>
    <w:rsid w:val="003C0206"/>
    <w:rsid w:val="003C0208"/>
    <w:rsid w:val="003C02B7"/>
    <w:rsid w:val="003C0313"/>
    <w:rsid w:val="003C0351"/>
    <w:rsid w:val="003C0897"/>
    <w:rsid w:val="003C0A37"/>
    <w:rsid w:val="003C0A47"/>
    <w:rsid w:val="003C0BF3"/>
    <w:rsid w:val="003C0CB6"/>
    <w:rsid w:val="003C0D4D"/>
    <w:rsid w:val="003C0F18"/>
    <w:rsid w:val="003C1011"/>
    <w:rsid w:val="003C1089"/>
    <w:rsid w:val="003C132A"/>
    <w:rsid w:val="003C13C6"/>
    <w:rsid w:val="003C157D"/>
    <w:rsid w:val="003C168D"/>
    <w:rsid w:val="003C1701"/>
    <w:rsid w:val="003C171C"/>
    <w:rsid w:val="003C18CA"/>
    <w:rsid w:val="003C193B"/>
    <w:rsid w:val="003C1A50"/>
    <w:rsid w:val="003C1AC7"/>
    <w:rsid w:val="003C1C14"/>
    <w:rsid w:val="003C1C20"/>
    <w:rsid w:val="003C1C41"/>
    <w:rsid w:val="003C1C9A"/>
    <w:rsid w:val="003C1E30"/>
    <w:rsid w:val="003C1E3A"/>
    <w:rsid w:val="003C20A9"/>
    <w:rsid w:val="003C20C7"/>
    <w:rsid w:val="003C21BF"/>
    <w:rsid w:val="003C223B"/>
    <w:rsid w:val="003C2279"/>
    <w:rsid w:val="003C22A9"/>
    <w:rsid w:val="003C22B6"/>
    <w:rsid w:val="003C22F2"/>
    <w:rsid w:val="003C2360"/>
    <w:rsid w:val="003C23BC"/>
    <w:rsid w:val="003C24FF"/>
    <w:rsid w:val="003C25B9"/>
    <w:rsid w:val="003C2628"/>
    <w:rsid w:val="003C2744"/>
    <w:rsid w:val="003C27E8"/>
    <w:rsid w:val="003C27FD"/>
    <w:rsid w:val="003C297B"/>
    <w:rsid w:val="003C2A16"/>
    <w:rsid w:val="003C2A48"/>
    <w:rsid w:val="003C2A64"/>
    <w:rsid w:val="003C2B7D"/>
    <w:rsid w:val="003C2C26"/>
    <w:rsid w:val="003C2D2D"/>
    <w:rsid w:val="003C2E9B"/>
    <w:rsid w:val="003C2ECF"/>
    <w:rsid w:val="003C2EF2"/>
    <w:rsid w:val="003C2FA0"/>
    <w:rsid w:val="003C2FD2"/>
    <w:rsid w:val="003C3043"/>
    <w:rsid w:val="003C30B1"/>
    <w:rsid w:val="003C31F2"/>
    <w:rsid w:val="003C3446"/>
    <w:rsid w:val="003C346B"/>
    <w:rsid w:val="003C3474"/>
    <w:rsid w:val="003C3669"/>
    <w:rsid w:val="003C3693"/>
    <w:rsid w:val="003C37BD"/>
    <w:rsid w:val="003C37FC"/>
    <w:rsid w:val="003C3CA4"/>
    <w:rsid w:val="003C3DA4"/>
    <w:rsid w:val="003C3DE0"/>
    <w:rsid w:val="003C3F3C"/>
    <w:rsid w:val="003C4101"/>
    <w:rsid w:val="003C44B6"/>
    <w:rsid w:val="003C452F"/>
    <w:rsid w:val="003C455A"/>
    <w:rsid w:val="003C45DE"/>
    <w:rsid w:val="003C4616"/>
    <w:rsid w:val="003C473E"/>
    <w:rsid w:val="003C4794"/>
    <w:rsid w:val="003C4908"/>
    <w:rsid w:val="003C4961"/>
    <w:rsid w:val="003C49A4"/>
    <w:rsid w:val="003C4AE7"/>
    <w:rsid w:val="003C4B52"/>
    <w:rsid w:val="003C4DB5"/>
    <w:rsid w:val="003C4DC0"/>
    <w:rsid w:val="003C4E38"/>
    <w:rsid w:val="003C4E77"/>
    <w:rsid w:val="003C4E80"/>
    <w:rsid w:val="003C4F17"/>
    <w:rsid w:val="003C5035"/>
    <w:rsid w:val="003C5143"/>
    <w:rsid w:val="003C542C"/>
    <w:rsid w:val="003C549D"/>
    <w:rsid w:val="003C55BF"/>
    <w:rsid w:val="003C560E"/>
    <w:rsid w:val="003C5698"/>
    <w:rsid w:val="003C5876"/>
    <w:rsid w:val="003C590D"/>
    <w:rsid w:val="003C5947"/>
    <w:rsid w:val="003C5953"/>
    <w:rsid w:val="003C5B31"/>
    <w:rsid w:val="003C5EBE"/>
    <w:rsid w:val="003C5F91"/>
    <w:rsid w:val="003C602F"/>
    <w:rsid w:val="003C6082"/>
    <w:rsid w:val="003C6227"/>
    <w:rsid w:val="003C6250"/>
    <w:rsid w:val="003C6256"/>
    <w:rsid w:val="003C6388"/>
    <w:rsid w:val="003C63A3"/>
    <w:rsid w:val="003C64B9"/>
    <w:rsid w:val="003C6570"/>
    <w:rsid w:val="003C65BD"/>
    <w:rsid w:val="003C66DD"/>
    <w:rsid w:val="003C66E2"/>
    <w:rsid w:val="003C674D"/>
    <w:rsid w:val="003C6849"/>
    <w:rsid w:val="003C68E9"/>
    <w:rsid w:val="003C696C"/>
    <w:rsid w:val="003C698D"/>
    <w:rsid w:val="003C6A55"/>
    <w:rsid w:val="003C6C6E"/>
    <w:rsid w:val="003C6CE3"/>
    <w:rsid w:val="003C6D47"/>
    <w:rsid w:val="003C6E84"/>
    <w:rsid w:val="003C6F2D"/>
    <w:rsid w:val="003C6F44"/>
    <w:rsid w:val="003C6F68"/>
    <w:rsid w:val="003C715D"/>
    <w:rsid w:val="003C721A"/>
    <w:rsid w:val="003C7312"/>
    <w:rsid w:val="003C7392"/>
    <w:rsid w:val="003C7524"/>
    <w:rsid w:val="003C7551"/>
    <w:rsid w:val="003C75ED"/>
    <w:rsid w:val="003C763F"/>
    <w:rsid w:val="003C7646"/>
    <w:rsid w:val="003C7745"/>
    <w:rsid w:val="003C7782"/>
    <w:rsid w:val="003C77D9"/>
    <w:rsid w:val="003C7859"/>
    <w:rsid w:val="003C78FF"/>
    <w:rsid w:val="003C796B"/>
    <w:rsid w:val="003C7A3F"/>
    <w:rsid w:val="003C7B29"/>
    <w:rsid w:val="003C7D23"/>
    <w:rsid w:val="003C7DA0"/>
    <w:rsid w:val="003C7E2F"/>
    <w:rsid w:val="003D0029"/>
    <w:rsid w:val="003D010D"/>
    <w:rsid w:val="003D0296"/>
    <w:rsid w:val="003D0345"/>
    <w:rsid w:val="003D03BE"/>
    <w:rsid w:val="003D03E6"/>
    <w:rsid w:val="003D04C0"/>
    <w:rsid w:val="003D04DB"/>
    <w:rsid w:val="003D05A5"/>
    <w:rsid w:val="003D05D0"/>
    <w:rsid w:val="003D0632"/>
    <w:rsid w:val="003D078F"/>
    <w:rsid w:val="003D0826"/>
    <w:rsid w:val="003D0980"/>
    <w:rsid w:val="003D09B2"/>
    <w:rsid w:val="003D0AD1"/>
    <w:rsid w:val="003D0B12"/>
    <w:rsid w:val="003D0B46"/>
    <w:rsid w:val="003D0BE7"/>
    <w:rsid w:val="003D0C99"/>
    <w:rsid w:val="003D0CA0"/>
    <w:rsid w:val="003D0DF6"/>
    <w:rsid w:val="003D0F2C"/>
    <w:rsid w:val="003D1088"/>
    <w:rsid w:val="003D117F"/>
    <w:rsid w:val="003D13F5"/>
    <w:rsid w:val="003D14AE"/>
    <w:rsid w:val="003D1651"/>
    <w:rsid w:val="003D1655"/>
    <w:rsid w:val="003D16B3"/>
    <w:rsid w:val="003D173E"/>
    <w:rsid w:val="003D1765"/>
    <w:rsid w:val="003D180E"/>
    <w:rsid w:val="003D1964"/>
    <w:rsid w:val="003D1AB7"/>
    <w:rsid w:val="003D1B16"/>
    <w:rsid w:val="003D1BE7"/>
    <w:rsid w:val="003D1C4B"/>
    <w:rsid w:val="003D1D56"/>
    <w:rsid w:val="003D1D8E"/>
    <w:rsid w:val="003D1DD8"/>
    <w:rsid w:val="003D1E65"/>
    <w:rsid w:val="003D1EEE"/>
    <w:rsid w:val="003D1F02"/>
    <w:rsid w:val="003D21F8"/>
    <w:rsid w:val="003D2504"/>
    <w:rsid w:val="003D2645"/>
    <w:rsid w:val="003D2669"/>
    <w:rsid w:val="003D291E"/>
    <w:rsid w:val="003D2960"/>
    <w:rsid w:val="003D2BCA"/>
    <w:rsid w:val="003D2C0C"/>
    <w:rsid w:val="003D2C58"/>
    <w:rsid w:val="003D2D79"/>
    <w:rsid w:val="003D2DC2"/>
    <w:rsid w:val="003D3046"/>
    <w:rsid w:val="003D30FF"/>
    <w:rsid w:val="003D3230"/>
    <w:rsid w:val="003D32FF"/>
    <w:rsid w:val="003D3304"/>
    <w:rsid w:val="003D34D7"/>
    <w:rsid w:val="003D34E4"/>
    <w:rsid w:val="003D34FC"/>
    <w:rsid w:val="003D35B3"/>
    <w:rsid w:val="003D362B"/>
    <w:rsid w:val="003D3806"/>
    <w:rsid w:val="003D38AD"/>
    <w:rsid w:val="003D399E"/>
    <w:rsid w:val="003D39DD"/>
    <w:rsid w:val="003D3AC5"/>
    <w:rsid w:val="003D3AD8"/>
    <w:rsid w:val="003D3BDB"/>
    <w:rsid w:val="003D3C2C"/>
    <w:rsid w:val="003D3C5A"/>
    <w:rsid w:val="003D3CD0"/>
    <w:rsid w:val="003D3D38"/>
    <w:rsid w:val="003D3F61"/>
    <w:rsid w:val="003D3FD2"/>
    <w:rsid w:val="003D4088"/>
    <w:rsid w:val="003D4190"/>
    <w:rsid w:val="003D41C8"/>
    <w:rsid w:val="003D432E"/>
    <w:rsid w:val="003D46F9"/>
    <w:rsid w:val="003D47E8"/>
    <w:rsid w:val="003D4838"/>
    <w:rsid w:val="003D483C"/>
    <w:rsid w:val="003D4893"/>
    <w:rsid w:val="003D491F"/>
    <w:rsid w:val="003D498B"/>
    <w:rsid w:val="003D49AB"/>
    <w:rsid w:val="003D4A13"/>
    <w:rsid w:val="003D4AAA"/>
    <w:rsid w:val="003D4AB2"/>
    <w:rsid w:val="003D4B3B"/>
    <w:rsid w:val="003D4B6C"/>
    <w:rsid w:val="003D4CCF"/>
    <w:rsid w:val="003D4D2C"/>
    <w:rsid w:val="003D4E2C"/>
    <w:rsid w:val="003D508A"/>
    <w:rsid w:val="003D5160"/>
    <w:rsid w:val="003D5251"/>
    <w:rsid w:val="003D5302"/>
    <w:rsid w:val="003D5607"/>
    <w:rsid w:val="003D5725"/>
    <w:rsid w:val="003D57D1"/>
    <w:rsid w:val="003D58E6"/>
    <w:rsid w:val="003D58EF"/>
    <w:rsid w:val="003D59D0"/>
    <w:rsid w:val="003D5ACB"/>
    <w:rsid w:val="003D5B2D"/>
    <w:rsid w:val="003D5CF4"/>
    <w:rsid w:val="003D5DD7"/>
    <w:rsid w:val="003D5E44"/>
    <w:rsid w:val="003D5E5F"/>
    <w:rsid w:val="003D613E"/>
    <w:rsid w:val="003D6251"/>
    <w:rsid w:val="003D62E1"/>
    <w:rsid w:val="003D6315"/>
    <w:rsid w:val="003D6411"/>
    <w:rsid w:val="003D650C"/>
    <w:rsid w:val="003D666A"/>
    <w:rsid w:val="003D66F3"/>
    <w:rsid w:val="003D670F"/>
    <w:rsid w:val="003D677A"/>
    <w:rsid w:val="003D67B6"/>
    <w:rsid w:val="003D68EB"/>
    <w:rsid w:val="003D69C6"/>
    <w:rsid w:val="003D6A7E"/>
    <w:rsid w:val="003D6A9A"/>
    <w:rsid w:val="003D6AEA"/>
    <w:rsid w:val="003D6C03"/>
    <w:rsid w:val="003D6DBF"/>
    <w:rsid w:val="003D6DDF"/>
    <w:rsid w:val="003D6E66"/>
    <w:rsid w:val="003D6F26"/>
    <w:rsid w:val="003D6F79"/>
    <w:rsid w:val="003D7004"/>
    <w:rsid w:val="003D704D"/>
    <w:rsid w:val="003D70DE"/>
    <w:rsid w:val="003D710A"/>
    <w:rsid w:val="003D714C"/>
    <w:rsid w:val="003D725C"/>
    <w:rsid w:val="003D7345"/>
    <w:rsid w:val="003D734E"/>
    <w:rsid w:val="003D7406"/>
    <w:rsid w:val="003D764A"/>
    <w:rsid w:val="003D7661"/>
    <w:rsid w:val="003D76C0"/>
    <w:rsid w:val="003D7882"/>
    <w:rsid w:val="003D7A81"/>
    <w:rsid w:val="003D7A98"/>
    <w:rsid w:val="003D7AE3"/>
    <w:rsid w:val="003D7B7A"/>
    <w:rsid w:val="003D7C46"/>
    <w:rsid w:val="003D7C83"/>
    <w:rsid w:val="003D7C8B"/>
    <w:rsid w:val="003D7D7D"/>
    <w:rsid w:val="003D7F65"/>
    <w:rsid w:val="003D7F9D"/>
    <w:rsid w:val="003D7FD6"/>
    <w:rsid w:val="003D9162"/>
    <w:rsid w:val="003E0145"/>
    <w:rsid w:val="003E0187"/>
    <w:rsid w:val="003E01D4"/>
    <w:rsid w:val="003E033D"/>
    <w:rsid w:val="003E03EE"/>
    <w:rsid w:val="003E0515"/>
    <w:rsid w:val="003E06C3"/>
    <w:rsid w:val="003E06FE"/>
    <w:rsid w:val="003E0726"/>
    <w:rsid w:val="003E08B0"/>
    <w:rsid w:val="003E08F6"/>
    <w:rsid w:val="003E0927"/>
    <w:rsid w:val="003E092C"/>
    <w:rsid w:val="003E0937"/>
    <w:rsid w:val="003E0954"/>
    <w:rsid w:val="003E0C4E"/>
    <w:rsid w:val="003E0CD2"/>
    <w:rsid w:val="003E0D14"/>
    <w:rsid w:val="003E0D43"/>
    <w:rsid w:val="003E0D56"/>
    <w:rsid w:val="003E0D63"/>
    <w:rsid w:val="003E0D77"/>
    <w:rsid w:val="003E0FA2"/>
    <w:rsid w:val="003E1023"/>
    <w:rsid w:val="003E107F"/>
    <w:rsid w:val="003E13EA"/>
    <w:rsid w:val="003E140F"/>
    <w:rsid w:val="003E162B"/>
    <w:rsid w:val="003E16F9"/>
    <w:rsid w:val="003E17BD"/>
    <w:rsid w:val="003E1BFD"/>
    <w:rsid w:val="003E1C53"/>
    <w:rsid w:val="003E1D2B"/>
    <w:rsid w:val="003E1FAA"/>
    <w:rsid w:val="003E1FB1"/>
    <w:rsid w:val="003E1FC4"/>
    <w:rsid w:val="003E1FEC"/>
    <w:rsid w:val="003E2076"/>
    <w:rsid w:val="003E209C"/>
    <w:rsid w:val="003E20AD"/>
    <w:rsid w:val="003E22F3"/>
    <w:rsid w:val="003E26C5"/>
    <w:rsid w:val="003E27E0"/>
    <w:rsid w:val="003E27E3"/>
    <w:rsid w:val="003E283F"/>
    <w:rsid w:val="003E2914"/>
    <w:rsid w:val="003E2929"/>
    <w:rsid w:val="003E2D45"/>
    <w:rsid w:val="003E2E52"/>
    <w:rsid w:val="003E2EC6"/>
    <w:rsid w:val="003E2EFD"/>
    <w:rsid w:val="003E2FF5"/>
    <w:rsid w:val="003E3098"/>
    <w:rsid w:val="003E336F"/>
    <w:rsid w:val="003E33FB"/>
    <w:rsid w:val="003E34F4"/>
    <w:rsid w:val="003E3582"/>
    <w:rsid w:val="003E37EC"/>
    <w:rsid w:val="003E399A"/>
    <w:rsid w:val="003E39A7"/>
    <w:rsid w:val="003E39AD"/>
    <w:rsid w:val="003E3A44"/>
    <w:rsid w:val="003E3B14"/>
    <w:rsid w:val="003E3B61"/>
    <w:rsid w:val="003E3C27"/>
    <w:rsid w:val="003E3DB6"/>
    <w:rsid w:val="003E3E4F"/>
    <w:rsid w:val="003E3F18"/>
    <w:rsid w:val="003E42CB"/>
    <w:rsid w:val="003E4592"/>
    <w:rsid w:val="003E47BC"/>
    <w:rsid w:val="003E485E"/>
    <w:rsid w:val="003E4938"/>
    <w:rsid w:val="003E49B6"/>
    <w:rsid w:val="003E4AB1"/>
    <w:rsid w:val="003E4AD0"/>
    <w:rsid w:val="003E4AE4"/>
    <w:rsid w:val="003E4CCF"/>
    <w:rsid w:val="003E4D50"/>
    <w:rsid w:val="003E4D73"/>
    <w:rsid w:val="003E4E2E"/>
    <w:rsid w:val="003E4E98"/>
    <w:rsid w:val="003E4EA5"/>
    <w:rsid w:val="003E4F26"/>
    <w:rsid w:val="003E5152"/>
    <w:rsid w:val="003E517F"/>
    <w:rsid w:val="003E53AF"/>
    <w:rsid w:val="003E55A5"/>
    <w:rsid w:val="003E5664"/>
    <w:rsid w:val="003E5730"/>
    <w:rsid w:val="003E57B1"/>
    <w:rsid w:val="003E5818"/>
    <w:rsid w:val="003E586A"/>
    <w:rsid w:val="003E5A08"/>
    <w:rsid w:val="003E5A1E"/>
    <w:rsid w:val="003E5B39"/>
    <w:rsid w:val="003E5C33"/>
    <w:rsid w:val="003E5E74"/>
    <w:rsid w:val="003E6003"/>
    <w:rsid w:val="003E6032"/>
    <w:rsid w:val="003E62DB"/>
    <w:rsid w:val="003E62F5"/>
    <w:rsid w:val="003E638D"/>
    <w:rsid w:val="003E6461"/>
    <w:rsid w:val="003E6499"/>
    <w:rsid w:val="003E65A9"/>
    <w:rsid w:val="003E6693"/>
    <w:rsid w:val="003E69A2"/>
    <w:rsid w:val="003E69E7"/>
    <w:rsid w:val="003E6A35"/>
    <w:rsid w:val="003E6A60"/>
    <w:rsid w:val="003E6AA9"/>
    <w:rsid w:val="003E6B60"/>
    <w:rsid w:val="003E6BA2"/>
    <w:rsid w:val="003E6D03"/>
    <w:rsid w:val="003E6D5A"/>
    <w:rsid w:val="003E6E30"/>
    <w:rsid w:val="003E6E50"/>
    <w:rsid w:val="003E6E85"/>
    <w:rsid w:val="003E6E89"/>
    <w:rsid w:val="003E6FD7"/>
    <w:rsid w:val="003E70AC"/>
    <w:rsid w:val="003E72BB"/>
    <w:rsid w:val="003E72D8"/>
    <w:rsid w:val="003E7338"/>
    <w:rsid w:val="003E742C"/>
    <w:rsid w:val="003E7516"/>
    <w:rsid w:val="003E751F"/>
    <w:rsid w:val="003E752F"/>
    <w:rsid w:val="003E758A"/>
    <w:rsid w:val="003E75A2"/>
    <w:rsid w:val="003E7798"/>
    <w:rsid w:val="003E77C4"/>
    <w:rsid w:val="003E786D"/>
    <w:rsid w:val="003E7AC9"/>
    <w:rsid w:val="003E7D2F"/>
    <w:rsid w:val="003E7EDA"/>
    <w:rsid w:val="003E7F7E"/>
    <w:rsid w:val="003E7FE4"/>
    <w:rsid w:val="003F0028"/>
    <w:rsid w:val="003F004E"/>
    <w:rsid w:val="003F0074"/>
    <w:rsid w:val="003F0141"/>
    <w:rsid w:val="003F027D"/>
    <w:rsid w:val="003F03A7"/>
    <w:rsid w:val="003F03F9"/>
    <w:rsid w:val="003F046E"/>
    <w:rsid w:val="003F04DD"/>
    <w:rsid w:val="003F055A"/>
    <w:rsid w:val="003F0744"/>
    <w:rsid w:val="003F07C3"/>
    <w:rsid w:val="003F09DD"/>
    <w:rsid w:val="003F0AB6"/>
    <w:rsid w:val="003F0ABE"/>
    <w:rsid w:val="003F0BB0"/>
    <w:rsid w:val="003F0C22"/>
    <w:rsid w:val="003F0C7A"/>
    <w:rsid w:val="003F0D63"/>
    <w:rsid w:val="003F0D8D"/>
    <w:rsid w:val="003F1359"/>
    <w:rsid w:val="003F135D"/>
    <w:rsid w:val="003F1479"/>
    <w:rsid w:val="003F14B8"/>
    <w:rsid w:val="003F14D4"/>
    <w:rsid w:val="003F14F0"/>
    <w:rsid w:val="003F1745"/>
    <w:rsid w:val="003F17B5"/>
    <w:rsid w:val="003F1A93"/>
    <w:rsid w:val="003F1C44"/>
    <w:rsid w:val="003F1CCB"/>
    <w:rsid w:val="003F1D06"/>
    <w:rsid w:val="003F1D27"/>
    <w:rsid w:val="003F1D66"/>
    <w:rsid w:val="003F1D9D"/>
    <w:rsid w:val="003F1F37"/>
    <w:rsid w:val="003F1F95"/>
    <w:rsid w:val="003F1FB9"/>
    <w:rsid w:val="003F1FBE"/>
    <w:rsid w:val="003F2013"/>
    <w:rsid w:val="003F239B"/>
    <w:rsid w:val="003F248C"/>
    <w:rsid w:val="003F2576"/>
    <w:rsid w:val="003F25CF"/>
    <w:rsid w:val="003F2946"/>
    <w:rsid w:val="003F2A0D"/>
    <w:rsid w:val="003F2B7F"/>
    <w:rsid w:val="003F2BFE"/>
    <w:rsid w:val="003F2CCE"/>
    <w:rsid w:val="003F2D1C"/>
    <w:rsid w:val="003F2E8E"/>
    <w:rsid w:val="003F3149"/>
    <w:rsid w:val="003F336B"/>
    <w:rsid w:val="003F35CE"/>
    <w:rsid w:val="003F3677"/>
    <w:rsid w:val="003F3695"/>
    <w:rsid w:val="003F36C3"/>
    <w:rsid w:val="003F3A4A"/>
    <w:rsid w:val="003F3B1D"/>
    <w:rsid w:val="003F3C06"/>
    <w:rsid w:val="003F3C08"/>
    <w:rsid w:val="003F3C8A"/>
    <w:rsid w:val="003F3C9E"/>
    <w:rsid w:val="003F3CAA"/>
    <w:rsid w:val="003F3D08"/>
    <w:rsid w:val="003F3EBB"/>
    <w:rsid w:val="003F3F19"/>
    <w:rsid w:val="003F3F60"/>
    <w:rsid w:val="003F403D"/>
    <w:rsid w:val="003F4460"/>
    <w:rsid w:val="003F44BB"/>
    <w:rsid w:val="003F4864"/>
    <w:rsid w:val="003F49EB"/>
    <w:rsid w:val="003F4A4E"/>
    <w:rsid w:val="003F4AA4"/>
    <w:rsid w:val="003F4ACD"/>
    <w:rsid w:val="003F4B62"/>
    <w:rsid w:val="003F4D59"/>
    <w:rsid w:val="003F50FC"/>
    <w:rsid w:val="003F5132"/>
    <w:rsid w:val="003F51B0"/>
    <w:rsid w:val="003F5339"/>
    <w:rsid w:val="003F5405"/>
    <w:rsid w:val="003F5408"/>
    <w:rsid w:val="003F5449"/>
    <w:rsid w:val="003F54B8"/>
    <w:rsid w:val="003F5578"/>
    <w:rsid w:val="003F568D"/>
    <w:rsid w:val="003F570D"/>
    <w:rsid w:val="003F594B"/>
    <w:rsid w:val="003F5A31"/>
    <w:rsid w:val="003F5BA7"/>
    <w:rsid w:val="003F5C59"/>
    <w:rsid w:val="003F5CBB"/>
    <w:rsid w:val="003F5D93"/>
    <w:rsid w:val="003F5DB8"/>
    <w:rsid w:val="003F5F02"/>
    <w:rsid w:val="003F5F24"/>
    <w:rsid w:val="003F5F7F"/>
    <w:rsid w:val="003F6058"/>
    <w:rsid w:val="003F61EE"/>
    <w:rsid w:val="003F6221"/>
    <w:rsid w:val="003F6229"/>
    <w:rsid w:val="003F62D0"/>
    <w:rsid w:val="003F6359"/>
    <w:rsid w:val="003F6375"/>
    <w:rsid w:val="003F63E0"/>
    <w:rsid w:val="003F6488"/>
    <w:rsid w:val="003F6597"/>
    <w:rsid w:val="003F66B8"/>
    <w:rsid w:val="003F67A2"/>
    <w:rsid w:val="003F6825"/>
    <w:rsid w:val="003F6BA2"/>
    <w:rsid w:val="003F6BD3"/>
    <w:rsid w:val="003F6EF3"/>
    <w:rsid w:val="003F6F08"/>
    <w:rsid w:val="003F7084"/>
    <w:rsid w:val="003F70EE"/>
    <w:rsid w:val="003F71AB"/>
    <w:rsid w:val="003F726B"/>
    <w:rsid w:val="003F72C7"/>
    <w:rsid w:val="003F730C"/>
    <w:rsid w:val="003F745D"/>
    <w:rsid w:val="003F779A"/>
    <w:rsid w:val="003F7850"/>
    <w:rsid w:val="003F792D"/>
    <w:rsid w:val="003F7ACC"/>
    <w:rsid w:val="003F7B43"/>
    <w:rsid w:val="003F7B65"/>
    <w:rsid w:val="003F7BDD"/>
    <w:rsid w:val="003F7D80"/>
    <w:rsid w:val="003F7DA4"/>
    <w:rsid w:val="003F7DB9"/>
    <w:rsid w:val="003F7DD6"/>
    <w:rsid w:val="003F7DE0"/>
    <w:rsid w:val="003F7E03"/>
    <w:rsid w:val="003F7FB8"/>
    <w:rsid w:val="003FB5F2"/>
    <w:rsid w:val="0040013F"/>
    <w:rsid w:val="00400179"/>
    <w:rsid w:val="00400180"/>
    <w:rsid w:val="004001E8"/>
    <w:rsid w:val="004002BA"/>
    <w:rsid w:val="004003A7"/>
    <w:rsid w:val="00400462"/>
    <w:rsid w:val="0040049C"/>
    <w:rsid w:val="004005BB"/>
    <w:rsid w:val="0040068F"/>
    <w:rsid w:val="0040071E"/>
    <w:rsid w:val="00400788"/>
    <w:rsid w:val="004009BA"/>
    <w:rsid w:val="00400A4B"/>
    <w:rsid w:val="00400A93"/>
    <w:rsid w:val="00400BDB"/>
    <w:rsid w:val="00400DB7"/>
    <w:rsid w:val="00400F14"/>
    <w:rsid w:val="00400F1A"/>
    <w:rsid w:val="004010C9"/>
    <w:rsid w:val="0040112D"/>
    <w:rsid w:val="00401199"/>
    <w:rsid w:val="004011A0"/>
    <w:rsid w:val="004011D1"/>
    <w:rsid w:val="00401200"/>
    <w:rsid w:val="00401260"/>
    <w:rsid w:val="004012FD"/>
    <w:rsid w:val="00401499"/>
    <w:rsid w:val="004014A2"/>
    <w:rsid w:val="004016A5"/>
    <w:rsid w:val="0040173B"/>
    <w:rsid w:val="0040184D"/>
    <w:rsid w:val="00401939"/>
    <w:rsid w:val="00401A2B"/>
    <w:rsid w:val="00401AF0"/>
    <w:rsid w:val="00401B67"/>
    <w:rsid w:val="00401CCA"/>
    <w:rsid w:val="00401EAD"/>
    <w:rsid w:val="00401F69"/>
    <w:rsid w:val="00402320"/>
    <w:rsid w:val="00402464"/>
    <w:rsid w:val="004024EF"/>
    <w:rsid w:val="0040258C"/>
    <w:rsid w:val="004025E7"/>
    <w:rsid w:val="004025E8"/>
    <w:rsid w:val="00402711"/>
    <w:rsid w:val="0040273B"/>
    <w:rsid w:val="00402792"/>
    <w:rsid w:val="004027A7"/>
    <w:rsid w:val="004027E5"/>
    <w:rsid w:val="004027F1"/>
    <w:rsid w:val="004028EF"/>
    <w:rsid w:val="00402905"/>
    <w:rsid w:val="0040290E"/>
    <w:rsid w:val="00402992"/>
    <w:rsid w:val="004029A3"/>
    <w:rsid w:val="004029CA"/>
    <w:rsid w:val="00402AD6"/>
    <w:rsid w:val="00402BD9"/>
    <w:rsid w:val="00402C45"/>
    <w:rsid w:val="00402CE2"/>
    <w:rsid w:val="00402F97"/>
    <w:rsid w:val="0040304E"/>
    <w:rsid w:val="0040306B"/>
    <w:rsid w:val="004031BB"/>
    <w:rsid w:val="004031F7"/>
    <w:rsid w:val="00403222"/>
    <w:rsid w:val="00403253"/>
    <w:rsid w:val="004033AB"/>
    <w:rsid w:val="0040351A"/>
    <w:rsid w:val="0040356D"/>
    <w:rsid w:val="004036F0"/>
    <w:rsid w:val="004037B7"/>
    <w:rsid w:val="00403803"/>
    <w:rsid w:val="004039CC"/>
    <w:rsid w:val="004039DB"/>
    <w:rsid w:val="00403AFC"/>
    <w:rsid w:val="00403CD1"/>
    <w:rsid w:val="00403D6B"/>
    <w:rsid w:val="00403DE9"/>
    <w:rsid w:val="00403E23"/>
    <w:rsid w:val="00403E94"/>
    <w:rsid w:val="00404363"/>
    <w:rsid w:val="004043A0"/>
    <w:rsid w:val="004043E2"/>
    <w:rsid w:val="0040440F"/>
    <w:rsid w:val="00404421"/>
    <w:rsid w:val="00404423"/>
    <w:rsid w:val="004044AE"/>
    <w:rsid w:val="00404518"/>
    <w:rsid w:val="0040468B"/>
    <w:rsid w:val="0040476F"/>
    <w:rsid w:val="00404853"/>
    <w:rsid w:val="004049C6"/>
    <w:rsid w:val="00404B2D"/>
    <w:rsid w:val="00404B93"/>
    <w:rsid w:val="00404C2D"/>
    <w:rsid w:val="00404F5A"/>
    <w:rsid w:val="00405122"/>
    <w:rsid w:val="004052AE"/>
    <w:rsid w:val="00405357"/>
    <w:rsid w:val="004053AD"/>
    <w:rsid w:val="00405499"/>
    <w:rsid w:val="0040554B"/>
    <w:rsid w:val="00405583"/>
    <w:rsid w:val="004055E3"/>
    <w:rsid w:val="0040568A"/>
    <w:rsid w:val="00405716"/>
    <w:rsid w:val="00405738"/>
    <w:rsid w:val="0040574A"/>
    <w:rsid w:val="004057B8"/>
    <w:rsid w:val="004058A1"/>
    <w:rsid w:val="004059E4"/>
    <w:rsid w:val="00405A38"/>
    <w:rsid w:val="00405C10"/>
    <w:rsid w:val="00405C73"/>
    <w:rsid w:val="00405C76"/>
    <w:rsid w:val="00405D16"/>
    <w:rsid w:val="00405F49"/>
    <w:rsid w:val="004060F9"/>
    <w:rsid w:val="00406191"/>
    <w:rsid w:val="004061DD"/>
    <w:rsid w:val="00406226"/>
    <w:rsid w:val="00406297"/>
    <w:rsid w:val="004062D1"/>
    <w:rsid w:val="004063B8"/>
    <w:rsid w:val="00406440"/>
    <w:rsid w:val="00406488"/>
    <w:rsid w:val="004065AC"/>
    <w:rsid w:val="004065BA"/>
    <w:rsid w:val="004066FF"/>
    <w:rsid w:val="0040672F"/>
    <w:rsid w:val="004067B9"/>
    <w:rsid w:val="0040687A"/>
    <w:rsid w:val="00406970"/>
    <w:rsid w:val="0040697F"/>
    <w:rsid w:val="00406999"/>
    <w:rsid w:val="004069ED"/>
    <w:rsid w:val="00406A11"/>
    <w:rsid w:val="00406AE5"/>
    <w:rsid w:val="00406B0B"/>
    <w:rsid w:val="00406E7C"/>
    <w:rsid w:val="0040700D"/>
    <w:rsid w:val="00407092"/>
    <w:rsid w:val="004070B1"/>
    <w:rsid w:val="0040718E"/>
    <w:rsid w:val="004072D8"/>
    <w:rsid w:val="00407368"/>
    <w:rsid w:val="0040764A"/>
    <w:rsid w:val="0040769F"/>
    <w:rsid w:val="004076F6"/>
    <w:rsid w:val="00407882"/>
    <w:rsid w:val="004079E3"/>
    <w:rsid w:val="00407B89"/>
    <w:rsid w:val="00407BDA"/>
    <w:rsid w:val="00407D46"/>
    <w:rsid w:val="00407E02"/>
    <w:rsid w:val="00407F68"/>
    <w:rsid w:val="00407FC3"/>
    <w:rsid w:val="00410117"/>
    <w:rsid w:val="00410377"/>
    <w:rsid w:val="004103E8"/>
    <w:rsid w:val="0041047B"/>
    <w:rsid w:val="004104E8"/>
    <w:rsid w:val="00410561"/>
    <w:rsid w:val="004105BA"/>
    <w:rsid w:val="00410677"/>
    <w:rsid w:val="0041069C"/>
    <w:rsid w:val="004106C0"/>
    <w:rsid w:val="0041083A"/>
    <w:rsid w:val="00410902"/>
    <w:rsid w:val="0041091E"/>
    <w:rsid w:val="00410985"/>
    <w:rsid w:val="00410ADA"/>
    <w:rsid w:val="00410CFE"/>
    <w:rsid w:val="00410D56"/>
    <w:rsid w:val="004110C3"/>
    <w:rsid w:val="004111B3"/>
    <w:rsid w:val="00411258"/>
    <w:rsid w:val="004112D8"/>
    <w:rsid w:val="00411359"/>
    <w:rsid w:val="004114B8"/>
    <w:rsid w:val="00411658"/>
    <w:rsid w:val="00411694"/>
    <w:rsid w:val="0041171B"/>
    <w:rsid w:val="0041172A"/>
    <w:rsid w:val="004118E7"/>
    <w:rsid w:val="00411A57"/>
    <w:rsid w:val="00411A99"/>
    <w:rsid w:val="00411AB4"/>
    <w:rsid w:val="00411AB9"/>
    <w:rsid w:val="00411E01"/>
    <w:rsid w:val="00411FA8"/>
    <w:rsid w:val="00412038"/>
    <w:rsid w:val="004120AC"/>
    <w:rsid w:val="00412286"/>
    <w:rsid w:val="0041229C"/>
    <w:rsid w:val="00412395"/>
    <w:rsid w:val="004125D4"/>
    <w:rsid w:val="004127A9"/>
    <w:rsid w:val="004128CA"/>
    <w:rsid w:val="004128EE"/>
    <w:rsid w:val="004128FC"/>
    <w:rsid w:val="00412993"/>
    <w:rsid w:val="004129B8"/>
    <w:rsid w:val="00412A0F"/>
    <w:rsid w:val="00412AB8"/>
    <w:rsid w:val="00412B64"/>
    <w:rsid w:val="00412CF0"/>
    <w:rsid w:val="00412D7E"/>
    <w:rsid w:val="00412E36"/>
    <w:rsid w:val="00412E39"/>
    <w:rsid w:val="00412E99"/>
    <w:rsid w:val="00412FEC"/>
    <w:rsid w:val="004130B8"/>
    <w:rsid w:val="00413118"/>
    <w:rsid w:val="00413145"/>
    <w:rsid w:val="00413177"/>
    <w:rsid w:val="00413231"/>
    <w:rsid w:val="00413247"/>
    <w:rsid w:val="00413447"/>
    <w:rsid w:val="004134F6"/>
    <w:rsid w:val="0041352C"/>
    <w:rsid w:val="0041364B"/>
    <w:rsid w:val="004137A6"/>
    <w:rsid w:val="00413A61"/>
    <w:rsid w:val="00413AB2"/>
    <w:rsid w:val="00413AD4"/>
    <w:rsid w:val="00413AE2"/>
    <w:rsid w:val="00413CAD"/>
    <w:rsid w:val="00413E59"/>
    <w:rsid w:val="00413EC8"/>
    <w:rsid w:val="00414112"/>
    <w:rsid w:val="00414119"/>
    <w:rsid w:val="00414651"/>
    <w:rsid w:val="004146BF"/>
    <w:rsid w:val="004149EE"/>
    <w:rsid w:val="00414A4B"/>
    <w:rsid w:val="00414B8E"/>
    <w:rsid w:val="00414BBA"/>
    <w:rsid w:val="00414C13"/>
    <w:rsid w:val="00414C9B"/>
    <w:rsid w:val="00414CE7"/>
    <w:rsid w:val="00414D8F"/>
    <w:rsid w:val="00414DA3"/>
    <w:rsid w:val="00414E1F"/>
    <w:rsid w:val="00414F43"/>
    <w:rsid w:val="00414F7F"/>
    <w:rsid w:val="004150EA"/>
    <w:rsid w:val="004150F7"/>
    <w:rsid w:val="00415122"/>
    <w:rsid w:val="004151E9"/>
    <w:rsid w:val="00415228"/>
    <w:rsid w:val="0041523E"/>
    <w:rsid w:val="0041527B"/>
    <w:rsid w:val="004152B3"/>
    <w:rsid w:val="004152E3"/>
    <w:rsid w:val="00415372"/>
    <w:rsid w:val="00415389"/>
    <w:rsid w:val="00415482"/>
    <w:rsid w:val="0041548C"/>
    <w:rsid w:val="004154B1"/>
    <w:rsid w:val="004155F1"/>
    <w:rsid w:val="0041594A"/>
    <w:rsid w:val="00415954"/>
    <w:rsid w:val="00415A04"/>
    <w:rsid w:val="00415AF4"/>
    <w:rsid w:val="00415BA3"/>
    <w:rsid w:val="00415BDA"/>
    <w:rsid w:val="00415CCE"/>
    <w:rsid w:val="00415DC2"/>
    <w:rsid w:val="00415E33"/>
    <w:rsid w:val="00416240"/>
    <w:rsid w:val="00416271"/>
    <w:rsid w:val="00416280"/>
    <w:rsid w:val="004163F3"/>
    <w:rsid w:val="0041643C"/>
    <w:rsid w:val="004164AE"/>
    <w:rsid w:val="004164B2"/>
    <w:rsid w:val="00416803"/>
    <w:rsid w:val="00416B47"/>
    <w:rsid w:val="00416CCA"/>
    <w:rsid w:val="00416CCF"/>
    <w:rsid w:val="00416D1E"/>
    <w:rsid w:val="00416D9D"/>
    <w:rsid w:val="00416E4B"/>
    <w:rsid w:val="00416EBA"/>
    <w:rsid w:val="00416EBB"/>
    <w:rsid w:val="00416FF2"/>
    <w:rsid w:val="004170E7"/>
    <w:rsid w:val="004171B9"/>
    <w:rsid w:val="004171E7"/>
    <w:rsid w:val="004172E7"/>
    <w:rsid w:val="004174AF"/>
    <w:rsid w:val="004174C4"/>
    <w:rsid w:val="0041781D"/>
    <w:rsid w:val="0041788F"/>
    <w:rsid w:val="004178FC"/>
    <w:rsid w:val="00417D5C"/>
    <w:rsid w:val="00417E3A"/>
    <w:rsid w:val="00417E42"/>
    <w:rsid w:val="00417EC7"/>
    <w:rsid w:val="00417F9A"/>
    <w:rsid w:val="00420004"/>
    <w:rsid w:val="00420354"/>
    <w:rsid w:val="0042036C"/>
    <w:rsid w:val="004203AD"/>
    <w:rsid w:val="0042049B"/>
    <w:rsid w:val="00420529"/>
    <w:rsid w:val="004206BE"/>
    <w:rsid w:val="00420782"/>
    <w:rsid w:val="00420793"/>
    <w:rsid w:val="004207B9"/>
    <w:rsid w:val="00420926"/>
    <w:rsid w:val="00420949"/>
    <w:rsid w:val="0042094E"/>
    <w:rsid w:val="00420997"/>
    <w:rsid w:val="00420AA8"/>
    <w:rsid w:val="00420C3E"/>
    <w:rsid w:val="00420C84"/>
    <w:rsid w:val="00420CAD"/>
    <w:rsid w:val="00420D8B"/>
    <w:rsid w:val="0042109F"/>
    <w:rsid w:val="00421300"/>
    <w:rsid w:val="00421394"/>
    <w:rsid w:val="00421458"/>
    <w:rsid w:val="00421655"/>
    <w:rsid w:val="0042175A"/>
    <w:rsid w:val="004217B0"/>
    <w:rsid w:val="004217BF"/>
    <w:rsid w:val="00421C0D"/>
    <w:rsid w:val="00421C65"/>
    <w:rsid w:val="00421D11"/>
    <w:rsid w:val="00421D8A"/>
    <w:rsid w:val="00421EFD"/>
    <w:rsid w:val="00421EFF"/>
    <w:rsid w:val="00421F24"/>
    <w:rsid w:val="00421F46"/>
    <w:rsid w:val="00421FA5"/>
    <w:rsid w:val="0042200E"/>
    <w:rsid w:val="00422104"/>
    <w:rsid w:val="004221A4"/>
    <w:rsid w:val="0042229D"/>
    <w:rsid w:val="00422303"/>
    <w:rsid w:val="0042249E"/>
    <w:rsid w:val="004224BC"/>
    <w:rsid w:val="00422500"/>
    <w:rsid w:val="00422680"/>
    <w:rsid w:val="00422692"/>
    <w:rsid w:val="004226D4"/>
    <w:rsid w:val="00422704"/>
    <w:rsid w:val="00422731"/>
    <w:rsid w:val="00422757"/>
    <w:rsid w:val="0042280D"/>
    <w:rsid w:val="004228E6"/>
    <w:rsid w:val="00422AF4"/>
    <w:rsid w:val="00422BC1"/>
    <w:rsid w:val="00422E93"/>
    <w:rsid w:val="00422F00"/>
    <w:rsid w:val="00422F7D"/>
    <w:rsid w:val="00422F92"/>
    <w:rsid w:val="00422FC4"/>
    <w:rsid w:val="00422FFB"/>
    <w:rsid w:val="00423040"/>
    <w:rsid w:val="00423145"/>
    <w:rsid w:val="00423208"/>
    <w:rsid w:val="00423338"/>
    <w:rsid w:val="00423485"/>
    <w:rsid w:val="0042359A"/>
    <w:rsid w:val="004235B4"/>
    <w:rsid w:val="0042371D"/>
    <w:rsid w:val="004238FB"/>
    <w:rsid w:val="004239C2"/>
    <w:rsid w:val="00423C5E"/>
    <w:rsid w:val="00423C77"/>
    <w:rsid w:val="00423D91"/>
    <w:rsid w:val="00423DA9"/>
    <w:rsid w:val="00423F79"/>
    <w:rsid w:val="00423FD5"/>
    <w:rsid w:val="0042400D"/>
    <w:rsid w:val="0042411E"/>
    <w:rsid w:val="00424120"/>
    <w:rsid w:val="0042430C"/>
    <w:rsid w:val="004243FF"/>
    <w:rsid w:val="00424430"/>
    <w:rsid w:val="0042448D"/>
    <w:rsid w:val="00424555"/>
    <w:rsid w:val="0042464D"/>
    <w:rsid w:val="0042485A"/>
    <w:rsid w:val="0042489F"/>
    <w:rsid w:val="004248CC"/>
    <w:rsid w:val="00424920"/>
    <w:rsid w:val="004249C7"/>
    <w:rsid w:val="00424BA0"/>
    <w:rsid w:val="00424BA2"/>
    <w:rsid w:val="00424CD3"/>
    <w:rsid w:val="00424DBB"/>
    <w:rsid w:val="00424DD8"/>
    <w:rsid w:val="00424E23"/>
    <w:rsid w:val="00425199"/>
    <w:rsid w:val="004251E5"/>
    <w:rsid w:val="004251F8"/>
    <w:rsid w:val="0042526A"/>
    <w:rsid w:val="004255F5"/>
    <w:rsid w:val="004256F7"/>
    <w:rsid w:val="00425701"/>
    <w:rsid w:val="00425A7E"/>
    <w:rsid w:val="00425C75"/>
    <w:rsid w:val="00425E5B"/>
    <w:rsid w:val="00425E9A"/>
    <w:rsid w:val="0042612F"/>
    <w:rsid w:val="00426132"/>
    <w:rsid w:val="004261EB"/>
    <w:rsid w:val="00426267"/>
    <w:rsid w:val="0042630E"/>
    <w:rsid w:val="00426376"/>
    <w:rsid w:val="00426435"/>
    <w:rsid w:val="0042655C"/>
    <w:rsid w:val="004265BA"/>
    <w:rsid w:val="004265F5"/>
    <w:rsid w:val="00426696"/>
    <w:rsid w:val="004266FB"/>
    <w:rsid w:val="00426856"/>
    <w:rsid w:val="0042685C"/>
    <w:rsid w:val="004268D5"/>
    <w:rsid w:val="004269B6"/>
    <w:rsid w:val="004269CD"/>
    <w:rsid w:val="00426A47"/>
    <w:rsid w:val="00426AB3"/>
    <w:rsid w:val="00426C94"/>
    <w:rsid w:val="00426CF4"/>
    <w:rsid w:val="00426D16"/>
    <w:rsid w:val="00426D21"/>
    <w:rsid w:val="004271F5"/>
    <w:rsid w:val="004271FC"/>
    <w:rsid w:val="004272D5"/>
    <w:rsid w:val="004273B7"/>
    <w:rsid w:val="004273BB"/>
    <w:rsid w:val="004273FE"/>
    <w:rsid w:val="00427475"/>
    <w:rsid w:val="00427500"/>
    <w:rsid w:val="00427802"/>
    <w:rsid w:val="00427862"/>
    <w:rsid w:val="00427904"/>
    <w:rsid w:val="00427925"/>
    <w:rsid w:val="00427B21"/>
    <w:rsid w:val="00427D5F"/>
    <w:rsid w:val="00427DEF"/>
    <w:rsid w:val="00427E16"/>
    <w:rsid w:val="00427EDD"/>
    <w:rsid w:val="00427FB8"/>
    <w:rsid w:val="004300FA"/>
    <w:rsid w:val="004301E4"/>
    <w:rsid w:val="004301EB"/>
    <w:rsid w:val="004303AB"/>
    <w:rsid w:val="004304E6"/>
    <w:rsid w:val="00430542"/>
    <w:rsid w:val="004306EB"/>
    <w:rsid w:val="0043079E"/>
    <w:rsid w:val="004307D4"/>
    <w:rsid w:val="004309A4"/>
    <w:rsid w:val="00430A0E"/>
    <w:rsid w:val="00430A25"/>
    <w:rsid w:val="00430A38"/>
    <w:rsid w:val="00430A39"/>
    <w:rsid w:val="00430A6F"/>
    <w:rsid w:val="00430B69"/>
    <w:rsid w:val="00430C66"/>
    <w:rsid w:val="00430D68"/>
    <w:rsid w:val="00430E07"/>
    <w:rsid w:val="00430E0F"/>
    <w:rsid w:val="00430EAC"/>
    <w:rsid w:val="00430F96"/>
    <w:rsid w:val="00431012"/>
    <w:rsid w:val="0043129C"/>
    <w:rsid w:val="0043132E"/>
    <w:rsid w:val="004313CB"/>
    <w:rsid w:val="004319A6"/>
    <w:rsid w:val="00431A92"/>
    <w:rsid w:val="00431BA5"/>
    <w:rsid w:val="00431C3D"/>
    <w:rsid w:val="00431EB7"/>
    <w:rsid w:val="00431F0D"/>
    <w:rsid w:val="00431F10"/>
    <w:rsid w:val="004320C9"/>
    <w:rsid w:val="00432293"/>
    <w:rsid w:val="0043229F"/>
    <w:rsid w:val="004322D6"/>
    <w:rsid w:val="004323C9"/>
    <w:rsid w:val="00432549"/>
    <w:rsid w:val="004325BC"/>
    <w:rsid w:val="00432648"/>
    <w:rsid w:val="004326B6"/>
    <w:rsid w:val="004327FB"/>
    <w:rsid w:val="004328BA"/>
    <w:rsid w:val="00432977"/>
    <w:rsid w:val="00432B58"/>
    <w:rsid w:val="00432E12"/>
    <w:rsid w:val="00432EE5"/>
    <w:rsid w:val="0043304A"/>
    <w:rsid w:val="0043310E"/>
    <w:rsid w:val="004333E5"/>
    <w:rsid w:val="00433415"/>
    <w:rsid w:val="0043343D"/>
    <w:rsid w:val="00433525"/>
    <w:rsid w:val="0043357D"/>
    <w:rsid w:val="00433713"/>
    <w:rsid w:val="00433728"/>
    <w:rsid w:val="0043373D"/>
    <w:rsid w:val="00433852"/>
    <w:rsid w:val="00433A10"/>
    <w:rsid w:val="00433AAF"/>
    <w:rsid w:val="00433B14"/>
    <w:rsid w:val="00433BB5"/>
    <w:rsid w:val="00433C2F"/>
    <w:rsid w:val="00433DDD"/>
    <w:rsid w:val="00433F2B"/>
    <w:rsid w:val="00433FE1"/>
    <w:rsid w:val="00434348"/>
    <w:rsid w:val="004344A0"/>
    <w:rsid w:val="00434536"/>
    <w:rsid w:val="004346FF"/>
    <w:rsid w:val="0043477F"/>
    <w:rsid w:val="00434817"/>
    <w:rsid w:val="004348BF"/>
    <w:rsid w:val="00434A50"/>
    <w:rsid w:val="00434A60"/>
    <w:rsid w:val="00434A7B"/>
    <w:rsid w:val="00434ABE"/>
    <w:rsid w:val="00434BB7"/>
    <w:rsid w:val="0043517B"/>
    <w:rsid w:val="004353CF"/>
    <w:rsid w:val="0043546F"/>
    <w:rsid w:val="00435598"/>
    <w:rsid w:val="0043598F"/>
    <w:rsid w:val="00435A79"/>
    <w:rsid w:val="00435AC9"/>
    <w:rsid w:val="00435ACD"/>
    <w:rsid w:val="00435C00"/>
    <w:rsid w:val="00435DF3"/>
    <w:rsid w:val="00436273"/>
    <w:rsid w:val="00436324"/>
    <w:rsid w:val="00436379"/>
    <w:rsid w:val="00436385"/>
    <w:rsid w:val="00436564"/>
    <w:rsid w:val="00436602"/>
    <w:rsid w:val="0043660A"/>
    <w:rsid w:val="0043661F"/>
    <w:rsid w:val="004366B9"/>
    <w:rsid w:val="004369B1"/>
    <w:rsid w:val="00436A4E"/>
    <w:rsid w:val="00436A59"/>
    <w:rsid w:val="00436A8E"/>
    <w:rsid w:val="00436ABC"/>
    <w:rsid w:val="00436B09"/>
    <w:rsid w:val="00436D75"/>
    <w:rsid w:val="00436DF8"/>
    <w:rsid w:val="00436E2B"/>
    <w:rsid w:val="00436EB6"/>
    <w:rsid w:val="004371BF"/>
    <w:rsid w:val="004371EF"/>
    <w:rsid w:val="00437266"/>
    <w:rsid w:val="004372EC"/>
    <w:rsid w:val="00437377"/>
    <w:rsid w:val="00437398"/>
    <w:rsid w:val="004373DB"/>
    <w:rsid w:val="00437404"/>
    <w:rsid w:val="004374DE"/>
    <w:rsid w:val="00437898"/>
    <w:rsid w:val="004378B9"/>
    <w:rsid w:val="004378D9"/>
    <w:rsid w:val="00437ABF"/>
    <w:rsid w:val="00437B99"/>
    <w:rsid w:val="00437B9D"/>
    <w:rsid w:val="00437BEC"/>
    <w:rsid w:val="00437D2B"/>
    <w:rsid w:val="00437E79"/>
    <w:rsid w:val="00437E94"/>
    <w:rsid w:val="004400B3"/>
    <w:rsid w:val="004400DD"/>
    <w:rsid w:val="00440154"/>
    <w:rsid w:val="0044024C"/>
    <w:rsid w:val="004402E6"/>
    <w:rsid w:val="0044043F"/>
    <w:rsid w:val="004404CE"/>
    <w:rsid w:val="00440553"/>
    <w:rsid w:val="004405DC"/>
    <w:rsid w:val="0044062D"/>
    <w:rsid w:val="0044063F"/>
    <w:rsid w:val="00440687"/>
    <w:rsid w:val="0044079B"/>
    <w:rsid w:val="004407CE"/>
    <w:rsid w:val="004407D7"/>
    <w:rsid w:val="004409FF"/>
    <w:rsid w:val="00440BB8"/>
    <w:rsid w:val="00440BD9"/>
    <w:rsid w:val="00440D70"/>
    <w:rsid w:val="00440D77"/>
    <w:rsid w:val="00440D80"/>
    <w:rsid w:val="00440D85"/>
    <w:rsid w:val="00440ECC"/>
    <w:rsid w:val="00440F75"/>
    <w:rsid w:val="00440F7E"/>
    <w:rsid w:val="00440F84"/>
    <w:rsid w:val="0044102A"/>
    <w:rsid w:val="00441182"/>
    <w:rsid w:val="004411E7"/>
    <w:rsid w:val="004412F8"/>
    <w:rsid w:val="004413BE"/>
    <w:rsid w:val="00441764"/>
    <w:rsid w:val="004418F2"/>
    <w:rsid w:val="00441B63"/>
    <w:rsid w:val="00441C44"/>
    <w:rsid w:val="00441CD1"/>
    <w:rsid w:val="00441E44"/>
    <w:rsid w:val="00441EE2"/>
    <w:rsid w:val="0044207D"/>
    <w:rsid w:val="0044214E"/>
    <w:rsid w:val="00442382"/>
    <w:rsid w:val="00442479"/>
    <w:rsid w:val="004424E7"/>
    <w:rsid w:val="0044256A"/>
    <w:rsid w:val="00442673"/>
    <w:rsid w:val="004426F4"/>
    <w:rsid w:val="00442783"/>
    <w:rsid w:val="00442A2F"/>
    <w:rsid w:val="00442A79"/>
    <w:rsid w:val="00442C2E"/>
    <w:rsid w:val="00442D03"/>
    <w:rsid w:val="00442D0A"/>
    <w:rsid w:val="00442E5E"/>
    <w:rsid w:val="00442E66"/>
    <w:rsid w:val="00442EBE"/>
    <w:rsid w:val="004432FD"/>
    <w:rsid w:val="00443351"/>
    <w:rsid w:val="0044336C"/>
    <w:rsid w:val="004433B1"/>
    <w:rsid w:val="0044343D"/>
    <w:rsid w:val="00443728"/>
    <w:rsid w:val="004438E5"/>
    <w:rsid w:val="004438E7"/>
    <w:rsid w:val="004438FD"/>
    <w:rsid w:val="00443B96"/>
    <w:rsid w:val="00443F39"/>
    <w:rsid w:val="00443F89"/>
    <w:rsid w:val="00444056"/>
    <w:rsid w:val="00444188"/>
    <w:rsid w:val="00444210"/>
    <w:rsid w:val="00444238"/>
    <w:rsid w:val="00444291"/>
    <w:rsid w:val="0044435D"/>
    <w:rsid w:val="00444384"/>
    <w:rsid w:val="00444475"/>
    <w:rsid w:val="00444519"/>
    <w:rsid w:val="00444527"/>
    <w:rsid w:val="00444580"/>
    <w:rsid w:val="0044464C"/>
    <w:rsid w:val="004447DF"/>
    <w:rsid w:val="004448D2"/>
    <w:rsid w:val="0044492C"/>
    <w:rsid w:val="00444A17"/>
    <w:rsid w:val="00444A42"/>
    <w:rsid w:val="00444BCD"/>
    <w:rsid w:val="00444C38"/>
    <w:rsid w:val="00444C95"/>
    <w:rsid w:val="00444DEB"/>
    <w:rsid w:val="00444E21"/>
    <w:rsid w:val="00444E38"/>
    <w:rsid w:val="00444FC7"/>
    <w:rsid w:val="0044507D"/>
    <w:rsid w:val="004450F6"/>
    <w:rsid w:val="00445164"/>
    <w:rsid w:val="004451B0"/>
    <w:rsid w:val="00445395"/>
    <w:rsid w:val="0044546F"/>
    <w:rsid w:val="004456B3"/>
    <w:rsid w:val="00445727"/>
    <w:rsid w:val="00445733"/>
    <w:rsid w:val="00445AB7"/>
    <w:rsid w:val="00445C0E"/>
    <w:rsid w:val="00445C2F"/>
    <w:rsid w:val="00445E8D"/>
    <w:rsid w:val="0044600A"/>
    <w:rsid w:val="0044614B"/>
    <w:rsid w:val="00446154"/>
    <w:rsid w:val="0044629D"/>
    <w:rsid w:val="00446396"/>
    <w:rsid w:val="004464E5"/>
    <w:rsid w:val="0044654D"/>
    <w:rsid w:val="004465BF"/>
    <w:rsid w:val="004465E5"/>
    <w:rsid w:val="00446682"/>
    <w:rsid w:val="00446714"/>
    <w:rsid w:val="0044688F"/>
    <w:rsid w:val="0044698F"/>
    <w:rsid w:val="00446A10"/>
    <w:rsid w:val="00446AB8"/>
    <w:rsid w:val="00446B4D"/>
    <w:rsid w:val="00446BE5"/>
    <w:rsid w:val="00446D72"/>
    <w:rsid w:val="00446E4D"/>
    <w:rsid w:val="00446E8F"/>
    <w:rsid w:val="00446F32"/>
    <w:rsid w:val="0044705A"/>
    <w:rsid w:val="004470D4"/>
    <w:rsid w:val="00447110"/>
    <w:rsid w:val="00447149"/>
    <w:rsid w:val="0044714E"/>
    <w:rsid w:val="00447156"/>
    <w:rsid w:val="004471AC"/>
    <w:rsid w:val="00447240"/>
    <w:rsid w:val="00447262"/>
    <w:rsid w:val="00447270"/>
    <w:rsid w:val="004472F8"/>
    <w:rsid w:val="004472FE"/>
    <w:rsid w:val="004473B8"/>
    <w:rsid w:val="00447464"/>
    <w:rsid w:val="004474B3"/>
    <w:rsid w:val="0044758A"/>
    <w:rsid w:val="004476A3"/>
    <w:rsid w:val="0044770F"/>
    <w:rsid w:val="004477E4"/>
    <w:rsid w:val="0044795E"/>
    <w:rsid w:val="00447A6E"/>
    <w:rsid w:val="00447C5B"/>
    <w:rsid w:val="00447C74"/>
    <w:rsid w:val="00447D74"/>
    <w:rsid w:val="00447D8F"/>
    <w:rsid w:val="00447F24"/>
    <w:rsid w:val="00447F5F"/>
    <w:rsid w:val="00447FA1"/>
    <w:rsid w:val="00450014"/>
    <w:rsid w:val="0045027B"/>
    <w:rsid w:val="00450380"/>
    <w:rsid w:val="00450445"/>
    <w:rsid w:val="00450474"/>
    <w:rsid w:val="00450562"/>
    <w:rsid w:val="00450673"/>
    <w:rsid w:val="0045077A"/>
    <w:rsid w:val="004508A1"/>
    <w:rsid w:val="00450A8D"/>
    <w:rsid w:val="00450B53"/>
    <w:rsid w:val="00450BA0"/>
    <w:rsid w:val="00450C01"/>
    <w:rsid w:val="00450C42"/>
    <w:rsid w:val="00450C75"/>
    <w:rsid w:val="00450CD2"/>
    <w:rsid w:val="00450F00"/>
    <w:rsid w:val="00450FCF"/>
    <w:rsid w:val="0045105F"/>
    <w:rsid w:val="004510DB"/>
    <w:rsid w:val="004511F6"/>
    <w:rsid w:val="00451225"/>
    <w:rsid w:val="0045131F"/>
    <w:rsid w:val="00451382"/>
    <w:rsid w:val="004515BC"/>
    <w:rsid w:val="00451672"/>
    <w:rsid w:val="0045169B"/>
    <w:rsid w:val="004517A6"/>
    <w:rsid w:val="004517D8"/>
    <w:rsid w:val="0045186F"/>
    <w:rsid w:val="0045190E"/>
    <w:rsid w:val="00451970"/>
    <w:rsid w:val="00451B9B"/>
    <w:rsid w:val="00451C43"/>
    <w:rsid w:val="00451CD9"/>
    <w:rsid w:val="00451D42"/>
    <w:rsid w:val="00451FFD"/>
    <w:rsid w:val="00452036"/>
    <w:rsid w:val="00452056"/>
    <w:rsid w:val="0045213B"/>
    <w:rsid w:val="00452146"/>
    <w:rsid w:val="004521B5"/>
    <w:rsid w:val="004522FE"/>
    <w:rsid w:val="00452332"/>
    <w:rsid w:val="004524ED"/>
    <w:rsid w:val="00452576"/>
    <w:rsid w:val="00452679"/>
    <w:rsid w:val="0045288E"/>
    <w:rsid w:val="004528B3"/>
    <w:rsid w:val="004528EB"/>
    <w:rsid w:val="00452A15"/>
    <w:rsid w:val="00452A69"/>
    <w:rsid w:val="00452AD1"/>
    <w:rsid w:val="00452CC3"/>
    <w:rsid w:val="00452CC7"/>
    <w:rsid w:val="00452CE5"/>
    <w:rsid w:val="00452D78"/>
    <w:rsid w:val="00452D81"/>
    <w:rsid w:val="00452DB3"/>
    <w:rsid w:val="00452DF2"/>
    <w:rsid w:val="00452E03"/>
    <w:rsid w:val="00452E4C"/>
    <w:rsid w:val="004530D1"/>
    <w:rsid w:val="004530F9"/>
    <w:rsid w:val="004531BE"/>
    <w:rsid w:val="00453614"/>
    <w:rsid w:val="004536ED"/>
    <w:rsid w:val="00453710"/>
    <w:rsid w:val="00453926"/>
    <w:rsid w:val="004539D2"/>
    <w:rsid w:val="00453AD2"/>
    <w:rsid w:val="00453B3C"/>
    <w:rsid w:val="00453CF1"/>
    <w:rsid w:val="00453F81"/>
    <w:rsid w:val="004541B5"/>
    <w:rsid w:val="00454281"/>
    <w:rsid w:val="00454316"/>
    <w:rsid w:val="004543B3"/>
    <w:rsid w:val="004544BE"/>
    <w:rsid w:val="004545C8"/>
    <w:rsid w:val="0045460E"/>
    <w:rsid w:val="00454762"/>
    <w:rsid w:val="004547B0"/>
    <w:rsid w:val="00454808"/>
    <w:rsid w:val="00454893"/>
    <w:rsid w:val="004548C9"/>
    <w:rsid w:val="00454BC1"/>
    <w:rsid w:val="00454D02"/>
    <w:rsid w:val="00454D64"/>
    <w:rsid w:val="00454DAF"/>
    <w:rsid w:val="00454F7D"/>
    <w:rsid w:val="0045502E"/>
    <w:rsid w:val="00455177"/>
    <w:rsid w:val="004551E5"/>
    <w:rsid w:val="0045528C"/>
    <w:rsid w:val="00455386"/>
    <w:rsid w:val="0045538C"/>
    <w:rsid w:val="0045539B"/>
    <w:rsid w:val="00455457"/>
    <w:rsid w:val="004555BE"/>
    <w:rsid w:val="004555FF"/>
    <w:rsid w:val="00455646"/>
    <w:rsid w:val="004558AF"/>
    <w:rsid w:val="004559AB"/>
    <w:rsid w:val="004559FA"/>
    <w:rsid w:val="00455B9A"/>
    <w:rsid w:val="00455C6B"/>
    <w:rsid w:val="00455D86"/>
    <w:rsid w:val="00455E4A"/>
    <w:rsid w:val="004560FD"/>
    <w:rsid w:val="00456142"/>
    <w:rsid w:val="004561D5"/>
    <w:rsid w:val="004561ED"/>
    <w:rsid w:val="004562B7"/>
    <w:rsid w:val="0045632C"/>
    <w:rsid w:val="004563D9"/>
    <w:rsid w:val="004565CB"/>
    <w:rsid w:val="00456662"/>
    <w:rsid w:val="00456748"/>
    <w:rsid w:val="00456861"/>
    <w:rsid w:val="0045687B"/>
    <w:rsid w:val="004568E4"/>
    <w:rsid w:val="0045691F"/>
    <w:rsid w:val="00456963"/>
    <w:rsid w:val="00456A1D"/>
    <w:rsid w:val="00456A3B"/>
    <w:rsid w:val="00456B85"/>
    <w:rsid w:val="00456C3A"/>
    <w:rsid w:val="00456D0F"/>
    <w:rsid w:val="00456D47"/>
    <w:rsid w:val="00456E6D"/>
    <w:rsid w:val="00456F25"/>
    <w:rsid w:val="00456F6D"/>
    <w:rsid w:val="0045700A"/>
    <w:rsid w:val="00457075"/>
    <w:rsid w:val="004570D5"/>
    <w:rsid w:val="0045715D"/>
    <w:rsid w:val="00457176"/>
    <w:rsid w:val="00457214"/>
    <w:rsid w:val="00457323"/>
    <w:rsid w:val="00457359"/>
    <w:rsid w:val="004574A5"/>
    <w:rsid w:val="00457747"/>
    <w:rsid w:val="004577E3"/>
    <w:rsid w:val="0045786F"/>
    <w:rsid w:val="0045797C"/>
    <w:rsid w:val="00457B4E"/>
    <w:rsid w:val="00457BB1"/>
    <w:rsid w:val="00457D01"/>
    <w:rsid w:val="00457D40"/>
    <w:rsid w:val="00457EE7"/>
    <w:rsid w:val="00457F00"/>
    <w:rsid w:val="00457F02"/>
    <w:rsid w:val="00460080"/>
    <w:rsid w:val="004600B4"/>
    <w:rsid w:val="00460108"/>
    <w:rsid w:val="0046032C"/>
    <w:rsid w:val="004603BB"/>
    <w:rsid w:val="004603BF"/>
    <w:rsid w:val="004603F7"/>
    <w:rsid w:val="00460449"/>
    <w:rsid w:val="00460544"/>
    <w:rsid w:val="0046075E"/>
    <w:rsid w:val="00460873"/>
    <w:rsid w:val="004608B6"/>
    <w:rsid w:val="004608CD"/>
    <w:rsid w:val="0046092C"/>
    <w:rsid w:val="00460969"/>
    <w:rsid w:val="00460B11"/>
    <w:rsid w:val="00460BB3"/>
    <w:rsid w:val="00460BF8"/>
    <w:rsid w:val="00460D3C"/>
    <w:rsid w:val="00460D68"/>
    <w:rsid w:val="00460DD3"/>
    <w:rsid w:val="00460DFD"/>
    <w:rsid w:val="00460F4E"/>
    <w:rsid w:val="0046105F"/>
    <w:rsid w:val="004610A5"/>
    <w:rsid w:val="0046112D"/>
    <w:rsid w:val="004611C0"/>
    <w:rsid w:val="004611C9"/>
    <w:rsid w:val="00461365"/>
    <w:rsid w:val="0046156B"/>
    <w:rsid w:val="004616DB"/>
    <w:rsid w:val="004616EC"/>
    <w:rsid w:val="0046187E"/>
    <w:rsid w:val="0046189D"/>
    <w:rsid w:val="004619BE"/>
    <w:rsid w:val="00461B3F"/>
    <w:rsid w:val="00461B42"/>
    <w:rsid w:val="00461B9D"/>
    <w:rsid w:val="00461CFB"/>
    <w:rsid w:val="00461DD1"/>
    <w:rsid w:val="00461ECF"/>
    <w:rsid w:val="00461EDC"/>
    <w:rsid w:val="00461F1A"/>
    <w:rsid w:val="0046204E"/>
    <w:rsid w:val="0046216A"/>
    <w:rsid w:val="00462174"/>
    <w:rsid w:val="0046220B"/>
    <w:rsid w:val="00462302"/>
    <w:rsid w:val="00462346"/>
    <w:rsid w:val="00462396"/>
    <w:rsid w:val="0046244C"/>
    <w:rsid w:val="00462638"/>
    <w:rsid w:val="004626C5"/>
    <w:rsid w:val="004626E3"/>
    <w:rsid w:val="004626FC"/>
    <w:rsid w:val="00462761"/>
    <w:rsid w:val="00462977"/>
    <w:rsid w:val="00462BBB"/>
    <w:rsid w:val="00462BC8"/>
    <w:rsid w:val="00462CC2"/>
    <w:rsid w:val="00462E6C"/>
    <w:rsid w:val="00462EB3"/>
    <w:rsid w:val="00462F46"/>
    <w:rsid w:val="00462F6A"/>
    <w:rsid w:val="0046303C"/>
    <w:rsid w:val="00463467"/>
    <w:rsid w:val="00463501"/>
    <w:rsid w:val="004635F1"/>
    <w:rsid w:val="0046363D"/>
    <w:rsid w:val="00463880"/>
    <w:rsid w:val="0046390F"/>
    <w:rsid w:val="0046396F"/>
    <w:rsid w:val="00463A5D"/>
    <w:rsid w:val="00463AD2"/>
    <w:rsid w:val="00463C04"/>
    <w:rsid w:val="00463C15"/>
    <w:rsid w:val="00463D43"/>
    <w:rsid w:val="00463D59"/>
    <w:rsid w:val="00463D6A"/>
    <w:rsid w:val="00463E07"/>
    <w:rsid w:val="00463E9B"/>
    <w:rsid w:val="00463F2E"/>
    <w:rsid w:val="00463FED"/>
    <w:rsid w:val="00464060"/>
    <w:rsid w:val="004640A3"/>
    <w:rsid w:val="004641A5"/>
    <w:rsid w:val="00464469"/>
    <w:rsid w:val="004644A3"/>
    <w:rsid w:val="00464529"/>
    <w:rsid w:val="0046459E"/>
    <w:rsid w:val="004645A5"/>
    <w:rsid w:val="004645FB"/>
    <w:rsid w:val="00464625"/>
    <w:rsid w:val="0046470A"/>
    <w:rsid w:val="0046473E"/>
    <w:rsid w:val="00464827"/>
    <w:rsid w:val="004649C5"/>
    <w:rsid w:val="00464A0F"/>
    <w:rsid w:val="00464A97"/>
    <w:rsid w:val="00464B39"/>
    <w:rsid w:val="00464C3E"/>
    <w:rsid w:val="00464E5A"/>
    <w:rsid w:val="00464EA7"/>
    <w:rsid w:val="00464F1E"/>
    <w:rsid w:val="00464F49"/>
    <w:rsid w:val="00464F96"/>
    <w:rsid w:val="00464FF6"/>
    <w:rsid w:val="00465058"/>
    <w:rsid w:val="0046505F"/>
    <w:rsid w:val="00465153"/>
    <w:rsid w:val="00465184"/>
    <w:rsid w:val="004652B5"/>
    <w:rsid w:val="00465681"/>
    <w:rsid w:val="00465776"/>
    <w:rsid w:val="004657FE"/>
    <w:rsid w:val="0046587C"/>
    <w:rsid w:val="004658C1"/>
    <w:rsid w:val="00465923"/>
    <w:rsid w:val="004659DE"/>
    <w:rsid w:val="004659F1"/>
    <w:rsid w:val="00465ABF"/>
    <w:rsid w:val="00465C34"/>
    <w:rsid w:val="00465D02"/>
    <w:rsid w:val="00465EB5"/>
    <w:rsid w:val="00466133"/>
    <w:rsid w:val="004661A4"/>
    <w:rsid w:val="00466223"/>
    <w:rsid w:val="0046626D"/>
    <w:rsid w:val="00466329"/>
    <w:rsid w:val="00466370"/>
    <w:rsid w:val="00466494"/>
    <w:rsid w:val="00466688"/>
    <w:rsid w:val="004666F0"/>
    <w:rsid w:val="00466708"/>
    <w:rsid w:val="00466709"/>
    <w:rsid w:val="004667BA"/>
    <w:rsid w:val="0046685E"/>
    <w:rsid w:val="00466909"/>
    <w:rsid w:val="004669A7"/>
    <w:rsid w:val="004669C8"/>
    <w:rsid w:val="00466A44"/>
    <w:rsid w:val="00466C09"/>
    <w:rsid w:val="00466E20"/>
    <w:rsid w:val="00467026"/>
    <w:rsid w:val="0046709F"/>
    <w:rsid w:val="00467134"/>
    <w:rsid w:val="0046732D"/>
    <w:rsid w:val="004674B9"/>
    <w:rsid w:val="004674BE"/>
    <w:rsid w:val="004674C9"/>
    <w:rsid w:val="0046752E"/>
    <w:rsid w:val="00467567"/>
    <w:rsid w:val="004675BE"/>
    <w:rsid w:val="004676F2"/>
    <w:rsid w:val="0046773B"/>
    <w:rsid w:val="0046783D"/>
    <w:rsid w:val="004678F1"/>
    <w:rsid w:val="00467914"/>
    <w:rsid w:val="00467A2D"/>
    <w:rsid w:val="00467A47"/>
    <w:rsid w:val="00467A58"/>
    <w:rsid w:val="00467B3B"/>
    <w:rsid w:val="00467DE8"/>
    <w:rsid w:val="00467DFA"/>
    <w:rsid w:val="00467EE5"/>
    <w:rsid w:val="00467F4B"/>
    <w:rsid w:val="00467FB5"/>
    <w:rsid w:val="00470156"/>
    <w:rsid w:val="00470210"/>
    <w:rsid w:val="00470221"/>
    <w:rsid w:val="004702D1"/>
    <w:rsid w:val="004703B1"/>
    <w:rsid w:val="004705CF"/>
    <w:rsid w:val="004706C3"/>
    <w:rsid w:val="004708F2"/>
    <w:rsid w:val="0047090D"/>
    <w:rsid w:val="00470991"/>
    <w:rsid w:val="004709E6"/>
    <w:rsid w:val="004709FD"/>
    <w:rsid w:val="00470BB9"/>
    <w:rsid w:val="00470C42"/>
    <w:rsid w:val="00470CF6"/>
    <w:rsid w:val="00470D80"/>
    <w:rsid w:val="00470ED3"/>
    <w:rsid w:val="00470F16"/>
    <w:rsid w:val="0047101D"/>
    <w:rsid w:val="00471030"/>
    <w:rsid w:val="0047111B"/>
    <w:rsid w:val="00471176"/>
    <w:rsid w:val="00471240"/>
    <w:rsid w:val="004712CE"/>
    <w:rsid w:val="004712E7"/>
    <w:rsid w:val="0047138D"/>
    <w:rsid w:val="00471415"/>
    <w:rsid w:val="004714E8"/>
    <w:rsid w:val="0047153A"/>
    <w:rsid w:val="00471571"/>
    <w:rsid w:val="0047159D"/>
    <w:rsid w:val="00471640"/>
    <w:rsid w:val="00471681"/>
    <w:rsid w:val="0047168D"/>
    <w:rsid w:val="00471743"/>
    <w:rsid w:val="00471780"/>
    <w:rsid w:val="0047186B"/>
    <w:rsid w:val="004718E1"/>
    <w:rsid w:val="00471922"/>
    <w:rsid w:val="00471936"/>
    <w:rsid w:val="00471A8E"/>
    <w:rsid w:val="00471AC9"/>
    <w:rsid w:val="00471BC4"/>
    <w:rsid w:val="00471CA7"/>
    <w:rsid w:val="00471D01"/>
    <w:rsid w:val="00471DBE"/>
    <w:rsid w:val="00471DE2"/>
    <w:rsid w:val="00471F11"/>
    <w:rsid w:val="00472153"/>
    <w:rsid w:val="004721FD"/>
    <w:rsid w:val="00472207"/>
    <w:rsid w:val="00472405"/>
    <w:rsid w:val="0047265C"/>
    <w:rsid w:val="004726B2"/>
    <w:rsid w:val="00472816"/>
    <w:rsid w:val="00472838"/>
    <w:rsid w:val="00472857"/>
    <w:rsid w:val="00472884"/>
    <w:rsid w:val="004728E9"/>
    <w:rsid w:val="00472915"/>
    <w:rsid w:val="004729E5"/>
    <w:rsid w:val="00472A46"/>
    <w:rsid w:val="00472AD6"/>
    <w:rsid w:val="00472AED"/>
    <w:rsid w:val="00472BE8"/>
    <w:rsid w:val="00472BEC"/>
    <w:rsid w:val="00472D72"/>
    <w:rsid w:val="00472E45"/>
    <w:rsid w:val="00472F0E"/>
    <w:rsid w:val="00473239"/>
    <w:rsid w:val="00473405"/>
    <w:rsid w:val="004734C6"/>
    <w:rsid w:val="00473528"/>
    <w:rsid w:val="00473763"/>
    <w:rsid w:val="00473798"/>
    <w:rsid w:val="004737BA"/>
    <w:rsid w:val="00473896"/>
    <w:rsid w:val="00473A5B"/>
    <w:rsid w:val="00473B60"/>
    <w:rsid w:val="00473C30"/>
    <w:rsid w:val="00473C3A"/>
    <w:rsid w:val="00473E03"/>
    <w:rsid w:val="00473EE9"/>
    <w:rsid w:val="00473F4C"/>
    <w:rsid w:val="00474086"/>
    <w:rsid w:val="00474152"/>
    <w:rsid w:val="00474172"/>
    <w:rsid w:val="004741EE"/>
    <w:rsid w:val="004742A2"/>
    <w:rsid w:val="004742B2"/>
    <w:rsid w:val="004742B7"/>
    <w:rsid w:val="0047448E"/>
    <w:rsid w:val="004744E0"/>
    <w:rsid w:val="00474563"/>
    <w:rsid w:val="00474577"/>
    <w:rsid w:val="00474595"/>
    <w:rsid w:val="004745AB"/>
    <w:rsid w:val="004746CC"/>
    <w:rsid w:val="00474A6B"/>
    <w:rsid w:val="00474A95"/>
    <w:rsid w:val="00474AC6"/>
    <w:rsid w:val="00474B1B"/>
    <w:rsid w:val="00474D8F"/>
    <w:rsid w:val="00474DC7"/>
    <w:rsid w:val="00474E2D"/>
    <w:rsid w:val="00475167"/>
    <w:rsid w:val="00475239"/>
    <w:rsid w:val="00475256"/>
    <w:rsid w:val="0047544E"/>
    <w:rsid w:val="004755BD"/>
    <w:rsid w:val="0047582E"/>
    <w:rsid w:val="00475907"/>
    <w:rsid w:val="00475974"/>
    <w:rsid w:val="00475A41"/>
    <w:rsid w:val="00475A91"/>
    <w:rsid w:val="00475AC8"/>
    <w:rsid w:val="00475B6C"/>
    <w:rsid w:val="00475D07"/>
    <w:rsid w:val="00475D3D"/>
    <w:rsid w:val="00475D94"/>
    <w:rsid w:val="00475DAA"/>
    <w:rsid w:val="00475FB5"/>
    <w:rsid w:val="00476061"/>
    <w:rsid w:val="004760B8"/>
    <w:rsid w:val="0047613A"/>
    <w:rsid w:val="00476211"/>
    <w:rsid w:val="0047642D"/>
    <w:rsid w:val="00476518"/>
    <w:rsid w:val="0047654B"/>
    <w:rsid w:val="00476561"/>
    <w:rsid w:val="004765C5"/>
    <w:rsid w:val="004765D6"/>
    <w:rsid w:val="00476600"/>
    <w:rsid w:val="00476623"/>
    <w:rsid w:val="004766D9"/>
    <w:rsid w:val="0047695E"/>
    <w:rsid w:val="0047698F"/>
    <w:rsid w:val="00476AC4"/>
    <w:rsid w:val="00476C70"/>
    <w:rsid w:val="00476C7B"/>
    <w:rsid w:val="00476D9D"/>
    <w:rsid w:val="00476E09"/>
    <w:rsid w:val="00476F62"/>
    <w:rsid w:val="00476F7F"/>
    <w:rsid w:val="00476FF7"/>
    <w:rsid w:val="004770E7"/>
    <w:rsid w:val="004770F6"/>
    <w:rsid w:val="0047712A"/>
    <w:rsid w:val="004771F4"/>
    <w:rsid w:val="00477248"/>
    <w:rsid w:val="0047734E"/>
    <w:rsid w:val="00477607"/>
    <w:rsid w:val="004776BC"/>
    <w:rsid w:val="0047778B"/>
    <w:rsid w:val="00477879"/>
    <w:rsid w:val="004779FC"/>
    <w:rsid w:val="00477ACE"/>
    <w:rsid w:val="00477B79"/>
    <w:rsid w:val="00477C17"/>
    <w:rsid w:val="00477CF3"/>
    <w:rsid w:val="00477D23"/>
    <w:rsid w:val="00477E15"/>
    <w:rsid w:val="00477E22"/>
    <w:rsid w:val="00477E2C"/>
    <w:rsid w:val="00477E8B"/>
    <w:rsid w:val="00477FEA"/>
    <w:rsid w:val="00480187"/>
    <w:rsid w:val="0048021C"/>
    <w:rsid w:val="00480287"/>
    <w:rsid w:val="0048030E"/>
    <w:rsid w:val="0048038E"/>
    <w:rsid w:val="004803D5"/>
    <w:rsid w:val="0048044A"/>
    <w:rsid w:val="004804EA"/>
    <w:rsid w:val="0048050C"/>
    <w:rsid w:val="0048058B"/>
    <w:rsid w:val="00480681"/>
    <w:rsid w:val="004806D3"/>
    <w:rsid w:val="004806FD"/>
    <w:rsid w:val="00480700"/>
    <w:rsid w:val="00480729"/>
    <w:rsid w:val="004808B3"/>
    <w:rsid w:val="00480972"/>
    <w:rsid w:val="00480A69"/>
    <w:rsid w:val="00480A89"/>
    <w:rsid w:val="00480BE5"/>
    <w:rsid w:val="00480DF4"/>
    <w:rsid w:val="00480E02"/>
    <w:rsid w:val="00480E88"/>
    <w:rsid w:val="00480EFA"/>
    <w:rsid w:val="00480FA9"/>
    <w:rsid w:val="00480FB0"/>
    <w:rsid w:val="0048100A"/>
    <w:rsid w:val="00481032"/>
    <w:rsid w:val="004810F1"/>
    <w:rsid w:val="00481308"/>
    <w:rsid w:val="0048134C"/>
    <w:rsid w:val="0048137E"/>
    <w:rsid w:val="004814DE"/>
    <w:rsid w:val="004815B0"/>
    <w:rsid w:val="004815DB"/>
    <w:rsid w:val="0048162C"/>
    <w:rsid w:val="00481859"/>
    <w:rsid w:val="00481909"/>
    <w:rsid w:val="0048191E"/>
    <w:rsid w:val="00481966"/>
    <w:rsid w:val="00481976"/>
    <w:rsid w:val="004819CC"/>
    <w:rsid w:val="00481AA1"/>
    <w:rsid w:val="00481C15"/>
    <w:rsid w:val="00481D31"/>
    <w:rsid w:val="00481D5F"/>
    <w:rsid w:val="00481DE7"/>
    <w:rsid w:val="00481E42"/>
    <w:rsid w:val="00481F36"/>
    <w:rsid w:val="00481F56"/>
    <w:rsid w:val="00481FC0"/>
    <w:rsid w:val="00482186"/>
    <w:rsid w:val="0048229E"/>
    <w:rsid w:val="0048250C"/>
    <w:rsid w:val="00482522"/>
    <w:rsid w:val="00482623"/>
    <w:rsid w:val="004826DB"/>
    <w:rsid w:val="004827B0"/>
    <w:rsid w:val="004827B9"/>
    <w:rsid w:val="0048286F"/>
    <w:rsid w:val="004828CC"/>
    <w:rsid w:val="004828CE"/>
    <w:rsid w:val="00482948"/>
    <w:rsid w:val="00482C51"/>
    <w:rsid w:val="00482D40"/>
    <w:rsid w:val="00482DE1"/>
    <w:rsid w:val="00482E6D"/>
    <w:rsid w:val="00482E92"/>
    <w:rsid w:val="00482EBF"/>
    <w:rsid w:val="00482F81"/>
    <w:rsid w:val="00483033"/>
    <w:rsid w:val="0048305D"/>
    <w:rsid w:val="00483120"/>
    <w:rsid w:val="004831A5"/>
    <w:rsid w:val="0048323D"/>
    <w:rsid w:val="0048327B"/>
    <w:rsid w:val="00483297"/>
    <w:rsid w:val="004833EE"/>
    <w:rsid w:val="004835EC"/>
    <w:rsid w:val="00483721"/>
    <w:rsid w:val="00483727"/>
    <w:rsid w:val="0048395A"/>
    <w:rsid w:val="00483A2B"/>
    <w:rsid w:val="00483D32"/>
    <w:rsid w:val="00483DDA"/>
    <w:rsid w:val="00483E63"/>
    <w:rsid w:val="00483F42"/>
    <w:rsid w:val="00483F89"/>
    <w:rsid w:val="0048412E"/>
    <w:rsid w:val="0048416B"/>
    <w:rsid w:val="0048417D"/>
    <w:rsid w:val="004841F5"/>
    <w:rsid w:val="004843BF"/>
    <w:rsid w:val="00484402"/>
    <w:rsid w:val="00484404"/>
    <w:rsid w:val="004844EC"/>
    <w:rsid w:val="0048450C"/>
    <w:rsid w:val="00484579"/>
    <w:rsid w:val="00484633"/>
    <w:rsid w:val="00484755"/>
    <w:rsid w:val="004847C7"/>
    <w:rsid w:val="004847D0"/>
    <w:rsid w:val="004848A7"/>
    <w:rsid w:val="004848E4"/>
    <w:rsid w:val="00484929"/>
    <w:rsid w:val="00484959"/>
    <w:rsid w:val="00484968"/>
    <w:rsid w:val="00484A4A"/>
    <w:rsid w:val="00484AB6"/>
    <w:rsid w:val="00484B66"/>
    <w:rsid w:val="00484B83"/>
    <w:rsid w:val="00484CF8"/>
    <w:rsid w:val="00484F6A"/>
    <w:rsid w:val="00485014"/>
    <w:rsid w:val="00485063"/>
    <w:rsid w:val="00485146"/>
    <w:rsid w:val="004851CC"/>
    <w:rsid w:val="004853A7"/>
    <w:rsid w:val="0048540A"/>
    <w:rsid w:val="0048546B"/>
    <w:rsid w:val="004854D0"/>
    <w:rsid w:val="004855BC"/>
    <w:rsid w:val="004858B1"/>
    <w:rsid w:val="00485B17"/>
    <w:rsid w:val="00485B18"/>
    <w:rsid w:val="00485B6E"/>
    <w:rsid w:val="00485F4E"/>
    <w:rsid w:val="00485FAB"/>
    <w:rsid w:val="00486034"/>
    <w:rsid w:val="0048605D"/>
    <w:rsid w:val="00486112"/>
    <w:rsid w:val="0048625F"/>
    <w:rsid w:val="0048640C"/>
    <w:rsid w:val="00486525"/>
    <w:rsid w:val="004865BC"/>
    <w:rsid w:val="00486719"/>
    <w:rsid w:val="0048684D"/>
    <w:rsid w:val="00486A31"/>
    <w:rsid w:val="00486B0B"/>
    <w:rsid w:val="00486B20"/>
    <w:rsid w:val="00486B72"/>
    <w:rsid w:val="00486C4F"/>
    <w:rsid w:val="00486E19"/>
    <w:rsid w:val="00486E25"/>
    <w:rsid w:val="00486E8D"/>
    <w:rsid w:val="00486ECD"/>
    <w:rsid w:val="00486F83"/>
    <w:rsid w:val="00486FCD"/>
    <w:rsid w:val="0048721E"/>
    <w:rsid w:val="0048739A"/>
    <w:rsid w:val="004873FC"/>
    <w:rsid w:val="00487442"/>
    <w:rsid w:val="00487446"/>
    <w:rsid w:val="00487598"/>
    <w:rsid w:val="004875C2"/>
    <w:rsid w:val="00487697"/>
    <w:rsid w:val="00487813"/>
    <w:rsid w:val="00487891"/>
    <w:rsid w:val="00487918"/>
    <w:rsid w:val="00487A03"/>
    <w:rsid w:val="00487AA3"/>
    <w:rsid w:val="00487C96"/>
    <w:rsid w:val="00487D07"/>
    <w:rsid w:val="00487D5E"/>
    <w:rsid w:val="00487F01"/>
    <w:rsid w:val="00487F3A"/>
    <w:rsid w:val="00487F9C"/>
    <w:rsid w:val="00487FC7"/>
    <w:rsid w:val="00487FD6"/>
    <w:rsid w:val="00487FD8"/>
    <w:rsid w:val="0049022B"/>
    <w:rsid w:val="004902F3"/>
    <w:rsid w:val="00490361"/>
    <w:rsid w:val="0049037F"/>
    <w:rsid w:val="0049038E"/>
    <w:rsid w:val="004903E7"/>
    <w:rsid w:val="0049041F"/>
    <w:rsid w:val="0049043D"/>
    <w:rsid w:val="004905AA"/>
    <w:rsid w:val="00490764"/>
    <w:rsid w:val="0049076A"/>
    <w:rsid w:val="004907D0"/>
    <w:rsid w:val="004907F0"/>
    <w:rsid w:val="0049091B"/>
    <w:rsid w:val="00490ACC"/>
    <w:rsid w:val="00490B7A"/>
    <w:rsid w:val="00490CDF"/>
    <w:rsid w:val="00490E7A"/>
    <w:rsid w:val="00490EBC"/>
    <w:rsid w:val="00490ECA"/>
    <w:rsid w:val="00490F90"/>
    <w:rsid w:val="00490FA3"/>
    <w:rsid w:val="00491118"/>
    <w:rsid w:val="0049115F"/>
    <w:rsid w:val="0049120F"/>
    <w:rsid w:val="0049129D"/>
    <w:rsid w:val="00491389"/>
    <w:rsid w:val="0049141C"/>
    <w:rsid w:val="0049155F"/>
    <w:rsid w:val="004916A1"/>
    <w:rsid w:val="00491729"/>
    <w:rsid w:val="00491730"/>
    <w:rsid w:val="004917E9"/>
    <w:rsid w:val="0049181D"/>
    <w:rsid w:val="00491941"/>
    <w:rsid w:val="004919A4"/>
    <w:rsid w:val="00491A1D"/>
    <w:rsid w:val="00491A64"/>
    <w:rsid w:val="00491AEA"/>
    <w:rsid w:val="00491B24"/>
    <w:rsid w:val="00491B88"/>
    <w:rsid w:val="00491C32"/>
    <w:rsid w:val="00491E7C"/>
    <w:rsid w:val="00491ECA"/>
    <w:rsid w:val="00491ED4"/>
    <w:rsid w:val="0049211D"/>
    <w:rsid w:val="00492135"/>
    <w:rsid w:val="004921DF"/>
    <w:rsid w:val="00492346"/>
    <w:rsid w:val="004923F0"/>
    <w:rsid w:val="00492439"/>
    <w:rsid w:val="00492451"/>
    <w:rsid w:val="00492455"/>
    <w:rsid w:val="004926CB"/>
    <w:rsid w:val="004927EA"/>
    <w:rsid w:val="00492910"/>
    <w:rsid w:val="0049291B"/>
    <w:rsid w:val="00492922"/>
    <w:rsid w:val="00492BD7"/>
    <w:rsid w:val="00492C11"/>
    <w:rsid w:val="00492C3C"/>
    <w:rsid w:val="00492D85"/>
    <w:rsid w:val="00492E79"/>
    <w:rsid w:val="00492EB1"/>
    <w:rsid w:val="004932D9"/>
    <w:rsid w:val="0049334D"/>
    <w:rsid w:val="004933E6"/>
    <w:rsid w:val="00493411"/>
    <w:rsid w:val="0049364A"/>
    <w:rsid w:val="00493720"/>
    <w:rsid w:val="00493894"/>
    <w:rsid w:val="004938DA"/>
    <w:rsid w:val="00493943"/>
    <w:rsid w:val="00493A71"/>
    <w:rsid w:val="00493AB0"/>
    <w:rsid w:val="00493B3F"/>
    <w:rsid w:val="00493B5C"/>
    <w:rsid w:val="00493BCA"/>
    <w:rsid w:val="00493D72"/>
    <w:rsid w:val="00493F6F"/>
    <w:rsid w:val="00494178"/>
    <w:rsid w:val="0049421C"/>
    <w:rsid w:val="0049424C"/>
    <w:rsid w:val="00494435"/>
    <w:rsid w:val="004944A3"/>
    <w:rsid w:val="004944EF"/>
    <w:rsid w:val="00494541"/>
    <w:rsid w:val="0049468F"/>
    <w:rsid w:val="00494778"/>
    <w:rsid w:val="00494AA9"/>
    <w:rsid w:val="00494B27"/>
    <w:rsid w:val="00494BBF"/>
    <w:rsid w:val="00494D29"/>
    <w:rsid w:val="00494DEE"/>
    <w:rsid w:val="00494EB0"/>
    <w:rsid w:val="00494F4D"/>
    <w:rsid w:val="00494F7E"/>
    <w:rsid w:val="00494FB0"/>
    <w:rsid w:val="00495194"/>
    <w:rsid w:val="0049528E"/>
    <w:rsid w:val="0049529E"/>
    <w:rsid w:val="004952AC"/>
    <w:rsid w:val="00495331"/>
    <w:rsid w:val="0049535C"/>
    <w:rsid w:val="0049541A"/>
    <w:rsid w:val="00495428"/>
    <w:rsid w:val="00495641"/>
    <w:rsid w:val="00495920"/>
    <w:rsid w:val="004959CA"/>
    <w:rsid w:val="00495ACC"/>
    <w:rsid w:val="00495B30"/>
    <w:rsid w:val="00495B34"/>
    <w:rsid w:val="00495B42"/>
    <w:rsid w:val="00495C2C"/>
    <w:rsid w:val="00495C4F"/>
    <w:rsid w:val="00495DCB"/>
    <w:rsid w:val="00495E6F"/>
    <w:rsid w:val="00495E99"/>
    <w:rsid w:val="004962CE"/>
    <w:rsid w:val="0049634E"/>
    <w:rsid w:val="0049644F"/>
    <w:rsid w:val="0049660B"/>
    <w:rsid w:val="004966B7"/>
    <w:rsid w:val="004966BC"/>
    <w:rsid w:val="00496856"/>
    <w:rsid w:val="00496995"/>
    <w:rsid w:val="00496A1C"/>
    <w:rsid w:val="00496B74"/>
    <w:rsid w:val="00496BC6"/>
    <w:rsid w:val="00496BCB"/>
    <w:rsid w:val="00496FBA"/>
    <w:rsid w:val="004970B7"/>
    <w:rsid w:val="00497220"/>
    <w:rsid w:val="004973B9"/>
    <w:rsid w:val="00497457"/>
    <w:rsid w:val="004975AD"/>
    <w:rsid w:val="004975F3"/>
    <w:rsid w:val="004975FF"/>
    <w:rsid w:val="00497667"/>
    <w:rsid w:val="0049787D"/>
    <w:rsid w:val="004979AB"/>
    <w:rsid w:val="00497A48"/>
    <w:rsid w:val="00497A84"/>
    <w:rsid w:val="00497B49"/>
    <w:rsid w:val="00497B85"/>
    <w:rsid w:val="00497C67"/>
    <w:rsid w:val="00497D28"/>
    <w:rsid w:val="00497D53"/>
    <w:rsid w:val="00497D59"/>
    <w:rsid w:val="00497DAF"/>
    <w:rsid w:val="00497DE0"/>
    <w:rsid w:val="00497E0A"/>
    <w:rsid w:val="00497F1D"/>
    <w:rsid w:val="00497FF6"/>
    <w:rsid w:val="004A0081"/>
    <w:rsid w:val="004A0192"/>
    <w:rsid w:val="004A01B5"/>
    <w:rsid w:val="004A01E9"/>
    <w:rsid w:val="004A031A"/>
    <w:rsid w:val="004A0502"/>
    <w:rsid w:val="004A0549"/>
    <w:rsid w:val="004A0562"/>
    <w:rsid w:val="004A0575"/>
    <w:rsid w:val="004A0636"/>
    <w:rsid w:val="004A06CE"/>
    <w:rsid w:val="004A072F"/>
    <w:rsid w:val="004A0764"/>
    <w:rsid w:val="004A093E"/>
    <w:rsid w:val="004A0986"/>
    <w:rsid w:val="004A0987"/>
    <w:rsid w:val="004A0C0B"/>
    <w:rsid w:val="004A0D73"/>
    <w:rsid w:val="004A0D75"/>
    <w:rsid w:val="004A0E53"/>
    <w:rsid w:val="004A0F5E"/>
    <w:rsid w:val="004A0F79"/>
    <w:rsid w:val="004A0F90"/>
    <w:rsid w:val="004A1054"/>
    <w:rsid w:val="004A107E"/>
    <w:rsid w:val="004A1158"/>
    <w:rsid w:val="004A11C6"/>
    <w:rsid w:val="004A12BD"/>
    <w:rsid w:val="004A1329"/>
    <w:rsid w:val="004A13A7"/>
    <w:rsid w:val="004A13F2"/>
    <w:rsid w:val="004A144B"/>
    <w:rsid w:val="004A14D1"/>
    <w:rsid w:val="004A155F"/>
    <w:rsid w:val="004A159B"/>
    <w:rsid w:val="004A184F"/>
    <w:rsid w:val="004A18BD"/>
    <w:rsid w:val="004A1ADC"/>
    <w:rsid w:val="004A1B0E"/>
    <w:rsid w:val="004A1BAF"/>
    <w:rsid w:val="004A1BC6"/>
    <w:rsid w:val="004A1CD2"/>
    <w:rsid w:val="004A1D07"/>
    <w:rsid w:val="004A1E21"/>
    <w:rsid w:val="004A1F73"/>
    <w:rsid w:val="004A1FC3"/>
    <w:rsid w:val="004A2076"/>
    <w:rsid w:val="004A216E"/>
    <w:rsid w:val="004A223E"/>
    <w:rsid w:val="004A2459"/>
    <w:rsid w:val="004A2581"/>
    <w:rsid w:val="004A25DB"/>
    <w:rsid w:val="004A2870"/>
    <w:rsid w:val="004A2929"/>
    <w:rsid w:val="004A2A13"/>
    <w:rsid w:val="004A2AA9"/>
    <w:rsid w:val="004A2B2D"/>
    <w:rsid w:val="004A2E3D"/>
    <w:rsid w:val="004A2E51"/>
    <w:rsid w:val="004A2EC1"/>
    <w:rsid w:val="004A2ED4"/>
    <w:rsid w:val="004A2FBA"/>
    <w:rsid w:val="004A30DA"/>
    <w:rsid w:val="004A30FF"/>
    <w:rsid w:val="004A3141"/>
    <w:rsid w:val="004A3154"/>
    <w:rsid w:val="004A3308"/>
    <w:rsid w:val="004A344D"/>
    <w:rsid w:val="004A3464"/>
    <w:rsid w:val="004A34D3"/>
    <w:rsid w:val="004A3543"/>
    <w:rsid w:val="004A3556"/>
    <w:rsid w:val="004A3722"/>
    <w:rsid w:val="004A3754"/>
    <w:rsid w:val="004A3A8A"/>
    <w:rsid w:val="004A3B60"/>
    <w:rsid w:val="004A3C9B"/>
    <w:rsid w:val="004A3CAD"/>
    <w:rsid w:val="004A3D0C"/>
    <w:rsid w:val="004A3DDE"/>
    <w:rsid w:val="004A3EA3"/>
    <w:rsid w:val="004A3EA9"/>
    <w:rsid w:val="004A3EAD"/>
    <w:rsid w:val="004A3EB5"/>
    <w:rsid w:val="004A405A"/>
    <w:rsid w:val="004A41C2"/>
    <w:rsid w:val="004A42AA"/>
    <w:rsid w:val="004A42E3"/>
    <w:rsid w:val="004A4397"/>
    <w:rsid w:val="004A44D9"/>
    <w:rsid w:val="004A455B"/>
    <w:rsid w:val="004A45D9"/>
    <w:rsid w:val="004A4624"/>
    <w:rsid w:val="004A465D"/>
    <w:rsid w:val="004A46CE"/>
    <w:rsid w:val="004A477C"/>
    <w:rsid w:val="004A4804"/>
    <w:rsid w:val="004A49E3"/>
    <w:rsid w:val="004A4ABB"/>
    <w:rsid w:val="004A4AFB"/>
    <w:rsid w:val="004A4B2D"/>
    <w:rsid w:val="004A4B92"/>
    <w:rsid w:val="004A4BCF"/>
    <w:rsid w:val="004A4BD3"/>
    <w:rsid w:val="004A4C80"/>
    <w:rsid w:val="004A4CE2"/>
    <w:rsid w:val="004A4FB3"/>
    <w:rsid w:val="004A5053"/>
    <w:rsid w:val="004A5236"/>
    <w:rsid w:val="004A52E2"/>
    <w:rsid w:val="004A545F"/>
    <w:rsid w:val="004A5838"/>
    <w:rsid w:val="004A5856"/>
    <w:rsid w:val="004A5983"/>
    <w:rsid w:val="004A5A07"/>
    <w:rsid w:val="004A5A8F"/>
    <w:rsid w:val="004A5B52"/>
    <w:rsid w:val="004A5BD0"/>
    <w:rsid w:val="004A5DE8"/>
    <w:rsid w:val="004A5E1E"/>
    <w:rsid w:val="004A5E5C"/>
    <w:rsid w:val="004A601F"/>
    <w:rsid w:val="004A6043"/>
    <w:rsid w:val="004A605A"/>
    <w:rsid w:val="004A617E"/>
    <w:rsid w:val="004A620C"/>
    <w:rsid w:val="004A622C"/>
    <w:rsid w:val="004A63BC"/>
    <w:rsid w:val="004A650B"/>
    <w:rsid w:val="004A6535"/>
    <w:rsid w:val="004A6586"/>
    <w:rsid w:val="004A65B0"/>
    <w:rsid w:val="004A664D"/>
    <w:rsid w:val="004A680A"/>
    <w:rsid w:val="004A6B05"/>
    <w:rsid w:val="004A6D9B"/>
    <w:rsid w:val="004A6E73"/>
    <w:rsid w:val="004A6F5C"/>
    <w:rsid w:val="004A701D"/>
    <w:rsid w:val="004A7055"/>
    <w:rsid w:val="004A708B"/>
    <w:rsid w:val="004A70FB"/>
    <w:rsid w:val="004A7128"/>
    <w:rsid w:val="004A7269"/>
    <w:rsid w:val="004A7299"/>
    <w:rsid w:val="004A73AD"/>
    <w:rsid w:val="004A7573"/>
    <w:rsid w:val="004A76C8"/>
    <w:rsid w:val="004A76D3"/>
    <w:rsid w:val="004A76E3"/>
    <w:rsid w:val="004A76FA"/>
    <w:rsid w:val="004A77B2"/>
    <w:rsid w:val="004A7800"/>
    <w:rsid w:val="004A7A26"/>
    <w:rsid w:val="004A7B8F"/>
    <w:rsid w:val="004A7C2A"/>
    <w:rsid w:val="004A7C32"/>
    <w:rsid w:val="004A7E34"/>
    <w:rsid w:val="004A7F01"/>
    <w:rsid w:val="004A7F0B"/>
    <w:rsid w:val="004B011E"/>
    <w:rsid w:val="004B015B"/>
    <w:rsid w:val="004B0250"/>
    <w:rsid w:val="004B0282"/>
    <w:rsid w:val="004B02D5"/>
    <w:rsid w:val="004B0302"/>
    <w:rsid w:val="004B045F"/>
    <w:rsid w:val="004B048F"/>
    <w:rsid w:val="004B0594"/>
    <w:rsid w:val="004B06AB"/>
    <w:rsid w:val="004B076C"/>
    <w:rsid w:val="004B0772"/>
    <w:rsid w:val="004B0773"/>
    <w:rsid w:val="004B085A"/>
    <w:rsid w:val="004B09CF"/>
    <w:rsid w:val="004B0A3B"/>
    <w:rsid w:val="004B0AE4"/>
    <w:rsid w:val="004B0B1C"/>
    <w:rsid w:val="004B0BB2"/>
    <w:rsid w:val="004B0D07"/>
    <w:rsid w:val="004B0D77"/>
    <w:rsid w:val="004B0E44"/>
    <w:rsid w:val="004B0E67"/>
    <w:rsid w:val="004B0E87"/>
    <w:rsid w:val="004B100E"/>
    <w:rsid w:val="004B1068"/>
    <w:rsid w:val="004B1191"/>
    <w:rsid w:val="004B1235"/>
    <w:rsid w:val="004B12F3"/>
    <w:rsid w:val="004B1391"/>
    <w:rsid w:val="004B13D1"/>
    <w:rsid w:val="004B1533"/>
    <w:rsid w:val="004B1719"/>
    <w:rsid w:val="004B176B"/>
    <w:rsid w:val="004B17B4"/>
    <w:rsid w:val="004B19D1"/>
    <w:rsid w:val="004B1B2A"/>
    <w:rsid w:val="004B1BD5"/>
    <w:rsid w:val="004B1C56"/>
    <w:rsid w:val="004B1C8F"/>
    <w:rsid w:val="004B1E6B"/>
    <w:rsid w:val="004B1F7D"/>
    <w:rsid w:val="004B2029"/>
    <w:rsid w:val="004B2078"/>
    <w:rsid w:val="004B2086"/>
    <w:rsid w:val="004B2093"/>
    <w:rsid w:val="004B20FA"/>
    <w:rsid w:val="004B23B4"/>
    <w:rsid w:val="004B2481"/>
    <w:rsid w:val="004B24FC"/>
    <w:rsid w:val="004B2566"/>
    <w:rsid w:val="004B27A2"/>
    <w:rsid w:val="004B288E"/>
    <w:rsid w:val="004B2A69"/>
    <w:rsid w:val="004B2A87"/>
    <w:rsid w:val="004B2B0F"/>
    <w:rsid w:val="004B2C97"/>
    <w:rsid w:val="004B2D65"/>
    <w:rsid w:val="004B2D9B"/>
    <w:rsid w:val="004B2E68"/>
    <w:rsid w:val="004B3040"/>
    <w:rsid w:val="004B31AA"/>
    <w:rsid w:val="004B31E0"/>
    <w:rsid w:val="004B323B"/>
    <w:rsid w:val="004B32B9"/>
    <w:rsid w:val="004B3301"/>
    <w:rsid w:val="004B343B"/>
    <w:rsid w:val="004B3614"/>
    <w:rsid w:val="004B3631"/>
    <w:rsid w:val="004B36AE"/>
    <w:rsid w:val="004B36F8"/>
    <w:rsid w:val="004B3779"/>
    <w:rsid w:val="004B3786"/>
    <w:rsid w:val="004B38E1"/>
    <w:rsid w:val="004B3959"/>
    <w:rsid w:val="004B3A3C"/>
    <w:rsid w:val="004B3AA3"/>
    <w:rsid w:val="004B3D2F"/>
    <w:rsid w:val="004B3D3A"/>
    <w:rsid w:val="004B3EB8"/>
    <w:rsid w:val="004B3F8A"/>
    <w:rsid w:val="004B3F8D"/>
    <w:rsid w:val="004B4005"/>
    <w:rsid w:val="004B40FA"/>
    <w:rsid w:val="004B41B9"/>
    <w:rsid w:val="004B42EB"/>
    <w:rsid w:val="004B4356"/>
    <w:rsid w:val="004B440A"/>
    <w:rsid w:val="004B45F9"/>
    <w:rsid w:val="004B4686"/>
    <w:rsid w:val="004B47AE"/>
    <w:rsid w:val="004B4952"/>
    <w:rsid w:val="004B4B36"/>
    <w:rsid w:val="004B4B51"/>
    <w:rsid w:val="004B4BAF"/>
    <w:rsid w:val="004B4E6F"/>
    <w:rsid w:val="004B4EF4"/>
    <w:rsid w:val="004B4F43"/>
    <w:rsid w:val="004B4FA8"/>
    <w:rsid w:val="004B4FCE"/>
    <w:rsid w:val="004B5084"/>
    <w:rsid w:val="004B5126"/>
    <w:rsid w:val="004B517A"/>
    <w:rsid w:val="004B51EC"/>
    <w:rsid w:val="004B52B3"/>
    <w:rsid w:val="004B52E7"/>
    <w:rsid w:val="004B5309"/>
    <w:rsid w:val="004B5472"/>
    <w:rsid w:val="004B5532"/>
    <w:rsid w:val="004B57BB"/>
    <w:rsid w:val="004B58F6"/>
    <w:rsid w:val="004B59AF"/>
    <w:rsid w:val="004B5AC7"/>
    <w:rsid w:val="004B5AD3"/>
    <w:rsid w:val="004B5EEB"/>
    <w:rsid w:val="004B5FF9"/>
    <w:rsid w:val="004B609D"/>
    <w:rsid w:val="004B60FD"/>
    <w:rsid w:val="004B6182"/>
    <w:rsid w:val="004B62C6"/>
    <w:rsid w:val="004B63FA"/>
    <w:rsid w:val="004B64B8"/>
    <w:rsid w:val="004B6568"/>
    <w:rsid w:val="004B66DC"/>
    <w:rsid w:val="004B67B5"/>
    <w:rsid w:val="004B67E0"/>
    <w:rsid w:val="004B67F1"/>
    <w:rsid w:val="004B67F7"/>
    <w:rsid w:val="004B68DD"/>
    <w:rsid w:val="004B68EB"/>
    <w:rsid w:val="004B6934"/>
    <w:rsid w:val="004B69A6"/>
    <w:rsid w:val="004B69BC"/>
    <w:rsid w:val="004B6B20"/>
    <w:rsid w:val="004B6BFB"/>
    <w:rsid w:val="004B6E9F"/>
    <w:rsid w:val="004B6EBB"/>
    <w:rsid w:val="004B6F11"/>
    <w:rsid w:val="004B7082"/>
    <w:rsid w:val="004B70CD"/>
    <w:rsid w:val="004B70D5"/>
    <w:rsid w:val="004B71CF"/>
    <w:rsid w:val="004B7248"/>
    <w:rsid w:val="004B7279"/>
    <w:rsid w:val="004B7392"/>
    <w:rsid w:val="004B73E7"/>
    <w:rsid w:val="004B74FD"/>
    <w:rsid w:val="004B75CE"/>
    <w:rsid w:val="004B75F8"/>
    <w:rsid w:val="004B761F"/>
    <w:rsid w:val="004B7927"/>
    <w:rsid w:val="004B7980"/>
    <w:rsid w:val="004B7A83"/>
    <w:rsid w:val="004B7AF6"/>
    <w:rsid w:val="004B7C10"/>
    <w:rsid w:val="004B7CD6"/>
    <w:rsid w:val="004B7D6E"/>
    <w:rsid w:val="004B7D7A"/>
    <w:rsid w:val="004B7DBE"/>
    <w:rsid w:val="004C000E"/>
    <w:rsid w:val="004C014F"/>
    <w:rsid w:val="004C01AE"/>
    <w:rsid w:val="004C0390"/>
    <w:rsid w:val="004C04D6"/>
    <w:rsid w:val="004C05E1"/>
    <w:rsid w:val="004C0666"/>
    <w:rsid w:val="004C06A1"/>
    <w:rsid w:val="004C07D4"/>
    <w:rsid w:val="004C0901"/>
    <w:rsid w:val="004C09BC"/>
    <w:rsid w:val="004C0A3D"/>
    <w:rsid w:val="004C0A7D"/>
    <w:rsid w:val="004C0B82"/>
    <w:rsid w:val="004C0C4B"/>
    <w:rsid w:val="004C0C9B"/>
    <w:rsid w:val="004C0D4D"/>
    <w:rsid w:val="004C0DC9"/>
    <w:rsid w:val="004C0E65"/>
    <w:rsid w:val="004C0E82"/>
    <w:rsid w:val="004C0EB5"/>
    <w:rsid w:val="004C10EA"/>
    <w:rsid w:val="004C1165"/>
    <w:rsid w:val="004C119A"/>
    <w:rsid w:val="004C12C5"/>
    <w:rsid w:val="004C12E9"/>
    <w:rsid w:val="004C1464"/>
    <w:rsid w:val="004C14C5"/>
    <w:rsid w:val="004C1510"/>
    <w:rsid w:val="004C1556"/>
    <w:rsid w:val="004C157A"/>
    <w:rsid w:val="004C15A0"/>
    <w:rsid w:val="004C16BE"/>
    <w:rsid w:val="004C16FE"/>
    <w:rsid w:val="004C1848"/>
    <w:rsid w:val="004C192E"/>
    <w:rsid w:val="004C1B8C"/>
    <w:rsid w:val="004C1C3E"/>
    <w:rsid w:val="004C1ECA"/>
    <w:rsid w:val="004C1FCC"/>
    <w:rsid w:val="004C1FE2"/>
    <w:rsid w:val="004C20C4"/>
    <w:rsid w:val="004C20FA"/>
    <w:rsid w:val="004C240A"/>
    <w:rsid w:val="004C2447"/>
    <w:rsid w:val="004C247F"/>
    <w:rsid w:val="004C2691"/>
    <w:rsid w:val="004C26C8"/>
    <w:rsid w:val="004C2752"/>
    <w:rsid w:val="004C275F"/>
    <w:rsid w:val="004C2899"/>
    <w:rsid w:val="004C2940"/>
    <w:rsid w:val="004C2A6C"/>
    <w:rsid w:val="004C2AB0"/>
    <w:rsid w:val="004C2AF6"/>
    <w:rsid w:val="004C2B1F"/>
    <w:rsid w:val="004C2BEC"/>
    <w:rsid w:val="004C2CE0"/>
    <w:rsid w:val="004C2FCB"/>
    <w:rsid w:val="004C306E"/>
    <w:rsid w:val="004C3106"/>
    <w:rsid w:val="004C3147"/>
    <w:rsid w:val="004C31EA"/>
    <w:rsid w:val="004C31FE"/>
    <w:rsid w:val="004C34B9"/>
    <w:rsid w:val="004C365F"/>
    <w:rsid w:val="004C368E"/>
    <w:rsid w:val="004C3753"/>
    <w:rsid w:val="004C3791"/>
    <w:rsid w:val="004C37AA"/>
    <w:rsid w:val="004C37E3"/>
    <w:rsid w:val="004C3A05"/>
    <w:rsid w:val="004C3AA6"/>
    <w:rsid w:val="004C3D68"/>
    <w:rsid w:val="004C3E53"/>
    <w:rsid w:val="004C3F06"/>
    <w:rsid w:val="004C40B9"/>
    <w:rsid w:val="004C40C8"/>
    <w:rsid w:val="004C4128"/>
    <w:rsid w:val="004C42F6"/>
    <w:rsid w:val="004C4338"/>
    <w:rsid w:val="004C43FD"/>
    <w:rsid w:val="004C456F"/>
    <w:rsid w:val="004C46CB"/>
    <w:rsid w:val="004C46FD"/>
    <w:rsid w:val="004C478B"/>
    <w:rsid w:val="004C4947"/>
    <w:rsid w:val="004C4971"/>
    <w:rsid w:val="004C49AC"/>
    <w:rsid w:val="004C49CD"/>
    <w:rsid w:val="004C4C51"/>
    <w:rsid w:val="004C4DAB"/>
    <w:rsid w:val="004C4E84"/>
    <w:rsid w:val="004C4EDB"/>
    <w:rsid w:val="004C4F0A"/>
    <w:rsid w:val="004C4F22"/>
    <w:rsid w:val="004C5021"/>
    <w:rsid w:val="004C5234"/>
    <w:rsid w:val="004C5261"/>
    <w:rsid w:val="004C53A0"/>
    <w:rsid w:val="004C53E5"/>
    <w:rsid w:val="004C53F0"/>
    <w:rsid w:val="004C54DE"/>
    <w:rsid w:val="004C54FD"/>
    <w:rsid w:val="004C5565"/>
    <w:rsid w:val="004C557A"/>
    <w:rsid w:val="004C56AF"/>
    <w:rsid w:val="004C56C3"/>
    <w:rsid w:val="004C586A"/>
    <w:rsid w:val="004C599B"/>
    <w:rsid w:val="004C5BC2"/>
    <w:rsid w:val="004C5BE8"/>
    <w:rsid w:val="004C5C65"/>
    <w:rsid w:val="004C5CA0"/>
    <w:rsid w:val="004C5D31"/>
    <w:rsid w:val="004C5DE0"/>
    <w:rsid w:val="004C5E18"/>
    <w:rsid w:val="004C5E84"/>
    <w:rsid w:val="004C5EFF"/>
    <w:rsid w:val="004C5F83"/>
    <w:rsid w:val="004C6056"/>
    <w:rsid w:val="004C6102"/>
    <w:rsid w:val="004C6364"/>
    <w:rsid w:val="004C636D"/>
    <w:rsid w:val="004C639C"/>
    <w:rsid w:val="004C646D"/>
    <w:rsid w:val="004C6492"/>
    <w:rsid w:val="004C6522"/>
    <w:rsid w:val="004C6560"/>
    <w:rsid w:val="004C6875"/>
    <w:rsid w:val="004C6929"/>
    <w:rsid w:val="004C6976"/>
    <w:rsid w:val="004C6B0F"/>
    <w:rsid w:val="004C6B9C"/>
    <w:rsid w:val="004C6D10"/>
    <w:rsid w:val="004C6D7A"/>
    <w:rsid w:val="004C6E69"/>
    <w:rsid w:val="004C6F56"/>
    <w:rsid w:val="004C6FE1"/>
    <w:rsid w:val="004C7021"/>
    <w:rsid w:val="004C702E"/>
    <w:rsid w:val="004C7040"/>
    <w:rsid w:val="004C706A"/>
    <w:rsid w:val="004C70EF"/>
    <w:rsid w:val="004C712C"/>
    <w:rsid w:val="004C7179"/>
    <w:rsid w:val="004C719B"/>
    <w:rsid w:val="004C7234"/>
    <w:rsid w:val="004C7294"/>
    <w:rsid w:val="004C729D"/>
    <w:rsid w:val="004C73BA"/>
    <w:rsid w:val="004C73E4"/>
    <w:rsid w:val="004C741F"/>
    <w:rsid w:val="004C747C"/>
    <w:rsid w:val="004C74D3"/>
    <w:rsid w:val="004C74F5"/>
    <w:rsid w:val="004C752A"/>
    <w:rsid w:val="004C773A"/>
    <w:rsid w:val="004C780C"/>
    <w:rsid w:val="004C787A"/>
    <w:rsid w:val="004C78B0"/>
    <w:rsid w:val="004C78F1"/>
    <w:rsid w:val="004C7A32"/>
    <w:rsid w:val="004C7AE1"/>
    <w:rsid w:val="004C7BB8"/>
    <w:rsid w:val="004C7CFD"/>
    <w:rsid w:val="004C7DAD"/>
    <w:rsid w:val="004C7DC2"/>
    <w:rsid w:val="004C7E05"/>
    <w:rsid w:val="004C7E3C"/>
    <w:rsid w:val="004C7F0A"/>
    <w:rsid w:val="004C7F0C"/>
    <w:rsid w:val="004C7FA6"/>
    <w:rsid w:val="004D0098"/>
    <w:rsid w:val="004D00E7"/>
    <w:rsid w:val="004D010A"/>
    <w:rsid w:val="004D0112"/>
    <w:rsid w:val="004D0134"/>
    <w:rsid w:val="004D02CA"/>
    <w:rsid w:val="004D0377"/>
    <w:rsid w:val="004D03A9"/>
    <w:rsid w:val="004D03D7"/>
    <w:rsid w:val="004D0440"/>
    <w:rsid w:val="004D0445"/>
    <w:rsid w:val="004D04D2"/>
    <w:rsid w:val="004D0522"/>
    <w:rsid w:val="004D0767"/>
    <w:rsid w:val="004D08CC"/>
    <w:rsid w:val="004D091C"/>
    <w:rsid w:val="004D0A27"/>
    <w:rsid w:val="004D0B00"/>
    <w:rsid w:val="004D0B47"/>
    <w:rsid w:val="004D0B50"/>
    <w:rsid w:val="004D0D13"/>
    <w:rsid w:val="004D0EAE"/>
    <w:rsid w:val="004D0ED4"/>
    <w:rsid w:val="004D14D1"/>
    <w:rsid w:val="004D1791"/>
    <w:rsid w:val="004D1846"/>
    <w:rsid w:val="004D189B"/>
    <w:rsid w:val="004D1C66"/>
    <w:rsid w:val="004D1CD5"/>
    <w:rsid w:val="004D1CD6"/>
    <w:rsid w:val="004D1E69"/>
    <w:rsid w:val="004D1E9C"/>
    <w:rsid w:val="004D1EC4"/>
    <w:rsid w:val="004D1FB8"/>
    <w:rsid w:val="004D2133"/>
    <w:rsid w:val="004D21A2"/>
    <w:rsid w:val="004D21FA"/>
    <w:rsid w:val="004D2388"/>
    <w:rsid w:val="004D2466"/>
    <w:rsid w:val="004D264C"/>
    <w:rsid w:val="004D266A"/>
    <w:rsid w:val="004D2761"/>
    <w:rsid w:val="004D2776"/>
    <w:rsid w:val="004D2792"/>
    <w:rsid w:val="004D27A3"/>
    <w:rsid w:val="004D2814"/>
    <w:rsid w:val="004D2915"/>
    <w:rsid w:val="004D2B0F"/>
    <w:rsid w:val="004D2B92"/>
    <w:rsid w:val="004D2BAE"/>
    <w:rsid w:val="004D2CBF"/>
    <w:rsid w:val="004D2EC9"/>
    <w:rsid w:val="004D3276"/>
    <w:rsid w:val="004D336B"/>
    <w:rsid w:val="004D347A"/>
    <w:rsid w:val="004D3671"/>
    <w:rsid w:val="004D3701"/>
    <w:rsid w:val="004D3753"/>
    <w:rsid w:val="004D3771"/>
    <w:rsid w:val="004D37A6"/>
    <w:rsid w:val="004D37EE"/>
    <w:rsid w:val="004D3881"/>
    <w:rsid w:val="004D3A16"/>
    <w:rsid w:val="004D3B87"/>
    <w:rsid w:val="004D3C9D"/>
    <w:rsid w:val="004D3CAD"/>
    <w:rsid w:val="004D3EB3"/>
    <w:rsid w:val="004D3EEC"/>
    <w:rsid w:val="004D3F4C"/>
    <w:rsid w:val="004D3F87"/>
    <w:rsid w:val="004D3FBC"/>
    <w:rsid w:val="004D400B"/>
    <w:rsid w:val="004D4146"/>
    <w:rsid w:val="004D41A2"/>
    <w:rsid w:val="004D429F"/>
    <w:rsid w:val="004D42ED"/>
    <w:rsid w:val="004D4324"/>
    <w:rsid w:val="004D43D7"/>
    <w:rsid w:val="004D457C"/>
    <w:rsid w:val="004D45C3"/>
    <w:rsid w:val="004D4932"/>
    <w:rsid w:val="004D4A6E"/>
    <w:rsid w:val="004D4A9A"/>
    <w:rsid w:val="004D4D47"/>
    <w:rsid w:val="004D4D9C"/>
    <w:rsid w:val="004D4DD9"/>
    <w:rsid w:val="004D4EF9"/>
    <w:rsid w:val="004D5045"/>
    <w:rsid w:val="004D515A"/>
    <w:rsid w:val="004D5214"/>
    <w:rsid w:val="004D5330"/>
    <w:rsid w:val="004D5421"/>
    <w:rsid w:val="004D557F"/>
    <w:rsid w:val="004D5584"/>
    <w:rsid w:val="004D5590"/>
    <w:rsid w:val="004D559B"/>
    <w:rsid w:val="004D5647"/>
    <w:rsid w:val="004D56DE"/>
    <w:rsid w:val="004D5874"/>
    <w:rsid w:val="004D5932"/>
    <w:rsid w:val="004D59E7"/>
    <w:rsid w:val="004D5A98"/>
    <w:rsid w:val="004D5C3F"/>
    <w:rsid w:val="004D5CE8"/>
    <w:rsid w:val="004D5D6E"/>
    <w:rsid w:val="004D5DD4"/>
    <w:rsid w:val="004D5F39"/>
    <w:rsid w:val="004D61D9"/>
    <w:rsid w:val="004D621B"/>
    <w:rsid w:val="004D6299"/>
    <w:rsid w:val="004D62A8"/>
    <w:rsid w:val="004D63CA"/>
    <w:rsid w:val="004D64D8"/>
    <w:rsid w:val="004D6510"/>
    <w:rsid w:val="004D6549"/>
    <w:rsid w:val="004D65D5"/>
    <w:rsid w:val="004D6615"/>
    <w:rsid w:val="004D66BC"/>
    <w:rsid w:val="004D671A"/>
    <w:rsid w:val="004D674F"/>
    <w:rsid w:val="004D675D"/>
    <w:rsid w:val="004D67C5"/>
    <w:rsid w:val="004D68AF"/>
    <w:rsid w:val="004D6929"/>
    <w:rsid w:val="004D6948"/>
    <w:rsid w:val="004D6AB8"/>
    <w:rsid w:val="004D6B08"/>
    <w:rsid w:val="004D6BC0"/>
    <w:rsid w:val="004D6C21"/>
    <w:rsid w:val="004D6D8B"/>
    <w:rsid w:val="004D6DFE"/>
    <w:rsid w:val="004D6E0A"/>
    <w:rsid w:val="004D6E74"/>
    <w:rsid w:val="004D6E91"/>
    <w:rsid w:val="004D6EDC"/>
    <w:rsid w:val="004D6FF9"/>
    <w:rsid w:val="004D7116"/>
    <w:rsid w:val="004D71DC"/>
    <w:rsid w:val="004D71FC"/>
    <w:rsid w:val="004D722A"/>
    <w:rsid w:val="004D73FB"/>
    <w:rsid w:val="004D754A"/>
    <w:rsid w:val="004D7706"/>
    <w:rsid w:val="004D77F5"/>
    <w:rsid w:val="004D77F7"/>
    <w:rsid w:val="004D7932"/>
    <w:rsid w:val="004D7A12"/>
    <w:rsid w:val="004D7A30"/>
    <w:rsid w:val="004D7C25"/>
    <w:rsid w:val="004D7CEE"/>
    <w:rsid w:val="004D7D92"/>
    <w:rsid w:val="004D7D98"/>
    <w:rsid w:val="004D7DD9"/>
    <w:rsid w:val="004D7F10"/>
    <w:rsid w:val="004D7F6C"/>
    <w:rsid w:val="004D7FAA"/>
    <w:rsid w:val="004D7FF5"/>
    <w:rsid w:val="004E01E9"/>
    <w:rsid w:val="004E027B"/>
    <w:rsid w:val="004E03FD"/>
    <w:rsid w:val="004E044E"/>
    <w:rsid w:val="004E0498"/>
    <w:rsid w:val="004E0662"/>
    <w:rsid w:val="004E0782"/>
    <w:rsid w:val="004E080F"/>
    <w:rsid w:val="004E0851"/>
    <w:rsid w:val="004E08C8"/>
    <w:rsid w:val="004E08F4"/>
    <w:rsid w:val="004E09D0"/>
    <w:rsid w:val="004E0A14"/>
    <w:rsid w:val="004E0B6B"/>
    <w:rsid w:val="004E0B91"/>
    <w:rsid w:val="004E0CA6"/>
    <w:rsid w:val="004E0E29"/>
    <w:rsid w:val="004E105B"/>
    <w:rsid w:val="004E1099"/>
    <w:rsid w:val="004E1115"/>
    <w:rsid w:val="004E122B"/>
    <w:rsid w:val="004E12DF"/>
    <w:rsid w:val="004E1381"/>
    <w:rsid w:val="004E13B6"/>
    <w:rsid w:val="004E1467"/>
    <w:rsid w:val="004E15EE"/>
    <w:rsid w:val="004E1754"/>
    <w:rsid w:val="004E18AA"/>
    <w:rsid w:val="004E1997"/>
    <w:rsid w:val="004E19F7"/>
    <w:rsid w:val="004E1C2E"/>
    <w:rsid w:val="004E1E47"/>
    <w:rsid w:val="004E1EB5"/>
    <w:rsid w:val="004E1EDF"/>
    <w:rsid w:val="004E2120"/>
    <w:rsid w:val="004E2134"/>
    <w:rsid w:val="004E21E2"/>
    <w:rsid w:val="004E229E"/>
    <w:rsid w:val="004E235C"/>
    <w:rsid w:val="004E2419"/>
    <w:rsid w:val="004E2428"/>
    <w:rsid w:val="004E257D"/>
    <w:rsid w:val="004E260D"/>
    <w:rsid w:val="004E267A"/>
    <w:rsid w:val="004E276F"/>
    <w:rsid w:val="004E2803"/>
    <w:rsid w:val="004E282B"/>
    <w:rsid w:val="004E29D1"/>
    <w:rsid w:val="004E29F2"/>
    <w:rsid w:val="004E2A6C"/>
    <w:rsid w:val="004E2AD5"/>
    <w:rsid w:val="004E2B2C"/>
    <w:rsid w:val="004E2B70"/>
    <w:rsid w:val="004E2BD7"/>
    <w:rsid w:val="004E2D40"/>
    <w:rsid w:val="004E318C"/>
    <w:rsid w:val="004E32A2"/>
    <w:rsid w:val="004E3377"/>
    <w:rsid w:val="004E339B"/>
    <w:rsid w:val="004E33F7"/>
    <w:rsid w:val="004E34E3"/>
    <w:rsid w:val="004E369E"/>
    <w:rsid w:val="004E36E8"/>
    <w:rsid w:val="004E373F"/>
    <w:rsid w:val="004E38FD"/>
    <w:rsid w:val="004E3971"/>
    <w:rsid w:val="004E39C2"/>
    <w:rsid w:val="004E3A3A"/>
    <w:rsid w:val="004E3B1B"/>
    <w:rsid w:val="004E3BA8"/>
    <w:rsid w:val="004E3BEA"/>
    <w:rsid w:val="004E3C2A"/>
    <w:rsid w:val="004E3C78"/>
    <w:rsid w:val="004E3D35"/>
    <w:rsid w:val="004E3DCF"/>
    <w:rsid w:val="004E4020"/>
    <w:rsid w:val="004E40D6"/>
    <w:rsid w:val="004E412D"/>
    <w:rsid w:val="004E417C"/>
    <w:rsid w:val="004E41AE"/>
    <w:rsid w:val="004E433A"/>
    <w:rsid w:val="004E440D"/>
    <w:rsid w:val="004E444C"/>
    <w:rsid w:val="004E445F"/>
    <w:rsid w:val="004E4587"/>
    <w:rsid w:val="004E45C4"/>
    <w:rsid w:val="004E45DC"/>
    <w:rsid w:val="004E45F3"/>
    <w:rsid w:val="004E4614"/>
    <w:rsid w:val="004E473C"/>
    <w:rsid w:val="004E474B"/>
    <w:rsid w:val="004E480E"/>
    <w:rsid w:val="004E48B4"/>
    <w:rsid w:val="004E49E8"/>
    <w:rsid w:val="004E4A05"/>
    <w:rsid w:val="004E4A20"/>
    <w:rsid w:val="004E4A7A"/>
    <w:rsid w:val="004E4ADB"/>
    <w:rsid w:val="004E4B0C"/>
    <w:rsid w:val="004E4B9A"/>
    <w:rsid w:val="004E4BBC"/>
    <w:rsid w:val="004E4CC2"/>
    <w:rsid w:val="004E4DCE"/>
    <w:rsid w:val="004E4E69"/>
    <w:rsid w:val="004E4F45"/>
    <w:rsid w:val="004E4FD5"/>
    <w:rsid w:val="004E50EB"/>
    <w:rsid w:val="004E5109"/>
    <w:rsid w:val="004E520A"/>
    <w:rsid w:val="004E521D"/>
    <w:rsid w:val="004E5261"/>
    <w:rsid w:val="004E53AD"/>
    <w:rsid w:val="004E543E"/>
    <w:rsid w:val="004E55F5"/>
    <w:rsid w:val="004E568A"/>
    <w:rsid w:val="004E56AA"/>
    <w:rsid w:val="004E56AE"/>
    <w:rsid w:val="004E5A41"/>
    <w:rsid w:val="004E5B5B"/>
    <w:rsid w:val="004E5C77"/>
    <w:rsid w:val="004E5FC5"/>
    <w:rsid w:val="004E6445"/>
    <w:rsid w:val="004E6568"/>
    <w:rsid w:val="004E65CB"/>
    <w:rsid w:val="004E665A"/>
    <w:rsid w:val="004E666D"/>
    <w:rsid w:val="004E670E"/>
    <w:rsid w:val="004E68EE"/>
    <w:rsid w:val="004E6901"/>
    <w:rsid w:val="004E6916"/>
    <w:rsid w:val="004E69AA"/>
    <w:rsid w:val="004E6A10"/>
    <w:rsid w:val="004E6A40"/>
    <w:rsid w:val="004E6ACF"/>
    <w:rsid w:val="004E6C10"/>
    <w:rsid w:val="004E6DE6"/>
    <w:rsid w:val="004E6EA8"/>
    <w:rsid w:val="004E6ED3"/>
    <w:rsid w:val="004E6EF0"/>
    <w:rsid w:val="004E6FB6"/>
    <w:rsid w:val="004E6FFA"/>
    <w:rsid w:val="004E709A"/>
    <w:rsid w:val="004E70CC"/>
    <w:rsid w:val="004E72A0"/>
    <w:rsid w:val="004E73D0"/>
    <w:rsid w:val="004E73F5"/>
    <w:rsid w:val="004E7413"/>
    <w:rsid w:val="004E7559"/>
    <w:rsid w:val="004E75B6"/>
    <w:rsid w:val="004E7626"/>
    <w:rsid w:val="004E778E"/>
    <w:rsid w:val="004E7A08"/>
    <w:rsid w:val="004E7B34"/>
    <w:rsid w:val="004E7C51"/>
    <w:rsid w:val="004E7DB1"/>
    <w:rsid w:val="004E7F04"/>
    <w:rsid w:val="004E7F2E"/>
    <w:rsid w:val="004EC535"/>
    <w:rsid w:val="004F0011"/>
    <w:rsid w:val="004F010A"/>
    <w:rsid w:val="004F0262"/>
    <w:rsid w:val="004F02E3"/>
    <w:rsid w:val="004F0313"/>
    <w:rsid w:val="004F03B9"/>
    <w:rsid w:val="004F03C5"/>
    <w:rsid w:val="004F05E3"/>
    <w:rsid w:val="004F060B"/>
    <w:rsid w:val="004F0908"/>
    <w:rsid w:val="004F0924"/>
    <w:rsid w:val="004F0AEA"/>
    <w:rsid w:val="004F0CAF"/>
    <w:rsid w:val="004F0D0A"/>
    <w:rsid w:val="004F0E4E"/>
    <w:rsid w:val="004F0E7B"/>
    <w:rsid w:val="004F0EBE"/>
    <w:rsid w:val="004F0EF0"/>
    <w:rsid w:val="004F1189"/>
    <w:rsid w:val="004F1351"/>
    <w:rsid w:val="004F135A"/>
    <w:rsid w:val="004F1503"/>
    <w:rsid w:val="004F15EF"/>
    <w:rsid w:val="004F1758"/>
    <w:rsid w:val="004F17F6"/>
    <w:rsid w:val="004F1846"/>
    <w:rsid w:val="004F18CF"/>
    <w:rsid w:val="004F1A64"/>
    <w:rsid w:val="004F1B07"/>
    <w:rsid w:val="004F1C40"/>
    <w:rsid w:val="004F1D75"/>
    <w:rsid w:val="004F1DE3"/>
    <w:rsid w:val="004F1DEC"/>
    <w:rsid w:val="004F1ECE"/>
    <w:rsid w:val="004F1EF3"/>
    <w:rsid w:val="004F1F78"/>
    <w:rsid w:val="004F1FDA"/>
    <w:rsid w:val="004F2023"/>
    <w:rsid w:val="004F20AA"/>
    <w:rsid w:val="004F216B"/>
    <w:rsid w:val="004F25BF"/>
    <w:rsid w:val="004F2657"/>
    <w:rsid w:val="004F27B9"/>
    <w:rsid w:val="004F292D"/>
    <w:rsid w:val="004F2AC3"/>
    <w:rsid w:val="004F2BC4"/>
    <w:rsid w:val="004F2CF7"/>
    <w:rsid w:val="004F2D24"/>
    <w:rsid w:val="004F2D8A"/>
    <w:rsid w:val="004F2D98"/>
    <w:rsid w:val="004F2F08"/>
    <w:rsid w:val="004F2F1E"/>
    <w:rsid w:val="004F3043"/>
    <w:rsid w:val="004F3083"/>
    <w:rsid w:val="004F30C6"/>
    <w:rsid w:val="004F319D"/>
    <w:rsid w:val="004F32EE"/>
    <w:rsid w:val="004F3409"/>
    <w:rsid w:val="004F3428"/>
    <w:rsid w:val="004F3570"/>
    <w:rsid w:val="004F35B7"/>
    <w:rsid w:val="004F36E1"/>
    <w:rsid w:val="004F3A53"/>
    <w:rsid w:val="004F3B4F"/>
    <w:rsid w:val="004F3C59"/>
    <w:rsid w:val="004F3C5C"/>
    <w:rsid w:val="004F3CB6"/>
    <w:rsid w:val="004F3D7C"/>
    <w:rsid w:val="004F4007"/>
    <w:rsid w:val="004F4022"/>
    <w:rsid w:val="004F41C1"/>
    <w:rsid w:val="004F41F8"/>
    <w:rsid w:val="004F4364"/>
    <w:rsid w:val="004F43A3"/>
    <w:rsid w:val="004F43DF"/>
    <w:rsid w:val="004F43E1"/>
    <w:rsid w:val="004F4609"/>
    <w:rsid w:val="004F4769"/>
    <w:rsid w:val="004F476B"/>
    <w:rsid w:val="004F47F0"/>
    <w:rsid w:val="004F4834"/>
    <w:rsid w:val="004F4860"/>
    <w:rsid w:val="004F48FB"/>
    <w:rsid w:val="004F49A5"/>
    <w:rsid w:val="004F49B6"/>
    <w:rsid w:val="004F4A06"/>
    <w:rsid w:val="004F4A50"/>
    <w:rsid w:val="004F4AE2"/>
    <w:rsid w:val="004F4B56"/>
    <w:rsid w:val="004F4BC5"/>
    <w:rsid w:val="004F4C0F"/>
    <w:rsid w:val="004F4C57"/>
    <w:rsid w:val="004F4CF5"/>
    <w:rsid w:val="004F4E43"/>
    <w:rsid w:val="004F4E79"/>
    <w:rsid w:val="004F4E90"/>
    <w:rsid w:val="004F4E94"/>
    <w:rsid w:val="004F4EE1"/>
    <w:rsid w:val="004F4FAF"/>
    <w:rsid w:val="004F515C"/>
    <w:rsid w:val="004F53CB"/>
    <w:rsid w:val="004F5405"/>
    <w:rsid w:val="004F550F"/>
    <w:rsid w:val="004F55FC"/>
    <w:rsid w:val="004F5601"/>
    <w:rsid w:val="004F562C"/>
    <w:rsid w:val="004F5674"/>
    <w:rsid w:val="004F56B3"/>
    <w:rsid w:val="004F57B4"/>
    <w:rsid w:val="004F5842"/>
    <w:rsid w:val="004F5965"/>
    <w:rsid w:val="004F5A0A"/>
    <w:rsid w:val="004F5BE2"/>
    <w:rsid w:val="004F5BEC"/>
    <w:rsid w:val="004F5C10"/>
    <w:rsid w:val="004F5C11"/>
    <w:rsid w:val="004F5D25"/>
    <w:rsid w:val="004F5FAA"/>
    <w:rsid w:val="004F601E"/>
    <w:rsid w:val="004F60DD"/>
    <w:rsid w:val="004F617A"/>
    <w:rsid w:val="004F61FB"/>
    <w:rsid w:val="004F6337"/>
    <w:rsid w:val="004F643B"/>
    <w:rsid w:val="004F6453"/>
    <w:rsid w:val="004F64AF"/>
    <w:rsid w:val="004F6668"/>
    <w:rsid w:val="004F667D"/>
    <w:rsid w:val="004F6714"/>
    <w:rsid w:val="004F695C"/>
    <w:rsid w:val="004F699D"/>
    <w:rsid w:val="004F6A91"/>
    <w:rsid w:val="004F6BF6"/>
    <w:rsid w:val="004F6C5B"/>
    <w:rsid w:val="004F6C93"/>
    <w:rsid w:val="004F6CE3"/>
    <w:rsid w:val="004F6DDA"/>
    <w:rsid w:val="004F6DE3"/>
    <w:rsid w:val="004F6E5D"/>
    <w:rsid w:val="004F6E97"/>
    <w:rsid w:val="004F6F08"/>
    <w:rsid w:val="004F6F5C"/>
    <w:rsid w:val="004F6FDD"/>
    <w:rsid w:val="004F701A"/>
    <w:rsid w:val="004F70DF"/>
    <w:rsid w:val="004F71DF"/>
    <w:rsid w:val="004F71E1"/>
    <w:rsid w:val="004F72A8"/>
    <w:rsid w:val="004F72B7"/>
    <w:rsid w:val="004F738C"/>
    <w:rsid w:val="004F73B8"/>
    <w:rsid w:val="004F74FB"/>
    <w:rsid w:val="004F7504"/>
    <w:rsid w:val="004F75CA"/>
    <w:rsid w:val="004F75E7"/>
    <w:rsid w:val="004F761D"/>
    <w:rsid w:val="004F76A7"/>
    <w:rsid w:val="004F76E8"/>
    <w:rsid w:val="004F77E7"/>
    <w:rsid w:val="004F7895"/>
    <w:rsid w:val="004F78A3"/>
    <w:rsid w:val="004F795A"/>
    <w:rsid w:val="004F7973"/>
    <w:rsid w:val="004F7A0A"/>
    <w:rsid w:val="004F7AAF"/>
    <w:rsid w:val="004F7BAC"/>
    <w:rsid w:val="004F7BD8"/>
    <w:rsid w:val="004F7C03"/>
    <w:rsid w:val="004F7C14"/>
    <w:rsid w:val="004F7C80"/>
    <w:rsid w:val="004F7C8D"/>
    <w:rsid w:val="004F7DB6"/>
    <w:rsid w:val="004F7E6B"/>
    <w:rsid w:val="004F7EDB"/>
    <w:rsid w:val="004F7F16"/>
    <w:rsid w:val="00500135"/>
    <w:rsid w:val="005001AB"/>
    <w:rsid w:val="005002A9"/>
    <w:rsid w:val="005002FA"/>
    <w:rsid w:val="005003B0"/>
    <w:rsid w:val="005004C0"/>
    <w:rsid w:val="00500597"/>
    <w:rsid w:val="005007F7"/>
    <w:rsid w:val="0050088D"/>
    <w:rsid w:val="005008EE"/>
    <w:rsid w:val="00500944"/>
    <w:rsid w:val="00500994"/>
    <w:rsid w:val="005009CB"/>
    <w:rsid w:val="005009DA"/>
    <w:rsid w:val="00500AE3"/>
    <w:rsid w:val="00500B79"/>
    <w:rsid w:val="00500BB8"/>
    <w:rsid w:val="00500D09"/>
    <w:rsid w:val="00500E67"/>
    <w:rsid w:val="00500EE4"/>
    <w:rsid w:val="00500FD6"/>
    <w:rsid w:val="00501014"/>
    <w:rsid w:val="0050102A"/>
    <w:rsid w:val="005010F1"/>
    <w:rsid w:val="005011E3"/>
    <w:rsid w:val="0050120F"/>
    <w:rsid w:val="005012C8"/>
    <w:rsid w:val="00501426"/>
    <w:rsid w:val="00501441"/>
    <w:rsid w:val="00501537"/>
    <w:rsid w:val="005015DA"/>
    <w:rsid w:val="005015E8"/>
    <w:rsid w:val="00501610"/>
    <w:rsid w:val="00501718"/>
    <w:rsid w:val="005017C8"/>
    <w:rsid w:val="00501803"/>
    <w:rsid w:val="005018D9"/>
    <w:rsid w:val="00501ACD"/>
    <w:rsid w:val="00501B16"/>
    <w:rsid w:val="00501B82"/>
    <w:rsid w:val="00501BEA"/>
    <w:rsid w:val="00501DB4"/>
    <w:rsid w:val="00501F16"/>
    <w:rsid w:val="00501F8E"/>
    <w:rsid w:val="00501FBC"/>
    <w:rsid w:val="00501FDF"/>
    <w:rsid w:val="005020F7"/>
    <w:rsid w:val="0050211E"/>
    <w:rsid w:val="00502589"/>
    <w:rsid w:val="0050263D"/>
    <w:rsid w:val="00502653"/>
    <w:rsid w:val="0050268B"/>
    <w:rsid w:val="00502757"/>
    <w:rsid w:val="0050276A"/>
    <w:rsid w:val="005027A1"/>
    <w:rsid w:val="005027F5"/>
    <w:rsid w:val="0050292B"/>
    <w:rsid w:val="0050294A"/>
    <w:rsid w:val="00502978"/>
    <w:rsid w:val="00502B0C"/>
    <w:rsid w:val="00502C44"/>
    <w:rsid w:val="00502CA4"/>
    <w:rsid w:val="00502D05"/>
    <w:rsid w:val="00502DE8"/>
    <w:rsid w:val="00502F46"/>
    <w:rsid w:val="00502F8D"/>
    <w:rsid w:val="00503062"/>
    <w:rsid w:val="00503117"/>
    <w:rsid w:val="00503144"/>
    <w:rsid w:val="00503205"/>
    <w:rsid w:val="00503355"/>
    <w:rsid w:val="00503386"/>
    <w:rsid w:val="005033C2"/>
    <w:rsid w:val="005034D7"/>
    <w:rsid w:val="0050353C"/>
    <w:rsid w:val="0050369F"/>
    <w:rsid w:val="005037C5"/>
    <w:rsid w:val="005039C3"/>
    <w:rsid w:val="00503A06"/>
    <w:rsid w:val="00503C49"/>
    <w:rsid w:val="00503DE3"/>
    <w:rsid w:val="00503E83"/>
    <w:rsid w:val="00503F02"/>
    <w:rsid w:val="00503FA5"/>
    <w:rsid w:val="00504046"/>
    <w:rsid w:val="0050431E"/>
    <w:rsid w:val="005043E4"/>
    <w:rsid w:val="0050443F"/>
    <w:rsid w:val="00504654"/>
    <w:rsid w:val="005046B4"/>
    <w:rsid w:val="005046C5"/>
    <w:rsid w:val="005046E3"/>
    <w:rsid w:val="0050476E"/>
    <w:rsid w:val="005047E7"/>
    <w:rsid w:val="00504876"/>
    <w:rsid w:val="00504931"/>
    <w:rsid w:val="00504992"/>
    <w:rsid w:val="00504B23"/>
    <w:rsid w:val="00504CB3"/>
    <w:rsid w:val="00504CED"/>
    <w:rsid w:val="00504E56"/>
    <w:rsid w:val="00504FD5"/>
    <w:rsid w:val="0050506B"/>
    <w:rsid w:val="0050510E"/>
    <w:rsid w:val="0050513D"/>
    <w:rsid w:val="005051FF"/>
    <w:rsid w:val="0050527B"/>
    <w:rsid w:val="00505310"/>
    <w:rsid w:val="00505348"/>
    <w:rsid w:val="005053C9"/>
    <w:rsid w:val="005055C1"/>
    <w:rsid w:val="0050570E"/>
    <w:rsid w:val="0050572B"/>
    <w:rsid w:val="005057B9"/>
    <w:rsid w:val="00505853"/>
    <w:rsid w:val="0050590D"/>
    <w:rsid w:val="0050591C"/>
    <w:rsid w:val="00505951"/>
    <w:rsid w:val="00505977"/>
    <w:rsid w:val="00505AF1"/>
    <w:rsid w:val="00505B87"/>
    <w:rsid w:val="00505DBF"/>
    <w:rsid w:val="00505E35"/>
    <w:rsid w:val="00505E4C"/>
    <w:rsid w:val="00505EE5"/>
    <w:rsid w:val="00506097"/>
    <w:rsid w:val="005060CF"/>
    <w:rsid w:val="005060D1"/>
    <w:rsid w:val="0050626A"/>
    <w:rsid w:val="00506270"/>
    <w:rsid w:val="0050627F"/>
    <w:rsid w:val="005062F1"/>
    <w:rsid w:val="005063EC"/>
    <w:rsid w:val="00506434"/>
    <w:rsid w:val="0050648B"/>
    <w:rsid w:val="00506582"/>
    <w:rsid w:val="005065B6"/>
    <w:rsid w:val="00506629"/>
    <w:rsid w:val="0050667D"/>
    <w:rsid w:val="005066B5"/>
    <w:rsid w:val="0050696B"/>
    <w:rsid w:val="005069CD"/>
    <w:rsid w:val="00506C0D"/>
    <w:rsid w:val="00506DB5"/>
    <w:rsid w:val="00506DD6"/>
    <w:rsid w:val="00506EEC"/>
    <w:rsid w:val="005070FB"/>
    <w:rsid w:val="005073A4"/>
    <w:rsid w:val="005073CD"/>
    <w:rsid w:val="005074D9"/>
    <w:rsid w:val="0050755C"/>
    <w:rsid w:val="0050765E"/>
    <w:rsid w:val="00507665"/>
    <w:rsid w:val="005076A5"/>
    <w:rsid w:val="005077AF"/>
    <w:rsid w:val="005077BC"/>
    <w:rsid w:val="0050788E"/>
    <w:rsid w:val="00507924"/>
    <w:rsid w:val="00507979"/>
    <w:rsid w:val="00507987"/>
    <w:rsid w:val="00507A64"/>
    <w:rsid w:val="00507A80"/>
    <w:rsid w:val="00507C8F"/>
    <w:rsid w:val="00507D05"/>
    <w:rsid w:val="00507DAD"/>
    <w:rsid w:val="00507DB5"/>
    <w:rsid w:val="00507EC6"/>
    <w:rsid w:val="00507EEB"/>
    <w:rsid w:val="00507F55"/>
    <w:rsid w:val="0050A93D"/>
    <w:rsid w:val="00510023"/>
    <w:rsid w:val="00510153"/>
    <w:rsid w:val="005102E2"/>
    <w:rsid w:val="005103F2"/>
    <w:rsid w:val="00510441"/>
    <w:rsid w:val="00510466"/>
    <w:rsid w:val="0051056E"/>
    <w:rsid w:val="00510610"/>
    <w:rsid w:val="00510653"/>
    <w:rsid w:val="00510778"/>
    <w:rsid w:val="005108A9"/>
    <w:rsid w:val="005109EF"/>
    <w:rsid w:val="00510B2B"/>
    <w:rsid w:val="00510B39"/>
    <w:rsid w:val="00510BA2"/>
    <w:rsid w:val="00510C1A"/>
    <w:rsid w:val="00510CCC"/>
    <w:rsid w:val="00510CD9"/>
    <w:rsid w:val="00510E94"/>
    <w:rsid w:val="00510ED5"/>
    <w:rsid w:val="00510EE0"/>
    <w:rsid w:val="00510F3B"/>
    <w:rsid w:val="00510F70"/>
    <w:rsid w:val="00510FBF"/>
    <w:rsid w:val="00510FE2"/>
    <w:rsid w:val="00511085"/>
    <w:rsid w:val="005110D5"/>
    <w:rsid w:val="0051130D"/>
    <w:rsid w:val="0051135E"/>
    <w:rsid w:val="005113AA"/>
    <w:rsid w:val="005113B9"/>
    <w:rsid w:val="0051148F"/>
    <w:rsid w:val="005114AB"/>
    <w:rsid w:val="005114BB"/>
    <w:rsid w:val="00511544"/>
    <w:rsid w:val="0051157D"/>
    <w:rsid w:val="005115C6"/>
    <w:rsid w:val="005115DF"/>
    <w:rsid w:val="00511699"/>
    <w:rsid w:val="005116B2"/>
    <w:rsid w:val="005116C1"/>
    <w:rsid w:val="005116FE"/>
    <w:rsid w:val="005118C0"/>
    <w:rsid w:val="005118E7"/>
    <w:rsid w:val="0051192B"/>
    <w:rsid w:val="00511A47"/>
    <w:rsid w:val="00511D46"/>
    <w:rsid w:val="00511E03"/>
    <w:rsid w:val="00511E78"/>
    <w:rsid w:val="00511EF2"/>
    <w:rsid w:val="00511F5A"/>
    <w:rsid w:val="0051233D"/>
    <w:rsid w:val="00512346"/>
    <w:rsid w:val="0051239E"/>
    <w:rsid w:val="005124C0"/>
    <w:rsid w:val="005125CC"/>
    <w:rsid w:val="005125DA"/>
    <w:rsid w:val="00512683"/>
    <w:rsid w:val="0051285D"/>
    <w:rsid w:val="005128F2"/>
    <w:rsid w:val="0051291E"/>
    <w:rsid w:val="00512970"/>
    <w:rsid w:val="005129FD"/>
    <w:rsid w:val="00512A0C"/>
    <w:rsid w:val="00512AF4"/>
    <w:rsid w:val="00512B36"/>
    <w:rsid w:val="00512B3C"/>
    <w:rsid w:val="00512CD2"/>
    <w:rsid w:val="00512DB7"/>
    <w:rsid w:val="00512DEC"/>
    <w:rsid w:val="00512FDE"/>
    <w:rsid w:val="00513212"/>
    <w:rsid w:val="00513224"/>
    <w:rsid w:val="005133E3"/>
    <w:rsid w:val="005133F7"/>
    <w:rsid w:val="0051346F"/>
    <w:rsid w:val="00513484"/>
    <w:rsid w:val="005134E1"/>
    <w:rsid w:val="00513508"/>
    <w:rsid w:val="005138F1"/>
    <w:rsid w:val="00513935"/>
    <w:rsid w:val="005139C3"/>
    <w:rsid w:val="005139E1"/>
    <w:rsid w:val="00513A22"/>
    <w:rsid w:val="00513A78"/>
    <w:rsid w:val="00513B1D"/>
    <w:rsid w:val="00513C60"/>
    <w:rsid w:val="00513C80"/>
    <w:rsid w:val="00513C89"/>
    <w:rsid w:val="00513D2D"/>
    <w:rsid w:val="00513EB9"/>
    <w:rsid w:val="00513EEF"/>
    <w:rsid w:val="00514048"/>
    <w:rsid w:val="0051404A"/>
    <w:rsid w:val="0051407E"/>
    <w:rsid w:val="005141B9"/>
    <w:rsid w:val="00514217"/>
    <w:rsid w:val="005142CB"/>
    <w:rsid w:val="005142EB"/>
    <w:rsid w:val="00514307"/>
    <w:rsid w:val="005143D6"/>
    <w:rsid w:val="00514429"/>
    <w:rsid w:val="005145AD"/>
    <w:rsid w:val="00514746"/>
    <w:rsid w:val="005147A8"/>
    <w:rsid w:val="005149FA"/>
    <w:rsid w:val="00514A3E"/>
    <w:rsid w:val="00514B83"/>
    <w:rsid w:val="00514CDF"/>
    <w:rsid w:val="00514D27"/>
    <w:rsid w:val="00514D64"/>
    <w:rsid w:val="00514DA1"/>
    <w:rsid w:val="00514EC0"/>
    <w:rsid w:val="00514F1D"/>
    <w:rsid w:val="00514F58"/>
    <w:rsid w:val="00514FE4"/>
    <w:rsid w:val="00515001"/>
    <w:rsid w:val="00515078"/>
    <w:rsid w:val="005150F2"/>
    <w:rsid w:val="00515355"/>
    <w:rsid w:val="00515364"/>
    <w:rsid w:val="00515414"/>
    <w:rsid w:val="0051547A"/>
    <w:rsid w:val="0051547E"/>
    <w:rsid w:val="005155E6"/>
    <w:rsid w:val="0051583B"/>
    <w:rsid w:val="005158C7"/>
    <w:rsid w:val="00515A1C"/>
    <w:rsid w:val="00515A57"/>
    <w:rsid w:val="00516151"/>
    <w:rsid w:val="005162B3"/>
    <w:rsid w:val="005162BF"/>
    <w:rsid w:val="00516519"/>
    <w:rsid w:val="005165EC"/>
    <w:rsid w:val="00516624"/>
    <w:rsid w:val="00516747"/>
    <w:rsid w:val="0051676F"/>
    <w:rsid w:val="00516976"/>
    <w:rsid w:val="00516A92"/>
    <w:rsid w:val="00516F3E"/>
    <w:rsid w:val="00516F46"/>
    <w:rsid w:val="00517174"/>
    <w:rsid w:val="005171AF"/>
    <w:rsid w:val="00517249"/>
    <w:rsid w:val="00517263"/>
    <w:rsid w:val="005173F3"/>
    <w:rsid w:val="0051741F"/>
    <w:rsid w:val="0051743D"/>
    <w:rsid w:val="00517470"/>
    <w:rsid w:val="0051752B"/>
    <w:rsid w:val="005178EE"/>
    <w:rsid w:val="00517919"/>
    <w:rsid w:val="0051792C"/>
    <w:rsid w:val="00517AD6"/>
    <w:rsid w:val="00517AF9"/>
    <w:rsid w:val="00517BEC"/>
    <w:rsid w:val="00517C1B"/>
    <w:rsid w:val="00517C99"/>
    <w:rsid w:val="00517EB9"/>
    <w:rsid w:val="005200AF"/>
    <w:rsid w:val="00520101"/>
    <w:rsid w:val="00520358"/>
    <w:rsid w:val="00520359"/>
    <w:rsid w:val="005204A0"/>
    <w:rsid w:val="005204A9"/>
    <w:rsid w:val="00520570"/>
    <w:rsid w:val="0052058B"/>
    <w:rsid w:val="005206B8"/>
    <w:rsid w:val="005206C6"/>
    <w:rsid w:val="0052086E"/>
    <w:rsid w:val="00520946"/>
    <w:rsid w:val="00520A46"/>
    <w:rsid w:val="00520AE4"/>
    <w:rsid w:val="00520C70"/>
    <w:rsid w:val="00520F59"/>
    <w:rsid w:val="005211DE"/>
    <w:rsid w:val="005214AE"/>
    <w:rsid w:val="00521608"/>
    <w:rsid w:val="00521648"/>
    <w:rsid w:val="00521912"/>
    <w:rsid w:val="00521A01"/>
    <w:rsid w:val="00521B08"/>
    <w:rsid w:val="00521D85"/>
    <w:rsid w:val="00521E5E"/>
    <w:rsid w:val="00521F0F"/>
    <w:rsid w:val="00521F14"/>
    <w:rsid w:val="00521F18"/>
    <w:rsid w:val="00521FC7"/>
    <w:rsid w:val="0052241E"/>
    <w:rsid w:val="005224FC"/>
    <w:rsid w:val="00522748"/>
    <w:rsid w:val="005228B2"/>
    <w:rsid w:val="005228DA"/>
    <w:rsid w:val="00522905"/>
    <w:rsid w:val="00522A30"/>
    <w:rsid w:val="00522A9C"/>
    <w:rsid w:val="00522B0E"/>
    <w:rsid w:val="00522C22"/>
    <w:rsid w:val="00522C30"/>
    <w:rsid w:val="00522CD0"/>
    <w:rsid w:val="00522EC7"/>
    <w:rsid w:val="00522F1C"/>
    <w:rsid w:val="00522F23"/>
    <w:rsid w:val="0052300B"/>
    <w:rsid w:val="0052304B"/>
    <w:rsid w:val="0052312D"/>
    <w:rsid w:val="005231A3"/>
    <w:rsid w:val="005233A1"/>
    <w:rsid w:val="005233C6"/>
    <w:rsid w:val="0052347C"/>
    <w:rsid w:val="00523495"/>
    <w:rsid w:val="00523506"/>
    <w:rsid w:val="0052351C"/>
    <w:rsid w:val="005235D3"/>
    <w:rsid w:val="00523717"/>
    <w:rsid w:val="00523A2C"/>
    <w:rsid w:val="00523B2E"/>
    <w:rsid w:val="00523B58"/>
    <w:rsid w:val="00523C00"/>
    <w:rsid w:val="00523ECB"/>
    <w:rsid w:val="00523FC8"/>
    <w:rsid w:val="00524121"/>
    <w:rsid w:val="00524180"/>
    <w:rsid w:val="005241FE"/>
    <w:rsid w:val="0052442D"/>
    <w:rsid w:val="00524473"/>
    <w:rsid w:val="0052448E"/>
    <w:rsid w:val="005244A6"/>
    <w:rsid w:val="00524672"/>
    <w:rsid w:val="0052493C"/>
    <w:rsid w:val="00524A32"/>
    <w:rsid w:val="00524B2F"/>
    <w:rsid w:val="00524BF3"/>
    <w:rsid w:val="00524CBF"/>
    <w:rsid w:val="00524EC5"/>
    <w:rsid w:val="00525002"/>
    <w:rsid w:val="005253E5"/>
    <w:rsid w:val="005254E2"/>
    <w:rsid w:val="0052551E"/>
    <w:rsid w:val="00525524"/>
    <w:rsid w:val="0052559C"/>
    <w:rsid w:val="005256C7"/>
    <w:rsid w:val="00525777"/>
    <w:rsid w:val="005257A0"/>
    <w:rsid w:val="00525873"/>
    <w:rsid w:val="00525877"/>
    <w:rsid w:val="00525911"/>
    <w:rsid w:val="00525B73"/>
    <w:rsid w:val="00525D01"/>
    <w:rsid w:val="00525D08"/>
    <w:rsid w:val="00525D5A"/>
    <w:rsid w:val="00525E03"/>
    <w:rsid w:val="00525EFF"/>
    <w:rsid w:val="00525F3A"/>
    <w:rsid w:val="00526030"/>
    <w:rsid w:val="005260FE"/>
    <w:rsid w:val="005261D1"/>
    <w:rsid w:val="00526285"/>
    <w:rsid w:val="0052628E"/>
    <w:rsid w:val="00526324"/>
    <w:rsid w:val="00526388"/>
    <w:rsid w:val="0052651A"/>
    <w:rsid w:val="00526549"/>
    <w:rsid w:val="005268CC"/>
    <w:rsid w:val="00526986"/>
    <w:rsid w:val="00526A5D"/>
    <w:rsid w:val="00526AAB"/>
    <w:rsid w:val="00526BD8"/>
    <w:rsid w:val="00526BF3"/>
    <w:rsid w:val="00526C99"/>
    <w:rsid w:val="00526CFE"/>
    <w:rsid w:val="00526DC0"/>
    <w:rsid w:val="00527020"/>
    <w:rsid w:val="0052711C"/>
    <w:rsid w:val="005272AA"/>
    <w:rsid w:val="0052730E"/>
    <w:rsid w:val="00527493"/>
    <w:rsid w:val="00527568"/>
    <w:rsid w:val="00527572"/>
    <w:rsid w:val="005277B8"/>
    <w:rsid w:val="005277F7"/>
    <w:rsid w:val="005278CC"/>
    <w:rsid w:val="005279AD"/>
    <w:rsid w:val="00527CB0"/>
    <w:rsid w:val="00527EC0"/>
    <w:rsid w:val="005300CE"/>
    <w:rsid w:val="00530119"/>
    <w:rsid w:val="00530244"/>
    <w:rsid w:val="00530293"/>
    <w:rsid w:val="0053030F"/>
    <w:rsid w:val="005303C3"/>
    <w:rsid w:val="005304FF"/>
    <w:rsid w:val="0053057F"/>
    <w:rsid w:val="0053065A"/>
    <w:rsid w:val="005306E1"/>
    <w:rsid w:val="0053075B"/>
    <w:rsid w:val="0053078C"/>
    <w:rsid w:val="005307BC"/>
    <w:rsid w:val="005307DE"/>
    <w:rsid w:val="00530816"/>
    <w:rsid w:val="0053081E"/>
    <w:rsid w:val="005308D6"/>
    <w:rsid w:val="00530A55"/>
    <w:rsid w:val="00530AAF"/>
    <w:rsid w:val="00530AFC"/>
    <w:rsid w:val="00530EBA"/>
    <w:rsid w:val="00530FA3"/>
    <w:rsid w:val="00531252"/>
    <w:rsid w:val="0053126F"/>
    <w:rsid w:val="005313BF"/>
    <w:rsid w:val="0053142D"/>
    <w:rsid w:val="00531511"/>
    <w:rsid w:val="0053183F"/>
    <w:rsid w:val="0053185B"/>
    <w:rsid w:val="00531AAA"/>
    <w:rsid w:val="00531B35"/>
    <w:rsid w:val="00531BE2"/>
    <w:rsid w:val="00531BEA"/>
    <w:rsid w:val="00531D52"/>
    <w:rsid w:val="00531EB7"/>
    <w:rsid w:val="00531EC6"/>
    <w:rsid w:val="00531F41"/>
    <w:rsid w:val="00532073"/>
    <w:rsid w:val="0053210C"/>
    <w:rsid w:val="00532306"/>
    <w:rsid w:val="0053233C"/>
    <w:rsid w:val="005324C2"/>
    <w:rsid w:val="00532545"/>
    <w:rsid w:val="00532554"/>
    <w:rsid w:val="005325CC"/>
    <w:rsid w:val="00532602"/>
    <w:rsid w:val="00532699"/>
    <w:rsid w:val="0053276B"/>
    <w:rsid w:val="00532809"/>
    <w:rsid w:val="005328CD"/>
    <w:rsid w:val="00532922"/>
    <w:rsid w:val="00532AFD"/>
    <w:rsid w:val="00532C42"/>
    <w:rsid w:val="00532C43"/>
    <w:rsid w:val="00532C7E"/>
    <w:rsid w:val="00532D1D"/>
    <w:rsid w:val="00532D2E"/>
    <w:rsid w:val="00532DAE"/>
    <w:rsid w:val="00532EA4"/>
    <w:rsid w:val="00532FB7"/>
    <w:rsid w:val="005330DC"/>
    <w:rsid w:val="0053315A"/>
    <w:rsid w:val="005331C9"/>
    <w:rsid w:val="005331F2"/>
    <w:rsid w:val="005332AB"/>
    <w:rsid w:val="0053340D"/>
    <w:rsid w:val="005334A2"/>
    <w:rsid w:val="005335A9"/>
    <w:rsid w:val="005335D6"/>
    <w:rsid w:val="00533634"/>
    <w:rsid w:val="005337A6"/>
    <w:rsid w:val="005337BD"/>
    <w:rsid w:val="0053384F"/>
    <w:rsid w:val="005338B1"/>
    <w:rsid w:val="00533A01"/>
    <w:rsid w:val="00533B8B"/>
    <w:rsid w:val="00533C1D"/>
    <w:rsid w:val="00533C28"/>
    <w:rsid w:val="00533C55"/>
    <w:rsid w:val="00533CAB"/>
    <w:rsid w:val="00533CEA"/>
    <w:rsid w:val="00533D9E"/>
    <w:rsid w:val="00533E83"/>
    <w:rsid w:val="00533F00"/>
    <w:rsid w:val="00533F7A"/>
    <w:rsid w:val="00533F7C"/>
    <w:rsid w:val="00534000"/>
    <w:rsid w:val="00534065"/>
    <w:rsid w:val="00534069"/>
    <w:rsid w:val="005340D2"/>
    <w:rsid w:val="00534273"/>
    <w:rsid w:val="00534315"/>
    <w:rsid w:val="00534316"/>
    <w:rsid w:val="005343AE"/>
    <w:rsid w:val="005343B7"/>
    <w:rsid w:val="005343E8"/>
    <w:rsid w:val="005344C6"/>
    <w:rsid w:val="00534676"/>
    <w:rsid w:val="0053485F"/>
    <w:rsid w:val="00534CC4"/>
    <w:rsid w:val="00534D23"/>
    <w:rsid w:val="00534DAF"/>
    <w:rsid w:val="00534E0C"/>
    <w:rsid w:val="00534E1E"/>
    <w:rsid w:val="00534E43"/>
    <w:rsid w:val="00535066"/>
    <w:rsid w:val="005352B3"/>
    <w:rsid w:val="005353BE"/>
    <w:rsid w:val="00535696"/>
    <w:rsid w:val="00535766"/>
    <w:rsid w:val="005357DB"/>
    <w:rsid w:val="005357E6"/>
    <w:rsid w:val="00535830"/>
    <w:rsid w:val="005358CC"/>
    <w:rsid w:val="005358D7"/>
    <w:rsid w:val="00535939"/>
    <w:rsid w:val="0053595B"/>
    <w:rsid w:val="005359A7"/>
    <w:rsid w:val="005359BD"/>
    <w:rsid w:val="00535AA7"/>
    <w:rsid w:val="00535BF4"/>
    <w:rsid w:val="00535C40"/>
    <w:rsid w:val="00535C7A"/>
    <w:rsid w:val="00535CC8"/>
    <w:rsid w:val="00535DDB"/>
    <w:rsid w:val="00535DFA"/>
    <w:rsid w:val="00535E36"/>
    <w:rsid w:val="00535F7D"/>
    <w:rsid w:val="0053601B"/>
    <w:rsid w:val="005360EA"/>
    <w:rsid w:val="005361F8"/>
    <w:rsid w:val="005363DE"/>
    <w:rsid w:val="005363DF"/>
    <w:rsid w:val="005365C3"/>
    <w:rsid w:val="005365EA"/>
    <w:rsid w:val="0053660F"/>
    <w:rsid w:val="005367FF"/>
    <w:rsid w:val="0053683C"/>
    <w:rsid w:val="005368D2"/>
    <w:rsid w:val="00536A5C"/>
    <w:rsid w:val="00536B90"/>
    <w:rsid w:val="00536EF2"/>
    <w:rsid w:val="00536EFC"/>
    <w:rsid w:val="00536F6A"/>
    <w:rsid w:val="00536FB9"/>
    <w:rsid w:val="00536FF8"/>
    <w:rsid w:val="00537174"/>
    <w:rsid w:val="0053718D"/>
    <w:rsid w:val="00537205"/>
    <w:rsid w:val="0053741D"/>
    <w:rsid w:val="005374AD"/>
    <w:rsid w:val="005375A9"/>
    <w:rsid w:val="00537638"/>
    <w:rsid w:val="005376F7"/>
    <w:rsid w:val="00537750"/>
    <w:rsid w:val="005377BA"/>
    <w:rsid w:val="005377F3"/>
    <w:rsid w:val="005378A6"/>
    <w:rsid w:val="00537A4C"/>
    <w:rsid w:val="00537B24"/>
    <w:rsid w:val="00537C44"/>
    <w:rsid w:val="00537D9F"/>
    <w:rsid w:val="00537E66"/>
    <w:rsid w:val="00537EA0"/>
    <w:rsid w:val="00537F50"/>
    <w:rsid w:val="00540012"/>
    <w:rsid w:val="005400EA"/>
    <w:rsid w:val="005401ED"/>
    <w:rsid w:val="00540265"/>
    <w:rsid w:val="005402BE"/>
    <w:rsid w:val="005403E3"/>
    <w:rsid w:val="00540409"/>
    <w:rsid w:val="0054043A"/>
    <w:rsid w:val="00540491"/>
    <w:rsid w:val="005406FA"/>
    <w:rsid w:val="00540741"/>
    <w:rsid w:val="0054083B"/>
    <w:rsid w:val="00540851"/>
    <w:rsid w:val="00540857"/>
    <w:rsid w:val="00540AA2"/>
    <w:rsid w:val="00540BCD"/>
    <w:rsid w:val="00540C2E"/>
    <w:rsid w:val="00540CE9"/>
    <w:rsid w:val="00540DB7"/>
    <w:rsid w:val="00540E28"/>
    <w:rsid w:val="00540E99"/>
    <w:rsid w:val="00540EA1"/>
    <w:rsid w:val="00540FEF"/>
    <w:rsid w:val="005410E4"/>
    <w:rsid w:val="00541144"/>
    <w:rsid w:val="00541202"/>
    <w:rsid w:val="00541249"/>
    <w:rsid w:val="00541283"/>
    <w:rsid w:val="005412BC"/>
    <w:rsid w:val="005413A0"/>
    <w:rsid w:val="005414A5"/>
    <w:rsid w:val="005414F5"/>
    <w:rsid w:val="00541619"/>
    <w:rsid w:val="00541743"/>
    <w:rsid w:val="005417C8"/>
    <w:rsid w:val="005417F6"/>
    <w:rsid w:val="005418BB"/>
    <w:rsid w:val="0054191F"/>
    <w:rsid w:val="00541A00"/>
    <w:rsid w:val="00541A35"/>
    <w:rsid w:val="00541AC7"/>
    <w:rsid w:val="00541E88"/>
    <w:rsid w:val="00541EE2"/>
    <w:rsid w:val="00541F3F"/>
    <w:rsid w:val="00541F7E"/>
    <w:rsid w:val="00541F8B"/>
    <w:rsid w:val="00541FAB"/>
    <w:rsid w:val="005421FF"/>
    <w:rsid w:val="005422AA"/>
    <w:rsid w:val="005424CA"/>
    <w:rsid w:val="005424E0"/>
    <w:rsid w:val="0054259E"/>
    <w:rsid w:val="005425D9"/>
    <w:rsid w:val="005426FD"/>
    <w:rsid w:val="005429A6"/>
    <w:rsid w:val="00542A84"/>
    <w:rsid w:val="00542AA1"/>
    <w:rsid w:val="00542B4F"/>
    <w:rsid w:val="00542D88"/>
    <w:rsid w:val="00542E95"/>
    <w:rsid w:val="00542E9E"/>
    <w:rsid w:val="0054302F"/>
    <w:rsid w:val="0054314E"/>
    <w:rsid w:val="00543172"/>
    <w:rsid w:val="00543182"/>
    <w:rsid w:val="0054319D"/>
    <w:rsid w:val="005432E4"/>
    <w:rsid w:val="00543331"/>
    <w:rsid w:val="005434BE"/>
    <w:rsid w:val="00543664"/>
    <w:rsid w:val="00543697"/>
    <w:rsid w:val="005436E7"/>
    <w:rsid w:val="00543734"/>
    <w:rsid w:val="005438D1"/>
    <w:rsid w:val="00543AD8"/>
    <w:rsid w:val="00543AFE"/>
    <w:rsid w:val="00543B77"/>
    <w:rsid w:val="00543C26"/>
    <w:rsid w:val="00543CA8"/>
    <w:rsid w:val="00543CF4"/>
    <w:rsid w:val="00543D58"/>
    <w:rsid w:val="00543D8C"/>
    <w:rsid w:val="00543DB0"/>
    <w:rsid w:val="00543F72"/>
    <w:rsid w:val="00543FFD"/>
    <w:rsid w:val="005440D3"/>
    <w:rsid w:val="005441B4"/>
    <w:rsid w:val="005441FE"/>
    <w:rsid w:val="005442C3"/>
    <w:rsid w:val="0054433D"/>
    <w:rsid w:val="00544342"/>
    <w:rsid w:val="0054443A"/>
    <w:rsid w:val="0054446E"/>
    <w:rsid w:val="00544506"/>
    <w:rsid w:val="005445A1"/>
    <w:rsid w:val="00544689"/>
    <w:rsid w:val="0054469D"/>
    <w:rsid w:val="005446AE"/>
    <w:rsid w:val="005447CE"/>
    <w:rsid w:val="00544931"/>
    <w:rsid w:val="00544B19"/>
    <w:rsid w:val="00544C8B"/>
    <w:rsid w:val="00544C97"/>
    <w:rsid w:val="00544CEB"/>
    <w:rsid w:val="00544DB2"/>
    <w:rsid w:val="00544E39"/>
    <w:rsid w:val="00544EFB"/>
    <w:rsid w:val="00544FF6"/>
    <w:rsid w:val="0054501C"/>
    <w:rsid w:val="005451B5"/>
    <w:rsid w:val="005451F6"/>
    <w:rsid w:val="005453C4"/>
    <w:rsid w:val="0054546F"/>
    <w:rsid w:val="005454DE"/>
    <w:rsid w:val="00545548"/>
    <w:rsid w:val="0054578E"/>
    <w:rsid w:val="00545812"/>
    <w:rsid w:val="0054589F"/>
    <w:rsid w:val="005458C7"/>
    <w:rsid w:val="005458D6"/>
    <w:rsid w:val="005459D4"/>
    <w:rsid w:val="00545A04"/>
    <w:rsid w:val="00545BC4"/>
    <w:rsid w:val="00545BE1"/>
    <w:rsid w:val="00545C58"/>
    <w:rsid w:val="00545C8E"/>
    <w:rsid w:val="00545CFA"/>
    <w:rsid w:val="00545D4A"/>
    <w:rsid w:val="00545D7E"/>
    <w:rsid w:val="0054602E"/>
    <w:rsid w:val="005460AF"/>
    <w:rsid w:val="005460E1"/>
    <w:rsid w:val="0054627E"/>
    <w:rsid w:val="005462F2"/>
    <w:rsid w:val="00546353"/>
    <w:rsid w:val="0054637A"/>
    <w:rsid w:val="005464D1"/>
    <w:rsid w:val="005468C5"/>
    <w:rsid w:val="00546910"/>
    <w:rsid w:val="00546C46"/>
    <w:rsid w:val="00546CBB"/>
    <w:rsid w:val="00546CE6"/>
    <w:rsid w:val="00546CF6"/>
    <w:rsid w:val="00546E79"/>
    <w:rsid w:val="00546F62"/>
    <w:rsid w:val="00546FBD"/>
    <w:rsid w:val="0054707B"/>
    <w:rsid w:val="00547145"/>
    <w:rsid w:val="00547511"/>
    <w:rsid w:val="00547554"/>
    <w:rsid w:val="005475D8"/>
    <w:rsid w:val="00547639"/>
    <w:rsid w:val="00547657"/>
    <w:rsid w:val="005477CD"/>
    <w:rsid w:val="00547826"/>
    <w:rsid w:val="0054786A"/>
    <w:rsid w:val="00547887"/>
    <w:rsid w:val="00547897"/>
    <w:rsid w:val="005478CD"/>
    <w:rsid w:val="005479FE"/>
    <w:rsid w:val="00547ADE"/>
    <w:rsid w:val="00547AEF"/>
    <w:rsid w:val="00547B95"/>
    <w:rsid w:val="00547D07"/>
    <w:rsid w:val="00547DA6"/>
    <w:rsid w:val="00547EA2"/>
    <w:rsid w:val="00547F19"/>
    <w:rsid w:val="00547F56"/>
    <w:rsid w:val="00547FCB"/>
    <w:rsid w:val="0055000C"/>
    <w:rsid w:val="00550015"/>
    <w:rsid w:val="00550036"/>
    <w:rsid w:val="0055015B"/>
    <w:rsid w:val="005503A5"/>
    <w:rsid w:val="0055047B"/>
    <w:rsid w:val="00550555"/>
    <w:rsid w:val="00550731"/>
    <w:rsid w:val="005507B3"/>
    <w:rsid w:val="005507E4"/>
    <w:rsid w:val="0055087B"/>
    <w:rsid w:val="005509B1"/>
    <w:rsid w:val="00550ED6"/>
    <w:rsid w:val="00550FD6"/>
    <w:rsid w:val="00551067"/>
    <w:rsid w:val="005510B1"/>
    <w:rsid w:val="005510B7"/>
    <w:rsid w:val="00551192"/>
    <w:rsid w:val="005511CD"/>
    <w:rsid w:val="005511F2"/>
    <w:rsid w:val="0055125F"/>
    <w:rsid w:val="00551385"/>
    <w:rsid w:val="005514B2"/>
    <w:rsid w:val="00551739"/>
    <w:rsid w:val="00551898"/>
    <w:rsid w:val="005518CD"/>
    <w:rsid w:val="005518E2"/>
    <w:rsid w:val="00551B5B"/>
    <w:rsid w:val="00551CB1"/>
    <w:rsid w:val="00551DBC"/>
    <w:rsid w:val="00551DC8"/>
    <w:rsid w:val="00551E00"/>
    <w:rsid w:val="00551F2A"/>
    <w:rsid w:val="00551F3C"/>
    <w:rsid w:val="00551F90"/>
    <w:rsid w:val="00552014"/>
    <w:rsid w:val="00552099"/>
    <w:rsid w:val="0055223C"/>
    <w:rsid w:val="005523B2"/>
    <w:rsid w:val="00552446"/>
    <w:rsid w:val="00552539"/>
    <w:rsid w:val="005526A9"/>
    <w:rsid w:val="0055270B"/>
    <w:rsid w:val="0055273E"/>
    <w:rsid w:val="00552773"/>
    <w:rsid w:val="0055286B"/>
    <w:rsid w:val="005528B1"/>
    <w:rsid w:val="005528DB"/>
    <w:rsid w:val="0055292C"/>
    <w:rsid w:val="00552959"/>
    <w:rsid w:val="00552A13"/>
    <w:rsid w:val="00552ADC"/>
    <w:rsid w:val="00552B3E"/>
    <w:rsid w:val="00552B84"/>
    <w:rsid w:val="00552B9A"/>
    <w:rsid w:val="00552C14"/>
    <w:rsid w:val="00552D60"/>
    <w:rsid w:val="00552DFF"/>
    <w:rsid w:val="00552FCC"/>
    <w:rsid w:val="00553179"/>
    <w:rsid w:val="00553205"/>
    <w:rsid w:val="0055328D"/>
    <w:rsid w:val="00553534"/>
    <w:rsid w:val="0055369D"/>
    <w:rsid w:val="005536BA"/>
    <w:rsid w:val="0055373C"/>
    <w:rsid w:val="00553773"/>
    <w:rsid w:val="005537F8"/>
    <w:rsid w:val="005538C0"/>
    <w:rsid w:val="005538D1"/>
    <w:rsid w:val="00553975"/>
    <w:rsid w:val="00553A13"/>
    <w:rsid w:val="00553BDA"/>
    <w:rsid w:val="00553CC3"/>
    <w:rsid w:val="00553D91"/>
    <w:rsid w:val="00554173"/>
    <w:rsid w:val="005541DD"/>
    <w:rsid w:val="005544EE"/>
    <w:rsid w:val="00554576"/>
    <w:rsid w:val="0055464A"/>
    <w:rsid w:val="005548CD"/>
    <w:rsid w:val="00554B94"/>
    <w:rsid w:val="00554C7B"/>
    <w:rsid w:val="00554DE7"/>
    <w:rsid w:val="00554E43"/>
    <w:rsid w:val="00554EEE"/>
    <w:rsid w:val="00555002"/>
    <w:rsid w:val="0055513A"/>
    <w:rsid w:val="005551A4"/>
    <w:rsid w:val="005551C3"/>
    <w:rsid w:val="0055522B"/>
    <w:rsid w:val="00555274"/>
    <w:rsid w:val="0055537E"/>
    <w:rsid w:val="00555402"/>
    <w:rsid w:val="00555430"/>
    <w:rsid w:val="00555483"/>
    <w:rsid w:val="005554D5"/>
    <w:rsid w:val="00555569"/>
    <w:rsid w:val="005556AB"/>
    <w:rsid w:val="0055570A"/>
    <w:rsid w:val="005557CE"/>
    <w:rsid w:val="005557FC"/>
    <w:rsid w:val="00555A1D"/>
    <w:rsid w:val="00555A94"/>
    <w:rsid w:val="00555B6B"/>
    <w:rsid w:val="00555B92"/>
    <w:rsid w:val="00555BA0"/>
    <w:rsid w:val="00555BB3"/>
    <w:rsid w:val="00555BBB"/>
    <w:rsid w:val="00555C76"/>
    <w:rsid w:val="00555CD1"/>
    <w:rsid w:val="00555E55"/>
    <w:rsid w:val="00555EDB"/>
    <w:rsid w:val="005561DF"/>
    <w:rsid w:val="00556305"/>
    <w:rsid w:val="00556307"/>
    <w:rsid w:val="0055641D"/>
    <w:rsid w:val="0055647D"/>
    <w:rsid w:val="005565A5"/>
    <w:rsid w:val="00556669"/>
    <w:rsid w:val="005566B4"/>
    <w:rsid w:val="0055670D"/>
    <w:rsid w:val="005567FF"/>
    <w:rsid w:val="005568B9"/>
    <w:rsid w:val="00556984"/>
    <w:rsid w:val="00556A91"/>
    <w:rsid w:val="00556B77"/>
    <w:rsid w:val="00556BB3"/>
    <w:rsid w:val="00556C9D"/>
    <w:rsid w:val="00556D4C"/>
    <w:rsid w:val="00556D74"/>
    <w:rsid w:val="00556DCB"/>
    <w:rsid w:val="00556E19"/>
    <w:rsid w:val="00556F2E"/>
    <w:rsid w:val="00556F3E"/>
    <w:rsid w:val="00556F97"/>
    <w:rsid w:val="00557151"/>
    <w:rsid w:val="00557186"/>
    <w:rsid w:val="005572B4"/>
    <w:rsid w:val="005572EA"/>
    <w:rsid w:val="00557363"/>
    <w:rsid w:val="005573A9"/>
    <w:rsid w:val="005574B4"/>
    <w:rsid w:val="00557567"/>
    <w:rsid w:val="005576C8"/>
    <w:rsid w:val="00557730"/>
    <w:rsid w:val="0055775F"/>
    <w:rsid w:val="005577A6"/>
    <w:rsid w:val="00557844"/>
    <w:rsid w:val="005579B5"/>
    <w:rsid w:val="005579D1"/>
    <w:rsid w:val="005579DC"/>
    <w:rsid w:val="00557A75"/>
    <w:rsid w:val="00557B06"/>
    <w:rsid w:val="00557CBF"/>
    <w:rsid w:val="00557E0D"/>
    <w:rsid w:val="00557E80"/>
    <w:rsid w:val="00557EAE"/>
    <w:rsid w:val="00557EEE"/>
    <w:rsid w:val="00557F0E"/>
    <w:rsid w:val="00557FD4"/>
    <w:rsid w:val="00559606"/>
    <w:rsid w:val="00560123"/>
    <w:rsid w:val="005601D0"/>
    <w:rsid w:val="0056026E"/>
    <w:rsid w:val="005602E5"/>
    <w:rsid w:val="0056030D"/>
    <w:rsid w:val="0056031A"/>
    <w:rsid w:val="00560340"/>
    <w:rsid w:val="005603EB"/>
    <w:rsid w:val="005605CC"/>
    <w:rsid w:val="00560710"/>
    <w:rsid w:val="005607D7"/>
    <w:rsid w:val="00560880"/>
    <w:rsid w:val="00560889"/>
    <w:rsid w:val="00560A93"/>
    <w:rsid w:val="00560AAF"/>
    <w:rsid w:val="00560B10"/>
    <w:rsid w:val="00560B24"/>
    <w:rsid w:val="00560BC1"/>
    <w:rsid w:val="00560C27"/>
    <w:rsid w:val="00560CE3"/>
    <w:rsid w:val="00560D21"/>
    <w:rsid w:val="00560D55"/>
    <w:rsid w:val="00560E22"/>
    <w:rsid w:val="00560EB2"/>
    <w:rsid w:val="00560F4A"/>
    <w:rsid w:val="00561027"/>
    <w:rsid w:val="00561032"/>
    <w:rsid w:val="005610DA"/>
    <w:rsid w:val="005610E2"/>
    <w:rsid w:val="00561152"/>
    <w:rsid w:val="00561238"/>
    <w:rsid w:val="005612B7"/>
    <w:rsid w:val="005614B5"/>
    <w:rsid w:val="005616B2"/>
    <w:rsid w:val="0056178F"/>
    <w:rsid w:val="005617CA"/>
    <w:rsid w:val="005617D8"/>
    <w:rsid w:val="00561986"/>
    <w:rsid w:val="005619D5"/>
    <w:rsid w:val="00561AC4"/>
    <w:rsid w:val="00561B80"/>
    <w:rsid w:val="00561D49"/>
    <w:rsid w:val="00561E15"/>
    <w:rsid w:val="00561E63"/>
    <w:rsid w:val="00561E74"/>
    <w:rsid w:val="00561F45"/>
    <w:rsid w:val="00561F93"/>
    <w:rsid w:val="005620FD"/>
    <w:rsid w:val="00562179"/>
    <w:rsid w:val="005622BA"/>
    <w:rsid w:val="00562322"/>
    <w:rsid w:val="00562366"/>
    <w:rsid w:val="0056244F"/>
    <w:rsid w:val="0056260A"/>
    <w:rsid w:val="00562610"/>
    <w:rsid w:val="0056261C"/>
    <w:rsid w:val="0056266C"/>
    <w:rsid w:val="00562704"/>
    <w:rsid w:val="00562752"/>
    <w:rsid w:val="00562879"/>
    <w:rsid w:val="005628A6"/>
    <w:rsid w:val="005628C1"/>
    <w:rsid w:val="005628FC"/>
    <w:rsid w:val="00562B8C"/>
    <w:rsid w:val="00562C1A"/>
    <w:rsid w:val="00562C6F"/>
    <w:rsid w:val="00562CE0"/>
    <w:rsid w:val="00562D1C"/>
    <w:rsid w:val="00562F60"/>
    <w:rsid w:val="00563050"/>
    <w:rsid w:val="00563078"/>
    <w:rsid w:val="005630A6"/>
    <w:rsid w:val="00563129"/>
    <w:rsid w:val="00563143"/>
    <w:rsid w:val="005631E7"/>
    <w:rsid w:val="00563202"/>
    <w:rsid w:val="0056324D"/>
    <w:rsid w:val="0056329E"/>
    <w:rsid w:val="005632CA"/>
    <w:rsid w:val="0056334E"/>
    <w:rsid w:val="00563523"/>
    <w:rsid w:val="005635BC"/>
    <w:rsid w:val="005635C4"/>
    <w:rsid w:val="00563657"/>
    <w:rsid w:val="00563883"/>
    <w:rsid w:val="005638FB"/>
    <w:rsid w:val="00563A50"/>
    <w:rsid w:val="00563ADC"/>
    <w:rsid w:val="00563B21"/>
    <w:rsid w:val="00563BB9"/>
    <w:rsid w:val="00563BD8"/>
    <w:rsid w:val="00563CB8"/>
    <w:rsid w:val="00563D09"/>
    <w:rsid w:val="00563F42"/>
    <w:rsid w:val="00564154"/>
    <w:rsid w:val="0056415E"/>
    <w:rsid w:val="0056436D"/>
    <w:rsid w:val="00564370"/>
    <w:rsid w:val="00564447"/>
    <w:rsid w:val="0056447F"/>
    <w:rsid w:val="005645F2"/>
    <w:rsid w:val="00564689"/>
    <w:rsid w:val="00564857"/>
    <w:rsid w:val="00564886"/>
    <w:rsid w:val="005648BF"/>
    <w:rsid w:val="00564912"/>
    <w:rsid w:val="005649B7"/>
    <w:rsid w:val="00564A90"/>
    <w:rsid w:val="00564AFE"/>
    <w:rsid w:val="00564B09"/>
    <w:rsid w:val="00564B48"/>
    <w:rsid w:val="00564BB2"/>
    <w:rsid w:val="00564BCE"/>
    <w:rsid w:val="00564C0C"/>
    <w:rsid w:val="00564E14"/>
    <w:rsid w:val="00565049"/>
    <w:rsid w:val="005651C5"/>
    <w:rsid w:val="0056526D"/>
    <w:rsid w:val="005652E1"/>
    <w:rsid w:val="005653BF"/>
    <w:rsid w:val="0056544E"/>
    <w:rsid w:val="00565467"/>
    <w:rsid w:val="005654CF"/>
    <w:rsid w:val="005654E7"/>
    <w:rsid w:val="005656A9"/>
    <w:rsid w:val="0056571E"/>
    <w:rsid w:val="005657A7"/>
    <w:rsid w:val="00565910"/>
    <w:rsid w:val="00565AE3"/>
    <w:rsid w:val="00565DE1"/>
    <w:rsid w:val="00565F55"/>
    <w:rsid w:val="00565F63"/>
    <w:rsid w:val="00565FD6"/>
    <w:rsid w:val="0056619D"/>
    <w:rsid w:val="0056621D"/>
    <w:rsid w:val="0056645D"/>
    <w:rsid w:val="0056646F"/>
    <w:rsid w:val="00566561"/>
    <w:rsid w:val="00566751"/>
    <w:rsid w:val="00566844"/>
    <w:rsid w:val="0056689A"/>
    <w:rsid w:val="00566C29"/>
    <w:rsid w:val="00566C52"/>
    <w:rsid w:val="00566DA0"/>
    <w:rsid w:val="00566ED3"/>
    <w:rsid w:val="00566F3D"/>
    <w:rsid w:val="00566F6E"/>
    <w:rsid w:val="00567009"/>
    <w:rsid w:val="005670F0"/>
    <w:rsid w:val="00567158"/>
    <w:rsid w:val="005672F9"/>
    <w:rsid w:val="00567429"/>
    <w:rsid w:val="00567564"/>
    <w:rsid w:val="005675C1"/>
    <w:rsid w:val="005676C3"/>
    <w:rsid w:val="005677B1"/>
    <w:rsid w:val="0056787F"/>
    <w:rsid w:val="005678C1"/>
    <w:rsid w:val="00567921"/>
    <w:rsid w:val="00567948"/>
    <w:rsid w:val="005679EB"/>
    <w:rsid w:val="00567B7F"/>
    <w:rsid w:val="00567BC3"/>
    <w:rsid w:val="00567BE9"/>
    <w:rsid w:val="00567E82"/>
    <w:rsid w:val="00567EB8"/>
    <w:rsid w:val="005702AA"/>
    <w:rsid w:val="005704E9"/>
    <w:rsid w:val="0057051C"/>
    <w:rsid w:val="00570539"/>
    <w:rsid w:val="00570765"/>
    <w:rsid w:val="005708D5"/>
    <w:rsid w:val="005709F4"/>
    <w:rsid w:val="00570A20"/>
    <w:rsid w:val="00570A72"/>
    <w:rsid w:val="00570BCA"/>
    <w:rsid w:val="00570BCC"/>
    <w:rsid w:val="00570C58"/>
    <w:rsid w:val="00570CC8"/>
    <w:rsid w:val="00570F92"/>
    <w:rsid w:val="00570FD5"/>
    <w:rsid w:val="00571086"/>
    <w:rsid w:val="005711BA"/>
    <w:rsid w:val="00571216"/>
    <w:rsid w:val="00571277"/>
    <w:rsid w:val="005713FF"/>
    <w:rsid w:val="00571403"/>
    <w:rsid w:val="0057146F"/>
    <w:rsid w:val="005714DE"/>
    <w:rsid w:val="005715F5"/>
    <w:rsid w:val="00571659"/>
    <w:rsid w:val="005717E2"/>
    <w:rsid w:val="0057186E"/>
    <w:rsid w:val="005719CA"/>
    <w:rsid w:val="00571A55"/>
    <w:rsid w:val="00571AC6"/>
    <w:rsid w:val="00571CBD"/>
    <w:rsid w:val="00571D13"/>
    <w:rsid w:val="00571D31"/>
    <w:rsid w:val="00571E0E"/>
    <w:rsid w:val="00571EAC"/>
    <w:rsid w:val="00571F10"/>
    <w:rsid w:val="0057205D"/>
    <w:rsid w:val="00572181"/>
    <w:rsid w:val="0057221A"/>
    <w:rsid w:val="00572290"/>
    <w:rsid w:val="005723B1"/>
    <w:rsid w:val="0057245A"/>
    <w:rsid w:val="00572466"/>
    <w:rsid w:val="00572474"/>
    <w:rsid w:val="005724E0"/>
    <w:rsid w:val="00572542"/>
    <w:rsid w:val="00572599"/>
    <w:rsid w:val="00572617"/>
    <w:rsid w:val="005727B7"/>
    <w:rsid w:val="0057281C"/>
    <w:rsid w:val="00572876"/>
    <w:rsid w:val="00572901"/>
    <w:rsid w:val="005729D2"/>
    <w:rsid w:val="005729F1"/>
    <w:rsid w:val="00572CA3"/>
    <w:rsid w:val="00572D8B"/>
    <w:rsid w:val="00572E5C"/>
    <w:rsid w:val="00572EAC"/>
    <w:rsid w:val="00572EB5"/>
    <w:rsid w:val="00572F6D"/>
    <w:rsid w:val="00573224"/>
    <w:rsid w:val="00573261"/>
    <w:rsid w:val="005732AF"/>
    <w:rsid w:val="005732C8"/>
    <w:rsid w:val="00573317"/>
    <w:rsid w:val="00573358"/>
    <w:rsid w:val="0057351F"/>
    <w:rsid w:val="005735C1"/>
    <w:rsid w:val="005735FD"/>
    <w:rsid w:val="0057366D"/>
    <w:rsid w:val="005736A6"/>
    <w:rsid w:val="00573790"/>
    <w:rsid w:val="00573AD6"/>
    <w:rsid w:val="00573EBE"/>
    <w:rsid w:val="00573ED0"/>
    <w:rsid w:val="00573F4A"/>
    <w:rsid w:val="005740D5"/>
    <w:rsid w:val="0057414F"/>
    <w:rsid w:val="005741AF"/>
    <w:rsid w:val="00574289"/>
    <w:rsid w:val="005742A6"/>
    <w:rsid w:val="005742C8"/>
    <w:rsid w:val="005742E8"/>
    <w:rsid w:val="005743A5"/>
    <w:rsid w:val="005744AD"/>
    <w:rsid w:val="005744C4"/>
    <w:rsid w:val="005744D9"/>
    <w:rsid w:val="005744EF"/>
    <w:rsid w:val="005745FD"/>
    <w:rsid w:val="00574692"/>
    <w:rsid w:val="005746E7"/>
    <w:rsid w:val="0057485B"/>
    <w:rsid w:val="0057497B"/>
    <w:rsid w:val="0057499B"/>
    <w:rsid w:val="005749A2"/>
    <w:rsid w:val="005749D0"/>
    <w:rsid w:val="00574F1F"/>
    <w:rsid w:val="00574FC1"/>
    <w:rsid w:val="0057505E"/>
    <w:rsid w:val="0057506B"/>
    <w:rsid w:val="00575089"/>
    <w:rsid w:val="00575137"/>
    <w:rsid w:val="00575145"/>
    <w:rsid w:val="005753D6"/>
    <w:rsid w:val="005753DE"/>
    <w:rsid w:val="005753E0"/>
    <w:rsid w:val="005754DE"/>
    <w:rsid w:val="00575570"/>
    <w:rsid w:val="00575729"/>
    <w:rsid w:val="005757D1"/>
    <w:rsid w:val="005758A0"/>
    <w:rsid w:val="00575991"/>
    <w:rsid w:val="005759BB"/>
    <w:rsid w:val="00575ADE"/>
    <w:rsid w:val="00575B16"/>
    <w:rsid w:val="00575B5E"/>
    <w:rsid w:val="00575C05"/>
    <w:rsid w:val="00575C15"/>
    <w:rsid w:val="00575C44"/>
    <w:rsid w:val="00575D41"/>
    <w:rsid w:val="00575DBD"/>
    <w:rsid w:val="00575ECA"/>
    <w:rsid w:val="00575FF7"/>
    <w:rsid w:val="00576017"/>
    <w:rsid w:val="0057611C"/>
    <w:rsid w:val="00576190"/>
    <w:rsid w:val="0057619C"/>
    <w:rsid w:val="0057625F"/>
    <w:rsid w:val="00576270"/>
    <w:rsid w:val="005762B9"/>
    <w:rsid w:val="005763E0"/>
    <w:rsid w:val="00576409"/>
    <w:rsid w:val="005764FF"/>
    <w:rsid w:val="005765C6"/>
    <w:rsid w:val="005766BE"/>
    <w:rsid w:val="00576986"/>
    <w:rsid w:val="005769C9"/>
    <w:rsid w:val="00576AE7"/>
    <w:rsid w:val="00576B1A"/>
    <w:rsid w:val="00576B93"/>
    <w:rsid w:val="00576BCD"/>
    <w:rsid w:val="00576C7B"/>
    <w:rsid w:val="00576F53"/>
    <w:rsid w:val="00576FA2"/>
    <w:rsid w:val="00576FFE"/>
    <w:rsid w:val="00577071"/>
    <w:rsid w:val="00577092"/>
    <w:rsid w:val="005770AE"/>
    <w:rsid w:val="00577101"/>
    <w:rsid w:val="00577154"/>
    <w:rsid w:val="00577297"/>
    <w:rsid w:val="005772F8"/>
    <w:rsid w:val="00577416"/>
    <w:rsid w:val="0057743F"/>
    <w:rsid w:val="00577518"/>
    <w:rsid w:val="0057795C"/>
    <w:rsid w:val="00577A70"/>
    <w:rsid w:val="00577D47"/>
    <w:rsid w:val="00577D98"/>
    <w:rsid w:val="00577DB2"/>
    <w:rsid w:val="00577EEC"/>
    <w:rsid w:val="00577EEF"/>
    <w:rsid w:val="00577F43"/>
    <w:rsid w:val="00577FE4"/>
    <w:rsid w:val="0057F9BE"/>
    <w:rsid w:val="00580022"/>
    <w:rsid w:val="00580277"/>
    <w:rsid w:val="00580308"/>
    <w:rsid w:val="00580686"/>
    <w:rsid w:val="005807AE"/>
    <w:rsid w:val="00580800"/>
    <w:rsid w:val="00580804"/>
    <w:rsid w:val="00580805"/>
    <w:rsid w:val="00580810"/>
    <w:rsid w:val="00580884"/>
    <w:rsid w:val="00580C7F"/>
    <w:rsid w:val="00580CCC"/>
    <w:rsid w:val="00580EB8"/>
    <w:rsid w:val="00580F27"/>
    <w:rsid w:val="00580F46"/>
    <w:rsid w:val="00580F53"/>
    <w:rsid w:val="00580F91"/>
    <w:rsid w:val="005810AE"/>
    <w:rsid w:val="00581102"/>
    <w:rsid w:val="00581141"/>
    <w:rsid w:val="005813E7"/>
    <w:rsid w:val="0058140B"/>
    <w:rsid w:val="00581410"/>
    <w:rsid w:val="00581591"/>
    <w:rsid w:val="00581634"/>
    <w:rsid w:val="00581689"/>
    <w:rsid w:val="0058176E"/>
    <w:rsid w:val="005817A2"/>
    <w:rsid w:val="005817BE"/>
    <w:rsid w:val="0058180B"/>
    <w:rsid w:val="005818CF"/>
    <w:rsid w:val="0058196A"/>
    <w:rsid w:val="005819BC"/>
    <w:rsid w:val="00581B00"/>
    <w:rsid w:val="00581BE9"/>
    <w:rsid w:val="00581D11"/>
    <w:rsid w:val="00581D1F"/>
    <w:rsid w:val="00581E1E"/>
    <w:rsid w:val="005820BE"/>
    <w:rsid w:val="005820F5"/>
    <w:rsid w:val="00582182"/>
    <w:rsid w:val="005821B3"/>
    <w:rsid w:val="00582416"/>
    <w:rsid w:val="0058244A"/>
    <w:rsid w:val="00582698"/>
    <w:rsid w:val="005826F9"/>
    <w:rsid w:val="005828E3"/>
    <w:rsid w:val="00582900"/>
    <w:rsid w:val="00582A3A"/>
    <w:rsid w:val="00582AB4"/>
    <w:rsid w:val="00582B6D"/>
    <w:rsid w:val="00582C85"/>
    <w:rsid w:val="00582CA4"/>
    <w:rsid w:val="00582D9C"/>
    <w:rsid w:val="00582E48"/>
    <w:rsid w:val="00582EA6"/>
    <w:rsid w:val="00582EA8"/>
    <w:rsid w:val="00582ED9"/>
    <w:rsid w:val="00582EF5"/>
    <w:rsid w:val="00582F18"/>
    <w:rsid w:val="0058302D"/>
    <w:rsid w:val="0058309A"/>
    <w:rsid w:val="005830CB"/>
    <w:rsid w:val="00583202"/>
    <w:rsid w:val="005832CD"/>
    <w:rsid w:val="005832CE"/>
    <w:rsid w:val="00583310"/>
    <w:rsid w:val="0058347C"/>
    <w:rsid w:val="005834B0"/>
    <w:rsid w:val="0058357A"/>
    <w:rsid w:val="005835B2"/>
    <w:rsid w:val="00583732"/>
    <w:rsid w:val="00583790"/>
    <w:rsid w:val="00583939"/>
    <w:rsid w:val="00583A82"/>
    <w:rsid w:val="00583B20"/>
    <w:rsid w:val="00583C1A"/>
    <w:rsid w:val="00583CC2"/>
    <w:rsid w:val="00583D57"/>
    <w:rsid w:val="00584071"/>
    <w:rsid w:val="005840E7"/>
    <w:rsid w:val="00584188"/>
    <w:rsid w:val="005841D8"/>
    <w:rsid w:val="005841DD"/>
    <w:rsid w:val="00584205"/>
    <w:rsid w:val="0058427A"/>
    <w:rsid w:val="005843E1"/>
    <w:rsid w:val="00584457"/>
    <w:rsid w:val="00584474"/>
    <w:rsid w:val="0058456B"/>
    <w:rsid w:val="005846A2"/>
    <w:rsid w:val="0058473E"/>
    <w:rsid w:val="00584805"/>
    <w:rsid w:val="00584910"/>
    <w:rsid w:val="00584A74"/>
    <w:rsid w:val="00584AA9"/>
    <w:rsid w:val="00584B22"/>
    <w:rsid w:val="00584BD9"/>
    <w:rsid w:val="00584C3B"/>
    <w:rsid w:val="00584C4B"/>
    <w:rsid w:val="00584DD9"/>
    <w:rsid w:val="00584FEA"/>
    <w:rsid w:val="0058501C"/>
    <w:rsid w:val="0058516F"/>
    <w:rsid w:val="00585183"/>
    <w:rsid w:val="00585218"/>
    <w:rsid w:val="00585274"/>
    <w:rsid w:val="00585336"/>
    <w:rsid w:val="00585384"/>
    <w:rsid w:val="005853D7"/>
    <w:rsid w:val="005854D3"/>
    <w:rsid w:val="0058573F"/>
    <w:rsid w:val="00585762"/>
    <w:rsid w:val="005857FB"/>
    <w:rsid w:val="00585863"/>
    <w:rsid w:val="00585938"/>
    <w:rsid w:val="00585AE7"/>
    <w:rsid w:val="00585B48"/>
    <w:rsid w:val="00585BFA"/>
    <w:rsid w:val="00585C63"/>
    <w:rsid w:val="005860CA"/>
    <w:rsid w:val="00586198"/>
    <w:rsid w:val="00586624"/>
    <w:rsid w:val="005867E7"/>
    <w:rsid w:val="0058680F"/>
    <w:rsid w:val="005868AB"/>
    <w:rsid w:val="005868FD"/>
    <w:rsid w:val="00586A0B"/>
    <w:rsid w:val="00586C30"/>
    <w:rsid w:val="00586EA8"/>
    <w:rsid w:val="005870BE"/>
    <w:rsid w:val="005870D3"/>
    <w:rsid w:val="00587116"/>
    <w:rsid w:val="00587187"/>
    <w:rsid w:val="005871CB"/>
    <w:rsid w:val="00587232"/>
    <w:rsid w:val="00587362"/>
    <w:rsid w:val="005873A4"/>
    <w:rsid w:val="005874C7"/>
    <w:rsid w:val="00587630"/>
    <w:rsid w:val="00587A76"/>
    <w:rsid w:val="00587B2F"/>
    <w:rsid w:val="00587C42"/>
    <w:rsid w:val="00587D89"/>
    <w:rsid w:val="00587D98"/>
    <w:rsid w:val="00587DE6"/>
    <w:rsid w:val="00587DF3"/>
    <w:rsid w:val="00587ECD"/>
    <w:rsid w:val="00587FC3"/>
    <w:rsid w:val="00590075"/>
    <w:rsid w:val="005900E4"/>
    <w:rsid w:val="00590109"/>
    <w:rsid w:val="00590167"/>
    <w:rsid w:val="005901A9"/>
    <w:rsid w:val="005901B9"/>
    <w:rsid w:val="00590229"/>
    <w:rsid w:val="005902FF"/>
    <w:rsid w:val="0059035E"/>
    <w:rsid w:val="0059036D"/>
    <w:rsid w:val="005903FA"/>
    <w:rsid w:val="0059042F"/>
    <w:rsid w:val="0059050E"/>
    <w:rsid w:val="00590570"/>
    <w:rsid w:val="00590592"/>
    <w:rsid w:val="00590603"/>
    <w:rsid w:val="0059062D"/>
    <w:rsid w:val="00590748"/>
    <w:rsid w:val="0059081A"/>
    <w:rsid w:val="005908E8"/>
    <w:rsid w:val="0059093C"/>
    <w:rsid w:val="00590AED"/>
    <w:rsid w:val="00590C75"/>
    <w:rsid w:val="00590CE7"/>
    <w:rsid w:val="00590E50"/>
    <w:rsid w:val="00590E8A"/>
    <w:rsid w:val="00590F11"/>
    <w:rsid w:val="00590F20"/>
    <w:rsid w:val="00590FDA"/>
    <w:rsid w:val="005910D9"/>
    <w:rsid w:val="005911C7"/>
    <w:rsid w:val="005912E0"/>
    <w:rsid w:val="00591384"/>
    <w:rsid w:val="00591499"/>
    <w:rsid w:val="005915B9"/>
    <w:rsid w:val="00591725"/>
    <w:rsid w:val="00591740"/>
    <w:rsid w:val="005919D9"/>
    <w:rsid w:val="00591A89"/>
    <w:rsid w:val="00591AF9"/>
    <w:rsid w:val="00591B1B"/>
    <w:rsid w:val="00591C0C"/>
    <w:rsid w:val="00591CA2"/>
    <w:rsid w:val="00591CF0"/>
    <w:rsid w:val="00591F4A"/>
    <w:rsid w:val="00592199"/>
    <w:rsid w:val="0059222C"/>
    <w:rsid w:val="005922FA"/>
    <w:rsid w:val="00592358"/>
    <w:rsid w:val="0059239B"/>
    <w:rsid w:val="005924EE"/>
    <w:rsid w:val="00592527"/>
    <w:rsid w:val="0059279D"/>
    <w:rsid w:val="00592808"/>
    <w:rsid w:val="00592847"/>
    <w:rsid w:val="00592898"/>
    <w:rsid w:val="005928CF"/>
    <w:rsid w:val="00592A3D"/>
    <w:rsid w:val="00592B50"/>
    <w:rsid w:val="00592BA9"/>
    <w:rsid w:val="00592C08"/>
    <w:rsid w:val="00592DAF"/>
    <w:rsid w:val="00592E0B"/>
    <w:rsid w:val="00592E84"/>
    <w:rsid w:val="00592EA2"/>
    <w:rsid w:val="00592EF7"/>
    <w:rsid w:val="00592F4B"/>
    <w:rsid w:val="005930AC"/>
    <w:rsid w:val="005931C9"/>
    <w:rsid w:val="00593310"/>
    <w:rsid w:val="00593335"/>
    <w:rsid w:val="005933D9"/>
    <w:rsid w:val="0059341A"/>
    <w:rsid w:val="0059347D"/>
    <w:rsid w:val="0059357C"/>
    <w:rsid w:val="0059361E"/>
    <w:rsid w:val="00593647"/>
    <w:rsid w:val="00593712"/>
    <w:rsid w:val="00593A89"/>
    <w:rsid w:val="00593B3B"/>
    <w:rsid w:val="00593BD4"/>
    <w:rsid w:val="00593BE3"/>
    <w:rsid w:val="00593C5B"/>
    <w:rsid w:val="00593D81"/>
    <w:rsid w:val="00593DB0"/>
    <w:rsid w:val="00593DE1"/>
    <w:rsid w:val="00593E25"/>
    <w:rsid w:val="00593EA2"/>
    <w:rsid w:val="00593F8F"/>
    <w:rsid w:val="00594014"/>
    <w:rsid w:val="00594048"/>
    <w:rsid w:val="0059418B"/>
    <w:rsid w:val="00594269"/>
    <w:rsid w:val="005942FD"/>
    <w:rsid w:val="00594332"/>
    <w:rsid w:val="00594438"/>
    <w:rsid w:val="0059458B"/>
    <w:rsid w:val="005945DF"/>
    <w:rsid w:val="0059464F"/>
    <w:rsid w:val="00594684"/>
    <w:rsid w:val="0059469E"/>
    <w:rsid w:val="005947E8"/>
    <w:rsid w:val="0059486F"/>
    <w:rsid w:val="00594918"/>
    <w:rsid w:val="00594A00"/>
    <w:rsid w:val="00594A34"/>
    <w:rsid w:val="00594ADA"/>
    <w:rsid w:val="00594AFA"/>
    <w:rsid w:val="00594B8C"/>
    <w:rsid w:val="00594BC0"/>
    <w:rsid w:val="00594C4D"/>
    <w:rsid w:val="00594DEC"/>
    <w:rsid w:val="00594E59"/>
    <w:rsid w:val="00595053"/>
    <w:rsid w:val="00595211"/>
    <w:rsid w:val="0059531C"/>
    <w:rsid w:val="0059531E"/>
    <w:rsid w:val="005953C2"/>
    <w:rsid w:val="005953F8"/>
    <w:rsid w:val="00595439"/>
    <w:rsid w:val="00595469"/>
    <w:rsid w:val="00595570"/>
    <w:rsid w:val="0059559B"/>
    <w:rsid w:val="0059560F"/>
    <w:rsid w:val="0059567C"/>
    <w:rsid w:val="0059574F"/>
    <w:rsid w:val="005957FB"/>
    <w:rsid w:val="005958A9"/>
    <w:rsid w:val="00595945"/>
    <w:rsid w:val="005959F8"/>
    <w:rsid w:val="00595BD0"/>
    <w:rsid w:val="00595BDF"/>
    <w:rsid w:val="00595C1D"/>
    <w:rsid w:val="00595CEF"/>
    <w:rsid w:val="00595D38"/>
    <w:rsid w:val="00595DD9"/>
    <w:rsid w:val="00595DEC"/>
    <w:rsid w:val="00595E44"/>
    <w:rsid w:val="00595F74"/>
    <w:rsid w:val="00595FEF"/>
    <w:rsid w:val="0059607C"/>
    <w:rsid w:val="00596090"/>
    <w:rsid w:val="00596228"/>
    <w:rsid w:val="0059629F"/>
    <w:rsid w:val="005962CC"/>
    <w:rsid w:val="00596376"/>
    <w:rsid w:val="00596406"/>
    <w:rsid w:val="005964B5"/>
    <w:rsid w:val="00596555"/>
    <w:rsid w:val="00596587"/>
    <w:rsid w:val="0059663D"/>
    <w:rsid w:val="0059668C"/>
    <w:rsid w:val="00596796"/>
    <w:rsid w:val="005967AA"/>
    <w:rsid w:val="00596908"/>
    <w:rsid w:val="00596927"/>
    <w:rsid w:val="005969BA"/>
    <w:rsid w:val="00596A40"/>
    <w:rsid w:val="00596A4D"/>
    <w:rsid w:val="00596ADA"/>
    <w:rsid w:val="00596C16"/>
    <w:rsid w:val="00596CB5"/>
    <w:rsid w:val="00596D24"/>
    <w:rsid w:val="00596E88"/>
    <w:rsid w:val="00596F01"/>
    <w:rsid w:val="00597089"/>
    <w:rsid w:val="005970D1"/>
    <w:rsid w:val="005971C9"/>
    <w:rsid w:val="005971F9"/>
    <w:rsid w:val="00597249"/>
    <w:rsid w:val="005972AC"/>
    <w:rsid w:val="00597301"/>
    <w:rsid w:val="0059732E"/>
    <w:rsid w:val="0059739A"/>
    <w:rsid w:val="005973BA"/>
    <w:rsid w:val="00597438"/>
    <w:rsid w:val="00597552"/>
    <w:rsid w:val="0059765D"/>
    <w:rsid w:val="005977DE"/>
    <w:rsid w:val="0059786A"/>
    <w:rsid w:val="005978F6"/>
    <w:rsid w:val="00597925"/>
    <w:rsid w:val="0059797F"/>
    <w:rsid w:val="00597AAD"/>
    <w:rsid w:val="00597B5C"/>
    <w:rsid w:val="00597D09"/>
    <w:rsid w:val="00597D87"/>
    <w:rsid w:val="00597EE1"/>
    <w:rsid w:val="005A006F"/>
    <w:rsid w:val="005A0134"/>
    <w:rsid w:val="005A02A1"/>
    <w:rsid w:val="005A02AB"/>
    <w:rsid w:val="005A02B2"/>
    <w:rsid w:val="005A02D6"/>
    <w:rsid w:val="005A0331"/>
    <w:rsid w:val="005A03BF"/>
    <w:rsid w:val="005A0409"/>
    <w:rsid w:val="005A0421"/>
    <w:rsid w:val="005A0451"/>
    <w:rsid w:val="005A068F"/>
    <w:rsid w:val="005A07E2"/>
    <w:rsid w:val="005A07FF"/>
    <w:rsid w:val="005A08C8"/>
    <w:rsid w:val="005A0900"/>
    <w:rsid w:val="005A093A"/>
    <w:rsid w:val="005A0970"/>
    <w:rsid w:val="005A0A45"/>
    <w:rsid w:val="005A0A88"/>
    <w:rsid w:val="005A0D1D"/>
    <w:rsid w:val="005A0D39"/>
    <w:rsid w:val="005A0D3E"/>
    <w:rsid w:val="005A0E93"/>
    <w:rsid w:val="005A0ED1"/>
    <w:rsid w:val="005A10B7"/>
    <w:rsid w:val="005A10DE"/>
    <w:rsid w:val="005A117F"/>
    <w:rsid w:val="005A121D"/>
    <w:rsid w:val="005A1237"/>
    <w:rsid w:val="005A1317"/>
    <w:rsid w:val="005A13C6"/>
    <w:rsid w:val="005A152D"/>
    <w:rsid w:val="005A156A"/>
    <w:rsid w:val="005A1680"/>
    <w:rsid w:val="005A1787"/>
    <w:rsid w:val="005A17A3"/>
    <w:rsid w:val="005A17D2"/>
    <w:rsid w:val="005A1947"/>
    <w:rsid w:val="005A1B96"/>
    <w:rsid w:val="005A1D5D"/>
    <w:rsid w:val="005A1D74"/>
    <w:rsid w:val="005A1DA4"/>
    <w:rsid w:val="005A1DF4"/>
    <w:rsid w:val="005A1E7E"/>
    <w:rsid w:val="005A1EF9"/>
    <w:rsid w:val="005A1F0A"/>
    <w:rsid w:val="005A1F13"/>
    <w:rsid w:val="005A1F2C"/>
    <w:rsid w:val="005A1F30"/>
    <w:rsid w:val="005A1FE9"/>
    <w:rsid w:val="005A20CF"/>
    <w:rsid w:val="005A212E"/>
    <w:rsid w:val="005A217B"/>
    <w:rsid w:val="005A21D1"/>
    <w:rsid w:val="005A226B"/>
    <w:rsid w:val="005A2296"/>
    <w:rsid w:val="005A22C3"/>
    <w:rsid w:val="005A2347"/>
    <w:rsid w:val="005A23FD"/>
    <w:rsid w:val="005A25A5"/>
    <w:rsid w:val="005A2732"/>
    <w:rsid w:val="005A27E7"/>
    <w:rsid w:val="005A28C9"/>
    <w:rsid w:val="005A2938"/>
    <w:rsid w:val="005A2951"/>
    <w:rsid w:val="005A296C"/>
    <w:rsid w:val="005A2A7F"/>
    <w:rsid w:val="005A2B33"/>
    <w:rsid w:val="005A2CB0"/>
    <w:rsid w:val="005A2DEC"/>
    <w:rsid w:val="005A2E2B"/>
    <w:rsid w:val="005A2E4E"/>
    <w:rsid w:val="005A2F23"/>
    <w:rsid w:val="005A2FC4"/>
    <w:rsid w:val="005A2FDC"/>
    <w:rsid w:val="005A32B2"/>
    <w:rsid w:val="005A3309"/>
    <w:rsid w:val="005A3364"/>
    <w:rsid w:val="005A3482"/>
    <w:rsid w:val="005A348C"/>
    <w:rsid w:val="005A3572"/>
    <w:rsid w:val="005A366F"/>
    <w:rsid w:val="005A3777"/>
    <w:rsid w:val="005A377C"/>
    <w:rsid w:val="005A3869"/>
    <w:rsid w:val="005A3872"/>
    <w:rsid w:val="005A39EF"/>
    <w:rsid w:val="005A3A4C"/>
    <w:rsid w:val="005A3B55"/>
    <w:rsid w:val="005A3BF5"/>
    <w:rsid w:val="005A3C84"/>
    <w:rsid w:val="005A3E2B"/>
    <w:rsid w:val="005A3E4D"/>
    <w:rsid w:val="005A3E5E"/>
    <w:rsid w:val="005A3FA9"/>
    <w:rsid w:val="005A40F6"/>
    <w:rsid w:val="005A4154"/>
    <w:rsid w:val="005A4227"/>
    <w:rsid w:val="005A436F"/>
    <w:rsid w:val="005A43DD"/>
    <w:rsid w:val="005A44D6"/>
    <w:rsid w:val="005A45D7"/>
    <w:rsid w:val="005A4685"/>
    <w:rsid w:val="005A473F"/>
    <w:rsid w:val="005A4825"/>
    <w:rsid w:val="005A48A4"/>
    <w:rsid w:val="005A49D3"/>
    <w:rsid w:val="005A4A8D"/>
    <w:rsid w:val="005A4CE3"/>
    <w:rsid w:val="005A4DCA"/>
    <w:rsid w:val="005A4E89"/>
    <w:rsid w:val="005A4ED2"/>
    <w:rsid w:val="005A4FFB"/>
    <w:rsid w:val="005A507A"/>
    <w:rsid w:val="005A5154"/>
    <w:rsid w:val="005A53B5"/>
    <w:rsid w:val="005A5469"/>
    <w:rsid w:val="005A55B6"/>
    <w:rsid w:val="005A5666"/>
    <w:rsid w:val="005A56D6"/>
    <w:rsid w:val="005A5A40"/>
    <w:rsid w:val="005A5BB9"/>
    <w:rsid w:val="005A5BF3"/>
    <w:rsid w:val="005A5C57"/>
    <w:rsid w:val="005A5D1D"/>
    <w:rsid w:val="005A5DDF"/>
    <w:rsid w:val="005A5E64"/>
    <w:rsid w:val="005A5EA0"/>
    <w:rsid w:val="005A5F60"/>
    <w:rsid w:val="005A5FAF"/>
    <w:rsid w:val="005A608A"/>
    <w:rsid w:val="005A6111"/>
    <w:rsid w:val="005A611B"/>
    <w:rsid w:val="005A6130"/>
    <w:rsid w:val="005A6167"/>
    <w:rsid w:val="005A6309"/>
    <w:rsid w:val="005A6323"/>
    <w:rsid w:val="005A632F"/>
    <w:rsid w:val="005A63E1"/>
    <w:rsid w:val="005A6416"/>
    <w:rsid w:val="005A6420"/>
    <w:rsid w:val="005A64B8"/>
    <w:rsid w:val="005A652A"/>
    <w:rsid w:val="005A65E2"/>
    <w:rsid w:val="005A6693"/>
    <w:rsid w:val="005A675A"/>
    <w:rsid w:val="005A6834"/>
    <w:rsid w:val="005A6856"/>
    <w:rsid w:val="005A696C"/>
    <w:rsid w:val="005A69DB"/>
    <w:rsid w:val="005A6A6D"/>
    <w:rsid w:val="005A6AAB"/>
    <w:rsid w:val="005A6ACB"/>
    <w:rsid w:val="005A6B7B"/>
    <w:rsid w:val="005A6BFF"/>
    <w:rsid w:val="005A6CAE"/>
    <w:rsid w:val="005A6EA4"/>
    <w:rsid w:val="005A6FD6"/>
    <w:rsid w:val="005A70F5"/>
    <w:rsid w:val="005A70F7"/>
    <w:rsid w:val="005A71B3"/>
    <w:rsid w:val="005A72CB"/>
    <w:rsid w:val="005A7464"/>
    <w:rsid w:val="005A75ED"/>
    <w:rsid w:val="005A7631"/>
    <w:rsid w:val="005A764C"/>
    <w:rsid w:val="005A7657"/>
    <w:rsid w:val="005A7670"/>
    <w:rsid w:val="005A7672"/>
    <w:rsid w:val="005A775B"/>
    <w:rsid w:val="005A7836"/>
    <w:rsid w:val="005A7880"/>
    <w:rsid w:val="005A78EC"/>
    <w:rsid w:val="005A7A80"/>
    <w:rsid w:val="005A7B41"/>
    <w:rsid w:val="005A7CC1"/>
    <w:rsid w:val="005A7E5F"/>
    <w:rsid w:val="005A7E7D"/>
    <w:rsid w:val="005A7EF6"/>
    <w:rsid w:val="005B0114"/>
    <w:rsid w:val="005B013D"/>
    <w:rsid w:val="005B016D"/>
    <w:rsid w:val="005B0297"/>
    <w:rsid w:val="005B0358"/>
    <w:rsid w:val="005B0404"/>
    <w:rsid w:val="005B04E2"/>
    <w:rsid w:val="005B0562"/>
    <w:rsid w:val="005B0577"/>
    <w:rsid w:val="005B077E"/>
    <w:rsid w:val="005B080F"/>
    <w:rsid w:val="005B083F"/>
    <w:rsid w:val="005B0D68"/>
    <w:rsid w:val="005B0DE9"/>
    <w:rsid w:val="005B0E0C"/>
    <w:rsid w:val="005B0FF6"/>
    <w:rsid w:val="005B1040"/>
    <w:rsid w:val="005B107A"/>
    <w:rsid w:val="005B10AE"/>
    <w:rsid w:val="005B1160"/>
    <w:rsid w:val="005B11B9"/>
    <w:rsid w:val="005B1228"/>
    <w:rsid w:val="005B12E2"/>
    <w:rsid w:val="005B1458"/>
    <w:rsid w:val="005B155F"/>
    <w:rsid w:val="005B15BE"/>
    <w:rsid w:val="005B15D2"/>
    <w:rsid w:val="005B1605"/>
    <w:rsid w:val="005B1666"/>
    <w:rsid w:val="005B1677"/>
    <w:rsid w:val="005B1722"/>
    <w:rsid w:val="005B18DB"/>
    <w:rsid w:val="005B18E4"/>
    <w:rsid w:val="005B198D"/>
    <w:rsid w:val="005B1A24"/>
    <w:rsid w:val="005B1BCB"/>
    <w:rsid w:val="005B1CC0"/>
    <w:rsid w:val="005B1F14"/>
    <w:rsid w:val="005B1F61"/>
    <w:rsid w:val="005B1FA6"/>
    <w:rsid w:val="005B1FEF"/>
    <w:rsid w:val="005B202C"/>
    <w:rsid w:val="005B2060"/>
    <w:rsid w:val="005B214C"/>
    <w:rsid w:val="005B21F1"/>
    <w:rsid w:val="005B2357"/>
    <w:rsid w:val="005B238F"/>
    <w:rsid w:val="005B2549"/>
    <w:rsid w:val="005B256C"/>
    <w:rsid w:val="005B2746"/>
    <w:rsid w:val="005B2748"/>
    <w:rsid w:val="005B275F"/>
    <w:rsid w:val="005B288C"/>
    <w:rsid w:val="005B28BF"/>
    <w:rsid w:val="005B2965"/>
    <w:rsid w:val="005B29D8"/>
    <w:rsid w:val="005B2A95"/>
    <w:rsid w:val="005B2B92"/>
    <w:rsid w:val="005B2BBB"/>
    <w:rsid w:val="005B2BD4"/>
    <w:rsid w:val="005B2D73"/>
    <w:rsid w:val="005B2E07"/>
    <w:rsid w:val="005B2EDB"/>
    <w:rsid w:val="005B2F4D"/>
    <w:rsid w:val="005B3041"/>
    <w:rsid w:val="005B3098"/>
    <w:rsid w:val="005B30B3"/>
    <w:rsid w:val="005B30D0"/>
    <w:rsid w:val="005B3113"/>
    <w:rsid w:val="005B3262"/>
    <w:rsid w:val="005B32C6"/>
    <w:rsid w:val="005B337A"/>
    <w:rsid w:val="005B33D3"/>
    <w:rsid w:val="005B3559"/>
    <w:rsid w:val="005B364C"/>
    <w:rsid w:val="005B387C"/>
    <w:rsid w:val="005B387D"/>
    <w:rsid w:val="005B38D9"/>
    <w:rsid w:val="005B3A69"/>
    <w:rsid w:val="005B3B8C"/>
    <w:rsid w:val="005B3BA5"/>
    <w:rsid w:val="005B3BA6"/>
    <w:rsid w:val="005B3CD6"/>
    <w:rsid w:val="005B3D19"/>
    <w:rsid w:val="005B3F6F"/>
    <w:rsid w:val="005B401B"/>
    <w:rsid w:val="005B40B5"/>
    <w:rsid w:val="005B4191"/>
    <w:rsid w:val="005B4233"/>
    <w:rsid w:val="005B42D8"/>
    <w:rsid w:val="005B4446"/>
    <w:rsid w:val="005B444A"/>
    <w:rsid w:val="005B4492"/>
    <w:rsid w:val="005B4554"/>
    <w:rsid w:val="005B4691"/>
    <w:rsid w:val="005B46A3"/>
    <w:rsid w:val="005B4895"/>
    <w:rsid w:val="005B489B"/>
    <w:rsid w:val="005B48CE"/>
    <w:rsid w:val="005B48D2"/>
    <w:rsid w:val="005B48F6"/>
    <w:rsid w:val="005B48FC"/>
    <w:rsid w:val="005B496C"/>
    <w:rsid w:val="005B49C1"/>
    <w:rsid w:val="005B49DA"/>
    <w:rsid w:val="005B4AF8"/>
    <w:rsid w:val="005B4AFB"/>
    <w:rsid w:val="005B4AFF"/>
    <w:rsid w:val="005B4C93"/>
    <w:rsid w:val="005B4D86"/>
    <w:rsid w:val="005B4E24"/>
    <w:rsid w:val="005B4E3B"/>
    <w:rsid w:val="005B4EEC"/>
    <w:rsid w:val="005B4FB4"/>
    <w:rsid w:val="005B52F7"/>
    <w:rsid w:val="005B53E5"/>
    <w:rsid w:val="005B5467"/>
    <w:rsid w:val="005B5687"/>
    <w:rsid w:val="005B56C9"/>
    <w:rsid w:val="005B56EB"/>
    <w:rsid w:val="005B5746"/>
    <w:rsid w:val="005B575D"/>
    <w:rsid w:val="005B5797"/>
    <w:rsid w:val="005B58BD"/>
    <w:rsid w:val="005B58FF"/>
    <w:rsid w:val="005B5938"/>
    <w:rsid w:val="005B5A0B"/>
    <w:rsid w:val="005B5A72"/>
    <w:rsid w:val="005B5AEC"/>
    <w:rsid w:val="005B5BD1"/>
    <w:rsid w:val="005B5CA5"/>
    <w:rsid w:val="005B5DB2"/>
    <w:rsid w:val="005B5F6E"/>
    <w:rsid w:val="005B61DA"/>
    <w:rsid w:val="005B621A"/>
    <w:rsid w:val="005B626E"/>
    <w:rsid w:val="005B629C"/>
    <w:rsid w:val="005B63D7"/>
    <w:rsid w:val="005B6573"/>
    <w:rsid w:val="005B679D"/>
    <w:rsid w:val="005B67C2"/>
    <w:rsid w:val="005B680C"/>
    <w:rsid w:val="005B688D"/>
    <w:rsid w:val="005B68B4"/>
    <w:rsid w:val="005B6976"/>
    <w:rsid w:val="005B6ADB"/>
    <w:rsid w:val="005B6B31"/>
    <w:rsid w:val="005B6B4D"/>
    <w:rsid w:val="005B6C90"/>
    <w:rsid w:val="005B6DE7"/>
    <w:rsid w:val="005B6E19"/>
    <w:rsid w:val="005B6E3C"/>
    <w:rsid w:val="005B6EC7"/>
    <w:rsid w:val="005B7242"/>
    <w:rsid w:val="005B733F"/>
    <w:rsid w:val="005B73F2"/>
    <w:rsid w:val="005B7599"/>
    <w:rsid w:val="005B759F"/>
    <w:rsid w:val="005B769B"/>
    <w:rsid w:val="005B76AE"/>
    <w:rsid w:val="005B76BC"/>
    <w:rsid w:val="005B79CA"/>
    <w:rsid w:val="005B7A34"/>
    <w:rsid w:val="005B7ABC"/>
    <w:rsid w:val="005C00DA"/>
    <w:rsid w:val="005C01EB"/>
    <w:rsid w:val="005C0285"/>
    <w:rsid w:val="005C035A"/>
    <w:rsid w:val="005C05C4"/>
    <w:rsid w:val="005C05CB"/>
    <w:rsid w:val="005C060A"/>
    <w:rsid w:val="005C061A"/>
    <w:rsid w:val="005C06AE"/>
    <w:rsid w:val="005C0772"/>
    <w:rsid w:val="005C082A"/>
    <w:rsid w:val="005C088C"/>
    <w:rsid w:val="005C09E8"/>
    <w:rsid w:val="005C09F9"/>
    <w:rsid w:val="005C0A63"/>
    <w:rsid w:val="005C0ADA"/>
    <w:rsid w:val="005C0BCC"/>
    <w:rsid w:val="005C0C53"/>
    <w:rsid w:val="005C0D93"/>
    <w:rsid w:val="005C0E54"/>
    <w:rsid w:val="005C0EA5"/>
    <w:rsid w:val="005C0F94"/>
    <w:rsid w:val="005C0FA1"/>
    <w:rsid w:val="005C1120"/>
    <w:rsid w:val="005C1135"/>
    <w:rsid w:val="005C115E"/>
    <w:rsid w:val="005C1271"/>
    <w:rsid w:val="005C13AB"/>
    <w:rsid w:val="005C1443"/>
    <w:rsid w:val="005C1457"/>
    <w:rsid w:val="005C1544"/>
    <w:rsid w:val="005C15CA"/>
    <w:rsid w:val="005C161A"/>
    <w:rsid w:val="005C16F5"/>
    <w:rsid w:val="005C1711"/>
    <w:rsid w:val="005C18F4"/>
    <w:rsid w:val="005C19CD"/>
    <w:rsid w:val="005C19DE"/>
    <w:rsid w:val="005C1A1F"/>
    <w:rsid w:val="005C1A5A"/>
    <w:rsid w:val="005C1B52"/>
    <w:rsid w:val="005C1BD0"/>
    <w:rsid w:val="005C1C32"/>
    <w:rsid w:val="005C1C5F"/>
    <w:rsid w:val="005C1E22"/>
    <w:rsid w:val="005C1E32"/>
    <w:rsid w:val="005C1E77"/>
    <w:rsid w:val="005C1F3E"/>
    <w:rsid w:val="005C1FB5"/>
    <w:rsid w:val="005C20C5"/>
    <w:rsid w:val="005C21A5"/>
    <w:rsid w:val="005C2201"/>
    <w:rsid w:val="005C22CD"/>
    <w:rsid w:val="005C22CE"/>
    <w:rsid w:val="005C2332"/>
    <w:rsid w:val="005C2368"/>
    <w:rsid w:val="005C25B3"/>
    <w:rsid w:val="005C26C8"/>
    <w:rsid w:val="005C26F6"/>
    <w:rsid w:val="005C284F"/>
    <w:rsid w:val="005C288B"/>
    <w:rsid w:val="005C28EA"/>
    <w:rsid w:val="005C2912"/>
    <w:rsid w:val="005C2ADA"/>
    <w:rsid w:val="005C2B35"/>
    <w:rsid w:val="005C2B5D"/>
    <w:rsid w:val="005C2E90"/>
    <w:rsid w:val="005C2ED1"/>
    <w:rsid w:val="005C2F57"/>
    <w:rsid w:val="005C31F0"/>
    <w:rsid w:val="005C32BA"/>
    <w:rsid w:val="005C33C5"/>
    <w:rsid w:val="005C3512"/>
    <w:rsid w:val="005C3730"/>
    <w:rsid w:val="005C3753"/>
    <w:rsid w:val="005C376C"/>
    <w:rsid w:val="005C377A"/>
    <w:rsid w:val="005C381E"/>
    <w:rsid w:val="005C3A31"/>
    <w:rsid w:val="005C3AA9"/>
    <w:rsid w:val="005C3B18"/>
    <w:rsid w:val="005C3C1B"/>
    <w:rsid w:val="005C3D3C"/>
    <w:rsid w:val="005C3DE8"/>
    <w:rsid w:val="005C3FE4"/>
    <w:rsid w:val="005C4385"/>
    <w:rsid w:val="005C43DC"/>
    <w:rsid w:val="005C4450"/>
    <w:rsid w:val="005C455A"/>
    <w:rsid w:val="005C4581"/>
    <w:rsid w:val="005C45FE"/>
    <w:rsid w:val="005C465D"/>
    <w:rsid w:val="005C4669"/>
    <w:rsid w:val="005C46FA"/>
    <w:rsid w:val="005C4988"/>
    <w:rsid w:val="005C49B1"/>
    <w:rsid w:val="005C4A00"/>
    <w:rsid w:val="005C4C28"/>
    <w:rsid w:val="005C4F4A"/>
    <w:rsid w:val="005C4F5D"/>
    <w:rsid w:val="005C50A7"/>
    <w:rsid w:val="005C50CA"/>
    <w:rsid w:val="005C50E9"/>
    <w:rsid w:val="005C511C"/>
    <w:rsid w:val="005C5213"/>
    <w:rsid w:val="005C5244"/>
    <w:rsid w:val="005C52B6"/>
    <w:rsid w:val="005C53AD"/>
    <w:rsid w:val="005C54C8"/>
    <w:rsid w:val="005C5573"/>
    <w:rsid w:val="005C56A4"/>
    <w:rsid w:val="005C57F3"/>
    <w:rsid w:val="005C588B"/>
    <w:rsid w:val="005C5911"/>
    <w:rsid w:val="005C5924"/>
    <w:rsid w:val="005C598D"/>
    <w:rsid w:val="005C5AC2"/>
    <w:rsid w:val="005C5B78"/>
    <w:rsid w:val="005C5CF7"/>
    <w:rsid w:val="005C5DAE"/>
    <w:rsid w:val="005C5F29"/>
    <w:rsid w:val="005C5FC6"/>
    <w:rsid w:val="005C601A"/>
    <w:rsid w:val="005C633D"/>
    <w:rsid w:val="005C643C"/>
    <w:rsid w:val="005C646E"/>
    <w:rsid w:val="005C6613"/>
    <w:rsid w:val="005C661A"/>
    <w:rsid w:val="005C677C"/>
    <w:rsid w:val="005C6949"/>
    <w:rsid w:val="005C6BEB"/>
    <w:rsid w:val="005C6C4D"/>
    <w:rsid w:val="005C6D79"/>
    <w:rsid w:val="005C6F38"/>
    <w:rsid w:val="005C7038"/>
    <w:rsid w:val="005C705B"/>
    <w:rsid w:val="005C70D7"/>
    <w:rsid w:val="005C7165"/>
    <w:rsid w:val="005C729C"/>
    <w:rsid w:val="005C72BE"/>
    <w:rsid w:val="005C7453"/>
    <w:rsid w:val="005C7491"/>
    <w:rsid w:val="005C759D"/>
    <w:rsid w:val="005C75F7"/>
    <w:rsid w:val="005C7606"/>
    <w:rsid w:val="005C7627"/>
    <w:rsid w:val="005C7692"/>
    <w:rsid w:val="005C76A4"/>
    <w:rsid w:val="005C76F3"/>
    <w:rsid w:val="005C7743"/>
    <w:rsid w:val="005C7916"/>
    <w:rsid w:val="005C7919"/>
    <w:rsid w:val="005C791A"/>
    <w:rsid w:val="005C7954"/>
    <w:rsid w:val="005C7BA7"/>
    <w:rsid w:val="005C7C33"/>
    <w:rsid w:val="005C7CD2"/>
    <w:rsid w:val="005C7D04"/>
    <w:rsid w:val="005C7D3E"/>
    <w:rsid w:val="005C7ED3"/>
    <w:rsid w:val="005C7EF6"/>
    <w:rsid w:val="005C7F63"/>
    <w:rsid w:val="005D02F9"/>
    <w:rsid w:val="005D0361"/>
    <w:rsid w:val="005D03A7"/>
    <w:rsid w:val="005D0499"/>
    <w:rsid w:val="005D0664"/>
    <w:rsid w:val="005D0748"/>
    <w:rsid w:val="005D08CF"/>
    <w:rsid w:val="005D0A21"/>
    <w:rsid w:val="005D0B84"/>
    <w:rsid w:val="005D0BD7"/>
    <w:rsid w:val="005D0BFD"/>
    <w:rsid w:val="005D0CDF"/>
    <w:rsid w:val="005D0CFD"/>
    <w:rsid w:val="005D0D58"/>
    <w:rsid w:val="005D0E3B"/>
    <w:rsid w:val="005D0FA3"/>
    <w:rsid w:val="005D0FB2"/>
    <w:rsid w:val="005D0FCB"/>
    <w:rsid w:val="005D100A"/>
    <w:rsid w:val="005D10AE"/>
    <w:rsid w:val="005D1314"/>
    <w:rsid w:val="005D1365"/>
    <w:rsid w:val="005D151B"/>
    <w:rsid w:val="005D160F"/>
    <w:rsid w:val="005D17B6"/>
    <w:rsid w:val="005D1801"/>
    <w:rsid w:val="005D1872"/>
    <w:rsid w:val="005D197F"/>
    <w:rsid w:val="005D1BD2"/>
    <w:rsid w:val="005D1D07"/>
    <w:rsid w:val="005D1EEE"/>
    <w:rsid w:val="005D1FB3"/>
    <w:rsid w:val="005D2011"/>
    <w:rsid w:val="005D2038"/>
    <w:rsid w:val="005D2154"/>
    <w:rsid w:val="005D21FD"/>
    <w:rsid w:val="005D2236"/>
    <w:rsid w:val="005D2264"/>
    <w:rsid w:val="005D22F7"/>
    <w:rsid w:val="005D231A"/>
    <w:rsid w:val="005D255C"/>
    <w:rsid w:val="005D2653"/>
    <w:rsid w:val="005D26AA"/>
    <w:rsid w:val="005D2767"/>
    <w:rsid w:val="005D2770"/>
    <w:rsid w:val="005D277F"/>
    <w:rsid w:val="005D27B3"/>
    <w:rsid w:val="005D2894"/>
    <w:rsid w:val="005D28E7"/>
    <w:rsid w:val="005D28EC"/>
    <w:rsid w:val="005D2950"/>
    <w:rsid w:val="005D2A29"/>
    <w:rsid w:val="005D2A42"/>
    <w:rsid w:val="005D2A61"/>
    <w:rsid w:val="005D2D61"/>
    <w:rsid w:val="005D2E20"/>
    <w:rsid w:val="005D2E98"/>
    <w:rsid w:val="005D2FDE"/>
    <w:rsid w:val="005D2FE7"/>
    <w:rsid w:val="005D300E"/>
    <w:rsid w:val="005D3215"/>
    <w:rsid w:val="005D33BD"/>
    <w:rsid w:val="005D3444"/>
    <w:rsid w:val="005D359A"/>
    <w:rsid w:val="005D365A"/>
    <w:rsid w:val="005D383A"/>
    <w:rsid w:val="005D38CE"/>
    <w:rsid w:val="005D394E"/>
    <w:rsid w:val="005D39EE"/>
    <w:rsid w:val="005D3A0B"/>
    <w:rsid w:val="005D3BCE"/>
    <w:rsid w:val="005D3D48"/>
    <w:rsid w:val="005D3EBD"/>
    <w:rsid w:val="005D408B"/>
    <w:rsid w:val="005D4190"/>
    <w:rsid w:val="005D41D8"/>
    <w:rsid w:val="005D4427"/>
    <w:rsid w:val="005D4567"/>
    <w:rsid w:val="005D4790"/>
    <w:rsid w:val="005D48C9"/>
    <w:rsid w:val="005D4C44"/>
    <w:rsid w:val="005D4CB8"/>
    <w:rsid w:val="005D4DDF"/>
    <w:rsid w:val="005D4F31"/>
    <w:rsid w:val="005D5077"/>
    <w:rsid w:val="005D50B5"/>
    <w:rsid w:val="005D50CE"/>
    <w:rsid w:val="005D512A"/>
    <w:rsid w:val="005D519B"/>
    <w:rsid w:val="005D5227"/>
    <w:rsid w:val="005D5348"/>
    <w:rsid w:val="005D540F"/>
    <w:rsid w:val="005D559F"/>
    <w:rsid w:val="005D5620"/>
    <w:rsid w:val="005D5623"/>
    <w:rsid w:val="005D579D"/>
    <w:rsid w:val="005D57A0"/>
    <w:rsid w:val="005D57A3"/>
    <w:rsid w:val="005D5923"/>
    <w:rsid w:val="005D59C9"/>
    <w:rsid w:val="005D59EC"/>
    <w:rsid w:val="005D5A42"/>
    <w:rsid w:val="005D5B6D"/>
    <w:rsid w:val="005D5C74"/>
    <w:rsid w:val="005D5C7C"/>
    <w:rsid w:val="005D5CA8"/>
    <w:rsid w:val="005D5DE9"/>
    <w:rsid w:val="005D5DF0"/>
    <w:rsid w:val="005D5E70"/>
    <w:rsid w:val="005D613E"/>
    <w:rsid w:val="005D6428"/>
    <w:rsid w:val="005D67E3"/>
    <w:rsid w:val="005D6841"/>
    <w:rsid w:val="005D68BB"/>
    <w:rsid w:val="005D69D3"/>
    <w:rsid w:val="005D6A23"/>
    <w:rsid w:val="005D6A44"/>
    <w:rsid w:val="005D6B29"/>
    <w:rsid w:val="005D6B87"/>
    <w:rsid w:val="005D6BAF"/>
    <w:rsid w:val="005D6C67"/>
    <w:rsid w:val="005D6D29"/>
    <w:rsid w:val="005D6D87"/>
    <w:rsid w:val="005D6DC9"/>
    <w:rsid w:val="005D6EAF"/>
    <w:rsid w:val="005D6F6E"/>
    <w:rsid w:val="005D6FD5"/>
    <w:rsid w:val="005D702D"/>
    <w:rsid w:val="005D7046"/>
    <w:rsid w:val="005D70C5"/>
    <w:rsid w:val="005D714B"/>
    <w:rsid w:val="005D71B7"/>
    <w:rsid w:val="005D7206"/>
    <w:rsid w:val="005D74EA"/>
    <w:rsid w:val="005D765E"/>
    <w:rsid w:val="005D76D9"/>
    <w:rsid w:val="005D7876"/>
    <w:rsid w:val="005D7883"/>
    <w:rsid w:val="005D7909"/>
    <w:rsid w:val="005D7CB3"/>
    <w:rsid w:val="005D7D2C"/>
    <w:rsid w:val="005D7D6A"/>
    <w:rsid w:val="005D7E39"/>
    <w:rsid w:val="005D7F72"/>
    <w:rsid w:val="005E000C"/>
    <w:rsid w:val="005E007C"/>
    <w:rsid w:val="005E0180"/>
    <w:rsid w:val="005E02B2"/>
    <w:rsid w:val="005E03F0"/>
    <w:rsid w:val="005E04DC"/>
    <w:rsid w:val="005E05D8"/>
    <w:rsid w:val="005E07D3"/>
    <w:rsid w:val="005E08B5"/>
    <w:rsid w:val="005E08F5"/>
    <w:rsid w:val="005E09C5"/>
    <w:rsid w:val="005E0B96"/>
    <w:rsid w:val="005E0C53"/>
    <w:rsid w:val="005E0CD7"/>
    <w:rsid w:val="005E0F89"/>
    <w:rsid w:val="005E0FAA"/>
    <w:rsid w:val="005E1030"/>
    <w:rsid w:val="005E10C6"/>
    <w:rsid w:val="005E1281"/>
    <w:rsid w:val="005E136E"/>
    <w:rsid w:val="005E13A5"/>
    <w:rsid w:val="005E13E2"/>
    <w:rsid w:val="005E1654"/>
    <w:rsid w:val="005E176B"/>
    <w:rsid w:val="005E182E"/>
    <w:rsid w:val="005E18B7"/>
    <w:rsid w:val="005E1933"/>
    <w:rsid w:val="005E1BA6"/>
    <w:rsid w:val="005E1BE4"/>
    <w:rsid w:val="005E1C19"/>
    <w:rsid w:val="005E1D70"/>
    <w:rsid w:val="005E1E73"/>
    <w:rsid w:val="005E1E89"/>
    <w:rsid w:val="005E1EC5"/>
    <w:rsid w:val="005E200A"/>
    <w:rsid w:val="005E2018"/>
    <w:rsid w:val="005E20DE"/>
    <w:rsid w:val="005E20DF"/>
    <w:rsid w:val="005E222F"/>
    <w:rsid w:val="005E2508"/>
    <w:rsid w:val="005E25AB"/>
    <w:rsid w:val="005E25CC"/>
    <w:rsid w:val="005E25D8"/>
    <w:rsid w:val="005E2746"/>
    <w:rsid w:val="005E2748"/>
    <w:rsid w:val="005E2846"/>
    <w:rsid w:val="005E28A9"/>
    <w:rsid w:val="005E2B12"/>
    <w:rsid w:val="005E2E40"/>
    <w:rsid w:val="005E2FE0"/>
    <w:rsid w:val="005E30F2"/>
    <w:rsid w:val="005E3115"/>
    <w:rsid w:val="005E3168"/>
    <w:rsid w:val="005E321D"/>
    <w:rsid w:val="005E32F5"/>
    <w:rsid w:val="005E3367"/>
    <w:rsid w:val="005E3370"/>
    <w:rsid w:val="005E3450"/>
    <w:rsid w:val="005E34F9"/>
    <w:rsid w:val="005E352A"/>
    <w:rsid w:val="005E35D2"/>
    <w:rsid w:val="005E35DA"/>
    <w:rsid w:val="005E36CA"/>
    <w:rsid w:val="005E3B61"/>
    <w:rsid w:val="005E3CC2"/>
    <w:rsid w:val="005E3D1A"/>
    <w:rsid w:val="005E3DE2"/>
    <w:rsid w:val="005E3E0A"/>
    <w:rsid w:val="005E3E89"/>
    <w:rsid w:val="005E3F0A"/>
    <w:rsid w:val="005E3F8D"/>
    <w:rsid w:val="005E4060"/>
    <w:rsid w:val="005E409B"/>
    <w:rsid w:val="005E4217"/>
    <w:rsid w:val="005E42D9"/>
    <w:rsid w:val="005E42F3"/>
    <w:rsid w:val="005E445B"/>
    <w:rsid w:val="005E448A"/>
    <w:rsid w:val="005E45F3"/>
    <w:rsid w:val="005E4632"/>
    <w:rsid w:val="005E46CD"/>
    <w:rsid w:val="005E47E3"/>
    <w:rsid w:val="005E48AB"/>
    <w:rsid w:val="005E49F9"/>
    <w:rsid w:val="005E4BFE"/>
    <w:rsid w:val="005E4C2C"/>
    <w:rsid w:val="005E4C9F"/>
    <w:rsid w:val="005E4F1F"/>
    <w:rsid w:val="005E524F"/>
    <w:rsid w:val="005E52C5"/>
    <w:rsid w:val="005E5324"/>
    <w:rsid w:val="005E5330"/>
    <w:rsid w:val="005E53D4"/>
    <w:rsid w:val="005E5427"/>
    <w:rsid w:val="005E56F3"/>
    <w:rsid w:val="005E58CF"/>
    <w:rsid w:val="005E5C1B"/>
    <w:rsid w:val="005E5C2A"/>
    <w:rsid w:val="005E5D40"/>
    <w:rsid w:val="005E5D54"/>
    <w:rsid w:val="005E5E5C"/>
    <w:rsid w:val="005E6074"/>
    <w:rsid w:val="005E6100"/>
    <w:rsid w:val="005E62AF"/>
    <w:rsid w:val="005E6544"/>
    <w:rsid w:val="005E6552"/>
    <w:rsid w:val="005E6625"/>
    <w:rsid w:val="005E67E1"/>
    <w:rsid w:val="005E6893"/>
    <w:rsid w:val="005E6896"/>
    <w:rsid w:val="005E6A5A"/>
    <w:rsid w:val="005E6BFD"/>
    <w:rsid w:val="005E6DAB"/>
    <w:rsid w:val="005E6F3A"/>
    <w:rsid w:val="005E6F42"/>
    <w:rsid w:val="005E7186"/>
    <w:rsid w:val="005E7284"/>
    <w:rsid w:val="005E73AF"/>
    <w:rsid w:val="005E74AE"/>
    <w:rsid w:val="005E7677"/>
    <w:rsid w:val="005E7706"/>
    <w:rsid w:val="005E78F6"/>
    <w:rsid w:val="005E794A"/>
    <w:rsid w:val="005E7B79"/>
    <w:rsid w:val="005E7CD4"/>
    <w:rsid w:val="005E7DEA"/>
    <w:rsid w:val="005E7E4E"/>
    <w:rsid w:val="005E7E92"/>
    <w:rsid w:val="005E7EFB"/>
    <w:rsid w:val="005E7F36"/>
    <w:rsid w:val="005F0324"/>
    <w:rsid w:val="005F0368"/>
    <w:rsid w:val="005F03AA"/>
    <w:rsid w:val="005F0565"/>
    <w:rsid w:val="005F05B5"/>
    <w:rsid w:val="005F05D8"/>
    <w:rsid w:val="005F0665"/>
    <w:rsid w:val="005F066F"/>
    <w:rsid w:val="005F0835"/>
    <w:rsid w:val="005F084E"/>
    <w:rsid w:val="005F0949"/>
    <w:rsid w:val="005F09CD"/>
    <w:rsid w:val="005F0A08"/>
    <w:rsid w:val="005F0A3B"/>
    <w:rsid w:val="005F0AF8"/>
    <w:rsid w:val="005F0D52"/>
    <w:rsid w:val="005F0D6A"/>
    <w:rsid w:val="005F0DED"/>
    <w:rsid w:val="005F0E91"/>
    <w:rsid w:val="005F0FFC"/>
    <w:rsid w:val="005F1031"/>
    <w:rsid w:val="005F1163"/>
    <w:rsid w:val="005F11C8"/>
    <w:rsid w:val="005F1225"/>
    <w:rsid w:val="005F12A0"/>
    <w:rsid w:val="005F1351"/>
    <w:rsid w:val="005F1366"/>
    <w:rsid w:val="005F141F"/>
    <w:rsid w:val="005F1438"/>
    <w:rsid w:val="005F157E"/>
    <w:rsid w:val="005F15A0"/>
    <w:rsid w:val="005F1669"/>
    <w:rsid w:val="005F167A"/>
    <w:rsid w:val="005F170C"/>
    <w:rsid w:val="005F17E7"/>
    <w:rsid w:val="005F19B2"/>
    <w:rsid w:val="005F1B80"/>
    <w:rsid w:val="005F1B99"/>
    <w:rsid w:val="005F1E96"/>
    <w:rsid w:val="005F1ECA"/>
    <w:rsid w:val="005F1FE1"/>
    <w:rsid w:val="005F21D0"/>
    <w:rsid w:val="005F22F2"/>
    <w:rsid w:val="005F2333"/>
    <w:rsid w:val="005F23C9"/>
    <w:rsid w:val="005F23ED"/>
    <w:rsid w:val="005F24C7"/>
    <w:rsid w:val="005F2508"/>
    <w:rsid w:val="005F2514"/>
    <w:rsid w:val="005F25A3"/>
    <w:rsid w:val="005F2603"/>
    <w:rsid w:val="005F2688"/>
    <w:rsid w:val="005F276A"/>
    <w:rsid w:val="005F2783"/>
    <w:rsid w:val="005F2798"/>
    <w:rsid w:val="005F288D"/>
    <w:rsid w:val="005F295B"/>
    <w:rsid w:val="005F2987"/>
    <w:rsid w:val="005F2B29"/>
    <w:rsid w:val="005F2C5F"/>
    <w:rsid w:val="005F2C87"/>
    <w:rsid w:val="005F2E3B"/>
    <w:rsid w:val="005F2EF2"/>
    <w:rsid w:val="005F2F48"/>
    <w:rsid w:val="005F2FA6"/>
    <w:rsid w:val="005F3084"/>
    <w:rsid w:val="005F317A"/>
    <w:rsid w:val="005F3260"/>
    <w:rsid w:val="005F32FC"/>
    <w:rsid w:val="005F3477"/>
    <w:rsid w:val="005F34FD"/>
    <w:rsid w:val="005F3517"/>
    <w:rsid w:val="005F35D3"/>
    <w:rsid w:val="005F3772"/>
    <w:rsid w:val="005F37D6"/>
    <w:rsid w:val="005F37DD"/>
    <w:rsid w:val="005F3838"/>
    <w:rsid w:val="005F389B"/>
    <w:rsid w:val="005F399C"/>
    <w:rsid w:val="005F39BE"/>
    <w:rsid w:val="005F39CD"/>
    <w:rsid w:val="005F3B6F"/>
    <w:rsid w:val="005F3BA6"/>
    <w:rsid w:val="005F3BBC"/>
    <w:rsid w:val="005F3C02"/>
    <w:rsid w:val="005F3EDC"/>
    <w:rsid w:val="005F3F68"/>
    <w:rsid w:val="005F40FA"/>
    <w:rsid w:val="005F4194"/>
    <w:rsid w:val="005F421F"/>
    <w:rsid w:val="005F425D"/>
    <w:rsid w:val="005F4377"/>
    <w:rsid w:val="005F4385"/>
    <w:rsid w:val="005F44A5"/>
    <w:rsid w:val="005F452A"/>
    <w:rsid w:val="005F4690"/>
    <w:rsid w:val="005F4750"/>
    <w:rsid w:val="005F47CE"/>
    <w:rsid w:val="005F4836"/>
    <w:rsid w:val="005F49E9"/>
    <w:rsid w:val="005F4E8A"/>
    <w:rsid w:val="005F4FEB"/>
    <w:rsid w:val="005F4FF7"/>
    <w:rsid w:val="005F50F0"/>
    <w:rsid w:val="005F5116"/>
    <w:rsid w:val="005F514D"/>
    <w:rsid w:val="005F533B"/>
    <w:rsid w:val="005F562E"/>
    <w:rsid w:val="005F56BB"/>
    <w:rsid w:val="005F5874"/>
    <w:rsid w:val="005F5902"/>
    <w:rsid w:val="005F5927"/>
    <w:rsid w:val="005F5929"/>
    <w:rsid w:val="005F595A"/>
    <w:rsid w:val="005F5964"/>
    <w:rsid w:val="005F59E8"/>
    <w:rsid w:val="005F5ABD"/>
    <w:rsid w:val="005F5B54"/>
    <w:rsid w:val="005F5B87"/>
    <w:rsid w:val="005F5DA9"/>
    <w:rsid w:val="005F5E09"/>
    <w:rsid w:val="005F5FC5"/>
    <w:rsid w:val="005F61E7"/>
    <w:rsid w:val="005F657A"/>
    <w:rsid w:val="005F65AD"/>
    <w:rsid w:val="005F670E"/>
    <w:rsid w:val="005F6777"/>
    <w:rsid w:val="005F6888"/>
    <w:rsid w:val="005F68C1"/>
    <w:rsid w:val="005F6969"/>
    <w:rsid w:val="005F6979"/>
    <w:rsid w:val="005F6A39"/>
    <w:rsid w:val="005F6B2C"/>
    <w:rsid w:val="005F6D08"/>
    <w:rsid w:val="005F6E4F"/>
    <w:rsid w:val="005F6F96"/>
    <w:rsid w:val="005F71E0"/>
    <w:rsid w:val="005F7212"/>
    <w:rsid w:val="005F72C1"/>
    <w:rsid w:val="005F72D5"/>
    <w:rsid w:val="005F72EF"/>
    <w:rsid w:val="005F73F3"/>
    <w:rsid w:val="005F7452"/>
    <w:rsid w:val="005F74C0"/>
    <w:rsid w:val="005F74C1"/>
    <w:rsid w:val="005F7500"/>
    <w:rsid w:val="005F7783"/>
    <w:rsid w:val="005F78D6"/>
    <w:rsid w:val="005F7979"/>
    <w:rsid w:val="005F79C6"/>
    <w:rsid w:val="005F7A04"/>
    <w:rsid w:val="005F7A3D"/>
    <w:rsid w:val="005F7A74"/>
    <w:rsid w:val="005F7A76"/>
    <w:rsid w:val="005F7B4C"/>
    <w:rsid w:val="005F7B53"/>
    <w:rsid w:val="005F7B94"/>
    <w:rsid w:val="005F7BDE"/>
    <w:rsid w:val="005F7CA0"/>
    <w:rsid w:val="005F7CC0"/>
    <w:rsid w:val="005F7D0D"/>
    <w:rsid w:val="005F7F1A"/>
    <w:rsid w:val="005F7FA0"/>
    <w:rsid w:val="005FB844"/>
    <w:rsid w:val="005FCECD"/>
    <w:rsid w:val="006001E3"/>
    <w:rsid w:val="006004C5"/>
    <w:rsid w:val="0060051E"/>
    <w:rsid w:val="00600534"/>
    <w:rsid w:val="0060069A"/>
    <w:rsid w:val="00600880"/>
    <w:rsid w:val="0060091E"/>
    <w:rsid w:val="00600967"/>
    <w:rsid w:val="00600B1B"/>
    <w:rsid w:val="00600BA8"/>
    <w:rsid w:val="00600C02"/>
    <w:rsid w:val="00600CAD"/>
    <w:rsid w:val="00600D63"/>
    <w:rsid w:val="00600DB9"/>
    <w:rsid w:val="00600ED6"/>
    <w:rsid w:val="00600EEA"/>
    <w:rsid w:val="00600F4C"/>
    <w:rsid w:val="00600FBE"/>
    <w:rsid w:val="00600FE2"/>
    <w:rsid w:val="00601057"/>
    <w:rsid w:val="00601295"/>
    <w:rsid w:val="006012F1"/>
    <w:rsid w:val="00601314"/>
    <w:rsid w:val="0060137F"/>
    <w:rsid w:val="006013F9"/>
    <w:rsid w:val="00601488"/>
    <w:rsid w:val="00601748"/>
    <w:rsid w:val="0060184A"/>
    <w:rsid w:val="006018BA"/>
    <w:rsid w:val="00601DE2"/>
    <w:rsid w:val="00601E2F"/>
    <w:rsid w:val="00601E6C"/>
    <w:rsid w:val="00601EB0"/>
    <w:rsid w:val="0060202B"/>
    <w:rsid w:val="00602031"/>
    <w:rsid w:val="0060206A"/>
    <w:rsid w:val="00602090"/>
    <w:rsid w:val="006021AE"/>
    <w:rsid w:val="006021BA"/>
    <w:rsid w:val="00602285"/>
    <w:rsid w:val="006023A6"/>
    <w:rsid w:val="006023E1"/>
    <w:rsid w:val="00602433"/>
    <w:rsid w:val="0060251E"/>
    <w:rsid w:val="00602628"/>
    <w:rsid w:val="006026C1"/>
    <w:rsid w:val="00602933"/>
    <w:rsid w:val="00602962"/>
    <w:rsid w:val="0060299D"/>
    <w:rsid w:val="006029C0"/>
    <w:rsid w:val="00602A15"/>
    <w:rsid w:val="00602A31"/>
    <w:rsid w:val="00602DD9"/>
    <w:rsid w:val="00602E35"/>
    <w:rsid w:val="00602FA1"/>
    <w:rsid w:val="006030F3"/>
    <w:rsid w:val="00603188"/>
    <w:rsid w:val="00603268"/>
    <w:rsid w:val="00603309"/>
    <w:rsid w:val="0060340A"/>
    <w:rsid w:val="00603418"/>
    <w:rsid w:val="0060344B"/>
    <w:rsid w:val="00603535"/>
    <w:rsid w:val="00603559"/>
    <w:rsid w:val="006036DB"/>
    <w:rsid w:val="006037F1"/>
    <w:rsid w:val="006038EB"/>
    <w:rsid w:val="00603995"/>
    <w:rsid w:val="00603A41"/>
    <w:rsid w:val="00603ACC"/>
    <w:rsid w:val="00603B4D"/>
    <w:rsid w:val="00603BA7"/>
    <w:rsid w:val="00603BE3"/>
    <w:rsid w:val="00603C18"/>
    <w:rsid w:val="00603C9E"/>
    <w:rsid w:val="00603CB6"/>
    <w:rsid w:val="00603D29"/>
    <w:rsid w:val="00603D76"/>
    <w:rsid w:val="00603DC0"/>
    <w:rsid w:val="00603FB6"/>
    <w:rsid w:val="00604086"/>
    <w:rsid w:val="00604089"/>
    <w:rsid w:val="00604221"/>
    <w:rsid w:val="006043C4"/>
    <w:rsid w:val="006043D5"/>
    <w:rsid w:val="00604627"/>
    <w:rsid w:val="006047AB"/>
    <w:rsid w:val="006047D6"/>
    <w:rsid w:val="00604A3B"/>
    <w:rsid w:val="00604BD4"/>
    <w:rsid w:val="00604BFA"/>
    <w:rsid w:val="00604C54"/>
    <w:rsid w:val="00604E5E"/>
    <w:rsid w:val="00604EA0"/>
    <w:rsid w:val="006050EF"/>
    <w:rsid w:val="00605333"/>
    <w:rsid w:val="0060538E"/>
    <w:rsid w:val="006054C4"/>
    <w:rsid w:val="006054ED"/>
    <w:rsid w:val="0060551A"/>
    <w:rsid w:val="00605524"/>
    <w:rsid w:val="006055BB"/>
    <w:rsid w:val="00605674"/>
    <w:rsid w:val="00605687"/>
    <w:rsid w:val="006056A2"/>
    <w:rsid w:val="00605B8B"/>
    <w:rsid w:val="00605BF7"/>
    <w:rsid w:val="00605CC9"/>
    <w:rsid w:val="00605D1F"/>
    <w:rsid w:val="00605DB1"/>
    <w:rsid w:val="00605DE7"/>
    <w:rsid w:val="00605E74"/>
    <w:rsid w:val="00605FDC"/>
    <w:rsid w:val="00606107"/>
    <w:rsid w:val="00606116"/>
    <w:rsid w:val="00606121"/>
    <w:rsid w:val="0060617D"/>
    <w:rsid w:val="0060619F"/>
    <w:rsid w:val="0060633C"/>
    <w:rsid w:val="00606408"/>
    <w:rsid w:val="00606463"/>
    <w:rsid w:val="006064AB"/>
    <w:rsid w:val="00606635"/>
    <w:rsid w:val="0060674B"/>
    <w:rsid w:val="00606832"/>
    <w:rsid w:val="006068F2"/>
    <w:rsid w:val="00606929"/>
    <w:rsid w:val="00606949"/>
    <w:rsid w:val="00606A06"/>
    <w:rsid w:val="00606ABC"/>
    <w:rsid w:val="00606CE7"/>
    <w:rsid w:val="00606EBC"/>
    <w:rsid w:val="00606F1C"/>
    <w:rsid w:val="006070D4"/>
    <w:rsid w:val="00607166"/>
    <w:rsid w:val="006072FD"/>
    <w:rsid w:val="0060736F"/>
    <w:rsid w:val="006073B5"/>
    <w:rsid w:val="00607417"/>
    <w:rsid w:val="00607457"/>
    <w:rsid w:val="006074BD"/>
    <w:rsid w:val="0060767E"/>
    <w:rsid w:val="00607720"/>
    <w:rsid w:val="00607767"/>
    <w:rsid w:val="0060780A"/>
    <w:rsid w:val="00607825"/>
    <w:rsid w:val="006078A3"/>
    <w:rsid w:val="0060791F"/>
    <w:rsid w:val="00607A15"/>
    <w:rsid w:val="00607A19"/>
    <w:rsid w:val="00607A42"/>
    <w:rsid w:val="00607AF8"/>
    <w:rsid w:val="00607B0B"/>
    <w:rsid w:val="00607CB9"/>
    <w:rsid w:val="00607E54"/>
    <w:rsid w:val="00607F6F"/>
    <w:rsid w:val="0060851D"/>
    <w:rsid w:val="00608FD0"/>
    <w:rsid w:val="006100C6"/>
    <w:rsid w:val="0061014E"/>
    <w:rsid w:val="00610153"/>
    <w:rsid w:val="00610167"/>
    <w:rsid w:val="0061017F"/>
    <w:rsid w:val="0061022D"/>
    <w:rsid w:val="0061047E"/>
    <w:rsid w:val="00610487"/>
    <w:rsid w:val="00610581"/>
    <w:rsid w:val="00610604"/>
    <w:rsid w:val="0061061D"/>
    <w:rsid w:val="0061064C"/>
    <w:rsid w:val="00610733"/>
    <w:rsid w:val="00610876"/>
    <w:rsid w:val="006108FA"/>
    <w:rsid w:val="00610952"/>
    <w:rsid w:val="00610B97"/>
    <w:rsid w:val="00610BD0"/>
    <w:rsid w:val="00610BE3"/>
    <w:rsid w:val="00610CFC"/>
    <w:rsid w:val="00610DF7"/>
    <w:rsid w:val="00610E2C"/>
    <w:rsid w:val="00611016"/>
    <w:rsid w:val="0061113B"/>
    <w:rsid w:val="0061118C"/>
    <w:rsid w:val="006111E2"/>
    <w:rsid w:val="0061125C"/>
    <w:rsid w:val="006112D5"/>
    <w:rsid w:val="00611302"/>
    <w:rsid w:val="00611598"/>
    <w:rsid w:val="006115D4"/>
    <w:rsid w:val="00611732"/>
    <w:rsid w:val="00611798"/>
    <w:rsid w:val="0061191B"/>
    <w:rsid w:val="006119EB"/>
    <w:rsid w:val="00611AAD"/>
    <w:rsid w:val="00611B0C"/>
    <w:rsid w:val="00611BB3"/>
    <w:rsid w:val="00611C1D"/>
    <w:rsid w:val="00611D5A"/>
    <w:rsid w:val="00611D5B"/>
    <w:rsid w:val="00611DC8"/>
    <w:rsid w:val="006124EB"/>
    <w:rsid w:val="0061251F"/>
    <w:rsid w:val="006126FC"/>
    <w:rsid w:val="006127D2"/>
    <w:rsid w:val="00612975"/>
    <w:rsid w:val="006129CA"/>
    <w:rsid w:val="00612A76"/>
    <w:rsid w:val="00612AE4"/>
    <w:rsid w:val="00612B45"/>
    <w:rsid w:val="00612BB8"/>
    <w:rsid w:val="00612C6B"/>
    <w:rsid w:val="00612CE5"/>
    <w:rsid w:val="00612DC9"/>
    <w:rsid w:val="00613019"/>
    <w:rsid w:val="0061306E"/>
    <w:rsid w:val="00613156"/>
    <w:rsid w:val="00613162"/>
    <w:rsid w:val="0061329C"/>
    <w:rsid w:val="006133BC"/>
    <w:rsid w:val="006133EC"/>
    <w:rsid w:val="006133EF"/>
    <w:rsid w:val="006134C3"/>
    <w:rsid w:val="00613619"/>
    <w:rsid w:val="0061363F"/>
    <w:rsid w:val="00613653"/>
    <w:rsid w:val="006137CC"/>
    <w:rsid w:val="006138B0"/>
    <w:rsid w:val="006139D1"/>
    <w:rsid w:val="006139EC"/>
    <w:rsid w:val="00613AAB"/>
    <w:rsid w:val="00613C40"/>
    <w:rsid w:val="00613C5C"/>
    <w:rsid w:val="00613C6B"/>
    <w:rsid w:val="00613D99"/>
    <w:rsid w:val="00613DF8"/>
    <w:rsid w:val="00613F0F"/>
    <w:rsid w:val="0061422C"/>
    <w:rsid w:val="0061428F"/>
    <w:rsid w:val="006143E1"/>
    <w:rsid w:val="006143EF"/>
    <w:rsid w:val="0061440D"/>
    <w:rsid w:val="0061447F"/>
    <w:rsid w:val="006144E6"/>
    <w:rsid w:val="006145FB"/>
    <w:rsid w:val="00614766"/>
    <w:rsid w:val="00614770"/>
    <w:rsid w:val="0061490C"/>
    <w:rsid w:val="006149DD"/>
    <w:rsid w:val="00614A69"/>
    <w:rsid w:val="00614B52"/>
    <w:rsid w:val="00614CFC"/>
    <w:rsid w:val="00614D0C"/>
    <w:rsid w:val="00614D27"/>
    <w:rsid w:val="00614D5F"/>
    <w:rsid w:val="00614D83"/>
    <w:rsid w:val="00615023"/>
    <w:rsid w:val="006150CA"/>
    <w:rsid w:val="006151EC"/>
    <w:rsid w:val="0061545B"/>
    <w:rsid w:val="006154DB"/>
    <w:rsid w:val="00615557"/>
    <w:rsid w:val="006155A4"/>
    <w:rsid w:val="00615782"/>
    <w:rsid w:val="0061585C"/>
    <w:rsid w:val="00615A50"/>
    <w:rsid w:val="00615B5C"/>
    <w:rsid w:val="00615C5A"/>
    <w:rsid w:val="00615CFD"/>
    <w:rsid w:val="00615DBD"/>
    <w:rsid w:val="00615E32"/>
    <w:rsid w:val="00615F31"/>
    <w:rsid w:val="0061605B"/>
    <w:rsid w:val="0061616D"/>
    <w:rsid w:val="00616221"/>
    <w:rsid w:val="00616232"/>
    <w:rsid w:val="006162A4"/>
    <w:rsid w:val="006162FE"/>
    <w:rsid w:val="00616364"/>
    <w:rsid w:val="0061639B"/>
    <w:rsid w:val="006164B7"/>
    <w:rsid w:val="006164ED"/>
    <w:rsid w:val="00616530"/>
    <w:rsid w:val="0061654F"/>
    <w:rsid w:val="006165AA"/>
    <w:rsid w:val="00616661"/>
    <w:rsid w:val="0061668F"/>
    <w:rsid w:val="00616729"/>
    <w:rsid w:val="00616824"/>
    <w:rsid w:val="0061683D"/>
    <w:rsid w:val="006168EA"/>
    <w:rsid w:val="00616934"/>
    <w:rsid w:val="00616A8B"/>
    <w:rsid w:val="00616A91"/>
    <w:rsid w:val="00616C53"/>
    <w:rsid w:val="00616CF9"/>
    <w:rsid w:val="00616E76"/>
    <w:rsid w:val="00616E7B"/>
    <w:rsid w:val="00616E97"/>
    <w:rsid w:val="00616EC4"/>
    <w:rsid w:val="00616F0B"/>
    <w:rsid w:val="00616F2C"/>
    <w:rsid w:val="00616F37"/>
    <w:rsid w:val="00617013"/>
    <w:rsid w:val="006172FF"/>
    <w:rsid w:val="006175A2"/>
    <w:rsid w:val="006178CA"/>
    <w:rsid w:val="00617937"/>
    <w:rsid w:val="0061797B"/>
    <w:rsid w:val="006179AA"/>
    <w:rsid w:val="006179CC"/>
    <w:rsid w:val="006179D4"/>
    <w:rsid w:val="00617A21"/>
    <w:rsid w:val="00617C88"/>
    <w:rsid w:val="00617C99"/>
    <w:rsid w:val="00617CA7"/>
    <w:rsid w:val="00617DA3"/>
    <w:rsid w:val="00617EA8"/>
    <w:rsid w:val="00617F29"/>
    <w:rsid w:val="00617F92"/>
    <w:rsid w:val="00617FC9"/>
    <w:rsid w:val="0062004E"/>
    <w:rsid w:val="006203C3"/>
    <w:rsid w:val="006203DA"/>
    <w:rsid w:val="00620597"/>
    <w:rsid w:val="006205C9"/>
    <w:rsid w:val="00620749"/>
    <w:rsid w:val="00620840"/>
    <w:rsid w:val="0062085E"/>
    <w:rsid w:val="0062097B"/>
    <w:rsid w:val="00620AEA"/>
    <w:rsid w:val="00620AF4"/>
    <w:rsid w:val="00620C57"/>
    <w:rsid w:val="00620D4F"/>
    <w:rsid w:val="00620E63"/>
    <w:rsid w:val="00620E8C"/>
    <w:rsid w:val="00620EBA"/>
    <w:rsid w:val="00620EFA"/>
    <w:rsid w:val="006210C7"/>
    <w:rsid w:val="006210FF"/>
    <w:rsid w:val="00621115"/>
    <w:rsid w:val="0062113E"/>
    <w:rsid w:val="006211C4"/>
    <w:rsid w:val="006213D8"/>
    <w:rsid w:val="00621454"/>
    <w:rsid w:val="00621535"/>
    <w:rsid w:val="0062175F"/>
    <w:rsid w:val="00621973"/>
    <w:rsid w:val="006219B3"/>
    <w:rsid w:val="00621A09"/>
    <w:rsid w:val="00621A57"/>
    <w:rsid w:val="00621AB7"/>
    <w:rsid w:val="00621CAB"/>
    <w:rsid w:val="00621CB5"/>
    <w:rsid w:val="00621EBD"/>
    <w:rsid w:val="0062207F"/>
    <w:rsid w:val="006220F2"/>
    <w:rsid w:val="00622480"/>
    <w:rsid w:val="0062260C"/>
    <w:rsid w:val="006229E7"/>
    <w:rsid w:val="00622AF3"/>
    <w:rsid w:val="00622B93"/>
    <w:rsid w:val="00622BE0"/>
    <w:rsid w:val="00622C45"/>
    <w:rsid w:val="00622C91"/>
    <w:rsid w:val="00622D03"/>
    <w:rsid w:val="00622DA8"/>
    <w:rsid w:val="00623189"/>
    <w:rsid w:val="006231DD"/>
    <w:rsid w:val="006231E7"/>
    <w:rsid w:val="006231E8"/>
    <w:rsid w:val="0062323E"/>
    <w:rsid w:val="00623251"/>
    <w:rsid w:val="00623255"/>
    <w:rsid w:val="006232BC"/>
    <w:rsid w:val="0062368E"/>
    <w:rsid w:val="006236B5"/>
    <w:rsid w:val="006239AD"/>
    <w:rsid w:val="00623A8B"/>
    <w:rsid w:val="00623AE1"/>
    <w:rsid w:val="00623C25"/>
    <w:rsid w:val="00623C29"/>
    <w:rsid w:val="00623D91"/>
    <w:rsid w:val="00623DDE"/>
    <w:rsid w:val="00623DE4"/>
    <w:rsid w:val="00623E70"/>
    <w:rsid w:val="00623E73"/>
    <w:rsid w:val="0062411D"/>
    <w:rsid w:val="00624131"/>
    <w:rsid w:val="006242F1"/>
    <w:rsid w:val="00624549"/>
    <w:rsid w:val="0062461A"/>
    <w:rsid w:val="0062461D"/>
    <w:rsid w:val="00624701"/>
    <w:rsid w:val="0062485D"/>
    <w:rsid w:val="0062492F"/>
    <w:rsid w:val="00624B7B"/>
    <w:rsid w:val="00624CA5"/>
    <w:rsid w:val="00624DC7"/>
    <w:rsid w:val="00624E80"/>
    <w:rsid w:val="00624F56"/>
    <w:rsid w:val="00625041"/>
    <w:rsid w:val="00625081"/>
    <w:rsid w:val="006250B7"/>
    <w:rsid w:val="0062515A"/>
    <w:rsid w:val="006251A3"/>
    <w:rsid w:val="006251A9"/>
    <w:rsid w:val="006251B9"/>
    <w:rsid w:val="006252B4"/>
    <w:rsid w:val="00625369"/>
    <w:rsid w:val="0062540E"/>
    <w:rsid w:val="006254FB"/>
    <w:rsid w:val="00625589"/>
    <w:rsid w:val="006255E6"/>
    <w:rsid w:val="00625621"/>
    <w:rsid w:val="00625749"/>
    <w:rsid w:val="0062598C"/>
    <w:rsid w:val="00625BA8"/>
    <w:rsid w:val="00625CAB"/>
    <w:rsid w:val="00625CB4"/>
    <w:rsid w:val="00625CC5"/>
    <w:rsid w:val="00625DB3"/>
    <w:rsid w:val="00625DBB"/>
    <w:rsid w:val="00625F46"/>
    <w:rsid w:val="00626045"/>
    <w:rsid w:val="006260F3"/>
    <w:rsid w:val="00626149"/>
    <w:rsid w:val="00626170"/>
    <w:rsid w:val="00626202"/>
    <w:rsid w:val="006262F6"/>
    <w:rsid w:val="00626316"/>
    <w:rsid w:val="00626342"/>
    <w:rsid w:val="00626404"/>
    <w:rsid w:val="00626425"/>
    <w:rsid w:val="00626426"/>
    <w:rsid w:val="00626440"/>
    <w:rsid w:val="00626492"/>
    <w:rsid w:val="00626650"/>
    <w:rsid w:val="00626673"/>
    <w:rsid w:val="00626899"/>
    <w:rsid w:val="006268F3"/>
    <w:rsid w:val="006269CB"/>
    <w:rsid w:val="00626A7A"/>
    <w:rsid w:val="00626A82"/>
    <w:rsid w:val="00626B8D"/>
    <w:rsid w:val="00626BA2"/>
    <w:rsid w:val="00626C26"/>
    <w:rsid w:val="00626CA3"/>
    <w:rsid w:val="00626E5C"/>
    <w:rsid w:val="00626E79"/>
    <w:rsid w:val="00626EA1"/>
    <w:rsid w:val="006270EC"/>
    <w:rsid w:val="006272A7"/>
    <w:rsid w:val="0062730A"/>
    <w:rsid w:val="00627478"/>
    <w:rsid w:val="0062751C"/>
    <w:rsid w:val="006275F3"/>
    <w:rsid w:val="00627629"/>
    <w:rsid w:val="006276E6"/>
    <w:rsid w:val="006278AB"/>
    <w:rsid w:val="006278B4"/>
    <w:rsid w:val="00627911"/>
    <w:rsid w:val="00627AAD"/>
    <w:rsid w:val="00627AF4"/>
    <w:rsid w:val="00627BB5"/>
    <w:rsid w:val="00627BC1"/>
    <w:rsid w:val="00627C9D"/>
    <w:rsid w:val="00627CB6"/>
    <w:rsid w:val="00627CBB"/>
    <w:rsid w:val="00627D00"/>
    <w:rsid w:val="00627DD8"/>
    <w:rsid w:val="00627DF7"/>
    <w:rsid w:val="00627E87"/>
    <w:rsid w:val="00627FFE"/>
    <w:rsid w:val="0062FB13"/>
    <w:rsid w:val="006300CA"/>
    <w:rsid w:val="0063010B"/>
    <w:rsid w:val="006301FE"/>
    <w:rsid w:val="00630224"/>
    <w:rsid w:val="006302B2"/>
    <w:rsid w:val="00630445"/>
    <w:rsid w:val="00630466"/>
    <w:rsid w:val="00630493"/>
    <w:rsid w:val="0063063D"/>
    <w:rsid w:val="0063068F"/>
    <w:rsid w:val="006306F4"/>
    <w:rsid w:val="0063076B"/>
    <w:rsid w:val="0063080A"/>
    <w:rsid w:val="00630965"/>
    <w:rsid w:val="006309A5"/>
    <w:rsid w:val="006309E2"/>
    <w:rsid w:val="00630AFD"/>
    <w:rsid w:val="00630B7E"/>
    <w:rsid w:val="00630D10"/>
    <w:rsid w:val="00630D5A"/>
    <w:rsid w:val="00630DD5"/>
    <w:rsid w:val="00630F91"/>
    <w:rsid w:val="00630FD2"/>
    <w:rsid w:val="0063103C"/>
    <w:rsid w:val="0063105D"/>
    <w:rsid w:val="0063111C"/>
    <w:rsid w:val="006311CE"/>
    <w:rsid w:val="00631395"/>
    <w:rsid w:val="00631598"/>
    <w:rsid w:val="00631604"/>
    <w:rsid w:val="0063162D"/>
    <w:rsid w:val="0063167A"/>
    <w:rsid w:val="006316AA"/>
    <w:rsid w:val="0063192B"/>
    <w:rsid w:val="006319DD"/>
    <w:rsid w:val="00631B86"/>
    <w:rsid w:val="00631C6F"/>
    <w:rsid w:val="00631D2A"/>
    <w:rsid w:val="00631D52"/>
    <w:rsid w:val="00631DA1"/>
    <w:rsid w:val="00631DBE"/>
    <w:rsid w:val="00631EDC"/>
    <w:rsid w:val="00631F7A"/>
    <w:rsid w:val="0063243C"/>
    <w:rsid w:val="006324BE"/>
    <w:rsid w:val="00632798"/>
    <w:rsid w:val="0063281C"/>
    <w:rsid w:val="006328A7"/>
    <w:rsid w:val="0063296D"/>
    <w:rsid w:val="00632973"/>
    <w:rsid w:val="00632A7F"/>
    <w:rsid w:val="00632C02"/>
    <w:rsid w:val="00632C68"/>
    <w:rsid w:val="00632DBD"/>
    <w:rsid w:val="00632DF4"/>
    <w:rsid w:val="00632E09"/>
    <w:rsid w:val="00632E8E"/>
    <w:rsid w:val="00632F2D"/>
    <w:rsid w:val="00633014"/>
    <w:rsid w:val="006330B8"/>
    <w:rsid w:val="0063310B"/>
    <w:rsid w:val="00633274"/>
    <w:rsid w:val="006333EF"/>
    <w:rsid w:val="00633479"/>
    <w:rsid w:val="006335E8"/>
    <w:rsid w:val="00633822"/>
    <w:rsid w:val="0063384B"/>
    <w:rsid w:val="006338CA"/>
    <w:rsid w:val="00633972"/>
    <w:rsid w:val="00633AF5"/>
    <w:rsid w:val="00633B01"/>
    <w:rsid w:val="00633B5D"/>
    <w:rsid w:val="00633BEB"/>
    <w:rsid w:val="00633C6C"/>
    <w:rsid w:val="00633E07"/>
    <w:rsid w:val="00633E54"/>
    <w:rsid w:val="00633E6F"/>
    <w:rsid w:val="00633E89"/>
    <w:rsid w:val="0063402C"/>
    <w:rsid w:val="0063408B"/>
    <w:rsid w:val="00634114"/>
    <w:rsid w:val="00634178"/>
    <w:rsid w:val="0063434B"/>
    <w:rsid w:val="00634364"/>
    <w:rsid w:val="006345F0"/>
    <w:rsid w:val="006349DB"/>
    <w:rsid w:val="00634AAC"/>
    <w:rsid w:val="00634D5E"/>
    <w:rsid w:val="00634D7A"/>
    <w:rsid w:val="00634E51"/>
    <w:rsid w:val="00634F99"/>
    <w:rsid w:val="00634F9D"/>
    <w:rsid w:val="00635018"/>
    <w:rsid w:val="00635029"/>
    <w:rsid w:val="00635052"/>
    <w:rsid w:val="00635058"/>
    <w:rsid w:val="00635182"/>
    <w:rsid w:val="00635399"/>
    <w:rsid w:val="006353B8"/>
    <w:rsid w:val="006354D4"/>
    <w:rsid w:val="006355EA"/>
    <w:rsid w:val="006358A6"/>
    <w:rsid w:val="006358FE"/>
    <w:rsid w:val="006359BA"/>
    <w:rsid w:val="00635B2F"/>
    <w:rsid w:val="00635C1F"/>
    <w:rsid w:val="00635D67"/>
    <w:rsid w:val="00635DC8"/>
    <w:rsid w:val="00635E01"/>
    <w:rsid w:val="00635EFA"/>
    <w:rsid w:val="00635F48"/>
    <w:rsid w:val="00636015"/>
    <w:rsid w:val="0063609D"/>
    <w:rsid w:val="006363C1"/>
    <w:rsid w:val="006363CE"/>
    <w:rsid w:val="00636523"/>
    <w:rsid w:val="00636671"/>
    <w:rsid w:val="006366F8"/>
    <w:rsid w:val="00636758"/>
    <w:rsid w:val="006367CD"/>
    <w:rsid w:val="006367F1"/>
    <w:rsid w:val="006369CF"/>
    <w:rsid w:val="00636ACA"/>
    <w:rsid w:val="00636BE6"/>
    <w:rsid w:val="00636DB1"/>
    <w:rsid w:val="00636EAC"/>
    <w:rsid w:val="00636ED1"/>
    <w:rsid w:val="00636F1B"/>
    <w:rsid w:val="00636FD9"/>
    <w:rsid w:val="006371BB"/>
    <w:rsid w:val="00637232"/>
    <w:rsid w:val="00637235"/>
    <w:rsid w:val="006372BB"/>
    <w:rsid w:val="006372CB"/>
    <w:rsid w:val="00637455"/>
    <w:rsid w:val="00637473"/>
    <w:rsid w:val="006374CD"/>
    <w:rsid w:val="006375DE"/>
    <w:rsid w:val="0063767A"/>
    <w:rsid w:val="00637694"/>
    <w:rsid w:val="00637843"/>
    <w:rsid w:val="00637907"/>
    <w:rsid w:val="00637A40"/>
    <w:rsid w:val="00637B45"/>
    <w:rsid w:val="00637BA6"/>
    <w:rsid w:val="00637BB2"/>
    <w:rsid w:val="00637C0D"/>
    <w:rsid w:val="00637C8D"/>
    <w:rsid w:val="00637D0E"/>
    <w:rsid w:val="00637DC1"/>
    <w:rsid w:val="00637E2C"/>
    <w:rsid w:val="00637ECE"/>
    <w:rsid w:val="00637F80"/>
    <w:rsid w:val="0064007D"/>
    <w:rsid w:val="00640083"/>
    <w:rsid w:val="00640169"/>
    <w:rsid w:val="006401BA"/>
    <w:rsid w:val="0064023C"/>
    <w:rsid w:val="0064030E"/>
    <w:rsid w:val="006403E9"/>
    <w:rsid w:val="0064046D"/>
    <w:rsid w:val="00640478"/>
    <w:rsid w:val="0064059A"/>
    <w:rsid w:val="006405CD"/>
    <w:rsid w:val="006406D0"/>
    <w:rsid w:val="006408AD"/>
    <w:rsid w:val="00640961"/>
    <w:rsid w:val="00640A8B"/>
    <w:rsid w:val="00640AF9"/>
    <w:rsid w:val="00640BB6"/>
    <w:rsid w:val="00640C3B"/>
    <w:rsid w:val="00640CBF"/>
    <w:rsid w:val="00640CF6"/>
    <w:rsid w:val="00640D04"/>
    <w:rsid w:val="00640D16"/>
    <w:rsid w:val="00640D7F"/>
    <w:rsid w:val="00640EB1"/>
    <w:rsid w:val="00640FB8"/>
    <w:rsid w:val="00640FCD"/>
    <w:rsid w:val="00641093"/>
    <w:rsid w:val="006410CF"/>
    <w:rsid w:val="0064125C"/>
    <w:rsid w:val="00641276"/>
    <w:rsid w:val="006412C9"/>
    <w:rsid w:val="00641411"/>
    <w:rsid w:val="0064143E"/>
    <w:rsid w:val="00641493"/>
    <w:rsid w:val="0064186A"/>
    <w:rsid w:val="00641878"/>
    <w:rsid w:val="006418E0"/>
    <w:rsid w:val="006419CB"/>
    <w:rsid w:val="00641A29"/>
    <w:rsid w:val="00641A9D"/>
    <w:rsid w:val="00641B31"/>
    <w:rsid w:val="00641DA0"/>
    <w:rsid w:val="00641E37"/>
    <w:rsid w:val="00641F4F"/>
    <w:rsid w:val="00641F9B"/>
    <w:rsid w:val="00642036"/>
    <w:rsid w:val="006420C6"/>
    <w:rsid w:val="0064224C"/>
    <w:rsid w:val="00642299"/>
    <w:rsid w:val="00642400"/>
    <w:rsid w:val="00642454"/>
    <w:rsid w:val="006424AB"/>
    <w:rsid w:val="00642656"/>
    <w:rsid w:val="006426B4"/>
    <w:rsid w:val="006426F7"/>
    <w:rsid w:val="00642772"/>
    <w:rsid w:val="00642786"/>
    <w:rsid w:val="006427A0"/>
    <w:rsid w:val="0064291C"/>
    <w:rsid w:val="00642A8F"/>
    <w:rsid w:val="00642C61"/>
    <w:rsid w:val="00642D6C"/>
    <w:rsid w:val="00642EA1"/>
    <w:rsid w:val="00642FB2"/>
    <w:rsid w:val="0064305F"/>
    <w:rsid w:val="00643092"/>
    <w:rsid w:val="006430D2"/>
    <w:rsid w:val="00643107"/>
    <w:rsid w:val="0064356C"/>
    <w:rsid w:val="006435B2"/>
    <w:rsid w:val="00643624"/>
    <w:rsid w:val="006436F7"/>
    <w:rsid w:val="00643936"/>
    <w:rsid w:val="006439D7"/>
    <w:rsid w:val="00643AA2"/>
    <w:rsid w:val="00643D69"/>
    <w:rsid w:val="00643D84"/>
    <w:rsid w:val="00643DA3"/>
    <w:rsid w:val="00643E2A"/>
    <w:rsid w:val="00643EC7"/>
    <w:rsid w:val="00644067"/>
    <w:rsid w:val="0064411D"/>
    <w:rsid w:val="00644210"/>
    <w:rsid w:val="006443C6"/>
    <w:rsid w:val="00644460"/>
    <w:rsid w:val="00644474"/>
    <w:rsid w:val="0064447E"/>
    <w:rsid w:val="00644503"/>
    <w:rsid w:val="00644654"/>
    <w:rsid w:val="006446B3"/>
    <w:rsid w:val="0064482E"/>
    <w:rsid w:val="006449C3"/>
    <w:rsid w:val="00644B19"/>
    <w:rsid w:val="00644B21"/>
    <w:rsid w:val="00644BCC"/>
    <w:rsid w:val="00644C1C"/>
    <w:rsid w:val="00644CA6"/>
    <w:rsid w:val="00644CEF"/>
    <w:rsid w:val="00644D30"/>
    <w:rsid w:val="00644D7F"/>
    <w:rsid w:val="00644E62"/>
    <w:rsid w:val="00644F08"/>
    <w:rsid w:val="00644F47"/>
    <w:rsid w:val="00644FFF"/>
    <w:rsid w:val="0064507D"/>
    <w:rsid w:val="006450ED"/>
    <w:rsid w:val="006450F8"/>
    <w:rsid w:val="00645127"/>
    <w:rsid w:val="0064513B"/>
    <w:rsid w:val="0064517E"/>
    <w:rsid w:val="00645255"/>
    <w:rsid w:val="00645293"/>
    <w:rsid w:val="00645382"/>
    <w:rsid w:val="00645398"/>
    <w:rsid w:val="00645407"/>
    <w:rsid w:val="0064551A"/>
    <w:rsid w:val="0064567B"/>
    <w:rsid w:val="00645772"/>
    <w:rsid w:val="00645955"/>
    <w:rsid w:val="00645C8B"/>
    <w:rsid w:val="00645CB4"/>
    <w:rsid w:val="00645CF7"/>
    <w:rsid w:val="00645E92"/>
    <w:rsid w:val="00645E97"/>
    <w:rsid w:val="00645ED8"/>
    <w:rsid w:val="0064604B"/>
    <w:rsid w:val="00646063"/>
    <w:rsid w:val="0064619B"/>
    <w:rsid w:val="00646233"/>
    <w:rsid w:val="006462B1"/>
    <w:rsid w:val="00646353"/>
    <w:rsid w:val="006463DB"/>
    <w:rsid w:val="006463E6"/>
    <w:rsid w:val="0064646B"/>
    <w:rsid w:val="0064648A"/>
    <w:rsid w:val="0064649F"/>
    <w:rsid w:val="0064657E"/>
    <w:rsid w:val="006466FA"/>
    <w:rsid w:val="0064678F"/>
    <w:rsid w:val="00646981"/>
    <w:rsid w:val="006469C9"/>
    <w:rsid w:val="00646B27"/>
    <w:rsid w:val="00646B35"/>
    <w:rsid w:val="00646D39"/>
    <w:rsid w:val="00646E11"/>
    <w:rsid w:val="00646EBA"/>
    <w:rsid w:val="00646FA6"/>
    <w:rsid w:val="0064709C"/>
    <w:rsid w:val="0064715F"/>
    <w:rsid w:val="0064735B"/>
    <w:rsid w:val="006473AA"/>
    <w:rsid w:val="0064740C"/>
    <w:rsid w:val="0064750F"/>
    <w:rsid w:val="0064764C"/>
    <w:rsid w:val="006477B1"/>
    <w:rsid w:val="00647864"/>
    <w:rsid w:val="0064792D"/>
    <w:rsid w:val="0064799A"/>
    <w:rsid w:val="00647A32"/>
    <w:rsid w:val="00647AD0"/>
    <w:rsid w:val="00647C1F"/>
    <w:rsid w:val="00647C5C"/>
    <w:rsid w:val="00647D5E"/>
    <w:rsid w:val="00647DB1"/>
    <w:rsid w:val="00647DD1"/>
    <w:rsid w:val="00647DE9"/>
    <w:rsid w:val="00647ECC"/>
    <w:rsid w:val="00647ECE"/>
    <w:rsid w:val="00647EF2"/>
    <w:rsid w:val="00647F25"/>
    <w:rsid w:val="00647F3F"/>
    <w:rsid w:val="00650156"/>
    <w:rsid w:val="0065039B"/>
    <w:rsid w:val="00650421"/>
    <w:rsid w:val="0065043E"/>
    <w:rsid w:val="00650449"/>
    <w:rsid w:val="00650686"/>
    <w:rsid w:val="00650792"/>
    <w:rsid w:val="006508B2"/>
    <w:rsid w:val="006508CC"/>
    <w:rsid w:val="00650CF6"/>
    <w:rsid w:val="00650D3F"/>
    <w:rsid w:val="00650D5C"/>
    <w:rsid w:val="00650D8D"/>
    <w:rsid w:val="00650DB2"/>
    <w:rsid w:val="00650EF3"/>
    <w:rsid w:val="00651201"/>
    <w:rsid w:val="006512AC"/>
    <w:rsid w:val="00651310"/>
    <w:rsid w:val="0065132C"/>
    <w:rsid w:val="0065155E"/>
    <w:rsid w:val="00651572"/>
    <w:rsid w:val="0065170F"/>
    <w:rsid w:val="006517FE"/>
    <w:rsid w:val="00651845"/>
    <w:rsid w:val="006519EF"/>
    <w:rsid w:val="00651A3C"/>
    <w:rsid w:val="00651C02"/>
    <w:rsid w:val="00651D19"/>
    <w:rsid w:val="00651D20"/>
    <w:rsid w:val="00651D73"/>
    <w:rsid w:val="00651D77"/>
    <w:rsid w:val="00651F74"/>
    <w:rsid w:val="00651F82"/>
    <w:rsid w:val="006521D0"/>
    <w:rsid w:val="006521FE"/>
    <w:rsid w:val="00652217"/>
    <w:rsid w:val="0065236C"/>
    <w:rsid w:val="0065238D"/>
    <w:rsid w:val="006524E0"/>
    <w:rsid w:val="00652529"/>
    <w:rsid w:val="0065252F"/>
    <w:rsid w:val="0065264B"/>
    <w:rsid w:val="0065271F"/>
    <w:rsid w:val="00652747"/>
    <w:rsid w:val="0065295B"/>
    <w:rsid w:val="006529B2"/>
    <w:rsid w:val="006529F9"/>
    <w:rsid w:val="00652AAD"/>
    <w:rsid w:val="00652C0F"/>
    <w:rsid w:val="00652D25"/>
    <w:rsid w:val="00652D2F"/>
    <w:rsid w:val="00652E32"/>
    <w:rsid w:val="00652E3D"/>
    <w:rsid w:val="00653023"/>
    <w:rsid w:val="00653046"/>
    <w:rsid w:val="0065308F"/>
    <w:rsid w:val="0065330C"/>
    <w:rsid w:val="006533E2"/>
    <w:rsid w:val="006535AF"/>
    <w:rsid w:val="006535CB"/>
    <w:rsid w:val="00653646"/>
    <w:rsid w:val="00653731"/>
    <w:rsid w:val="00653775"/>
    <w:rsid w:val="006537C3"/>
    <w:rsid w:val="006537D5"/>
    <w:rsid w:val="0065385F"/>
    <w:rsid w:val="006539C4"/>
    <w:rsid w:val="006539E3"/>
    <w:rsid w:val="00653A95"/>
    <w:rsid w:val="00653B2D"/>
    <w:rsid w:val="00653B67"/>
    <w:rsid w:val="00653BD4"/>
    <w:rsid w:val="00653DD6"/>
    <w:rsid w:val="00653DE6"/>
    <w:rsid w:val="00653E0E"/>
    <w:rsid w:val="00653E49"/>
    <w:rsid w:val="00653E6E"/>
    <w:rsid w:val="00653EEF"/>
    <w:rsid w:val="00653F83"/>
    <w:rsid w:val="0065414B"/>
    <w:rsid w:val="006542C6"/>
    <w:rsid w:val="0065441B"/>
    <w:rsid w:val="0065446F"/>
    <w:rsid w:val="006546F5"/>
    <w:rsid w:val="00654806"/>
    <w:rsid w:val="006548E0"/>
    <w:rsid w:val="00654914"/>
    <w:rsid w:val="00654959"/>
    <w:rsid w:val="0065497B"/>
    <w:rsid w:val="00654A20"/>
    <w:rsid w:val="00654A24"/>
    <w:rsid w:val="00654C86"/>
    <w:rsid w:val="00654D6E"/>
    <w:rsid w:val="00654FBF"/>
    <w:rsid w:val="00654FD1"/>
    <w:rsid w:val="0065511B"/>
    <w:rsid w:val="00655197"/>
    <w:rsid w:val="006552A0"/>
    <w:rsid w:val="00655302"/>
    <w:rsid w:val="00655382"/>
    <w:rsid w:val="006553BC"/>
    <w:rsid w:val="00655480"/>
    <w:rsid w:val="0065572B"/>
    <w:rsid w:val="006557BF"/>
    <w:rsid w:val="00655804"/>
    <w:rsid w:val="0065591C"/>
    <w:rsid w:val="00655967"/>
    <w:rsid w:val="0065597A"/>
    <w:rsid w:val="00655A0D"/>
    <w:rsid w:val="00655B8C"/>
    <w:rsid w:val="00655BF1"/>
    <w:rsid w:val="00655C37"/>
    <w:rsid w:val="00655C3D"/>
    <w:rsid w:val="00655DB5"/>
    <w:rsid w:val="00655EF6"/>
    <w:rsid w:val="006561C2"/>
    <w:rsid w:val="0065622D"/>
    <w:rsid w:val="0065624F"/>
    <w:rsid w:val="00656283"/>
    <w:rsid w:val="0065635A"/>
    <w:rsid w:val="00656406"/>
    <w:rsid w:val="00656435"/>
    <w:rsid w:val="00656467"/>
    <w:rsid w:val="006564DF"/>
    <w:rsid w:val="006566CA"/>
    <w:rsid w:val="0065699F"/>
    <w:rsid w:val="00656A7B"/>
    <w:rsid w:val="00656C10"/>
    <w:rsid w:val="00656C20"/>
    <w:rsid w:val="00656D9C"/>
    <w:rsid w:val="00656E20"/>
    <w:rsid w:val="00656E7E"/>
    <w:rsid w:val="00656E9A"/>
    <w:rsid w:val="00656F6F"/>
    <w:rsid w:val="006571AA"/>
    <w:rsid w:val="0065735F"/>
    <w:rsid w:val="0065754E"/>
    <w:rsid w:val="006575CD"/>
    <w:rsid w:val="006575D3"/>
    <w:rsid w:val="0065767E"/>
    <w:rsid w:val="0065776D"/>
    <w:rsid w:val="00657888"/>
    <w:rsid w:val="00657A1F"/>
    <w:rsid w:val="00657A74"/>
    <w:rsid w:val="00657B02"/>
    <w:rsid w:val="00657C1B"/>
    <w:rsid w:val="00657CE9"/>
    <w:rsid w:val="00657E3F"/>
    <w:rsid w:val="00657F82"/>
    <w:rsid w:val="0065FC5D"/>
    <w:rsid w:val="00660047"/>
    <w:rsid w:val="006601AC"/>
    <w:rsid w:val="006601F3"/>
    <w:rsid w:val="00660227"/>
    <w:rsid w:val="00660352"/>
    <w:rsid w:val="006603E5"/>
    <w:rsid w:val="00660466"/>
    <w:rsid w:val="0066062E"/>
    <w:rsid w:val="00660695"/>
    <w:rsid w:val="006606C3"/>
    <w:rsid w:val="006606D0"/>
    <w:rsid w:val="0066073D"/>
    <w:rsid w:val="006607B7"/>
    <w:rsid w:val="00660801"/>
    <w:rsid w:val="006608C9"/>
    <w:rsid w:val="00660930"/>
    <w:rsid w:val="006609CD"/>
    <w:rsid w:val="006609F1"/>
    <w:rsid w:val="00660B1A"/>
    <w:rsid w:val="00660B9D"/>
    <w:rsid w:val="00660BB3"/>
    <w:rsid w:val="00660E79"/>
    <w:rsid w:val="00660F6D"/>
    <w:rsid w:val="006610E9"/>
    <w:rsid w:val="00661169"/>
    <w:rsid w:val="00661171"/>
    <w:rsid w:val="00661204"/>
    <w:rsid w:val="006612A8"/>
    <w:rsid w:val="00661348"/>
    <w:rsid w:val="006613A5"/>
    <w:rsid w:val="00661578"/>
    <w:rsid w:val="006617E2"/>
    <w:rsid w:val="0066187D"/>
    <w:rsid w:val="0066188B"/>
    <w:rsid w:val="0066195E"/>
    <w:rsid w:val="00661A9E"/>
    <w:rsid w:val="00661E8F"/>
    <w:rsid w:val="00661EE3"/>
    <w:rsid w:val="00661FF8"/>
    <w:rsid w:val="00662007"/>
    <w:rsid w:val="00662040"/>
    <w:rsid w:val="0066207F"/>
    <w:rsid w:val="0066208A"/>
    <w:rsid w:val="006620CC"/>
    <w:rsid w:val="00662421"/>
    <w:rsid w:val="00662484"/>
    <w:rsid w:val="00662540"/>
    <w:rsid w:val="0066267B"/>
    <w:rsid w:val="00662890"/>
    <w:rsid w:val="006629A4"/>
    <w:rsid w:val="00662A97"/>
    <w:rsid w:val="00662B09"/>
    <w:rsid w:val="00662B7D"/>
    <w:rsid w:val="00662C6D"/>
    <w:rsid w:val="00662C72"/>
    <w:rsid w:val="00662CE7"/>
    <w:rsid w:val="00662EB6"/>
    <w:rsid w:val="00662EC5"/>
    <w:rsid w:val="00662FBA"/>
    <w:rsid w:val="00662FDB"/>
    <w:rsid w:val="00663005"/>
    <w:rsid w:val="006630E3"/>
    <w:rsid w:val="006632C4"/>
    <w:rsid w:val="00663420"/>
    <w:rsid w:val="00663484"/>
    <w:rsid w:val="006634A0"/>
    <w:rsid w:val="006637B0"/>
    <w:rsid w:val="006638DE"/>
    <w:rsid w:val="00663900"/>
    <w:rsid w:val="00663933"/>
    <w:rsid w:val="006639FD"/>
    <w:rsid w:val="00663A0C"/>
    <w:rsid w:val="00663A18"/>
    <w:rsid w:val="00663AAC"/>
    <w:rsid w:val="00663B61"/>
    <w:rsid w:val="00663B6B"/>
    <w:rsid w:val="00663BA3"/>
    <w:rsid w:val="00663C5F"/>
    <w:rsid w:val="00663D57"/>
    <w:rsid w:val="00663D60"/>
    <w:rsid w:val="00663E86"/>
    <w:rsid w:val="00663EC8"/>
    <w:rsid w:val="00663EC9"/>
    <w:rsid w:val="00663FFE"/>
    <w:rsid w:val="006640BB"/>
    <w:rsid w:val="0066416E"/>
    <w:rsid w:val="006643FB"/>
    <w:rsid w:val="00664506"/>
    <w:rsid w:val="00664575"/>
    <w:rsid w:val="00664577"/>
    <w:rsid w:val="00664651"/>
    <w:rsid w:val="006648B0"/>
    <w:rsid w:val="006648C0"/>
    <w:rsid w:val="00664945"/>
    <w:rsid w:val="00664950"/>
    <w:rsid w:val="00664A55"/>
    <w:rsid w:val="00664A5A"/>
    <w:rsid w:val="00664AAC"/>
    <w:rsid w:val="00664BBE"/>
    <w:rsid w:val="00664D68"/>
    <w:rsid w:val="00664DDC"/>
    <w:rsid w:val="00664E66"/>
    <w:rsid w:val="00664EE6"/>
    <w:rsid w:val="0066522F"/>
    <w:rsid w:val="0066534D"/>
    <w:rsid w:val="00665592"/>
    <w:rsid w:val="00665603"/>
    <w:rsid w:val="00665694"/>
    <w:rsid w:val="0066592F"/>
    <w:rsid w:val="00665C2E"/>
    <w:rsid w:val="00665C40"/>
    <w:rsid w:val="00665CFB"/>
    <w:rsid w:val="00665DB8"/>
    <w:rsid w:val="00665EFF"/>
    <w:rsid w:val="00665FCE"/>
    <w:rsid w:val="00666154"/>
    <w:rsid w:val="00666181"/>
    <w:rsid w:val="0066655B"/>
    <w:rsid w:val="006665BF"/>
    <w:rsid w:val="006668A8"/>
    <w:rsid w:val="006669F9"/>
    <w:rsid w:val="00666B72"/>
    <w:rsid w:val="00666B77"/>
    <w:rsid w:val="00666B87"/>
    <w:rsid w:val="00666DFA"/>
    <w:rsid w:val="00666EC5"/>
    <w:rsid w:val="00666EF0"/>
    <w:rsid w:val="00666F7B"/>
    <w:rsid w:val="00667065"/>
    <w:rsid w:val="006670A0"/>
    <w:rsid w:val="00667196"/>
    <w:rsid w:val="006671A8"/>
    <w:rsid w:val="006671D7"/>
    <w:rsid w:val="00667343"/>
    <w:rsid w:val="00667650"/>
    <w:rsid w:val="006676E8"/>
    <w:rsid w:val="00667722"/>
    <w:rsid w:val="00667837"/>
    <w:rsid w:val="0066785D"/>
    <w:rsid w:val="006678C7"/>
    <w:rsid w:val="006678D1"/>
    <w:rsid w:val="006679F7"/>
    <w:rsid w:val="00667AE0"/>
    <w:rsid w:val="00667B3A"/>
    <w:rsid w:val="00667B6B"/>
    <w:rsid w:val="00667B79"/>
    <w:rsid w:val="00667E69"/>
    <w:rsid w:val="00667ECE"/>
    <w:rsid w:val="00670050"/>
    <w:rsid w:val="00670089"/>
    <w:rsid w:val="0067018B"/>
    <w:rsid w:val="006701A6"/>
    <w:rsid w:val="006701C4"/>
    <w:rsid w:val="006701FF"/>
    <w:rsid w:val="00670388"/>
    <w:rsid w:val="0067044A"/>
    <w:rsid w:val="006704AF"/>
    <w:rsid w:val="00670511"/>
    <w:rsid w:val="006705FE"/>
    <w:rsid w:val="0067082F"/>
    <w:rsid w:val="006708DA"/>
    <w:rsid w:val="00670B0F"/>
    <w:rsid w:val="00670B29"/>
    <w:rsid w:val="00670B86"/>
    <w:rsid w:val="00670BCA"/>
    <w:rsid w:val="00670EA5"/>
    <w:rsid w:val="0067100D"/>
    <w:rsid w:val="006710E6"/>
    <w:rsid w:val="00671151"/>
    <w:rsid w:val="00671255"/>
    <w:rsid w:val="00671258"/>
    <w:rsid w:val="006714B6"/>
    <w:rsid w:val="0067152F"/>
    <w:rsid w:val="006715DF"/>
    <w:rsid w:val="006715F3"/>
    <w:rsid w:val="0067168E"/>
    <w:rsid w:val="006718A7"/>
    <w:rsid w:val="00671966"/>
    <w:rsid w:val="00671AC7"/>
    <w:rsid w:val="00671B79"/>
    <w:rsid w:val="00671BC0"/>
    <w:rsid w:val="00671D5D"/>
    <w:rsid w:val="00671E1D"/>
    <w:rsid w:val="00671E21"/>
    <w:rsid w:val="00671ECF"/>
    <w:rsid w:val="00671F1B"/>
    <w:rsid w:val="00671F46"/>
    <w:rsid w:val="00671F5A"/>
    <w:rsid w:val="00671FA6"/>
    <w:rsid w:val="00672238"/>
    <w:rsid w:val="0067245F"/>
    <w:rsid w:val="006725B9"/>
    <w:rsid w:val="006725DA"/>
    <w:rsid w:val="00672768"/>
    <w:rsid w:val="0067276A"/>
    <w:rsid w:val="006727E0"/>
    <w:rsid w:val="006728F7"/>
    <w:rsid w:val="00672A1B"/>
    <w:rsid w:val="00672A3C"/>
    <w:rsid w:val="00672B03"/>
    <w:rsid w:val="00672E1A"/>
    <w:rsid w:val="00672E3A"/>
    <w:rsid w:val="00672ECD"/>
    <w:rsid w:val="00673089"/>
    <w:rsid w:val="006731C1"/>
    <w:rsid w:val="006731E0"/>
    <w:rsid w:val="00673299"/>
    <w:rsid w:val="00673302"/>
    <w:rsid w:val="006733CC"/>
    <w:rsid w:val="006733F4"/>
    <w:rsid w:val="00673413"/>
    <w:rsid w:val="006734C5"/>
    <w:rsid w:val="006734DA"/>
    <w:rsid w:val="00673703"/>
    <w:rsid w:val="0067372E"/>
    <w:rsid w:val="0067377E"/>
    <w:rsid w:val="006738D1"/>
    <w:rsid w:val="006738E5"/>
    <w:rsid w:val="006739D9"/>
    <w:rsid w:val="00673A0D"/>
    <w:rsid w:val="00673ABB"/>
    <w:rsid w:val="00673BB8"/>
    <w:rsid w:val="00673C11"/>
    <w:rsid w:val="00673C25"/>
    <w:rsid w:val="00673C64"/>
    <w:rsid w:val="00673C7B"/>
    <w:rsid w:val="00673D2B"/>
    <w:rsid w:val="00673D67"/>
    <w:rsid w:val="00673D75"/>
    <w:rsid w:val="00673D8D"/>
    <w:rsid w:val="00673F63"/>
    <w:rsid w:val="00673FEA"/>
    <w:rsid w:val="006740B7"/>
    <w:rsid w:val="006740E9"/>
    <w:rsid w:val="00674223"/>
    <w:rsid w:val="0067439C"/>
    <w:rsid w:val="006744BE"/>
    <w:rsid w:val="00674547"/>
    <w:rsid w:val="00674549"/>
    <w:rsid w:val="00674585"/>
    <w:rsid w:val="0067460F"/>
    <w:rsid w:val="0067475F"/>
    <w:rsid w:val="00674979"/>
    <w:rsid w:val="00674986"/>
    <w:rsid w:val="006749D7"/>
    <w:rsid w:val="006749E1"/>
    <w:rsid w:val="00674C07"/>
    <w:rsid w:val="00674E11"/>
    <w:rsid w:val="00674E88"/>
    <w:rsid w:val="00674E91"/>
    <w:rsid w:val="00674EE4"/>
    <w:rsid w:val="00674F3A"/>
    <w:rsid w:val="00675069"/>
    <w:rsid w:val="0067514E"/>
    <w:rsid w:val="0067526F"/>
    <w:rsid w:val="0067527A"/>
    <w:rsid w:val="006752EA"/>
    <w:rsid w:val="0067532A"/>
    <w:rsid w:val="0067539C"/>
    <w:rsid w:val="00675556"/>
    <w:rsid w:val="00675557"/>
    <w:rsid w:val="00675784"/>
    <w:rsid w:val="0067580E"/>
    <w:rsid w:val="00675853"/>
    <w:rsid w:val="00675931"/>
    <w:rsid w:val="006759AD"/>
    <w:rsid w:val="006759DD"/>
    <w:rsid w:val="00675AB1"/>
    <w:rsid w:val="00675B57"/>
    <w:rsid w:val="00675C19"/>
    <w:rsid w:val="00675C58"/>
    <w:rsid w:val="00675D1B"/>
    <w:rsid w:val="00675DAE"/>
    <w:rsid w:val="00675E9E"/>
    <w:rsid w:val="00676019"/>
    <w:rsid w:val="00676114"/>
    <w:rsid w:val="006763F9"/>
    <w:rsid w:val="006766CA"/>
    <w:rsid w:val="00676770"/>
    <w:rsid w:val="006767BF"/>
    <w:rsid w:val="006767CB"/>
    <w:rsid w:val="006768DD"/>
    <w:rsid w:val="00676C30"/>
    <w:rsid w:val="00676D0A"/>
    <w:rsid w:val="00677007"/>
    <w:rsid w:val="00677097"/>
    <w:rsid w:val="00677106"/>
    <w:rsid w:val="00677134"/>
    <w:rsid w:val="006772BE"/>
    <w:rsid w:val="006773FE"/>
    <w:rsid w:val="00677415"/>
    <w:rsid w:val="00677528"/>
    <w:rsid w:val="00677692"/>
    <w:rsid w:val="006776A7"/>
    <w:rsid w:val="006776D8"/>
    <w:rsid w:val="00677713"/>
    <w:rsid w:val="00677730"/>
    <w:rsid w:val="006777AB"/>
    <w:rsid w:val="006777B4"/>
    <w:rsid w:val="0067782D"/>
    <w:rsid w:val="00677951"/>
    <w:rsid w:val="0067796A"/>
    <w:rsid w:val="006779C6"/>
    <w:rsid w:val="00677BDF"/>
    <w:rsid w:val="00677E27"/>
    <w:rsid w:val="00677E48"/>
    <w:rsid w:val="00677E62"/>
    <w:rsid w:val="00677F4C"/>
    <w:rsid w:val="00677FA6"/>
    <w:rsid w:val="0067DC68"/>
    <w:rsid w:val="00680007"/>
    <w:rsid w:val="00680067"/>
    <w:rsid w:val="006800D2"/>
    <w:rsid w:val="006801DD"/>
    <w:rsid w:val="006801E2"/>
    <w:rsid w:val="00680202"/>
    <w:rsid w:val="00680214"/>
    <w:rsid w:val="00680280"/>
    <w:rsid w:val="00680347"/>
    <w:rsid w:val="00680365"/>
    <w:rsid w:val="00680370"/>
    <w:rsid w:val="006803B8"/>
    <w:rsid w:val="006803CB"/>
    <w:rsid w:val="006803F7"/>
    <w:rsid w:val="00680484"/>
    <w:rsid w:val="0068053C"/>
    <w:rsid w:val="00680549"/>
    <w:rsid w:val="00680717"/>
    <w:rsid w:val="00680735"/>
    <w:rsid w:val="0068089A"/>
    <w:rsid w:val="00680911"/>
    <w:rsid w:val="006809D7"/>
    <w:rsid w:val="00680AF8"/>
    <w:rsid w:val="00680C64"/>
    <w:rsid w:val="00680C96"/>
    <w:rsid w:val="00680CE7"/>
    <w:rsid w:val="00680D80"/>
    <w:rsid w:val="00680E4E"/>
    <w:rsid w:val="00680F0C"/>
    <w:rsid w:val="00680F31"/>
    <w:rsid w:val="00680F9D"/>
    <w:rsid w:val="00680FB9"/>
    <w:rsid w:val="0068106D"/>
    <w:rsid w:val="00681123"/>
    <w:rsid w:val="00681328"/>
    <w:rsid w:val="006814C1"/>
    <w:rsid w:val="00681580"/>
    <w:rsid w:val="0068175B"/>
    <w:rsid w:val="0068178D"/>
    <w:rsid w:val="006817F8"/>
    <w:rsid w:val="00681831"/>
    <w:rsid w:val="006818C2"/>
    <w:rsid w:val="00681AAB"/>
    <w:rsid w:val="00681B1F"/>
    <w:rsid w:val="00681B27"/>
    <w:rsid w:val="00681B6D"/>
    <w:rsid w:val="00681B74"/>
    <w:rsid w:val="00681D34"/>
    <w:rsid w:val="00681D4E"/>
    <w:rsid w:val="00681FDA"/>
    <w:rsid w:val="0068200C"/>
    <w:rsid w:val="00682024"/>
    <w:rsid w:val="0068202D"/>
    <w:rsid w:val="0068204F"/>
    <w:rsid w:val="00682079"/>
    <w:rsid w:val="0068214F"/>
    <w:rsid w:val="00682168"/>
    <w:rsid w:val="006822F8"/>
    <w:rsid w:val="006823D9"/>
    <w:rsid w:val="00682456"/>
    <w:rsid w:val="006825A6"/>
    <w:rsid w:val="0068276B"/>
    <w:rsid w:val="00682825"/>
    <w:rsid w:val="00682993"/>
    <w:rsid w:val="006829AE"/>
    <w:rsid w:val="006829B5"/>
    <w:rsid w:val="00682A8E"/>
    <w:rsid w:val="00682B03"/>
    <w:rsid w:val="00682BAB"/>
    <w:rsid w:val="00682D26"/>
    <w:rsid w:val="00682E23"/>
    <w:rsid w:val="00682E28"/>
    <w:rsid w:val="00682E7B"/>
    <w:rsid w:val="00682F2D"/>
    <w:rsid w:val="00682FBA"/>
    <w:rsid w:val="00683009"/>
    <w:rsid w:val="0068311B"/>
    <w:rsid w:val="0068319D"/>
    <w:rsid w:val="006831A1"/>
    <w:rsid w:val="006831D1"/>
    <w:rsid w:val="006831EF"/>
    <w:rsid w:val="00683216"/>
    <w:rsid w:val="00683327"/>
    <w:rsid w:val="00683346"/>
    <w:rsid w:val="00683464"/>
    <w:rsid w:val="006834D5"/>
    <w:rsid w:val="00683571"/>
    <w:rsid w:val="00683657"/>
    <w:rsid w:val="00683859"/>
    <w:rsid w:val="00683862"/>
    <w:rsid w:val="00683A47"/>
    <w:rsid w:val="00683C27"/>
    <w:rsid w:val="00683C99"/>
    <w:rsid w:val="00683CAE"/>
    <w:rsid w:val="00683D32"/>
    <w:rsid w:val="00683D9E"/>
    <w:rsid w:val="00683DA9"/>
    <w:rsid w:val="00683EDE"/>
    <w:rsid w:val="00683F59"/>
    <w:rsid w:val="00684122"/>
    <w:rsid w:val="00684171"/>
    <w:rsid w:val="006841EF"/>
    <w:rsid w:val="0068435B"/>
    <w:rsid w:val="0068439A"/>
    <w:rsid w:val="0068442C"/>
    <w:rsid w:val="006844E7"/>
    <w:rsid w:val="00684531"/>
    <w:rsid w:val="006845BA"/>
    <w:rsid w:val="0068460C"/>
    <w:rsid w:val="006847E1"/>
    <w:rsid w:val="006847EB"/>
    <w:rsid w:val="0068485E"/>
    <w:rsid w:val="0068488B"/>
    <w:rsid w:val="006848E5"/>
    <w:rsid w:val="006848E8"/>
    <w:rsid w:val="00684C1D"/>
    <w:rsid w:val="00684CBA"/>
    <w:rsid w:val="00684D52"/>
    <w:rsid w:val="00684E10"/>
    <w:rsid w:val="0068517A"/>
    <w:rsid w:val="006853E8"/>
    <w:rsid w:val="0068540A"/>
    <w:rsid w:val="00685470"/>
    <w:rsid w:val="00685484"/>
    <w:rsid w:val="006855B7"/>
    <w:rsid w:val="006856D1"/>
    <w:rsid w:val="00685777"/>
    <w:rsid w:val="00685828"/>
    <w:rsid w:val="006858BD"/>
    <w:rsid w:val="00685954"/>
    <w:rsid w:val="00685A41"/>
    <w:rsid w:val="00685A5B"/>
    <w:rsid w:val="00685B0F"/>
    <w:rsid w:val="00685B1F"/>
    <w:rsid w:val="00685C27"/>
    <w:rsid w:val="00685C35"/>
    <w:rsid w:val="00685C6E"/>
    <w:rsid w:val="00685DA1"/>
    <w:rsid w:val="00685DCB"/>
    <w:rsid w:val="00685E4B"/>
    <w:rsid w:val="00685EAF"/>
    <w:rsid w:val="00685F9B"/>
    <w:rsid w:val="00685FE1"/>
    <w:rsid w:val="00686026"/>
    <w:rsid w:val="00686079"/>
    <w:rsid w:val="006860CE"/>
    <w:rsid w:val="00686107"/>
    <w:rsid w:val="00686211"/>
    <w:rsid w:val="00686216"/>
    <w:rsid w:val="006862CA"/>
    <w:rsid w:val="00686390"/>
    <w:rsid w:val="0068644D"/>
    <w:rsid w:val="006865BC"/>
    <w:rsid w:val="006865C7"/>
    <w:rsid w:val="006865E6"/>
    <w:rsid w:val="00686688"/>
    <w:rsid w:val="0068677E"/>
    <w:rsid w:val="00686847"/>
    <w:rsid w:val="00686940"/>
    <w:rsid w:val="00686949"/>
    <w:rsid w:val="00686A23"/>
    <w:rsid w:val="00686A7F"/>
    <w:rsid w:val="00686B1B"/>
    <w:rsid w:val="00686BE5"/>
    <w:rsid w:val="00686D56"/>
    <w:rsid w:val="00686E8A"/>
    <w:rsid w:val="00687093"/>
    <w:rsid w:val="0068717C"/>
    <w:rsid w:val="00687232"/>
    <w:rsid w:val="00687329"/>
    <w:rsid w:val="00687349"/>
    <w:rsid w:val="00687405"/>
    <w:rsid w:val="006876D7"/>
    <w:rsid w:val="00687783"/>
    <w:rsid w:val="00687907"/>
    <w:rsid w:val="00687965"/>
    <w:rsid w:val="00687A0C"/>
    <w:rsid w:val="00687B59"/>
    <w:rsid w:val="00687C27"/>
    <w:rsid w:val="00687D0A"/>
    <w:rsid w:val="00687F86"/>
    <w:rsid w:val="006900AE"/>
    <w:rsid w:val="006900C7"/>
    <w:rsid w:val="006901C9"/>
    <w:rsid w:val="006901DD"/>
    <w:rsid w:val="006901E0"/>
    <w:rsid w:val="006901F5"/>
    <w:rsid w:val="0069021A"/>
    <w:rsid w:val="006903E0"/>
    <w:rsid w:val="00690413"/>
    <w:rsid w:val="006905B3"/>
    <w:rsid w:val="0069062D"/>
    <w:rsid w:val="00690785"/>
    <w:rsid w:val="00690886"/>
    <w:rsid w:val="006909D0"/>
    <w:rsid w:val="00690B2B"/>
    <w:rsid w:val="00690B61"/>
    <w:rsid w:val="00690BFC"/>
    <w:rsid w:val="00690C77"/>
    <w:rsid w:val="00690D38"/>
    <w:rsid w:val="00690E98"/>
    <w:rsid w:val="00690F7C"/>
    <w:rsid w:val="0069102B"/>
    <w:rsid w:val="00691053"/>
    <w:rsid w:val="006910A0"/>
    <w:rsid w:val="006911F6"/>
    <w:rsid w:val="0069121F"/>
    <w:rsid w:val="00691365"/>
    <w:rsid w:val="00691402"/>
    <w:rsid w:val="0069168A"/>
    <w:rsid w:val="00691708"/>
    <w:rsid w:val="0069172D"/>
    <w:rsid w:val="0069173C"/>
    <w:rsid w:val="00691828"/>
    <w:rsid w:val="00691910"/>
    <w:rsid w:val="0069191F"/>
    <w:rsid w:val="00691A10"/>
    <w:rsid w:val="00691C60"/>
    <w:rsid w:val="00691DB9"/>
    <w:rsid w:val="00691E2A"/>
    <w:rsid w:val="00691F8D"/>
    <w:rsid w:val="00691FD6"/>
    <w:rsid w:val="00692002"/>
    <w:rsid w:val="00692170"/>
    <w:rsid w:val="00692199"/>
    <w:rsid w:val="0069229E"/>
    <w:rsid w:val="006922AD"/>
    <w:rsid w:val="00692452"/>
    <w:rsid w:val="006925F7"/>
    <w:rsid w:val="006926C8"/>
    <w:rsid w:val="00692758"/>
    <w:rsid w:val="00692839"/>
    <w:rsid w:val="00692969"/>
    <w:rsid w:val="00692A2C"/>
    <w:rsid w:val="00692ACB"/>
    <w:rsid w:val="00692B1D"/>
    <w:rsid w:val="00692B5E"/>
    <w:rsid w:val="00692BC8"/>
    <w:rsid w:val="00692D41"/>
    <w:rsid w:val="00692D4E"/>
    <w:rsid w:val="006930F5"/>
    <w:rsid w:val="0069316F"/>
    <w:rsid w:val="006932C6"/>
    <w:rsid w:val="006932CC"/>
    <w:rsid w:val="006935FA"/>
    <w:rsid w:val="00693717"/>
    <w:rsid w:val="006937F0"/>
    <w:rsid w:val="00693870"/>
    <w:rsid w:val="006938EA"/>
    <w:rsid w:val="00693908"/>
    <w:rsid w:val="00693ACC"/>
    <w:rsid w:val="00693B18"/>
    <w:rsid w:val="00693BCE"/>
    <w:rsid w:val="00693D6B"/>
    <w:rsid w:val="00693ED7"/>
    <w:rsid w:val="00693EE5"/>
    <w:rsid w:val="00693F54"/>
    <w:rsid w:val="00694041"/>
    <w:rsid w:val="0069409E"/>
    <w:rsid w:val="00694121"/>
    <w:rsid w:val="006941BF"/>
    <w:rsid w:val="006942A3"/>
    <w:rsid w:val="00694374"/>
    <w:rsid w:val="006944B5"/>
    <w:rsid w:val="0069458C"/>
    <w:rsid w:val="0069461F"/>
    <w:rsid w:val="0069488D"/>
    <w:rsid w:val="00694902"/>
    <w:rsid w:val="00694A6F"/>
    <w:rsid w:val="00694D92"/>
    <w:rsid w:val="00694DDA"/>
    <w:rsid w:val="00694FA7"/>
    <w:rsid w:val="00694FBE"/>
    <w:rsid w:val="00694FD3"/>
    <w:rsid w:val="0069508C"/>
    <w:rsid w:val="0069508D"/>
    <w:rsid w:val="0069508E"/>
    <w:rsid w:val="006951AB"/>
    <w:rsid w:val="0069540B"/>
    <w:rsid w:val="0069579B"/>
    <w:rsid w:val="0069595E"/>
    <w:rsid w:val="00695BDF"/>
    <w:rsid w:val="00695C8D"/>
    <w:rsid w:val="00695C95"/>
    <w:rsid w:val="00695CDE"/>
    <w:rsid w:val="00695D94"/>
    <w:rsid w:val="00695F1F"/>
    <w:rsid w:val="00695F4B"/>
    <w:rsid w:val="00696090"/>
    <w:rsid w:val="006960B7"/>
    <w:rsid w:val="00696120"/>
    <w:rsid w:val="0069614E"/>
    <w:rsid w:val="0069626C"/>
    <w:rsid w:val="0069644A"/>
    <w:rsid w:val="0069653A"/>
    <w:rsid w:val="006966C4"/>
    <w:rsid w:val="006966D2"/>
    <w:rsid w:val="00696794"/>
    <w:rsid w:val="006968BF"/>
    <w:rsid w:val="00696955"/>
    <w:rsid w:val="00696C41"/>
    <w:rsid w:val="00696C74"/>
    <w:rsid w:val="00696CA2"/>
    <w:rsid w:val="00696EA5"/>
    <w:rsid w:val="00697125"/>
    <w:rsid w:val="00697179"/>
    <w:rsid w:val="006971AF"/>
    <w:rsid w:val="00697318"/>
    <w:rsid w:val="0069737A"/>
    <w:rsid w:val="006973A9"/>
    <w:rsid w:val="006974A8"/>
    <w:rsid w:val="006974C7"/>
    <w:rsid w:val="0069750F"/>
    <w:rsid w:val="00697628"/>
    <w:rsid w:val="00697631"/>
    <w:rsid w:val="00697662"/>
    <w:rsid w:val="00697677"/>
    <w:rsid w:val="00697868"/>
    <w:rsid w:val="006979B1"/>
    <w:rsid w:val="00697A7C"/>
    <w:rsid w:val="00697B2C"/>
    <w:rsid w:val="00697B39"/>
    <w:rsid w:val="00697B8A"/>
    <w:rsid w:val="00697BBF"/>
    <w:rsid w:val="00697C64"/>
    <w:rsid w:val="00697CA4"/>
    <w:rsid w:val="00697CA8"/>
    <w:rsid w:val="00697D97"/>
    <w:rsid w:val="00697DE1"/>
    <w:rsid w:val="00697E09"/>
    <w:rsid w:val="00697E8C"/>
    <w:rsid w:val="00697F25"/>
    <w:rsid w:val="00697F95"/>
    <w:rsid w:val="006A0200"/>
    <w:rsid w:val="006A022F"/>
    <w:rsid w:val="006A0239"/>
    <w:rsid w:val="006A04D4"/>
    <w:rsid w:val="006A066D"/>
    <w:rsid w:val="006A0670"/>
    <w:rsid w:val="006A068A"/>
    <w:rsid w:val="006A0837"/>
    <w:rsid w:val="006A0928"/>
    <w:rsid w:val="006A09BA"/>
    <w:rsid w:val="006A0AFC"/>
    <w:rsid w:val="006A0C64"/>
    <w:rsid w:val="006A0D5E"/>
    <w:rsid w:val="006A0E12"/>
    <w:rsid w:val="006A0EF0"/>
    <w:rsid w:val="006A0EF5"/>
    <w:rsid w:val="006A0F2B"/>
    <w:rsid w:val="006A0F3B"/>
    <w:rsid w:val="006A0F5E"/>
    <w:rsid w:val="006A0F73"/>
    <w:rsid w:val="006A0FC7"/>
    <w:rsid w:val="006A108D"/>
    <w:rsid w:val="006A10CF"/>
    <w:rsid w:val="006A10E9"/>
    <w:rsid w:val="006A12BF"/>
    <w:rsid w:val="006A12F5"/>
    <w:rsid w:val="006A135D"/>
    <w:rsid w:val="006A1364"/>
    <w:rsid w:val="006A13CC"/>
    <w:rsid w:val="006A1417"/>
    <w:rsid w:val="006A14B1"/>
    <w:rsid w:val="006A15B8"/>
    <w:rsid w:val="006A1738"/>
    <w:rsid w:val="006A17EB"/>
    <w:rsid w:val="006A18FA"/>
    <w:rsid w:val="006A196D"/>
    <w:rsid w:val="006A19A2"/>
    <w:rsid w:val="006A19DF"/>
    <w:rsid w:val="006A1A02"/>
    <w:rsid w:val="006A1A2D"/>
    <w:rsid w:val="006A1A64"/>
    <w:rsid w:val="006A1BBD"/>
    <w:rsid w:val="006A1D9E"/>
    <w:rsid w:val="006A1E2A"/>
    <w:rsid w:val="006A1F90"/>
    <w:rsid w:val="006A2034"/>
    <w:rsid w:val="006A20D0"/>
    <w:rsid w:val="006A20EA"/>
    <w:rsid w:val="006A22F9"/>
    <w:rsid w:val="006A23FE"/>
    <w:rsid w:val="006A240E"/>
    <w:rsid w:val="006A2423"/>
    <w:rsid w:val="006A2430"/>
    <w:rsid w:val="006A2449"/>
    <w:rsid w:val="006A26FA"/>
    <w:rsid w:val="006A2727"/>
    <w:rsid w:val="006A2823"/>
    <w:rsid w:val="006A29BD"/>
    <w:rsid w:val="006A2A36"/>
    <w:rsid w:val="006A2AAF"/>
    <w:rsid w:val="006A2AEB"/>
    <w:rsid w:val="006A2B30"/>
    <w:rsid w:val="006A2B9B"/>
    <w:rsid w:val="006A2C02"/>
    <w:rsid w:val="006A2D13"/>
    <w:rsid w:val="006A2D27"/>
    <w:rsid w:val="006A2DA5"/>
    <w:rsid w:val="006A2DEB"/>
    <w:rsid w:val="006A2EB7"/>
    <w:rsid w:val="006A3057"/>
    <w:rsid w:val="006A30C4"/>
    <w:rsid w:val="006A3144"/>
    <w:rsid w:val="006A3164"/>
    <w:rsid w:val="006A3257"/>
    <w:rsid w:val="006A32CB"/>
    <w:rsid w:val="006A34E2"/>
    <w:rsid w:val="006A359F"/>
    <w:rsid w:val="006A3709"/>
    <w:rsid w:val="006A3731"/>
    <w:rsid w:val="006A373E"/>
    <w:rsid w:val="006A3746"/>
    <w:rsid w:val="006A378B"/>
    <w:rsid w:val="006A37B2"/>
    <w:rsid w:val="006A37BD"/>
    <w:rsid w:val="006A3950"/>
    <w:rsid w:val="006A395A"/>
    <w:rsid w:val="006A3998"/>
    <w:rsid w:val="006A39A3"/>
    <w:rsid w:val="006A3A1C"/>
    <w:rsid w:val="006A3A36"/>
    <w:rsid w:val="006A3A8D"/>
    <w:rsid w:val="006A3AE2"/>
    <w:rsid w:val="006A3AFE"/>
    <w:rsid w:val="006A3BD7"/>
    <w:rsid w:val="006A3D86"/>
    <w:rsid w:val="006A3D91"/>
    <w:rsid w:val="006A3DD0"/>
    <w:rsid w:val="006A3DDC"/>
    <w:rsid w:val="006A3E50"/>
    <w:rsid w:val="006A3E91"/>
    <w:rsid w:val="006A3EC0"/>
    <w:rsid w:val="006A3F46"/>
    <w:rsid w:val="006A3FB5"/>
    <w:rsid w:val="006A4124"/>
    <w:rsid w:val="006A4177"/>
    <w:rsid w:val="006A419A"/>
    <w:rsid w:val="006A4431"/>
    <w:rsid w:val="006A4432"/>
    <w:rsid w:val="006A45D8"/>
    <w:rsid w:val="006A46EB"/>
    <w:rsid w:val="006A47DA"/>
    <w:rsid w:val="006A49A8"/>
    <w:rsid w:val="006A49E7"/>
    <w:rsid w:val="006A4BAF"/>
    <w:rsid w:val="006A4C50"/>
    <w:rsid w:val="006A4C68"/>
    <w:rsid w:val="006A4CD4"/>
    <w:rsid w:val="006A4D1D"/>
    <w:rsid w:val="006A4E04"/>
    <w:rsid w:val="006A4E41"/>
    <w:rsid w:val="006A4F52"/>
    <w:rsid w:val="006A4F74"/>
    <w:rsid w:val="006A5089"/>
    <w:rsid w:val="006A50BF"/>
    <w:rsid w:val="006A5207"/>
    <w:rsid w:val="006A52B9"/>
    <w:rsid w:val="006A52FB"/>
    <w:rsid w:val="006A555E"/>
    <w:rsid w:val="006A557F"/>
    <w:rsid w:val="006A5839"/>
    <w:rsid w:val="006A595F"/>
    <w:rsid w:val="006A5992"/>
    <w:rsid w:val="006A59B0"/>
    <w:rsid w:val="006A59BA"/>
    <w:rsid w:val="006A59C2"/>
    <w:rsid w:val="006A5A81"/>
    <w:rsid w:val="006A5AAD"/>
    <w:rsid w:val="006A5B38"/>
    <w:rsid w:val="006A5BB9"/>
    <w:rsid w:val="006A5BE3"/>
    <w:rsid w:val="006A5C6F"/>
    <w:rsid w:val="006A5CB0"/>
    <w:rsid w:val="006A5D3C"/>
    <w:rsid w:val="006A5D4B"/>
    <w:rsid w:val="006A5DFD"/>
    <w:rsid w:val="006A5F7B"/>
    <w:rsid w:val="006A5FA7"/>
    <w:rsid w:val="006A6105"/>
    <w:rsid w:val="006A626C"/>
    <w:rsid w:val="006A63ED"/>
    <w:rsid w:val="006A650E"/>
    <w:rsid w:val="006A6542"/>
    <w:rsid w:val="006A6590"/>
    <w:rsid w:val="006A67D4"/>
    <w:rsid w:val="006A680E"/>
    <w:rsid w:val="006A68C3"/>
    <w:rsid w:val="006A6A2A"/>
    <w:rsid w:val="006A6A7E"/>
    <w:rsid w:val="006A6AA5"/>
    <w:rsid w:val="006A6CFA"/>
    <w:rsid w:val="006A6E2F"/>
    <w:rsid w:val="006A6F73"/>
    <w:rsid w:val="006A70D4"/>
    <w:rsid w:val="006A713D"/>
    <w:rsid w:val="006A7196"/>
    <w:rsid w:val="006A71BB"/>
    <w:rsid w:val="006A753E"/>
    <w:rsid w:val="006A7668"/>
    <w:rsid w:val="006A768F"/>
    <w:rsid w:val="006A76EA"/>
    <w:rsid w:val="006A7787"/>
    <w:rsid w:val="006A7826"/>
    <w:rsid w:val="006A7983"/>
    <w:rsid w:val="006A79F3"/>
    <w:rsid w:val="006A7B2C"/>
    <w:rsid w:val="006A7BE4"/>
    <w:rsid w:val="006A7C2D"/>
    <w:rsid w:val="006A7CDC"/>
    <w:rsid w:val="006A7D14"/>
    <w:rsid w:val="006A7D22"/>
    <w:rsid w:val="006A7D5B"/>
    <w:rsid w:val="006B0082"/>
    <w:rsid w:val="006B0095"/>
    <w:rsid w:val="006B01DC"/>
    <w:rsid w:val="006B0309"/>
    <w:rsid w:val="006B04D9"/>
    <w:rsid w:val="006B0718"/>
    <w:rsid w:val="006B07C6"/>
    <w:rsid w:val="006B090A"/>
    <w:rsid w:val="006B09DC"/>
    <w:rsid w:val="006B0AE9"/>
    <w:rsid w:val="006B0B2E"/>
    <w:rsid w:val="006B0BD9"/>
    <w:rsid w:val="006B0C0D"/>
    <w:rsid w:val="006B0C28"/>
    <w:rsid w:val="006B0C80"/>
    <w:rsid w:val="006B0E44"/>
    <w:rsid w:val="006B0E9A"/>
    <w:rsid w:val="006B0F77"/>
    <w:rsid w:val="006B1051"/>
    <w:rsid w:val="006B106C"/>
    <w:rsid w:val="006B12C9"/>
    <w:rsid w:val="006B13B1"/>
    <w:rsid w:val="006B13D7"/>
    <w:rsid w:val="006B1555"/>
    <w:rsid w:val="006B157D"/>
    <w:rsid w:val="006B15FF"/>
    <w:rsid w:val="006B169D"/>
    <w:rsid w:val="006B176F"/>
    <w:rsid w:val="006B1895"/>
    <w:rsid w:val="006B18F3"/>
    <w:rsid w:val="006B19AA"/>
    <w:rsid w:val="006B1AF0"/>
    <w:rsid w:val="006B1B00"/>
    <w:rsid w:val="006B1B87"/>
    <w:rsid w:val="006B1C25"/>
    <w:rsid w:val="006B1D36"/>
    <w:rsid w:val="006B20D5"/>
    <w:rsid w:val="006B220F"/>
    <w:rsid w:val="006B227C"/>
    <w:rsid w:val="006B24C0"/>
    <w:rsid w:val="006B2559"/>
    <w:rsid w:val="006B2648"/>
    <w:rsid w:val="006B270A"/>
    <w:rsid w:val="006B27BA"/>
    <w:rsid w:val="006B289A"/>
    <w:rsid w:val="006B29D4"/>
    <w:rsid w:val="006B2BA5"/>
    <w:rsid w:val="006B2BCF"/>
    <w:rsid w:val="006B2CE2"/>
    <w:rsid w:val="006B2D0C"/>
    <w:rsid w:val="006B2E8E"/>
    <w:rsid w:val="006B2EE9"/>
    <w:rsid w:val="006B3177"/>
    <w:rsid w:val="006B31C8"/>
    <w:rsid w:val="006B324A"/>
    <w:rsid w:val="006B324C"/>
    <w:rsid w:val="006B3375"/>
    <w:rsid w:val="006B3466"/>
    <w:rsid w:val="006B35C9"/>
    <w:rsid w:val="006B362E"/>
    <w:rsid w:val="006B3744"/>
    <w:rsid w:val="006B38F2"/>
    <w:rsid w:val="006B39AB"/>
    <w:rsid w:val="006B3A04"/>
    <w:rsid w:val="006B3A3D"/>
    <w:rsid w:val="006B3C2E"/>
    <w:rsid w:val="006B3C8C"/>
    <w:rsid w:val="006B3DDD"/>
    <w:rsid w:val="006B3DE0"/>
    <w:rsid w:val="006B3EB0"/>
    <w:rsid w:val="006B3ECA"/>
    <w:rsid w:val="006B3FA3"/>
    <w:rsid w:val="006B401D"/>
    <w:rsid w:val="006B4021"/>
    <w:rsid w:val="006B417B"/>
    <w:rsid w:val="006B4198"/>
    <w:rsid w:val="006B423A"/>
    <w:rsid w:val="006B423E"/>
    <w:rsid w:val="006B435D"/>
    <w:rsid w:val="006B44E0"/>
    <w:rsid w:val="006B46E9"/>
    <w:rsid w:val="006B4888"/>
    <w:rsid w:val="006B48A6"/>
    <w:rsid w:val="006B48A8"/>
    <w:rsid w:val="006B4A4B"/>
    <w:rsid w:val="006B4BB6"/>
    <w:rsid w:val="006B4C40"/>
    <w:rsid w:val="006B4CED"/>
    <w:rsid w:val="006B4CFD"/>
    <w:rsid w:val="006B4D2C"/>
    <w:rsid w:val="006B4D41"/>
    <w:rsid w:val="006B50C3"/>
    <w:rsid w:val="006B519F"/>
    <w:rsid w:val="006B51E9"/>
    <w:rsid w:val="006B52F2"/>
    <w:rsid w:val="006B53C3"/>
    <w:rsid w:val="006B5428"/>
    <w:rsid w:val="006B54B7"/>
    <w:rsid w:val="006B5539"/>
    <w:rsid w:val="006B563A"/>
    <w:rsid w:val="006B56A6"/>
    <w:rsid w:val="006B57F5"/>
    <w:rsid w:val="006B5956"/>
    <w:rsid w:val="006B5A55"/>
    <w:rsid w:val="006B5A69"/>
    <w:rsid w:val="006B5AD7"/>
    <w:rsid w:val="006B5AEA"/>
    <w:rsid w:val="006B5CC5"/>
    <w:rsid w:val="006B5D6D"/>
    <w:rsid w:val="006B5DA6"/>
    <w:rsid w:val="006B5E65"/>
    <w:rsid w:val="006B5E91"/>
    <w:rsid w:val="006B5EEF"/>
    <w:rsid w:val="006B60B2"/>
    <w:rsid w:val="006B61DC"/>
    <w:rsid w:val="006B6269"/>
    <w:rsid w:val="006B62BA"/>
    <w:rsid w:val="006B62EF"/>
    <w:rsid w:val="006B64C2"/>
    <w:rsid w:val="006B6569"/>
    <w:rsid w:val="006B65E5"/>
    <w:rsid w:val="006B6643"/>
    <w:rsid w:val="006B68EA"/>
    <w:rsid w:val="006B6959"/>
    <w:rsid w:val="006B69EB"/>
    <w:rsid w:val="006B6BEF"/>
    <w:rsid w:val="006B6D10"/>
    <w:rsid w:val="006B6D9F"/>
    <w:rsid w:val="006B6F91"/>
    <w:rsid w:val="006B6FF5"/>
    <w:rsid w:val="006B70B6"/>
    <w:rsid w:val="006B71A6"/>
    <w:rsid w:val="006B722D"/>
    <w:rsid w:val="006B74A7"/>
    <w:rsid w:val="006B7519"/>
    <w:rsid w:val="006B7524"/>
    <w:rsid w:val="006B7545"/>
    <w:rsid w:val="006B75F8"/>
    <w:rsid w:val="006B7643"/>
    <w:rsid w:val="006B764E"/>
    <w:rsid w:val="006B76A9"/>
    <w:rsid w:val="006B76E1"/>
    <w:rsid w:val="006B7748"/>
    <w:rsid w:val="006B7764"/>
    <w:rsid w:val="006B77AB"/>
    <w:rsid w:val="006B77CD"/>
    <w:rsid w:val="006B798B"/>
    <w:rsid w:val="006B79DF"/>
    <w:rsid w:val="006B7A07"/>
    <w:rsid w:val="006B7A5D"/>
    <w:rsid w:val="006B7A68"/>
    <w:rsid w:val="006B7AC7"/>
    <w:rsid w:val="006B7B05"/>
    <w:rsid w:val="006B7B49"/>
    <w:rsid w:val="006B7B74"/>
    <w:rsid w:val="006B7B89"/>
    <w:rsid w:val="006B7BAE"/>
    <w:rsid w:val="006B7BED"/>
    <w:rsid w:val="006B7D59"/>
    <w:rsid w:val="006B7DA1"/>
    <w:rsid w:val="006B7E08"/>
    <w:rsid w:val="006B7E5D"/>
    <w:rsid w:val="006B7F43"/>
    <w:rsid w:val="006B7FEF"/>
    <w:rsid w:val="006BA2C7"/>
    <w:rsid w:val="006C0227"/>
    <w:rsid w:val="006C03C4"/>
    <w:rsid w:val="006C0584"/>
    <w:rsid w:val="006C0816"/>
    <w:rsid w:val="006C082E"/>
    <w:rsid w:val="006C0AE6"/>
    <w:rsid w:val="006C0B83"/>
    <w:rsid w:val="006C0B94"/>
    <w:rsid w:val="006C0BD4"/>
    <w:rsid w:val="006C0CD3"/>
    <w:rsid w:val="006C0EFB"/>
    <w:rsid w:val="006C0F89"/>
    <w:rsid w:val="006C0FE3"/>
    <w:rsid w:val="006C1057"/>
    <w:rsid w:val="006C1158"/>
    <w:rsid w:val="006C14CB"/>
    <w:rsid w:val="006C164B"/>
    <w:rsid w:val="006C16DD"/>
    <w:rsid w:val="006C176C"/>
    <w:rsid w:val="006C186A"/>
    <w:rsid w:val="006C18D6"/>
    <w:rsid w:val="006C19D7"/>
    <w:rsid w:val="006C1ACA"/>
    <w:rsid w:val="006C1B13"/>
    <w:rsid w:val="006C1CD9"/>
    <w:rsid w:val="006C1CDF"/>
    <w:rsid w:val="006C1F98"/>
    <w:rsid w:val="006C1FF9"/>
    <w:rsid w:val="006C2058"/>
    <w:rsid w:val="006C20CE"/>
    <w:rsid w:val="006C21BC"/>
    <w:rsid w:val="006C2254"/>
    <w:rsid w:val="006C26D4"/>
    <w:rsid w:val="006C2768"/>
    <w:rsid w:val="006C277C"/>
    <w:rsid w:val="006C2784"/>
    <w:rsid w:val="006C2809"/>
    <w:rsid w:val="006C285E"/>
    <w:rsid w:val="006C2930"/>
    <w:rsid w:val="006C2A2B"/>
    <w:rsid w:val="006C2C09"/>
    <w:rsid w:val="006C2C58"/>
    <w:rsid w:val="006C2D68"/>
    <w:rsid w:val="006C2F93"/>
    <w:rsid w:val="006C3067"/>
    <w:rsid w:val="006C315C"/>
    <w:rsid w:val="006C317E"/>
    <w:rsid w:val="006C321C"/>
    <w:rsid w:val="006C3340"/>
    <w:rsid w:val="006C344C"/>
    <w:rsid w:val="006C3586"/>
    <w:rsid w:val="006C35A3"/>
    <w:rsid w:val="006C35AC"/>
    <w:rsid w:val="006C35EC"/>
    <w:rsid w:val="006C36E0"/>
    <w:rsid w:val="006C39A0"/>
    <w:rsid w:val="006C39A4"/>
    <w:rsid w:val="006C3AA9"/>
    <w:rsid w:val="006C3CB8"/>
    <w:rsid w:val="006C3D48"/>
    <w:rsid w:val="006C3EB4"/>
    <w:rsid w:val="006C4032"/>
    <w:rsid w:val="006C4050"/>
    <w:rsid w:val="006C412C"/>
    <w:rsid w:val="006C41DF"/>
    <w:rsid w:val="006C443A"/>
    <w:rsid w:val="006C4458"/>
    <w:rsid w:val="006C4498"/>
    <w:rsid w:val="006C44EA"/>
    <w:rsid w:val="006C45FB"/>
    <w:rsid w:val="006C464B"/>
    <w:rsid w:val="006C4881"/>
    <w:rsid w:val="006C48CB"/>
    <w:rsid w:val="006C4ABC"/>
    <w:rsid w:val="006C4AD5"/>
    <w:rsid w:val="006C4B4C"/>
    <w:rsid w:val="006C4CA7"/>
    <w:rsid w:val="006C4CC1"/>
    <w:rsid w:val="006C4DEA"/>
    <w:rsid w:val="006C4E06"/>
    <w:rsid w:val="006C4E8E"/>
    <w:rsid w:val="006C4EBC"/>
    <w:rsid w:val="006C4F2D"/>
    <w:rsid w:val="006C4FDA"/>
    <w:rsid w:val="006C51E9"/>
    <w:rsid w:val="006C52CA"/>
    <w:rsid w:val="006C53C4"/>
    <w:rsid w:val="006C5534"/>
    <w:rsid w:val="006C558D"/>
    <w:rsid w:val="006C55AF"/>
    <w:rsid w:val="006C587A"/>
    <w:rsid w:val="006C598E"/>
    <w:rsid w:val="006C5AB6"/>
    <w:rsid w:val="006C5AF3"/>
    <w:rsid w:val="006C5B36"/>
    <w:rsid w:val="006C5DAF"/>
    <w:rsid w:val="006C5E9E"/>
    <w:rsid w:val="006C5F2F"/>
    <w:rsid w:val="006C5F35"/>
    <w:rsid w:val="006C5F4E"/>
    <w:rsid w:val="006C5F8C"/>
    <w:rsid w:val="006C5FB8"/>
    <w:rsid w:val="006C6089"/>
    <w:rsid w:val="006C62DE"/>
    <w:rsid w:val="006C6352"/>
    <w:rsid w:val="006C64F0"/>
    <w:rsid w:val="006C6546"/>
    <w:rsid w:val="006C6557"/>
    <w:rsid w:val="006C6688"/>
    <w:rsid w:val="006C66BB"/>
    <w:rsid w:val="006C670F"/>
    <w:rsid w:val="006C6745"/>
    <w:rsid w:val="006C67DA"/>
    <w:rsid w:val="006C6860"/>
    <w:rsid w:val="006C68E8"/>
    <w:rsid w:val="006C692E"/>
    <w:rsid w:val="006C6973"/>
    <w:rsid w:val="006C6A12"/>
    <w:rsid w:val="006C6CAA"/>
    <w:rsid w:val="006C6CF0"/>
    <w:rsid w:val="006C6D3B"/>
    <w:rsid w:val="006C6D88"/>
    <w:rsid w:val="006C6E9A"/>
    <w:rsid w:val="006C6EF9"/>
    <w:rsid w:val="006C6FFC"/>
    <w:rsid w:val="006C7040"/>
    <w:rsid w:val="006C71DB"/>
    <w:rsid w:val="006C7262"/>
    <w:rsid w:val="006C7331"/>
    <w:rsid w:val="006C733E"/>
    <w:rsid w:val="006C7347"/>
    <w:rsid w:val="006C7447"/>
    <w:rsid w:val="006C7476"/>
    <w:rsid w:val="006C7514"/>
    <w:rsid w:val="006C7775"/>
    <w:rsid w:val="006C77FD"/>
    <w:rsid w:val="006C7869"/>
    <w:rsid w:val="006C79FA"/>
    <w:rsid w:val="006C7A28"/>
    <w:rsid w:val="006C7A3A"/>
    <w:rsid w:val="006C7AB8"/>
    <w:rsid w:val="006C7B44"/>
    <w:rsid w:val="006C7DB9"/>
    <w:rsid w:val="006C7E8F"/>
    <w:rsid w:val="006C7EC1"/>
    <w:rsid w:val="006C7F35"/>
    <w:rsid w:val="006C7FB0"/>
    <w:rsid w:val="006D0062"/>
    <w:rsid w:val="006D0192"/>
    <w:rsid w:val="006D02DB"/>
    <w:rsid w:val="006D02DE"/>
    <w:rsid w:val="006D02EE"/>
    <w:rsid w:val="006D033D"/>
    <w:rsid w:val="006D0526"/>
    <w:rsid w:val="006D0546"/>
    <w:rsid w:val="006D05BD"/>
    <w:rsid w:val="006D06CE"/>
    <w:rsid w:val="006D0801"/>
    <w:rsid w:val="006D0A4E"/>
    <w:rsid w:val="006D0AD5"/>
    <w:rsid w:val="006D0ADD"/>
    <w:rsid w:val="006D0B3E"/>
    <w:rsid w:val="006D0B9B"/>
    <w:rsid w:val="006D0CBE"/>
    <w:rsid w:val="006D0DDD"/>
    <w:rsid w:val="006D0E99"/>
    <w:rsid w:val="006D0EA6"/>
    <w:rsid w:val="006D0EB7"/>
    <w:rsid w:val="006D110D"/>
    <w:rsid w:val="006D111C"/>
    <w:rsid w:val="006D1490"/>
    <w:rsid w:val="006D150E"/>
    <w:rsid w:val="006D1635"/>
    <w:rsid w:val="006D1654"/>
    <w:rsid w:val="006D165F"/>
    <w:rsid w:val="006D16C5"/>
    <w:rsid w:val="006D16E6"/>
    <w:rsid w:val="006D1769"/>
    <w:rsid w:val="006D1784"/>
    <w:rsid w:val="006D17B4"/>
    <w:rsid w:val="006D17CD"/>
    <w:rsid w:val="006D1972"/>
    <w:rsid w:val="006D19B9"/>
    <w:rsid w:val="006D1A33"/>
    <w:rsid w:val="006D1AE7"/>
    <w:rsid w:val="006D1BFC"/>
    <w:rsid w:val="006D1CB8"/>
    <w:rsid w:val="006D1D16"/>
    <w:rsid w:val="006D1D70"/>
    <w:rsid w:val="006D1F0F"/>
    <w:rsid w:val="006D1F99"/>
    <w:rsid w:val="006D2112"/>
    <w:rsid w:val="006D2131"/>
    <w:rsid w:val="006D22AE"/>
    <w:rsid w:val="006D22B2"/>
    <w:rsid w:val="006D23A1"/>
    <w:rsid w:val="006D23E0"/>
    <w:rsid w:val="006D2428"/>
    <w:rsid w:val="006D267A"/>
    <w:rsid w:val="006D26CB"/>
    <w:rsid w:val="006D280F"/>
    <w:rsid w:val="006D292F"/>
    <w:rsid w:val="006D2985"/>
    <w:rsid w:val="006D2B03"/>
    <w:rsid w:val="006D2C1D"/>
    <w:rsid w:val="006D2C65"/>
    <w:rsid w:val="006D2D47"/>
    <w:rsid w:val="006D2E8B"/>
    <w:rsid w:val="006D30BF"/>
    <w:rsid w:val="006D319F"/>
    <w:rsid w:val="006D322B"/>
    <w:rsid w:val="006D3390"/>
    <w:rsid w:val="006D3407"/>
    <w:rsid w:val="006D3427"/>
    <w:rsid w:val="006D34E3"/>
    <w:rsid w:val="006D34F7"/>
    <w:rsid w:val="006D3535"/>
    <w:rsid w:val="006D3560"/>
    <w:rsid w:val="006D35AA"/>
    <w:rsid w:val="006D3606"/>
    <w:rsid w:val="006D3639"/>
    <w:rsid w:val="006D367B"/>
    <w:rsid w:val="006D36C0"/>
    <w:rsid w:val="006D36F0"/>
    <w:rsid w:val="006D377E"/>
    <w:rsid w:val="006D37AC"/>
    <w:rsid w:val="006D3835"/>
    <w:rsid w:val="006D38E9"/>
    <w:rsid w:val="006D3931"/>
    <w:rsid w:val="006D395B"/>
    <w:rsid w:val="006D398F"/>
    <w:rsid w:val="006D3996"/>
    <w:rsid w:val="006D3A2A"/>
    <w:rsid w:val="006D3BDA"/>
    <w:rsid w:val="006D3BE0"/>
    <w:rsid w:val="006D3C31"/>
    <w:rsid w:val="006D3C9A"/>
    <w:rsid w:val="006D3DAB"/>
    <w:rsid w:val="006D3EAD"/>
    <w:rsid w:val="006D3EB8"/>
    <w:rsid w:val="006D3F11"/>
    <w:rsid w:val="006D3F28"/>
    <w:rsid w:val="006D3F60"/>
    <w:rsid w:val="006D3F9B"/>
    <w:rsid w:val="006D4119"/>
    <w:rsid w:val="006D4257"/>
    <w:rsid w:val="006D4316"/>
    <w:rsid w:val="006D433A"/>
    <w:rsid w:val="006D4392"/>
    <w:rsid w:val="006D43A2"/>
    <w:rsid w:val="006D43F5"/>
    <w:rsid w:val="006D4416"/>
    <w:rsid w:val="006D46F9"/>
    <w:rsid w:val="006D47E9"/>
    <w:rsid w:val="006D487C"/>
    <w:rsid w:val="006D49A8"/>
    <w:rsid w:val="006D4A07"/>
    <w:rsid w:val="006D4A13"/>
    <w:rsid w:val="006D4AB7"/>
    <w:rsid w:val="006D4AED"/>
    <w:rsid w:val="006D4BF6"/>
    <w:rsid w:val="006D4BFD"/>
    <w:rsid w:val="006D4C5D"/>
    <w:rsid w:val="006D4C85"/>
    <w:rsid w:val="006D4D53"/>
    <w:rsid w:val="006D4DDB"/>
    <w:rsid w:val="006D4E7C"/>
    <w:rsid w:val="006D4E84"/>
    <w:rsid w:val="006D4EC4"/>
    <w:rsid w:val="006D4ED5"/>
    <w:rsid w:val="006D4F36"/>
    <w:rsid w:val="006D4FEC"/>
    <w:rsid w:val="006D4FF6"/>
    <w:rsid w:val="006D512B"/>
    <w:rsid w:val="006D5159"/>
    <w:rsid w:val="006D53D7"/>
    <w:rsid w:val="006D5548"/>
    <w:rsid w:val="006D5652"/>
    <w:rsid w:val="006D56B3"/>
    <w:rsid w:val="006D571E"/>
    <w:rsid w:val="006D5743"/>
    <w:rsid w:val="006D5784"/>
    <w:rsid w:val="006D57F5"/>
    <w:rsid w:val="006D5869"/>
    <w:rsid w:val="006D58E8"/>
    <w:rsid w:val="006D59AF"/>
    <w:rsid w:val="006D5A8A"/>
    <w:rsid w:val="006D5B93"/>
    <w:rsid w:val="006D5CF8"/>
    <w:rsid w:val="006D5E03"/>
    <w:rsid w:val="006D5E0D"/>
    <w:rsid w:val="006D5EFD"/>
    <w:rsid w:val="006D60EB"/>
    <w:rsid w:val="006D612E"/>
    <w:rsid w:val="006D61FC"/>
    <w:rsid w:val="006D669F"/>
    <w:rsid w:val="006D6726"/>
    <w:rsid w:val="006D67F8"/>
    <w:rsid w:val="006D687C"/>
    <w:rsid w:val="006D6922"/>
    <w:rsid w:val="006D6A26"/>
    <w:rsid w:val="006D6A40"/>
    <w:rsid w:val="006D6B2E"/>
    <w:rsid w:val="006D6B3D"/>
    <w:rsid w:val="006D6BF4"/>
    <w:rsid w:val="006D6C4E"/>
    <w:rsid w:val="006D6D14"/>
    <w:rsid w:val="006D6D4E"/>
    <w:rsid w:val="006D6FAB"/>
    <w:rsid w:val="006D70C4"/>
    <w:rsid w:val="006D70CE"/>
    <w:rsid w:val="006D718F"/>
    <w:rsid w:val="006D719A"/>
    <w:rsid w:val="006D71C9"/>
    <w:rsid w:val="006D73B4"/>
    <w:rsid w:val="006D73E0"/>
    <w:rsid w:val="006D7451"/>
    <w:rsid w:val="006D7457"/>
    <w:rsid w:val="006D7527"/>
    <w:rsid w:val="006D7565"/>
    <w:rsid w:val="006D75AC"/>
    <w:rsid w:val="006D7782"/>
    <w:rsid w:val="006D77A0"/>
    <w:rsid w:val="006D77EF"/>
    <w:rsid w:val="006D78C1"/>
    <w:rsid w:val="006D7939"/>
    <w:rsid w:val="006D795B"/>
    <w:rsid w:val="006D7B7A"/>
    <w:rsid w:val="006D7B7C"/>
    <w:rsid w:val="006D7BF2"/>
    <w:rsid w:val="006D7D2E"/>
    <w:rsid w:val="006D7D74"/>
    <w:rsid w:val="006D7DCE"/>
    <w:rsid w:val="006D7FB3"/>
    <w:rsid w:val="006E006E"/>
    <w:rsid w:val="006E03D3"/>
    <w:rsid w:val="006E040A"/>
    <w:rsid w:val="006E0416"/>
    <w:rsid w:val="006E04E6"/>
    <w:rsid w:val="006E0553"/>
    <w:rsid w:val="006E0617"/>
    <w:rsid w:val="006E0629"/>
    <w:rsid w:val="006E06B9"/>
    <w:rsid w:val="006E06CC"/>
    <w:rsid w:val="006E08F4"/>
    <w:rsid w:val="006E0980"/>
    <w:rsid w:val="006E099B"/>
    <w:rsid w:val="006E0A73"/>
    <w:rsid w:val="006E0B0A"/>
    <w:rsid w:val="006E0BA2"/>
    <w:rsid w:val="006E0C0B"/>
    <w:rsid w:val="006E0C30"/>
    <w:rsid w:val="006E0DD5"/>
    <w:rsid w:val="006E0F82"/>
    <w:rsid w:val="006E0FC8"/>
    <w:rsid w:val="006E10CC"/>
    <w:rsid w:val="006E1220"/>
    <w:rsid w:val="006E122F"/>
    <w:rsid w:val="006E132D"/>
    <w:rsid w:val="006E13D3"/>
    <w:rsid w:val="006E14B4"/>
    <w:rsid w:val="006E173D"/>
    <w:rsid w:val="006E17AD"/>
    <w:rsid w:val="006E18BC"/>
    <w:rsid w:val="006E18F7"/>
    <w:rsid w:val="006E1A27"/>
    <w:rsid w:val="006E1B47"/>
    <w:rsid w:val="006E1BFA"/>
    <w:rsid w:val="006E1C66"/>
    <w:rsid w:val="006E1DB8"/>
    <w:rsid w:val="006E1E51"/>
    <w:rsid w:val="006E1F42"/>
    <w:rsid w:val="006E1F92"/>
    <w:rsid w:val="006E2006"/>
    <w:rsid w:val="006E20C9"/>
    <w:rsid w:val="006E214F"/>
    <w:rsid w:val="006E2279"/>
    <w:rsid w:val="006E25A9"/>
    <w:rsid w:val="006E261C"/>
    <w:rsid w:val="006E262B"/>
    <w:rsid w:val="006E2647"/>
    <w:rsid w:val="006E283E"/>
    <w:rsid w:val="006E2902"/>
    <w:rsid w:val="006E2B0F"/>
    <w:rsid w:val="006E2C11"/>
    <w:rsid w:val="006E2D00"/>
    <w:rsid w:val="006E2D07"/>
    <w:rsid w:val="006E2DCB"/>
    <w:rsid w:val="006E30BB"/>
    <w:rsid w:val="006E315F"/>
    <w:rsid w:val="006E31E0"/>
    <w:rsid w:val="006E3285"/>
    <w:rsid w:val="006E330F"/>
    <w:rsid w:val="006E3319"/>
    <w:rsid w:val="006E331B"/>
    <w:rsid w:val="006E34BF"/>
    <w:rsid w:val="006E359C"/>
    <w:rsid w:val="006E37DC"/>
    <w:rsid w:val="006E386C"/>
    <w:rsid w:val="006E397B"/>
    <w:rsid w:val="006E3A77"/>
    <w:rsid w:val="006E3A8E"/>
    <w:rsid w:val="006E3B7C"/>
    <w:rsid w:val="006E3C0F"/>
    <w:rsid w:val="006E3EAB"/>
    <w:rsid w:val="006E3FF5"/>
    <w:rsid w:val="006E40D2"/>
    <w:rsid w:val="006E4152"/>
    <w:rsid w:val="006E43DA"/>
    <w:rsid w:val="006E4454"/>
    <w:rsid w:val="006E44C8"/>
    <w:rsid w:val="006E471E"/>
    <w:rsid w:val="006E4752"/>
    <w:rsid w:val="006E4984"/>
    <w:rsid w:val="006E49BB"/>
    <w:rsid w:val="006E49BF"/>
    <w:rsid w:val="006E4A42"/>
    <w:rsid w:val="006E4CEC"/>
    <w:rsid w:val="006E4E5E"/>
    <w:rsid w:val="006E4F36"/>
    <w:rsid w:val="006E503E"/>
    <w:rsid w:val="006E51D9"/>
    <w:rsid w:val="006E5206"/>
    <w:rsid w:val="006E5210"/>
    <w:rsid w:val="006E55D2"/>
    <w:rsid w:val="006E5607"/>
    <w:rsid w:val="006E56CF"/>
    <w:rsid w:val="006E5DF7"/>
    <w:rsid w:val="006E5E6D"/>
    <w:rsid w:val="006E5EE8"/>
    <w:rsid w:val="006E5F03"/>
    <w:rsid w:val="006E5F24"/>
    <w:rsid w:val="006E612F"/>
    <w:rsid w:val="006E614C"/>
    <w:rsid w:val="006E617B"/>
    <w:rsid w:val="006E61DF"/>
    <w:rsid w:val="006E62EC"/>
    <w:rsid w:val="006E67B2"/>
    <w:rsid w:val="006E67D9"/>
    <w:rsid w:val="006E691A"/>
    <w:rsid w:val="006E6A03"/>
    <w:rsid w:val="006E6AA0"/>
    <w:rsid w:val="006E6B10"/>
    <w:rsid w:val="006E6BD4"/>
    <w:rsid w:val="006E6BEB"/>
    <w:rsid w:val="006E6C4D"/>
    <w:rsid w:val="006E6CF1"/>
    <w:rsid w:val="006E6F4B"/>
    <w:rsid w:val="006E6F88"/>
    <w:rsid w:val="006E6FCD"/>
    <w:rsid w:val="006E71AD"/>
    <w:rsid w:val="006E7210"/>
    <w:rsid w:val="006E7259"/>
    <w:rsid w:val="006E7270"/>
    <w:rsid w:val="006E732E"/>
    <w:rsid w:val="006E7355"/>
    <w:rsid w:val="006E7497"/>
    <w:rsid w:val="006E76CD"/>
    <w:rsid w:val="006E76EF"/>
    <w:rsid w:val="006E7753"/>
    <w:rsid w:val="006E7788"/>
    <w:rsid w:val="006E77B5"/>
    <w:rsid w:val="006E796A"/>
    <w:rsid w:val="006E7A4F"/>
    <w:rsid w:val="006E7E9B"/>
    <w:rsid w:val="006E7FAB"/>
    <w:rsid w:val="006F00F1"/>
    <w:rsid w:val="006F0107"/>
    <w:rsid w:val="006F0112"/>
    <w:rsid w:val="006F018C"/>
    <w:rsid w:val="006F0270"/>
    <w:rsid w:val="006F0284"/>
    <w:rsid w:val="006F0453"/>
    <w:rsid w:val="006F05C2"/>
    <w:rsid w:val="006F0637"/>
    <w:rsid w:val="006F06E4"/>
    <w:rsid w:val="006F082D"/>
    <w:rsid w:val="006F09A5"/>
    <w:rsid w:val="006F09DB"/>
    <w:rsid w:val="006F09EB"/>
    <w:rsid w:val="006F0A68"/>
    <w:rsid w:val="006F0A89"/>
    <w:rsid w:val="006F0BCA"/>
    <w:rsid w:val="006F0C37"/>
    <w:rsid w:val="006F0EC9"/>
    <w:rsid w:val="006F0FC7"/>
    <w:rsid w:val="006F1067"/>
    <w:rsid w:val="006F130B"/>
    <w:rsid w:val="006F145F"/>
    <w:rsid w:val="006F1476"/>
    <w:rsid w:val="006F14FF"/>
    <w:rsid w:val="006F1625"/>
    <w:rsid w:val="006F163D"/>
    <w:rsid w:val="006F174C"/>
    <w:rsid w:val="006F1818"/>
    <w:rsid w:val="006F18F4"/>
    <w:rsid w:val="006F1A0E"/>
    <w:rsid w:val="006F1B4A"/>
    <w:rsid w:val="006F1B67"/>
    <w:rsid w:val="006F1C58"/>
    <w:rsid w:val="006F1D20"/>
    <w:rsid w:val="006F1D4E"/>
    <w:rsid w:val="006F1DAA"/>
    <w:rsid w:val="006F1E8F"/>
    <w:rsid w:val="006F1FFC"/>
    <w:rsid w:val="006F2092"/>
    <w:rsid w:val="006F2304"/>
    <w:rsid w:val="006F2376"/>
    <w:rsid w:val="006F2537"/>
    <w:rsid w:val="006F25B4"/>
    <w:rsid w:val="006F2633"/>
    <w:rsid w:val="006F26AE"/>
    <w:rsid w:val="006F26D0"/>
    <w:rsid w:val="006F26FD"/>
    <w:rsid w:val="006F2726"/>
    <w:rsid w:val="006F27CB"/>
    <w:rsid w:val="006F2804"/>
    <w:rsid w:val="006F2A20"/>
    <w:rsid w:val="006F2ACD"/>
    <w:rsid w:val="006F2AEC"/>
    <w:rsid w:val="006F2B48"/>
    <w:rsid w:val="006F2BC7"/>
    <w:rsid w:val="006F2BD7"/>
    <w:rsid w:val="006F2BED"/>
    <w:rsid w:val="006F2C77"/>
    <w:rsid w:val="006F2CF2"/>
    <w:rsid w:val="006F2DBD"/>
    <w:rsid w:val="006F2E16"/>
    <w:rsid w:val="006F2F20"/>
    <w:rsid w:val="006F308F"/>
    <w:rsid w:val="006F313D"/>
    <w:rsid w:val="006F3233"/>
    <w:rsid w:val="006F32E5"/>
    <w:rsid w:val="006F3315"/>
    <w:rsid w:val="006F350F"/>
    <w:rsid w:val="006F364F"/>
    <w:rsid w:val="006F36EB"/>
    <w:rsid w:val="006F3710"/>
    <w:rsid w:val="006F3784"/>
    <w:rsid w:val="006F37DC"/>
    <w:rsid w:val="006F3971"/>
    <w:rsid w:val="006F39F3"/>
    <w:rsid w:val="006F3B0A"/>
    <w:rsid w:val="006F3C09"/>
    <w:rsid w:val="006F3C63"/>
    <w:rsid w:val="006F3D11"/>
    <w:rsid w:val="006F3D51"/>
    <w:rsid w:val="006F3DAB"/>
    <w:rsid w:val="006F3FC2"/>
    <w:rsid w:val="006F3FD1"/>
    <w:rsid w:val="006F3FDC"/>
    <w:rsid w:val="006F40B4"/>
    <w:rsid w:val="006F436D"/>
    <w:rsid w:val="006F43A4"/>
    <w:rsid w:val="006F4470"/>
    <w:rsid w:val="006F44A6"/>
    <w:rsid w:val="006F4544"/>
    <w:rsid w:val="006F45DB"/>
    <w:rsid w:val="006F4644"/>
    <w:rsid w:val="006F46AE"/>
    <w:rsid w:val="006F4903"/>
    <w:rsid w:val="006F492A"/>
    <w:rsid w:val="006F4941"/>
    <w:rsid w:val="006F49DB"/>
    <w:rsid w:val="006F4B85"/>
    <w:rsid w:val="006F4CD0"/>
    <w:rsid w:val="006F4EC5"/>
    <w:rsid w:val="006F4EDB"/>
    <w:rsid w:val="006F4F31"/>
    <w:rsid w:val="006F4F45"/>
    <w:rsid w:val="006F5224"/>
    <w:rsid w:val="006F538E"/>
    <w:rsid w:val="006F54A9"/>
    <w:rsid w:val="006F54F9"/>
    <w:rsid w:val="006F550A"/>
    <w:rsid w:val="006F5578"/>
    <w:rsid w:val="006F5603"/>
    <w:rsid w:val="006F562C"/>
    <w:rsid w:val="006F56A0"/>
    <w:rsid w:val="006F56C8"/>
    <w:rsid w:val="006F57D9"/>
    <w:rsid w:val="006F5892"/>
    <w:rsid w:val="006F5B36"/>
    <w:rsid w:val="006F5B84"/>
    <w:rsid w:val="006F5BF4"/>
    <w:rsid w:val="006F5C17"/>
    <w:rsid w:val="006F5CC6"/>
    <w:rsid w:val="006F5CE1"/>
    <w:rsid w:val="006F5D13"/>
    <w:rsid w:val="006F5D77"/>
    <w:rsid w:val="006F5DBB"/>
    <w:rsid w:val="006F5DDC"/>
    <w:rsid w:val="006F5EFC"/>
    <w:rsid w:val="006F5F50"/>
    <w:rsid w:val="006F5F5F"/>
    <w:rsid w:val="006F5F97"/>
    <w:rsid w:val="006F607F"/>
    <w:rsid w:val="006F61E6"/>
    <w:rsid w:val="006F62D0"/>
    <w:rsid w:val="006F638D"/>
    <w:rsid w:val="006F63A3"/>
    <w:rsid w:val="006F63BF"/>
    <w:rsid w:val="006F647C"/>
    <w:rsid w:val="006F6497"/>
    <w:rsid w:val="006F64C9"/>
    <w:rsid w:val="006F665E"/>
    <w:rsid w:val="006F66AC"/>
    <w:rsid w:val="006F66DA"/>
    <w:rsid w:val="006F68D9"/>
    <w:rsid w:val="006F690B"/>
    <w:rsid w:val="006F696A"/>
    <w:rsid w:val="006F6BB6"/>
    <w:rsid w:val="006F6D57"/>
    <w:rsid w:val="006F6E5D"/>
    <w:rsid w:val="006F6E93"/>
    <w:rsid w:val="006F6FA1"/>
    <w:rsid w:val="006F7059"/>
    <w:rsid w:val="006F707B"/>
    <w:rsid w:val="006F7113"/>
    <w:rsid w:val="006F715B"/>
    <w:rsid w:val="006F7418"/>
    <w:rsid w:val="006F74CA"/>
    <w:rsid w:val="006F7618"/>
    <w:rsid w:val="006F76E0"/>
    <w:rsid w:val="006F7829"/>
    <w:rsid w:val="006F7886"/>
    <w:rsid w:val="006F7917"/>
    <w:rsid w:val="006F7C3B"/>
    <w:rsid w:val="006F7C3F"/>
    <w:rsid w:val="006F7D2A"/>
    <w:rsid w:val="006F7D45"/>
    <w:rsid w:val="006F7DB4"/>
    <w:rsid w:val="006F7E37"/>
    <w:rsid w:val="006F7E78"/>
    <w:rsid w:val="00700141"/>
    <w:rsid w:val="00700232"/>
    <w:rsid w:val="007003DE"/>
    <w:rsid w:val="0070051A"/>
    <w:rsid w:val="007006E5"/>
    <w:rsid w:val="00700770"/>
    <w:rsid w:val="00700814"/>
    <w:rsid w:val="007008AF"/>
    <w:rsid w:val="007008F8"/>
    <w:rsid w:val="0070097F"/>
    <w:rsid w:val="00700D77"/>
    <w:rsid w:val="00700E0B"/>
    <w:rsid w:val="00700E0E"/>
    <w:rsid w:val="00700EF8"/>
    <w:rsid w:val="00701066"/>
    <w:rsid w:val="007010D3"/>
    <w:rsid w:val="00701186"/>
    <w:rsid w:val="00701213"/>
    <w:rsid w:val="007013C9"/>
    <w:rsid w:val="007013D7"/>
    <w:rsid w:val="007013E9"/>
    <w:rsid w:val="0070142E"/>
    <w:rsid w:val="007015A0"/>
    <w:rsid w:val="007015B5"/>
    <w:rsid w:val="00701665"/>
    <w:rsid w:val="007016BE"/>
    <w:rsid w:val="00701712"/>
    <w:rsid w:val="0070172B"/>
    <w:rsid w:val="00701818"/>
    <w:rsid w:val="007018BB"/>
    <w:rsid w:val="007018E4"/>
    <w:rsid w:val="007019FD"/>
    <w:rsid w:val="00701A64"/>
    <w:rsid w:val="00701BB5"/>
    <w:rsid w:val="00701CEB"/>
    <w:rsid w:val="00701D12"/>
    <w:rsid w:val="00701DEC"/>
    <w:rsid w:val="00701E78"/>
    <w:rsid w:val="00701E91"/>
    <w:rsid w:val="0070204E"/>
    <w:rsid w:val="00702087"/>
    <w:rsid w:val="007020E5"/>
    <w:rsid w:val="00702133"/>
    <w:rsid w:val="007021AB"/>
    <w:rsid w:val="007021C7"/>
    <w:rsid w:val="007021E2"/>
    <w:rsid w:val="007022E7"/>
    <w:rsid w:val="00702334"/>
    <w:rsid w:val="007023BD"/>
    <w:rsid w:val="00702513"/>
    <w:rsid w:val="007025C6"/>
    <w:rsid w:val="0070268B"/>
    <w:rsid w:val="007026B2"/>
    <w:rsid w:val="00702713"/>
    <w:rsid w:val="0070276A"/>
    <w:rsid w:val="00702AA9"/>
    <w:rsid w:val="00702AF0"/>
    <w:rsid w:val="00702C18"/>
    <w:rsid w:val="00702C68"/>
    <w:rsid w:val="00702E3D"/>
    <w:rsid w:val="00702E3F"/>
    <w:rsid w:val="00702EF8"/>
    <w:rsid w:val="00702F3C"/>
    <w:rsid w:val="0070313F"/>
    <w:rsid w:val="00703160"/>
    <w:rsid w:val="007033E2"/>
    <w:rsid w:val="00703581"/>
    <w:rsid w:val="007035D5"/>
    <w:rsid w:val="00703662"/>
    <w:rsid w:val="00703767"/>
    <w:rsid w:val="00703788"/>
    <w:rsid w:val="00703835"/>
    <w:rsid w:val="0070388E"/>
    <w:rsid w:val="00703A1E"/>
    <w:rsid w:val="00703B00"/>
    <w:rsid w:val="00703B57"/>
    <w:rsid w:val="00703BA3"/>
    <w:rsid w:val="00703C7A"/>
    <w:rsid w:val="00703D13"/>
    <w:rsid w:val="00703E55"/>
    <w:rsid w:val="00703E96"/>
    <w:rsid w:val="00703EB9"/>
    <w:rsid w:val="0070405D"/>
    <w:rsid w:val="0070413D"/>
    <w:rsid w:val="0070416D"/>
    <w:rsid w:val="0070453E"/>
    <w:rsid w:val="007047D8"/>
    <w:rsid w:val="007048D8"/>
    <w:rsid w:val="007048E3"/>
    <w:rsid w:val="0070494F"/>
    <w:rsid w:val="007049A2"/>
    <w:rsid w:val="00704A64"/>
    <w:rsid w:val="00704AEB"/>
    <w:rsid w:val="00704B3B"/>
    <w:rsid w:val="00704BD7"/>
    <w:rsid w:val="00704BF1"/>
    <w:rsid w:val="00704C81"/>
    <w:rsid w:val="00704C9B"/>
    <w:rsid w:val="00704CA3"/>
    <w:rsid w:val="00704DFF"/>
    <w:rsid w:val="00704E47"/>
    <w:rsid w:val="00704ECE"/>
    <w:rsid w:val="00704F07"/>
    <w:rsid w:val="00704F34"/>
    <w:rsid w:val="00705092"/>
    <w:rsid w:val="00705115"/>
    <w:rsid w:val="0070513D"/>
    <w:rsid w:val="00705161"/>
    <w:rsid w:val="00705199"/>
    <w:rsid w:val="00705367"/>
    <w:rsid w:val="0070544E"/>
    <w:rsid w:val="00705466"/>
    <w:rsid w:val="00705534"/>
    <w:rsid w:val="00705603"/>
    <w:rsid w:val="0070571A"/>
    <w:rsid w:val="007057C4"/>
    <w:rsid w:val="0070588E"/>
    <w:rsid w:val="007058A7"/>
    <w:rsid w:val="007059C7"/>
    <w:rsid w:val="007059D5"/>
    <w:rsid w:val="00705D22"/>
    <w:rsid w:val="00705DC2"/>
    <w:rsid w:val="00705DF2"/>
    <w:rsid w:val="00705EAF"/>
    <w:rsid w:val="007061E7"/>
    <w:rsid w:val="00706249"/>
    <w:rsid w:val="00706282"/>
    <w:rsid w:val="0070634B"/>
    <w:rsid w:val="00706522"/>
    <w:rsid w:val="00706587"/>
    <w:rsid w:val="0070669C"/>
    <w:rsid w:val="00706718"/>
    <w:rsid w:val="0070688F"/>
    <w:rsid w:val="00706B04"/>
    <w:rsid w:val="00706C1D"/>
    <w:rsid w:val="00706C25"/>
    <w:rsid w:val="00706C7F"/>
    <w:rsid w:val="00706D8F"/>
    <w:rsid w:val="00706DB8"/>
    <w:rsid w:val="00706E46"/>
    <w:rsid w:val="00706F18"/>
    <w:rsid w:val="00706FD3"/>
    <w:rsid w:val="00707001"/>
    <w:rsid w:val="0070713C"/>
    <w:rsid w:val="0070716F"/>
    <w:rsid w:val="00707192"/>
    <w:rsid w:val="00707193"/>
    <w:rsid w:val="007071BB"/>
    <w:rsid w:val="007071C1"/>
    <w:rsid w:val="0070780E"/>
    <w:rsid w:val="0070797D"/>
    <w:rsid w:val="00707A63"/>
    <w:rsid w:val="00707BBA"/>
    <w:rsid w:val="00707BDA"/>
    <w:rsid w:val="00707BE1"/>
    <w:rsid w:val="00707C8D"/>
    <w:rsid w:val="00707D62"/>
    <w:rsid w:val="00707D64"/>
    <w:rsid w:val="00707E0D"/>
    <w:rsid w:val="00707F70"/>
    <w:rsid w:val="0071001D"/>
    <w:rsid w:val="0071005D"/>
    <w:rsid w:val="007100A0"/>
    <w:rsid w:val="0071018E"/>
    <w:rsid w:val="007101B6"/>
    <w:rsid w:val="007101E9"/>
    <w:rsid w:val="007102A5"/>
    <w:rsid w:val="00710303"/>
    <w:rsid w:val="00710362"/>
    <w:rsid w:val="007103D7"/>
    <w:rsid w:val="00710402"/>
    <w:rsid w:val="007105B1"/>
    <w:rsid w:val="007105B7"/>
    <w:rsid w:val="007105EC"/>
    <w:rsid w:val="007105EE"/>
    <w:rsid w:val="007107AC"/>
    <w:rsid w:val="007108B9"/>
    <w:rsid w:val="007108C2"/>
    <w:rsid w:val="00710A6A"/>
    <w:rsid w:val="00710A90"/>
    <w:rsid w:val="00710AE7"/>
    <w:rsid w:val="00710C83"/>
    <w:rsid w:val="00710F13"/>
    <w:rsid w:val="00710FCA"/>
    <w:rsid w:val="007111D4"/>
    <w:rsid w:val="007111FB"/>
    <w:rsid w:val="007113D1"/>
    <w:rsid w:val="00711404"/>
    <w:rsid w:val="00711561"/>
    <w:rsid w:val="007115CA"/>
    <w:rsid w:val="0071172E"/>
    <w:rsid w:val="00711780"/>
    <w:rsid w:val="007117D1"/>
    <w:rsid w:val="00711B81"/>
    <w:rsid w:val="00711E76"/>
    <w:rsid w:val="00711F9E"/>
    <w:rsid w:val="00712298"/>
    <w:rsid w:val="00712410"/>
    <w:rsid w:val="0071252D"/>
    <w:rsid w:val="007125AB"/>
    <w:rsid w:val="007126D0"/>
    <w:rsid w:val="0071289B"/>
    <w:rsid w:val="00712CD0"/>
    <w:rsid w:val="00712D30"/>
    <w:rsid w:val="00712E95"/>
    <w:rsid w:val="00713189"/>
    <w:rsid w:val="007132AC"/>
    <w:rsid w:val="007133E4"/>
    <w:rsid w:val="007134D7"/>
    <w:rsid w:val="00713557"/>
    <w:rsid w:val="007135B4"/>
    <w:rsid w:val="00713669"/>
    <w:rsid w:val="0071372C"/>
    <w:rsid w:val="0071373F"/>
    <w:rsid w:val="007137EB"/>
    <w:rsid w:val="00713836"/>
    <w:rsid w:val="00713A52"/>
    <w:rsid w:val="00713ABF"/>
    <w:rsid w:val="00713B27"/>
    <w:rsid w:val="00713B87"/>
    <w:rsid w:val="00713D07"/>
    <w:rsid w:val="00713D15"/>
    <w:rsid w:val="00713D9D"/>
    <w:rsid w:val="00713EAE"/>
    <w:rsid w:val="00714061"/>
    <w:rsid w:val="007141AC"/>
    <w:rsid w:val="007141EB"/>
    <w:rsid w:val="007141FB"/>
    <w:rsid w:val="00714246"/>
    <w:rsid w:val="00714393"/>
    <w:rsid w:val="0071450C"/>
    <w:rsid w:val="007146FE"/>
    <w:rsid w:val="00714762"/>
    <w:rsid w:val="00714810"/>
    <w:rsid w:val="00714841"/>
    <w:rsid w:val="00714849"/>
    <w:rsid w:val="0071486F"/>
    <w:rsid w:val="00714922"/>
    <w:rsid w:val="00714A93"/>
    <w:rsid w:val="00714BFD"/>
    <w:rsid w:val="00714D2E"/>
    <w:rsid w:val="00714D77"/>
    <w:rsid w:val="0071500C"/>
    <w:rsid w:val="00715176"/>
    <w:rsid w:val="007151A1"/>
    <w:rsid w:val="0071522B"/>
    <w:rsid w:val="00715301"/>
    <w:rsid w:val="0071531F"/>
    <w:rsid w:val="00715427"/>
    <w:rsid w:val="00715647"/>
    <w:rsid w:val="007156E1"/>
    <w:rsid w:val="007157D8"/>
    <w:rsid w:val="0071583B"/>
    <w:rsid w:val="007158FE"/>
    <w:rsid w:val="00715924"/>
    <w:rsid w:val="00715AC4"/>
    <w:rsid w:val="00715BC5"/>
    <w:rsid w:val="00715D41"/>
    <w:rsid w:val="00715E21"/>
    <w:rsid w:val="00715E73"/>
    <w:rsid w:val="00715FAF"/>
    <w:rsid w:val="00716133"/>
    <w:rsid w:val="0071615C"/>
    <w:rsid w:val="0071617F"/>
    <w:rsid w:val="0071622A"/>
    <w:rsid w:val="00716270"/>
    <w:rsid w:val="007162BD"/>
    <w:rsid w:val="0071636A"/>
    <w:rsid w:val="0071639C"/>
    <w:rsid w:val="007163D9"/>
    <w:rsid w:val="007164D1"/>
    <w:rsid w:val="00716558"/>
    <w:rsid w:val="0071659B"/>
    <w:rsid w:val="007166B0"/>
    <w:rsid w:val="00716707"/>
    <w:rsid w:val="0071672D"/>
    <w:rsid w:val="007167EB"/>
    <w:rsid w:val="0071687C"/>
    <w:rsid w:val="007168B5"/>
    <w:rsid w:val="00716920"/>
    <w:rsid w:val="007169A9"/>
    <w:rsid w:val="00716A0B"/>
    <w:rsid w:val="00716A0E"/>
    <w:rsid w:val="00716B5A"/>
    <w:rsid w:val="00716BF5"/>
    <w:rsid w:val="00716BF9"/>
    <w:rsid w:val="00716CAD"/>
    <w:rsid w:val="00716CD4"/>
    <w:rsid w:val="00716CDF"/>
    <w:rsid w:val="00716D34"/>
    <w:rsid w:val="00716D5B"/>
    <w:rsid w:val="00716D9C"/>
    <w:rsid w:val="00716E67"/>
    <w:rsid w:val="00716EFA"/>
    <w:rsid w:val="00716F99"/>
    <w:rsid w:val="00717342"/>
    <w:rsid w:val="007173BA"/>
    <w:rsid w:val="007173D2"/>
    <w:rsid w:val="007175AB"/>
    <w:rsid w:val="007175B3"/>
    <w:rsid w:val="007175D4"/>
    <w:rsid w:val="00717613"/>
    <w:rsid w:val="00717619"/>
    <w:rsid w:val="00717681"/>
    <w:rsid w:val="0071773C"/>
    <w:rsid w:val="00717740"/>
    <w:rsid w:val="007177BA"/>
    <w:rsid w:val="007177E1"/>
    <w:rsid w:val="00717803"/>
    <w:rsid w:val="00717878"/>
    <w:rsid w:val="00717883"/>
    <w:rsid w:val="00717B00"/>
    <w:rsid w:val="00717BC2"/>
    <w:rsid w:val="00717DFC"/>
    <w:rsid w:val="00717E9A"/>
    <w:rsid w:val="00717F84"/>
    <w:rsid w:val="00720010"/>
    <w:rsid w:val="007200A0"/>
    <w:rsid w:val="007201D5"/>
    <w:rsid w:val="0072022C"/>
    <w:rsid w:val="0072027C"/>
    <w:rsid w:val="00720415"/>
    <w:rsid w:val="00720489"/>
    <w:rsid w:val="007205CB"/>
    <w:rsid w:val="00720600"/>
    <w:rsid w:val="00720660"/>
    <w:rsid w:val="0072071C"/>
    <w:rsid w:val="00720722"/>
    <w:rsid w:val="0072074D"/>
    <w:rsid w:val="00720770"/>
    <w:rsid w:val="007207A6"/>
    <w:rsid w:val="007207CD"/>
    <w:rsid w:val="00720881"/>
    <w:rsid w:val="007208D5"/>
    <w:rsid w:val="007208F0"/>
    <w:rsid w:val="007208FC"/>
    <w:rsid w:val="007209AF"/>
    <w:rsid w:val="007209C1"/>
    <w:rsid w:val="007209D5"/>
    <w:rsid w:val="00720AF2"/>
    <w:rsid w:val="00720BDD"/>
    <w:rsid w:val="00720C87"/>
    <w:rsid w:val="00720CD1"/>
    <w:rsid w:val="00720DDE"/>
    <w:rsid w:val="00720FA1"/>
    <w:rsid w:val="00720FEE"/>
    <w:rsid w:val="007210DC"/>
    <w:rsid w:val="007213C6"/>
    <w:rsid w:val="00721414"/>
    <w:rsid w:val="0072149C"/>
    <w:rsid w:val="007214A8"/>
    <w:rsid w:val="00721587"/>
    <w:rsid w:val="00721787"/>
    <w:rsid w:val="007217AA"/>
    <w:rsid w:val="0072193E"/>
    <w:rsid w:val="00721992"/>
    <w:rsid w:val="00721A26"/>
    <w:rsid w:val="00721A35"/>
    <w:rsid w:val="00721A43"/>
    <w:rsid w:val="00721A87"/>
    <w:rsid w:val="00721AA3"/>
    <w:rsid w:val="00721AC5"/>
    <w:rsid w:val="00721DAF"/>
    <w:rsid w:val="00721E4B"/>
    <w:rsid w:val="00721F9E"/>
    <w:rsid w:val="00722015"/>
    <w:rsid w:val="007220E9"/>
    <w:rsid w:val="0072215B"/>
    <w:rsid w:val="00722170"/>
    <w:rsid w:val="00722279"/>
    <w:rsid w:val="00722292"/>
    <w:rsid w:val="007222C9"/>
    <w:rsid w:val="00722310"/>
    <w:rsid w:val="007223B4"/>
    <w:rsid w:val="007224C8"/>
    <w:rsid w:val="007225D8"/>
    <w:rsid w:val="007226E4"/>
    <w:rsid w:val="007226F9"/>
    <w:rsid w:val="0072278A"/>
    <w:rsid w:val="007229C0"/>
    <w:rsid w:val="00722B6F"/>
    <w:rsid w:val="00722BDD"/>
    <w:rsid w:val="00722C13"/>
    <w:rsid w:val="00722CD5"/>
    <w:rsid w:val="00722D0B"/>
    <w:rsid w:val="00722D23"/>
    <w:rsid w:val="00722D2F"/>
    <w:rsid w:val="00722DCF"/>
    <w:rsid w:val="00722E83"/>
    <w:rsid w:val="00722EF7"/>
    <w:rsid w:val="00723071"/>
    <w:rsid w:val="00723072"/>
    <w:rsid w:val="007230FB"/>
    <w:rsid w:val="007232EA"/>
    <w:rsid w:val="0072334D"/>
    <w:rsid w:val="00723362"/>
    <w:rsid w:val="0072348C"/>
    <w:rsid w:val="007236C2"/>
    <w:rsid w:val="00723897"/>
    <w:rsid w:val="007238E2"/>
    <w:rsid w:val="00723A7E"/>
    <w:rsid w:val="00723AA4"/>
    <w:rsid w:val="00723AFE"/>
    <w:rsid w:val="00723BE3"/>
    <w:rsid w:val="00723DDE"/>
    <w:rsid w:val="00723F6B"/>
    <w:rsid w:val="00723F79"/>
    <w:rsid w:val="0072401A"/>
    <w:rsid w:val="00724024"/>
    <w:rsid w:val="0072407F"/>
    <w:rsid w:val="0072413A"/>
    <w:rsid w:val="007241E3"/>
    <w:rsid w:val="007242DD"/>
    <w:rsid w:val="0072455F"/>
    <w:rsid w:val="00724593"/>
    <w:rsid w:val="00724758"/>
    <w:rsid w:val="0072481E"/>
    <w:rsid w:val="00724860"/>
    <w:rsid w:val="00724871"/>
    <w:rsid w:val="007249FE"/>
    <w:rsid w:val="00724A24"/>
    <w:rsid w:val="00724AE7"/>
    <w:rsid w:val="00724B1A"/>
    <w:rsid w:val="00724B52"/>
    <w:rsid w:val="00724B54"/>
    <w:rsid w:val="00724B76"/>
    <w:rsid w:val="00724BB3"/>
    <w:rsid w:val="00724C11"/>
    <w:rsid w:val="00724E05"/>
    <w:rsid w:val="00724E87"/>
    <w:rsid w:val="00724F05"/>
    <w:rsid w:val="0072516F"/>
    <w:rsid w:val="00725178"/>
    <w:rsid w:val="007251A9"/>
    <w:rsid w:val="007251E9"/>
    <w:rsid w:val="007251F0"/>
    <w:rsid w:val="00725493"/>
    <w:rsid w:val="007255CC"/>
    <w:rsid w:val="007256DE"/>
    <w:rsid w:val="007257FB"/>
    <w:rsid w:val="00725888"/>
    <w:rsid w:val="00725A51"/>
    <w:rsid w:val="00725AAE"/>
    <w:rsid w:val="00725BC2"/>
    <w:rsid w:val="00725C14"/>
    <w:rsid w:val="00725C27"/>
    <w:rsid w:val="00725CD8"/>
    <w:rsid w:val="00726084"/>
    <w:rsid w:val="00726094"/>
    <w:rsid w:val="0072613E"/>
    <w:rsid w:val="0072614D"/>
    <w:rsid w:val="007261AC"/>
    <w:rsid w:val="00726430"/>
    <w:rsid w:val="007265DD"/>
    <w:rsid w:val="00726641"/>
    <w:rsid w:val="0072665A"/>
    <w:rsid w:val="00726712"/>
    <w:rsid w:val="00726787"/>
    <w:rsid w:val="0072685F"/>
    <w:rsid w:val="0072689B"/>
    <w:rsid w:val="00726912"/>
    <w:rsid w:val="0072692C"/>
    <w:rsid w:val="00726A3E"/>
    <w:rsid w:val="00726A57"/>
    <w:rsid w:val="00726AA7"/>
    <w:rsid w:val="00726ABC"/>
    <w:rsid w:val="00726AC8"/>
    <w:rsid w:val="00726BC8"/>
    <w:rsid w:val="00726BE3"/>
    <w:rsid w:val="00726CC8"/>
    <w:rsid w:val="00726D7D"/>
    <w:rsid w:val="00726E9C"/>
    <w:rsid w:val="00726EA8"/>
    <w:rsid w:val="00726F10"/>
    <w:rsid w:val="00726FDA"/>
    <w:rsid w:val="007270E7"/>
    <w:rsid w:val="007270F0"/>
    <w:rsid w:val="0072733A"/>
    <w:rsid w:val="00727393"/>
    <w:rsid w:val="007273A4"/>
    <w:rsid w:val="007274B6"/>
    <w:rsid w:val="007274CD"/>
    <w:rsid w:val="007275B6"/>
    <w:rsid w:val="0072761A"/>
    <w:rsid w:val="0072773B"/>
    <w:rsid w:val="0072779B"/>
    <w:rsid w:val="007277C8"/>
    <w:rsid w:val="00727912"/>
    <w:rsid w:val="00727A34"/>
    <w:rsid w:val="00727AAB"/>
    <w:rsid w:val="00727B12"/>
    <w:rsid w:val="00727B29"/>
    <w:rsid w:val="00727B34"/>
    <w:rsid w:val="00727B74"/>
    <w:rsid w:val="00727BF0"/>
    <w:rsid w:val="00727C7F"/>
    <w:rsid w:val="00727CD6"/>
    <w:rsid w:val="00727D1F"/>
    <w:rsid w:val="00727D74"/>
    <w:rsid w:val="00727DD6"/>
    <w:rsid w:val="00727EC1"/>
    <w:rsid w:val="00727EC5"/>
    <w:rsid w:val="00727F0E"/>
    <w:rsid w:val="0073017A"/>
    <w:rsid w:val="007302DC"/>
    <w:rsid w:val="00730310"/>
    <w:rsid w:val="00730326"/>
    <w:rsid w:val="007303AA"/>
    <w:rsid w:val="007303E9"/>
    <w:rsid w:val="00730572"/>
    <w:rsid w:val="0073058F"/>
    <w:rsid w:val="007305BB"/>
    <w:rsid w:val="007305E8"/>
    <w:rsid w:val="00730650"/>
    <w:rsid w:val="007307C8"/>
    <w:rsid w:val="0073084C"/>
    <w:rsid w:val="0073088B"/>
    <w:rsid w:val="007308BD"/>
    <w:rsid w:val="007308F1"/>
    <w:rsid w:val="00730A88"/>
    <w:rsid w:val="00730A96"/>
    <w:rsid w:val="00730BB5"/>
    <w:rsid w:val="00730BE2"/>
    <w:rsid w:val="00730D88"/>
    <w:rsid w:val="00730DAA"/>
    <w:rsid w:val="00730E56"/>
    <w:rsid w:val="00730F01"/>
    <w:rsid w:val="00730F0E"/>
    <w:rsid w:val="00730F3E"/>
    <w:rsid w:val="00730F92"/>
    <w:rsid w:val="00730F95"/>
    <w:rsid w:val="00731072"/>
    <w:rsid w:val="00731121"/>
    <w:rsid w:val="007312DC"/>
    <w:rsid w:val="007313B1"/>
    <w:rsid w:val="0073143D"/>
    <w:rsid w:val="00731582"/>
    <w:rsid w:val="007318D9"/>
    <w:rsid w:val="00731A1A"/>
    <w:rsid w:val="00731A22"/>
    <w:rsid w:val="00731A32"/>
    <w:rsid w:val="00731A5C"/>
    <w:rsid w:val="00731BDF"/>
    <w:rsid w:val="00731CF5"/>
    <w:rsid w:val="00731D29"/>
    <w:rsid w:val="00731E61"/>
    <w:rsid w:val="00732178"/>
    <w:rsid w:val="007321EC"/>
    <w:rsid w:val="007322B1"/>
    <w:rsid w:val="00732368"/>
    <w:rsid w:val="007324C0"/>
    <w:rsid w:val="007324E7"/>
    <w:rsid w:val="0073259D"/>
    <w:rsid w:val="00732848"/>
    <w:rsid w:val="00732878"/>
    <w:rsid w:val="007328D3"/>
    <w:rsid w:val="00732A25"/>
    <w:rsid w:val="00732A6B"/>
    <w:rsid w:val="00732A90"/>
    <w:rsid w:val="00732F36"/>
    <w:rsid w:val="00732F5F"/>
    <w:rsid w:val="00732F90"/>
    <w:rsid w:val="0073307D"/>
    <w:rsid w:val="0073313F"/>
    <w:rsid w:val="00733161"/>
    <w:rsid w:val="007331C6"/>
    <w:rsid w:val="007332CD"/>
    <w:rsid w:val="00733315"/>
    <w:rsid w:val="007334E3"/>
    <w:rsid w:val="0073376D"/>
    <w:rsid w:val="007337CE"/>
    <w:rsid w:val="00733844"/>
    <w:rsid w:val="00733888"/>
    <w:rsid w:val="0073388A"/>
    <w:rsid w:val="007338D8"/>
    <w:rsid w:val="00733A3A"/>
    <w:rsid w:val="00733CC1"/>
    <w:rsid w:val="00733CCD"/>
    <w:rsid w:val="00733CF3"/>
    <w:rsid w:val="00733FF5"/>
    <w:rsid w:val="0073421E"/>
    <w:rsid w:val="007342BE"/>
    <w:rsid w:val="00734462"/>
    <w:rsid w:val="0073447D"/>
    <w:rsid w:val="007344C2"/>
    <w:rsid w:val="0073461A"/>
    <w:rsid w:val="00734726"/>
    <w:rsid w:val="007347F0"/>
    <w:rsid w:val="00734A5E"/>
    <w:rsid w:val="00734A5F"/>
    <w:rsid w:val="00734A8B"/>
    <w:rsid w:val="00734AFC"/>
    <w:rsid w:val="00734AFD"/>
    <w:rsid w:val="00734B01"/>
    <w:rsid w:val="00734B4D"/>
    <w:rsid w:val="00734D95"/>
    <w:rsid w:val="00734D9E"/>
    <w:rsid w:val="00734DF5"/>
    <w:rsid w:val="00734F42"/>
    <w:rsid w:val="00734F81"/>
    <w:rsid w:val="00734FB4"/>
    <w:rsid w:val="00734FBE"/>
    <w:rsid w:val="00735020"/>
    <w:rsid w:val="0073505F"/>
    <w:rsid w:val="007350BA"/>
    <w:rsid w:val="007350CC"/>
    <w:rsid w:val="007353D7"/>
    <w:rsid w:val="007353E7"/>
    <w:rsid w:val="00735477"/>
    <w:rsid w:val="00735537"/>
    <w:rsid w:val="0073554A"/>
    <w:rsid w:val="00735556"/>
    <w:rsid w:val="0073574E"/>
    <w:rsid w:val="007357B7"/>
    <w:rsid w:val="00735826"/>
    <w:rsid w:val="00735949"/>
    <w:rsid w:val="00735996"/>
    <w:rsid w:val="00735A44"/>
    <w:rsid w:val="00735C19"/>
    <w:rsid w:val="00735C53"/>
    <w:rsid w:val="00735CFF"/>
    <w:rsid w:val="00735D18"/>
    <w:rsid w:val="00735E19"/>
    <w:rsid w:val="00735E68"/>
    <w:rsid w:val="00735F04"/>
    <w:rsid w:val="00735F08"/>
    <w:rsid w:val="00735F42"/>
    <w:rsid w:val="00735FB4"/>
    <w:rsid w:val="00735FF9"/>
    <w:rsid w:val="0073609A"/>
    <w:rsid w:val="00736165"/>
    <w:rsid w:val="007362E5"/>
    <w:rsid w:val="0073651A"/>
    <w:rsid w:val="0073656C"/>
    <w:rsid w:val="00736944"/>
    <w:rsid w:val="0073695C"/>
    <w:rsid w:val="00736985"/>
    <w:rsid w:val="00736A73"/>
    <w:rsid w:val="00736B0A"/>
    <w:rsid w:val="00736B3D"/>
    <w:rsid w:val="00736C0B"/>
    <w:rsid w:val="00736C40"/>
    <w:rsid w:val="00736DAB"/>
    <w:rsid w:val="00736EC2"/>
    <w:rsid w:val="0073713B"/>
    <w:rsid w:val="00737154"/>
    <w:rsid w:val="00737186"/>
    <w:rsid w:val="007372CC"/>
    <w:rsid w:val="007372F2"/>
    <w:rsid w:val="00737339"/>
    <w:rsid w:val="0073733D"/>
    <w:rsid w:val="0073757B"/>
    <w:rsid w:val="0073762A"/>
    <w:rsid w:val="00737783"/>
    <w:rsid w:val="00737788"/>
    <w:rsid w:val="00737931"/>
    <w:rsid w:val="00737976"/>
    <w:rsid w:val="00737A3E"/>
    <w:rsid w:val="00737A5A"/>
    <w:rsid w:val="00737A69"/>
    <w:rsid w:val="00737AA0"/>
    <w:rsid w:val="00737BB0"/>
    <w:rsid w:val="00737BCD"/>
    <w:rsid w:val="00737E51"/>
    <w:rsid w:val="0073B6B3"/>
    <w:rsid w:val="0074006C"/>
    <w:rsid w:val="007400F0"/>
    <w:rsid w:val="00740116"/>
    <w:rsid w:val="00740488"/>
    <w:rsid w:val="007404D3"/>
    <w:rsid w:val="0074055C"/>
    <w:rsid w:val="007405CE"/>
    <w:rsid w:val="00740640"/>
    <w:rsid w:val="0074068C"/>
    <w:rsid w:val="007407B8"/>
    <w:rsid w:val="007407DD"/>
    <w:rsid w:val="0074085A"/>
    <w:rsid w:val="00740929"/>
    <w:rsid w:val="007409BD"/>
    <w:rsid w:val="00740AC0"/>
    <w:rsid w:val="00740AFB"/>
    <w:rsid w:val="00740BD2"/>
    <w:rsid w:val="00740C2E"/>
    <w:rsid w:val="00740C52"/>
    <w:rsid w:val="00740CC6"/>
    <w:rsid w:val="00740CCB"/>
    <w:rsid w:val="00740E76"/>
    <w:rsid w:val="00740EFE"/>
    <w:rsid w:val="00740F73"/>
    <w:rsid w:val="0074123E"/>
    <w:rsid w:val="00741377"/>
    <w:rsid w:val="007413AE"/>
    <w:rsid w:val="007413D2"/>
    <w:rsid w:val="0074147E"/>
    <w:rsid w:val="0074155B"/>
    <w:rsid w:val="00741671"/>
    <w:rsid w:val="00741716"/>
    <w:rsid w:val="00741731"/>
    <w:rsid w:val="007417C2"/>
    <w:rsid w:val="007418B2"/>
    <w:rsid w:val="007418FB"/>
    <w:rsid w:val="007419B4"/>
    <w:rsid w:val="007419D6"/>
    <w:rsid w:val="007419D7"/>
    <w:rsid w:val="00741A6D"/>
    <w:rsid w:val="00741AD7"/>
    <w:rsid w:val="00741B20"/>
    <w:rsid w:val="00741C0B"/>
    <w:rsid w:val="00741CAA"/>
    <w:rsid w:val="00741D66"/>
    <w:rsid w:val="00741E00"/>
    <w:rsid w:val="00741E62"/>
    <w:rsid w:val="00741E6B"/>
    <w:rsid w:val="00741F8D"/>
    <w:rsid w:val="00741FD9"/>
    <w:rsid w:val="007420F6"/>
    <w:rsid w:val="0074223D"/>
    <w:rsid w:val="00742295"/>
    <w:rsid w:val="007423D2"/>
    <w:rsid w:val="0074248B"/>
    <w:rsid w:val="007424E7"/>
    <w:rsid w:val="00742515"/>
    <w:rsid w:val="00742567"/>
    <w:rsid w:val="00742689"/>
    <w:rsid w:val="00742854"/>
    <w:rsid w:val="007428D0"/>
    <w:rsid w:val="0074296E"/>
    <w:rsid w:val="00742BE3"/>
    <w:rsid w:val="00742BF0"/>
    <w:rsid w:val="00742CD8"/>
    <w:rsid w:val="00742DAB"/>
    <w:rsid w:val="00743154"/>
    <w:rsid w:val="00743155"/>
    <w:rsid w:val="007431F2"/>
    <w:rsid w:val="007432F2"/>
    <w:rsid w:val="007437F4"/>
    <w:rsid w:val="00743883"/>
    <w:rsid w:val="007439C5"/>
    <w:rsid w:val="007439DE"/>
    <w:rsid w:val="00743A26"/>
    <w:rsid w:val="00743AA8"/>
    <w:rsid w:val="00743B5C"/>
    <w:rsid w:val="00743BA4"/>
    <w:rsid w:val="00743C9E"/>
    <w:rsid w:val="00743CD7"/>
    <w:rsid w:val="00743D97"/>
    <w:rsid w:val="00743DB8"/>
    <w:rsid w:val="00743E9C"/>
    <w:rsid w:val="00743F3D"/>
    <w:rsid w:val="00743FBF"/>
    <w:rsid w:val="0074403D"/>
    <w:rsid w:val="00744059"/>
    <w:rsid w:val="007441EC"/>
    <w:rsid w:val="0074428A"/>
    <w:rsid w:val="00744354"/>
    <w:rsid w:val="0074487E"/>
    <w:rsid w:val="007448BB"/>
    <w:rsid w:val="00744952"/>
    <w:rsid w:val="0074499E"/>
    <w:rsid w:val="00744A12"/>
    <w:rsid w:val="00744AE1"/>
    <w:rsid w:val="00744AE9"/>
    <w:rsid w:val="00744B45"/>
    <w:rsid w:val="00744B94"/>
    <w:rsid w:val="00744C68"/>
    <w:rsid w:val="00744DAE"/>
    <w:rsid w:val="00744DD2"/>
    <w:rsid w:val="00744F23"/>
    <w:rsid w:val="00744F73"/>
    <w:rsid w:val="00744FA8"/>
    <w:rsid w:val="00744FC9"/>
    <w:rsid w:val="00744FF6"/>
    <w:rsid w:val="007450FB"/>
    <w:rsid w:val="00745398"/>
    <w:rsid w:val="0074556C"/>
    <w:rsid w:val="00745752"/>
    <w:rsid w:val="007457C7"/>
    <w:rsid w:val="00745876"/>
    <w:rsid w:val="007459CF"/>
    <w:rsid w:val="00745B37"/>
    <w:rsid w:val="00745B4E"/>
    <w:rsid w:val="00745B6E"/>
    <w:rsid w:val="00745C2A"/>
    <w:rsid w:val="00745D36"/>
    <w:rsid w:val="00745D7F"/>
    <w:rsid w:val="00745F44"/>
    <w:rsid w:val="00745F78"/>
    <w:rsid w:val="00746038"/>
    <w:rsid w:val="00746042"/>
    <w:rsid w:val="00746052"/>
    <w:rsid w:val="00746072"/>
    <w:rsid w:val="0074609B"/>
    <w:rsid w:val="007460F4"/>
    <w:rsid w:val="0074613F"/>
    <w:rsid w:val="0074614C"/>
    <w:rsid w:val="007464C6"/>
    <w:rsid w:val="007466F6"/>
    <w:rsid w:val="007467FE"/>
    <w:rsid w:val="00746861"/>
    <w:rsid w:val="007469F6"/>
    <w:rsid w:val="00746A4D"/>
    <w:rsid w:val="00746AF9"/>
    <w:rsid w:val="00746B09"/>
    <w:rsid w:val="00746B36"/>
    <w:rsid w:val="00746C1F"/>
    <w:rsid w:val="00746C99"/>
    <w:rsid w:val="00746EBD"/>
    <w:rsid w:val="00746ECF"/>
    <w:rsid w:val="00746F2B"/>
    <w:rsid w:val="00746F38"/>
    <w:rsid w:val="00747053"/>
    <w:rsid w:val="007470F2"/>
    <w:rsid w:val="00747180"/>
    <w:rsid w:val="00747357"/>
    <w:rsid w:val="007473D5"/>
    <w:rsid w:val="007475A2"/>
    <w:rsid w:val="00747615"/>
    <w:rsid w:val="00747677"/>
    <w:rsid w:val="00747698"/>
    <w:rsid w:val="00747765"/>
    <w:rsid w:val="007479A8"/>
    <w:rsid w:val="007479FC"/>
    <w:rsid w:val="00747A17"/>
    <w:rsid w:val="00747B57"/>
    <w:rsid w:val="00747C52"/>
    <w:rsid w:val="00747C71"/>
    <w:rsid w:val="00747D26"/>
    <w:rsid w:val="00747E66"/>
    <w:rsid w:val="00747F40"/>
    <w:rsid w:val="0074AA53"/>
    <w:rsid w:val="00750056"/>
    <w:rsid w:val="007500BC"/>
    <w:rsid w:val="00750222"/>
    <w:rsid w:val="007502A2"/>
    <w:rsid w:val="007502E9"/>
    <w:rsid w:val="0075039E"/>
    <w:rsid w:val="00750414"/>
    <w:rsid w:val="0075044A"/>
    <w:rsid w:val="0075047C"/>
    <w:rsid w:val="0075055A"/>
    <w:rsid w:val="007506B7"/>
    <w:rsid w:val="00750A86"/>
    <w:rsid w:val="00750BC6"/>
    <w:rsid w:val="00750BD5"/>
    <w:rsid w:val="00750CA6"/>
    <w:rsid w:val="00750CFD"/>
    <w:rsid w:val="00750D14"/>
    <w:rsid w:val="00750D31"/>
    <w:rsid w:val="00750D46"/>
    <w:rsid w:val="00750DF2"/>
    <w:rsid w:val="00750E0F"/>
    <w:rsid w:val="00750FA5"/>
    <w:rsid w:val="007510C6"/>
    <w:rsid w:val="007511A9"/>
    <w:rsid w:val="00751270"/>
    <w:rsid w:val="00751525"/>
    <w:rsid w:val="007515B2"/>
    <w:rsid w:val="007515E5"/>
    <w:rsid w:val="0075160D"/>
    <w:rsid w:val="007517C9"/>
    <w:rsid w:val="0075198D"/>
    <w:rsid w:val="00751A09"/>
    <w:rsid w:val="00751A52"/>
    <w:rsid w:val="00751A69"/>
    <w:rsid w:val="00751B3F"/>
    <w:rsid w:val="00751B9E"/>
    <w:rsid w:val="00751C6B"/>
    <w:rsid w:val="00751D4D"/>
    <w:rsid w:val="00751E39"/>
    <w:rsid w:val="00751F3A"/>
    <w:rsid w:val="00751F56"/>
    <w:rsid w:val="00751FCC"/>
    <w:rsid w:val="00752027"/>
    <w:rsid w:val="00752088"/>
    <w:rsid w:val="0075218C"/>
    <w:rsid w:val="00752233"/>
    <w:rsid w:val="00752301"/>
    <w:rsid w:val="00752358"/>
    <w:rsid w:val="007524EE"/>
    <w:rsid w:val="00752631"/>
    <w:rsid w:val="00752644"/>
    <w:rsid w:val="007526CC"/>
    <w:rsid w:val="00752738"/>
    <w:rsid w:val="0075279B"/>
    <w:rsid w:val="007527D4"/>
    <w:rsid w:val="007528C6"/>
    <w:rsid w:val="00752970"/>
    <w:rsid w:val="007529DB"/>
    <w:rsid w:val="00752A5F"/>
    <w:rsid w:val="00752D1C"/>
    <w:rsid w:val="00752F3F"/>
    <w:rsid w:val="00752F96"/>
    <w:rsid w:val="00752FCB"/>
    <w:rsid w:val="007530B0"/>
    <w:rsid w:val="007530FB"/>
    <w:rsid w:val="00753142"/>
    <w:rsid w:val="00753193"/>
    <w:rsid w:val="00753356"/>
    <w:rsid w:val="007533A7"/>
    <w:rsid w:val="007534EF"/>
    <w:rsid w:val="0075355C"/>
    <w:rsid w:val="007535EB"/>
    <w:rsid w:val="007536C5"/>
    <w:rsid w:val="0075373D"/>
    <w:rsid w:val="007537FE"/>
    <w:rsid w:val="00753823"/>
    <w:rsid w:val="0075389B"/>
    <w:rsid w:val="00753905"/>
    <w:rsid w:val="00753961"/>
    <w:rsid w:val="00753990"/>
    <w:rsid w:val="007539B9"/>
    <w:rsid w:val="00753DE8"/>
    <w:rsid w:val="00753EBB"/>
    <w:rsid w:val="00754082"/>
    <w:rsid w:val="007540E4"/>
    <w:rsid w:val="007540E5"/>
    <w:rsid w:val="0075418B"/>
    <w:rsid w:val="0075436F"/>
    <w:rsid w:val="0075437A"/>
    <w:rsid w:val="0075450D"/>
    <w:rsid w:val="0075456E"/>
    <w:rsid w:val="0075468C"/>
    <w:rsid w:val="0075487F"/>
    <w:rsid w:val="007548D4"/>
    <w:rsid w:val="00754B80"/>
    <w:rsid w:val="00754BED"/>
    <w:rsid w:val="00754BF2"/>
    <w:rsid w:val="00754F5C"/>
    <w:rsid w:val="00754FA5"/>
    <w:rsid w:val="007552E6"/>
    <w:rsid w:val="0075530A"/>
    <w:rsid w:val="00755314"/>
    <w:rsid w:val="0075545C"/>
    <w:rsid w:val="0075546E"/>
    <w:rsid w:val="007554FD"/>
    <w:rsid w:val="007556DA"/>
    <w:rsid w:val="00755709"/>
    <w:rsid w:val="00755787"/>
    <w:rsid w:val="0075579A"/>
    <w:rsid w:val="00755806"/>
    <w:rsid w:val="00755827"/>
    <w:rsid w:val="0075589D"/>
    <w:rsid w:val="007558B3"/>
    <w:rsid w:val="0075592C"/>
    <w:rsid w:val="0075595D"/>
    <w:rsid w:val="00755A7D"/>
    <w:rsid w:val="00755A84"/>
    <w:rsid w:val="00755A87"/>
    <w:rsid w:val="00755A88"/>
    <w:rsid w:val="00755B52"/>
    <w:rsid w:val="00755CE5"/>
    <w:rsid w:val="00755E8D"/>
    <w:rsid w:val="00755F43"/>
    <w:rsid w:val="007560E1"/>
    <w:rsid w:val="0075611F"/>
    <w:rsid w:val="007561E6"/>
    <w:rsid w:val="007561F0"/>
    <w:rsid w:val="00756210"/>
    <w:rsid w:val="0075622D"/>
    <w:rsid w:val="0075636F"/>
    <w:rsid w:val="00756429"/>
    <w:rsid w:val="0075643F"/>
    <w:rsid w:val="007564F5"/>
    <w:rsid w:val="00756535"/>
    <w:rsid w:val="007565D5"/>
    <w:rsid w:val="0075660E"/>
    <w:rsid w:val="0075665E"/>
    <w:rsid w:val="00756674"/>
    <w:rsid w:val="007566FF"/>
    <w:rsid w:val="00756756"/>
    <w:rsid w:val="007567BF"/>
    <w:rsid w:val="0075685E"/>
    <w:rsid w:val="00756910"/>
    <w:rsid w:val="00756A05"/>
    <w:rsid w:val="00756C4C"/>
    <w:rsid w:val="00756C87"/>
    <w:rsid w:val="00756CC9"/>
    <w:rsid w:val="00756CEC"/>
    <w:rsid w:val="00756DA3"/>
    <w:rsid w:val="00756DED"/>
    <w:rsid w:val="00756EC3"/>
    <w:rsid w:val="00757198"/>
    <w:rsid w:val="0075722D"/>
    <w:rsid w:val="007572B9"/>
    <w:rsid w:val="007574EF"/>
    <w:rsid w:val="0075753E"/>
    <w:rsid w:val="0075784D"/>
    <w:rsid w:val="00757874"/>
    <w:rsid w:val="007578E7"/>
    <w:rsid w:val="00757951"/>
    <w:rsid w:val="00757A64"/>
    <w:rsid w:val="00757AB8"/>
    <w:rsid w:val="00757B6A"/>
    <w:rsid w:val="00757B78"/>
    <w:rsid w:val="00757C42"/>
    <w:rsid w:val="00757D48"/>
    <w:rsid w:val="00757F24"/>
    <w:rsid w:val="007601C2"/>
    <w:rsid w:val="007602C2"/>
    <w:rsid w:val="007602D1"/>
    <w:rsid w:val="007602F3"/>
    <w:rsid w:val="00760387"/>
    <w:rsid w:val="0076041D"/>
    <w:rsid w:val="007604D4"/>
    <w:rsid w:val="00760748"/>
    <w:rsid w:val="0076090D"/>
    <w:rsid w:val="00760951"/>
    <w:rsid w:val="00760967"/>
    <w:rsid w:val="007609F4"/>
    <w:rsid w:val="00760A74"/>
    <w:rsid w:val="00760B15"/>
    <w:rsid w:val="00760C78"/>
    <w:rsid w:val="00760C8D"/>
    <w:rsid w:val="00760D0F"/>
    <w:rsid w:val="00760D19"/>
    <w:rsid w:val="00760E07"/>
    <w:rsid w:val="00760E53"/>
    <w:rsid w:val="00760E7A"/>
    <w:rsid w:val="00760F70"/>
    <w:rsid w:val="0076109F"/>
    <w:rsid w:val="00761108"/>
    <w:rsid w:val="007611D4"/>
    <w:rsid w:val="0076137A"/>
    <w:rsid w:val="007613AE"/>
    <w:rsid w:val="007613C7"/>
    <w:rsid w:val="0076145D"/>
    <w:rsid w:val="00761498"/>
    <w:rsid w:val="007615A1"/>
    <w:rsid w:val="0076168C"/>
    <w:rsid w:val="0076171A"/>
    <w:rsid w:val="007617FE"/>
    <w:rsid w:val="007618BF"/>
    <w:rsid w:val="0076192B"/>
    <w:rsid w:val="0076198A"/>
    <w:rsid w:val="00761AA9"/>
    <w:rsid w:val="00761B19"/>
    <w:rsid w:val="00761BC6"/>
    <w:rsid w:val="00761BEE"/>
    <w:rsid w:val="00761C08"/>
    <w:rsid w:val="00761CA0"/>
    <w:rsid w:val="00761CFC"/>
    <w:rsid w:val="00761D45"/>
    <w:rsid w:val="00761E05"/>
    <w:rsid w:val="00761EDF"/>
    <w:rsid w:val="00761EE7"/>
    <w:rsid w:val="00761F69"/>
    <w:rsid w:val="007620A9"/>
    <w:rsid w:val="0076228D"/>
    <w:rsid w:val="00762291"/>
    <w:rsid w:val="007622AF"/>
    <w:rsid w:val="007624C7"/>
    <w:rsid w:val="00762581"/>
    <w:rsid w:val="00762661"/>
    <w:rsid w:val="0076272C"/>
    <w:rsid w:val="007627BF"/>
    <w:rsid w:val="007627C0"/>
    <w:rsid w:val="0076285F"/>
    <w:rsid w:val="0076290A"/>
    <w:rsid w:val="00762AC5"/>
    <w:rsid w:val="00762D78"/>
    <w:rsid w:val="00762DF5"/>
    <w:rsid w:val="00762F08"/>
    <w:rsid w:val="00762F8D"/>
    <w:rsid w:val="00762F8F"/>
    <w:rsid w:val="00762FA6"/>
    <w:rsid w:val="00762FCC"/>
    <w:rsid w:val="00763259"/>
    <w:rsid w:val="00763413"/>
    <w:rsid w:val="0076345C"/>
    <w:rsid w:val="0076352D"/>
    <w:rsid w:val="007635BE"/>
    <w:rsid w:val="007635C5"/>
    <w:rsid w:val="007635F5"/>
    <w:rsid w:val="00763639"/>
    <w:rsid w:val="0076363F"/>
    <w:rsid w:val="007636FB"/>
    <w:rsid w:val="00763879"/>
    <w:rsid w:val="007638FD"/>
    <w:rsid w:val="0076393E"/>
    <w:rsid w:val="0076397B"/>
    <w:rsid w:val="00763A57"/>
    <w:rsid w:val="00763ABA"/>
    <w:rsid w:val="00763B34"/>
    <w:rsid w:val="00763BC8"/>
    <w:rsid w:val="00763BEF"/>
    <w:rsid w:val="00763C43"/>
    <w:rsid w:val="00763C7B"/>
    <w:rsid w:val="00763D09"/>
    <w:rsid w:val="00763E1D"/>
    <w:rsid w:val="00763F00"/>
    <w:rsid w:val="00763F68"/>
    <w:rsid w:val="00763F9B"/>
    <w:rsid w:val="00764071"/>
    <w:rsid w:val="00764105"/>
    <w:rsid w:val="00764126"/>
    <w:rsid w:val="00764177"/>
    <w:rsid w:val="00764287"/>
    <w:rsid w:val="007642F1"/>
    <w:rsid w:val="00764367"/>
    <w:rsid w:val="007643DB"/>
    <w:rsid w:val="00764443"/>
    <w:rsid w:val="0076446E"/>
    <w:rsid w:val="007646A4"/>
    <w:rsid w:val="007646DE"/>
    <w:rsid w:val="00764946"/>
    <w:rsid w:val="00764963"/>
    <w:rsid w:val="00764B57"/>
    <w:rsid w:val="00764B79"/>
    <w:rsid w:val="00764CE6"/>
    <w:rsid w:val="00764EEA"/>
    <w:rsid w:val="00764F46"/>
    <w:rsid w:val="00764F8B"/>
    <w:rsid w:val="00764FAF"/>
    <w:rsid w:val="00764FB8"/>
    <w:rsid w:val="0076505F"/>
    <w:rsid w:val="00765117"/>
    <w:rsid w:val="00765413"/>
    <w:rsid w:val="00765460"/>
    <w:rsid w:val="007654AB"/>
    <w:rsid w:val="007654D5"/>
    <w:rsid w:val="007654E8"/>
    <w:rsid w:val="00765524"/>
    <w:rsid w:val="0076553D"/>
    <w:rsid w:val="00765565"/>
    <w:rsid w:val="00765588"/>
    <w:rsid w:val="007655AA"/>
    <w:rsid w:val="007655C9"/>
    <w:rsid w:val="00765689"/>
    <w:rsid w:val="00765690"/>
    <w:rsid w:val="0076584B"/>
    <w:rsid w:val="007658DD"/>
    <w:rsid w:val="007659EE"/>
    <w:rsid w:val="00765A03"/>
    <w:rsid w:val="00765A42"/>
    <w:rsid w:val="00765B80"/>
    <w:rsid w:val="00765CF5"/>
    <w:rsid w:val="00765E38"/>
    <w:rsid w:val="0076605C"/>
    <w:rsid w:val="00766094"/>
    <w:rsid w:val="00766099"/>
    <w:rsid w:val="0076614F"/>
    <w:rsid w:val="0076621A"/>
    <w:rsid w:val="007662B2"/>
    <w:rsid w:val="00766313"/>
    <w:rsid w:val="0076631B"/>
    <w:rsid w:val="00766408"/>
    <w:rsid w:val="00766449"/>
    <w:rsid w:val="00766714"/>
    <w:rsid w:val="0076676B"/>
    <w:rsid w:val="00766860"/>
    <w:rsid w:val="007668AE"/>
    <w:rsid w:val="007669E6"/>
    <w:rsid w:val="00766A09"/>
    <w:rsid w:val="00766A35"/>
    <w:rsid w:val="00766B29"/>
    <w:rsid w:val="00766C93"/>
    <w:rsid w:val="00766C98"/>
    <w:rsid w:val="00766CF5"/>
    <w:rsid w:val="00766E68"/>
    <w:rsid w:val="00766F97"/>
    <w:rsid w:val="007670AD"/>
    <w:rsid w:val="007670BD"/>
    <w:rsid w:val="007670C3"/>
    <w:rsid w:val="00767174"/>
    <w:rsid w:val="007672F7"/>
    <w:rsid w:val="00767309"/>
    <w:rsid w:val="00767397"/>
    <w:rsid w:val="00767466"/>
    <w:rsid w:val="007676CE"/>
    <w:rsid w:val="00767710"/>
    <w:rsid w:val="007677BD"/>
    <w:rsid w:val="007677F3"/>
    <w:rsid w:val="00767937"/>
    <w:rsid w:val="0076796B"/>
    <w:rsid w:val="007679A5"/>
    <w:rsid w:val="007679DC"/>
    <w:rsid w:val="00767A8B"/>
    <w:rsid w:val="00767BAC"/>
    <w:rsid w:val="00767C36"/>
    <w:rsid w:val="00767CFB"/>
    <w:rsid w:val="00767EAF"/>
    <w:rsid w:val="00767FDB"/>
    <w:rsid w:val="0076E230"/>
    <w:rsid w:val="00770284"/>
    <w:rsid w:val="00770310"/>
    <w:rsid w:val="0077032E"/>
    <w:rsid w:val="00770452"/>
    <w:rsid w:val="00770461"/>
    <w:rsid w:val="00770567"/>
    <w:rsid w:val="00770610"/>
    <w:rsid w:val="0077070E"/>
    <w:rsid w:val="00770778"/>
    <w:rsid w:val="00770A11"/>
    <w:rsid w:val="00770B09"/>
    <w:rsid w:val="00770B10"/>
    <w:rsid w:val="00770B7E"/>
    <w:rsid w:val="00770BC0"/>
    <w:rsid w:val="00770BF7"/>
    <w:rsid w:val="00770CCD"/>
    <w:rsid w:val="00770D65"/>
    <w:rsid w:val="00770F77"/>
    <w:rsid w:val="00770F98"/>
    <w:rsid w:val="007710B3"/>
    <w:rsid w:val="00771162"/>
    <w:rsid w:val="00771164"/>
    <w:rsid w:val="007711ED"/>
    <w:rsid w:val="00771262"/>
    <w:rsid w:val="007712F8"/>
    <w:rsid w:val="007713A3"/>
    <w:rsid w:val="007713FD"/>
    <w:rsid w:val="00771494"/>
    <w:rsid w:val="007714F6"/>
    <w:rsid w:val="00771653"/>
    <w:rsid w:val="0077173C"/>
    <w:rsid w:val="00771759"/>
    <w:rsid w:val="007717F1"/>
    <w:rsid w:val="007717F3"/>
    <w:rsid w:val="007718F0"/>
    <w:rsid w:val="007719F2"/>
    <w:rsid w:val="00771A36"/>
    <w:rsid w:val="00771B56"/>
    <w:rsid w:val="00771C0A"/>
    <w:rsid w:val="00771DC5"/>
    <w:rsid w:val="00771E7F"/>
    <w:rsid w:val="00771EB9"/>
    <w:rsid w:val="00772167"/>
    <w:rsid w:val="00772229"/>
    <w:rsid w:val="0077223E"/>
    <w:rsid w:val="007722C7"/>
    <w:rsid w:val="007724C1"/>
    <w:rsid w:val="00772540"/>
    <w:rsid w:val="007725CA"/>
    <w:rsid w:val="00772627"/>
    <w:rsid w:val="0077263F"/>
    <w:rsid w:val="007726E6"/>
    <w:rsid w:val="00772810"/>
    <w:rsid w:val="00772819"/>
    <w:rsid w:val="00772834"/>
    <w:rsid w:val="0077287B"/>
    <w:rsid w:val="007728F7"/>
    <w:rsid w:val="00772947"/>
    <w:rsid w:val="00772A43"/>
    <w:rsid w:val="00772AF6"/>
    <w:rsid w:val="00772B21"/>
    <w:rsid w:val="00772B24"/>
    <w:rsid w:val="00772C80"/>
    <w:rsid w:val="00772D02"/>
    <w:rsid w:val="00772D2E"/>
    <w:rsid w:val="00772F1F"/>
    <w:rsid w:val="007731DE"/>
    <w:rsid w:val="0077321C"/>
    <w:rsid w:val="007732FE"/>
    <w:rsid w:val="00773327"/>
    <w:rsid w:val="00773356"/>
    <w:rsid w:val="007734B9"/>
    <w:rsid w:val="007734E9"/>
    <w:rsid w:val="0077352E"/>
    <w:rsid w:val="007735A9"/>
    <w:rsid w:val="007735B7"/>
    <w:rsid w:val="007735D1"/>
    <w:rsid w:val="007735EC"/>
    <w:rsid w:val="007736D2"/>
    <w:rsid w:val="007736DF"/>
    <w:rsid w:val="007738EF"/>
    <w:rsid w:val="007739EF"/>
    <w:rsid w:val="00773A7B"/>
    <w:rsid w:val="00773A93"/>
    <w:rsid w:val="00773A9D"/>
    <w:rsid w:val="00773AF5"/>
    <w:rsid w:val="00773DEA"/>
    <w:rsid w:val="00773E26"/>
    <w:rsid w:val="00774040"/>
    <w:rsid w:val="007741D1"/>
    <w:rsid w:val="0077426E"/>
    <w:rsid w:val="0077428D"/>
    <w:rsid w:val="007742F9"/>
    <w:rsid w:val="00774354"/>
    <w:rsid w:val="0077439B"/>
    <w:rsid w:val="007744B5"/>
    <w:rsid w:val="007744EB"/>
    <w:rsid w:val="00774595"/>
    <w:rsid w:val="007745BF"/>
    <w:rsid w:val="0077480F"/>
    <w:rsid w:val="00774891"/>
    <w:rsid w:val="00774BFE"/>
    <w:rsid w:val="00774C02"/>
    <w:rsid w:val="00774C3E"/>
    <w:rsid w:val="00774C74"/>
    <w:rsid w:val="00774D03"/>
    <w:rsid w:val="00774D3C"/>
    <w:rsid w:val="00774D9A"/>
    <w:rsid w:val="00774DB7"/>
    <w:rsid w:val="00774DC5"/>
    <w:rsid w:val="00774E3D"/>
    <w:rsid w:val="00774E74"/>
    <w:rsid w:val="00774EA9"/>
    <w:rsid w:val="00774F63"/>
    <w:rsid w:val="00774FD0"/>
    <w:rsid w:val="00774FE7"/>
    <w:rsid w:val="007750DA"/>
    <w:rsid w:val="0077521E"/>
    <w:rsid w:val="007752F5"/>
    <w:rsid w:val="00775317"/>
    <w:rsid w:val="00775373"/>
    <w:rsid w:val="0077540B"/>
    <w:rsid w:val="00775600"/>
    <w:rsid w:val="00775659"/>
    <w:rsid w:val="0077568A"/>
    <w:rsid w:val="0077574C"/>
    <w:rsid w:val="00775804"/>
    <w:rsid w:val="00775825"/>
    <w:rsid w:val="007758F5"/>
    <w:rsid w:val="00775928"/>
    <w:rsid w:val="00775A3A"/>
    <w:rsid w:val="00775ACB"/>
    <w:rsid w:val="0077603E"/>
    <w:rsid w:val="007760D7"/>
    <w:rsid w:val="0077619C"/>
    <w:rsid w:val="00776266"/>
    <w:rsid w:val="00776274"/>
    <w:rsid w:val="00776351"/>
    <w:rsid w:val="007764BE"/>
    <w:rsid w:val="00776564"/>
    <w:rsid w:val="007765A3"/>
    <w:rsid w:val="007766D7"/>
    <w:rsid w:val="00776798"/>
    <w:rsid w:val="007767B2"/>
    <w:rsid w:val="007767D3"/>
    <w:rsid w:val="00776893"/>
    <w:rsid w:val="00776A54"/>
    <w:rsid w:val="00776A8F"/>
    <w:rsid w:val="00776B21"/>
    <w:rsid w:val="00776FFB"/>
    <w:rsid w:val="00777044"/>
    <w:rsid w:val="00777073"/>
    <w:rsid w:val="00777098"/>
    <w:rsid w:val="007770AE"/>
    <w:rsid w:val="0077714D"/>
    <w:rsid w:val="007771B5"/>
    <w:rsid w:val="0077722F"/>
    <w:rsid w:val="00777403"/>
    <w:rsid w:val="007775B9"/>
    <w:rsid w:val="00777644"/>
    <w:rsid w:val="0077773F"/>
    <w:rsid w:val="0077785D"/>
    <w:rsid w:val="00777978"/>
    <w:rsid w:val="00777A48"/>
    <w:rsid w:val="00777A57"/>
    <w:rsid w:val="00777A8E"/>
    <w:rsid w:val="00777B6E"/>
    <w:rsid w:val="00777C0A"/>
    <w:rsid w:val="00777DC4"/>
    <w:rsid w:val="00777E4B"/>
    <w:rsid w:val="00777F3F"/>
    <w:rsid w:val="00777F50"/>
    <w:rsid w:val="0077AB40"/>
    <w:rsid w:val="00780021"/>
    <w:rsid w:val="0078006D"/>
    <w:rsid w:val="0078016B"/>
    <w:rsid w:val="00780189"/>
    <w:rsid w:val="007801CA"/>
    <w:rsid w:val="007801FA"/>
    <w:rsid w:val="00780205"/>
    <w:rsid w:val="00780287"/>
    <w:rsid w:val="00780406"/>
    <w:rsid w:val="0078046A"/>
    <w:rsid w:val="00780495"/>
    <w:rsid w:val="0078049A"/>
    <w:rsid w:val="00780673"/>
    <w:rsid w:val="0078074A"/>
    <w:rsid w:val="00780823"/>
    <w:rsid w:val="007808BE"/>
    <w:rsid w:val="0078097B"/>
    <w:rsid w:val="00780A81"/>
    <w:rsid w:val="00780B71"/>
    <w:rsid w:val="00780B77"/>
    <w:rsid w:val="00780C22"/>
    <w:rsid w:val="00780C2B"/>
    <w:rsid w:val="00780C78"/>
    <w:rsid w:val="00780C89"/>
    <w:rsid w:val="00780D20"/>
    <w:rsid w:val="00780E39"/>
    <w:rsid w:val="00780EF4"/>
    <w:rsid w:val="00781071"/>
    <w:rsid w:val="0078116B"/>
    <w:rsid w:val="00781319"/>
    <w:rsid w:val="007813B2"/>
    <w:rsid w:val="00781574"/>
    <w:rsid w:val="00781617"/>
    <w:rsid w:val="00781641"/>
    <w:rsid w:val="0078167C"/>
    <w:rsid w:val="007818BE"/>
    <w:rsid w:val="0078190F"/>
    <w:rsid w:val="0078191E"/>
    <w:rsid w:val="00781A38"/>
    <w:rsid w:val="00781C6B"/>
    <w:rsid w:val="00781C8A"/>
    <w:rsid w:val="00781CB4"/>
    <w:rsid w:val="00781D34"/>
    <w:rsid w:val="00781D41"/>
    <w:rsid w:val="00781D5A"/>
    <w:rsid w:val="00781EC1"/>
    <w:rsid w:val="00781F68"/>
    <w:rsid w:val="007824CE"/>
    <w:rsid w:val="0078253A"/>
    <w:rsid w:val="0078254C"/>
    <w:rsid w:val="00782582"/>
    <w:rsid w:val="00782625"/>
    <w:rsid w:val="00782642"/>
    <w:rsid w:val="007827A3"/>
    <w:rsid w:val="007827D0"/>
    <w:rsid w:val="00782840"/>
    <w:rsid w:val="00782845"/>
    <w:rsid w:val="007828FF"/>
    <w:rsid w:val="00782A2D"/>
    <w:rsid w:val="00782AF9"/>
    <w:rsid w:val="00782BE1"/>
    <w:rsid w:val="00782D5E"/>
    <w:rsid w:val="00782FC2"/>
    <w:rsid w:val="007833D2"/>
    <w:rsid w:val="00783543"/>
    <w:rsid w:val="0078355A"/>
    <w:rsid w:val="0078377A"/>
    <w:rsid w:val="007838F3"/>
    <w:rsid w:val="00783943"/>
    <w:rsid w:val="00783A45"/>
    <w:rsid w:val="00783C66"/>
    <w:rsid w:val="00783CDD"/>
    <w:rsid w:val="00783D3E"/>
    <w:rsid w:val="00783D4B"/>
    <w:rsid w:val="00783E44"/>
    <w:rsid w:val="00783EDC"/>
    <w:rsid w:val="007841DE"/>
    <w:rsid w:val="00784282"/>
    <w:rsid w:val="0078447D"/>
    <w:rsid w:val="007844E6"/>
    <w:rsid w:val="0078460F"/>
    <w:rsid w:val="00784674"/>
    <w:rsid w:val="007846E4"/>
    <w:rsid w:val="0078493D"/>
    <w:rsid w:val="007849B2"/>
    <w:rsid w:val="00784A7C"/>
    <w:rsid w:val="00784C53"/>
    <w:rsid w:val="00784F2C"/>
    <w:rsid w:val="00784F66"/>
    <w:rsid w:val="00784FC8"/>
    <w:rsid w:val="007850A0"/>
    <w:rsid w:val="00785110"/>
    <w:rsid w:val="00785181"/>
    <w:rsid w:val="00785182"/>
    <w:rsid w:val="00785201"/>
    <w:rsid w:val="00785236"/>
    <w:rsid w:val="0078527F"/>
    <w:rsid w:val="007854E0"/>
    <w:rsid w:val="0078555E"/>
    <w:rsid w:val="0078561F"/>
    <w:rsid w:val="00785699"/>
    <w:rsid w:val="007856A1"/>
    <w:rsid w:val="0078571E"/>
    <w:rsid w:val="00785876"/>
    <w:rsid w:val="00785984"/>
    <w:rsid w:val="007859A2"/>
    <w:rsid w:val="007859E0"/>
    <w:rsid w:val="007859E5"/>
    <w:rsid w:val="00785CF2"/>
    <w:rsid w:val="00785E30"/>
    <w:rsid w:val="00785E81"/>
    <w:rsid w:val="00785EF7"/>
    <w:rsid w:val="00785F08"/>
    <w:rsid w:val="00785F3B"/>
    <w:rsid w:val="00785F60"/>
    <w:rsid w:val="00786074"/>
    <w:rsid w:val="0078608E"/>
    <w:rsid w:val="00786214"/>
    <w:rsid w:val="00786344"/>
    <w:rsid w:val="007863CA"/>
    <w:rsid w:val="007864BC"/>
    <w:rsid w:val="007865DE"/>
    <w:rsid w:val="0078667C"/>
    <w:rsid w:val="007867CE"/>
    <w:rsid w:val="0078684B"/>
    <w:rsid w:val="007869E5"/>
    <w:rsid w:val="00786A71"/>
    <w:rsid w:val="00786B10"/>
    <w:rsid w:val="00786C5F"/>
    <w:rsid w:val="00786C9C"/>
    <w:rsid w:val="00786D67"/>
    <w:rsid w:val="00786E31"/>
    <w:rsid w:val="00786E50"/>
    <w:rsid w:val="00786E69"/>
    <w:rsid w:val="00786F3E"/>
    <w:rsid w:val="0078706F"/>
    <w:rsid w:val="0078708F"/>
    <w:rsid w:val="0078722A"/>
    <w:rsid w:val="0078723A"/>
    <w:rsid w:val="0078740A"/>
    <w:rsid w:val="007874BB"/>
    <w:rsid w:val="00787532"/>
    <w:rsid w:val="00787800"/>
    <w:rsid w:val="00787978"/>
    <w:rsid w:val="007879FC"/>
    <w:rsid w:val="00787AAC"/>
    <w:rsid w:val="00787AED"/>
    <w:rsid w:val="00787B56"/>
    <w:rsid w:val="00787CFD"/>
    <w:rsid w:val="00787E8B"/>
    <w:rsid w:val="00787ED6"/>
    <w:rsid w:val="00787FA6"/>
    <w:rsid w:val="00790012"/>
    <w:rsid w:val="007900DD"/>
    <w:rsid w:val="00790246"/>
    <w:rsid w:val="00790287"/>
    <w:rsid w:val="0079032D"/>
    <w:rsid w:val="007904A8"/>
    <w:rsid w:val="0079057F"/>
    <w:rsid w:val="00790594"/>
    <w:rsid w:val="007905DA"/>
    <w:rsid w:val="007905F0"/>
    <w:rsid w:val="007906AD"/>
    <w:rsid w:val="00790711"/>
    <w:rsid w:val="00790715"/>
    <w:rsid w:val="00790762"/>
    <w:rsid w:val="007908BA"/>
    <w:rsid w:val="00790A9B"/>
    <w:rsid w:val="00790B51"/>
    <w:rsid w:val="00790B77"/>
    <w:rsid w:val="00790CAB"/>
    <w:rsid w:val="00790D74"/>
    <w:rsid w:val="00790E58"/>
    <w:rsid w:val="00790F3B"/>
    <w:rsid w:val="00790FD6"/>
    <w:rsid w:val="0079109C"/>
    <w:rsid w:val="007910B4"/>
    <w:rsid w:val="007911C1"/>
    <w:rsid w:val="007912E4"/>
    <w:rsid w:val="0079145A"/>
    <w:rsid w:val="007914C4"/>
    <w:rsid w:val="00791649"/>
    <w:rsid w:val="00791906"/>
    <w:rsid w:val="00791B80"/>
    <w:rsid w:val="00791BC4"/>
    <w:rsid w:val="00791BD9"/>
    <w:rsid w:val="00791C64"/>
    <w:rsid w:val="00791CF2"/>
    <w:rsid w:val="00791E59"/>
    <w:rsid w:val="00791E8C"/>
    <w:rsid w:val="00791EC0"/>
    <w:rsid w:val="00791F36"/>
    <w:rsid w:val="0079208A"/>
    <w:rsid w:val="007920A6"/>
    <w:rsid w:val="007921EB"/>
    <w:rsid w:val="00792248"/>
    <w:rsid w:val="00792261"/>
    <w:rsid w:val="007922D4"/>
    <w:rsid w:val="00792304"/>
    <w:rsid w:val="00792427"/>
    <w:rsid w:val="0079246F"/>
    <w:rsid w:val="00792540"/>
    <w:rsid w:val="00792630"/>
    <w:rsid w:val="007926C3"/>
    <w:rsid w:val="00792701"/>
    <w:rsid w:val="007929F5"/>
    <w:rsid w:val="00792A42"/>
    <w:rsid w:val="00792BD4"/>
    <w:rsid w:val="00792D69"/>
    <w:rsid w:val="00792E0E"/>
    <w:rsid w:val="00792F89"/>
    <w:rsid w:val="0079304A"/>
    <w:rsid w:val="00793110"/>
    <w:rsid w:val="0079319E"/>
    <w:rsid w:val="007932A6"/>
    <w:rsid w:val="007934C8"/>
    <w:rsid w:val="007934DC"/>
    <w:rsid w:val="00793595"/>
    <w:rsid w:val="00793605"/>
    <w:rsid w:val="007936AE"/>
    <w:rsid w:val="007936C5"/>
    <w:rsid w:val="0079389B"/>
    <w:rsid w:val="00793A2A"/>
    <w:rsid w:val="00793A9B"/>
    <w:rsid w:val="00793AC7"/>
    <w:rsid w:val="00793AED"/>
    <w:rsid w:val="00793AFD"/>
    <w:rsid w:val="00793BE9"/>
    <w:rsid w:val="00793C74"/>
    <w:rsid w:val="00793C7E"/>
    <w:rsid w:val="00793DA4"/>
    <w:rsid w:val="00793E21"/>
    <w:rsid w:val="00793E35"/>
    <w:rsid w:val="00793ED3"/>
    <w:rsid w:val="00794073"/>
    <w:rsid w:val="007940C2"/>
    <w:rsid w:val="00794173"/>
    <w:rsid w:val="007941CB"/>
    <w:rsid w:val="00794251"/>
    <w:rsid w:val="0079427B"/>
    <w:rsid w:val="00794293"/>
    <w:rsid w:val="007942B7"/>
    <w:rsid w:val="007943FB"/>
    <w:rsid w:val="00794510"/>
    <w:rsid w:val="00794747"/>
    <w:rsid w:val="007947B5"/>
    <w:rsid w:val="007947C6"/>
    <w:rsid w:val="007947F7"/>
    <w:rsid w:val="00794946"/>
    <w:rsid w:val="007949FB"/>
    <w:rsid w:val="00794A21"/>
    <w:rsid w:val="00794A50"/>
    <w:rsid w:val="00794AF4"/>
    <w:rsid w:val="00794D02"/>
    <w:rsid w:val="00794DE9"/>
    <w:rsid w:val="00794EA0"/>
    <w:rsid w:val="00794EA5"/>
    <w:rsid w:val="00794FB4"/>
    <w:rsid w:val="00794FD4"/>
    <w:rsid w:val="00794FDD"/>
    <w:rsid w:val="007950DD"/>
    <w:rsid w:val="0079513F"/>
    <w:rsid w:val="00795181"/>
    <w:rsid w:val="0079531B"/>
    <w:rsid w:val="0079546E"/>
    <w:rsid w:val="0079556D"/>
    <w:rsid w:val="00795780"/>
    <w:rsid w:val="0079579E"/>
    <w:rsid w:val="007957B5"/>
    <w:rsid w:val="00795902"/>
    <w:rsid w:val="00795923"/>
    <w:rsid w:val="00795976"/>
    <w:rsid w:val="00795A17"/>
    <w:rsid w:val="00795A53"/>
    <w:rsid w:val="00795B92"/>
    <w:rsid w:val="00795C6B"/>
    <w:rsid w:val="00795CB1"/>
    <w:rsid w:val="00795CEA"/>
    <w:rsid w:val="00795D00"/>
    <w:rsid w:val="00795D8B"/>
    <w:rsid w:val="00795E0D"/>
    <w:rsid w:val="00796061"/>
    <w:rsid w:val="00796195"/>
    <w:rsid w:val="007962C7"/>
    <w:rsid w:val="007962FB"/>
    <w:rsid w:val="0079635E"/>
    <w:rsid w:val="00796370"/>
    <w:rsid w:val="007963D1"/>
    <w:rsid w:val="007964D3"/>
    <w:rsid w:val="00796523"/>
    <w:rsid w:val="00796596"/>
    <w:rsid w:val="007966A7"/>
    <w:rsid w:val="00796712"/>
    <w:rsid w:val="007967B0"/>
    <w:rsid w:val="00796A7F"/>
    <w:rsid w:val="00796AA3"/>
    <w:rsid w:val="00796AB1"/>
    <w:rsid w:val="00796DF7"/>
    <w:rsid w:val="00796E41"/>
    <w:rsid w:val="00796ED4"/>
    <w:rsid w:val="00796FF7"/>
    <w:rsid w:val="00796FF9"/>
    <w:rsid w:val="00796FFE"/>
    <w:rsid w:val="0079706A"/>
    <w:rsid w:val="00797087"/>
    <w:rsid w:val="0079746F"/>
    <w:rsid w:val="00797605"/>
    <w:rsid w:val="00797690"/>
    <w:rsid w:val="0079782B"/>
    <w:rsid w:val="007978F1"/>
    <w:rsid w:val="00797B62"/>
    <w:rsid w:val="00797B96"/>
    <w:rsid w:val="00797BB9"/>
    <w:rsid w:val="00797BC1"/>
    <w:rsid w:val="00797BF5"/>
    <w:rsid w:val="00797C23"/>
    <w:rsid w:val="00797C83"/>
    <w:rsid w:val="00797CE7"/>
    <w:rsid w:val="00797D84"/>
    <w:rsid w:val="00797D8B"/>
    <w:rsid w:val="00797D94"/>
    <w:rsid w:val="007A0532"/>
    <w:rsid w:val="007A05F6"/>
    <w:rsid w:val="007A0630"/>
    <w:rsid w:val="007A0640"/>
    <w:rsid w:val="007A06D0"/>
    <w:rsid w:val="007A082D"/>
    <w:rsid w:val="007A087D"/>
    <w:rsid w:val="007A0A7B"/>
    <w:rsid w:val="007A0ACA"/>
    <w:rsid w:val="007A0C94"/>
    <w:rsid w:val="007A0D08"/>
    <w:rsid w:val="007A0D4C"/>
    <w:rsid w:val="007A0E83"/>
    <w:rsid w:val="007A0EA5"/>
    <w:rsid w:val="007A0ED2"/>
    <w:rsid w:val="007A0EE5"/>
    <w:rsid w:val="007A0F17"/>
    <w:rsid w:val="007A0F22"/>
    <w:rsid w:val="007A0F92"/>
    <w:rsid w:val="007A0FD1"/>
    <w:rsid w:val="007A1062"/>
    <w:rsid w:val="007A10AD"/>
    <w:rsid w:val="007A10C1"/>
    <w:rsid w:val="007A10D7"/>
    <w:rsid w:val="007A10FD"/>
    <w:rsid w:val="007A10FF"/>
    <w:rsid w:val="007A11B0"/>
    <w:rsid w:val="007A13CC"/>
    <w:rsid w:val="007A146D"/>
    <w:rsid w:val="007A1541"/>
    <w:rsid w:val="007A1543"/>
    <w:rsid w:val="007A16BC"/>
    <w:rsid w:val="007A1714"/>
    <w:rsid w:val="007A17E0"/>
    <w:rsid w:val="007A17FB"/>
    <w:rsid w:val="007A18E6"/>
    <w:rsid w:val="007A18EA"/>
    <w:rsid w:val="007A1B3A"/>
    <w:rsid w:val="007A1BB7"/>
    <w:rsid w:val="007A1C74"/>
    <w:rsid w:val="007A1CAB"/>
    <w:rsid w:val="007A1CCD"/>
    <w:rsid w:val="007A1EAE"/>
    <w:rsid w:val="007A1FF4"/>
    <w:rsid w:val="007A2030"/>
    <w:rsid w:val="007A203A"/>
    <w:rsid w:val="007A2245"/>
    <w:rsid w:val="007A2478"/>
    <w:rsid w:val="007A24B7"/>
    <w:rsid w:val="007A24C4"/>
    <w:rsid w:val="007A2528"/>
    <w:rsid w:val="007A252A"/>
    <w:rsid w:val="007A25B6"/>
    <w:rsid w:val="007A25F5"/>
    <w:rsid w:val="007A26B6"/>
    <w:rsid w:val="007A2894"/>
    <w:rsid w:val="007A2982"/>
    <w:rsid w:val="007A299E"/>
    <w:rsid w:val="007A2A61"/>
    <w:rsid w:val="007A2BB7"/>
    <w:rsid w:val="007A2BD8"/>
    <w:rsid w:val="007A2BF1"/>
    <w:rsid w:val="007A2CC1"/>
    <w:rsid w:val="007A2D74"/>
    <w:rsid w:val="007A2F13"/>
    <w:rsid w:val="007A2FC4"/>
    <w:rsid w:val="007A307C"/>
    <w:rsid w:val="007A3080"/>
    <w:rsid w:val="007A30A9"/>
    <w:rsid w:val="007A31A1"/>
    <w:rsid w:val="007A328F"/>
    <w:rsid w:val="007A333E"/>
    <w:rsid w:val="007A3498"/>
    <w:rsid w:val="007A372A"/>
    <w:rsid w:val="007A37C8"/>
    <w:rsid w:val="007A38B9"/>
    <w:rsid w:val="007A39A8"/>
    <w:rsid w:val="007A39D5"/>
    <w:rsid w:val="007A3B51"/>
    <w:rsid w:val="007A3B5F"/>
    <w:rsid w:val="007A3BA2"/>
    <w:rsid w:val="007A3E49"/>
    <w:rsid w:val="007A3E6A"/>
    <w:rsid w:val="007A3FA1"/>
    <w:rsid w:val="007A40FB"/>
    <w:rsid w:val="007A4286"/>
    <w:rsid w:val="007A42C5"/>
    <w:rsid w:val="007A42F9"/>
    <w:rsid w:val="007A4326"/>
    <w:rsid w:val="007A43BE"/>
    <w:rsid w:val="007A43D4"/>
    <w:rsid w:val="007A43F5"/>
    <w:rsid w:val="007A4435"/>
    <w:rsid w:val="007A4602"/>
    <w:rsid w:val="007A467B"/>
    <w:rsid w:val="007A477A"/>
    <w:rsid w:val="007A4A1B"/>
    <w:rsid w:val="007A4B37"/>
    <w:rsid w:val="007A4D89"/>
    <w:rsid w:val="007A4DE2"/>
    <w:rsid w:val="007A4FA4"/>
    <w:rsid w:val="007A4FD0"/>
    <w:rsid w:val="007A5010"/>
    <w:rsid w:val="007A508C"/>
    <w:rsid w:val="007A512A"/>
    <w:rsid w:val="007A5148"/>
    <w:rsid w:val="007A517E"/>
    <w:rsid w:val="007A51E2"/>
    <w:rsid w:val="007A52F5"/>
    <w:rsid w:val="007A53E6"/>
    <w:rsid w:val="007A5611"/>
    <w:rsid w:val="007A57BC"/>
    <w:rsid w:val="007A57F2"/>
    <w:rsid w:val="007A5932"/>
    <w:rsid w:val="007A5A04"/>
    <w:rsid w:val="007A5A9D"/>
    <w:rsid w:val="007A5B16"/>
    <w:rsid w:val="007A5D8A"/>
    <w:rsid w:val="007A5EF6"/>
    <w:rsid w:val="007A5F2F"/>
    <w:rsid w:val="007A5F50"/>
    <w:rsid w:val="007A5F8F"/>
    <w:rsid w:val="007A5F9C"/>
    <w:rsid w:val="007A5FBB"/>
    <w:rsid w:val="007A6046"/>
    <w:rsid w:val="007A610E"/>
    <w:rsid w:val="007A625B"/>
    <w:rsid w:val="007A6277"/>
    <w:rsid w:val="007A62EB"/>
    <w:rsid w:val="007A62F7"/>
    <w:rsid w:val="007A646A"/>
    <w:rsid w:val="007A648F"/>
    <w:rsid w:val="007A6513"/>
    <w:rsid w:val="007A67A2"/>
    <w:rsid w:val="007A67BC"/>
    <w:rsid w:val="007A6958"/>
    <w:rsid w:val="007A695B"/>
    <w:rsid w:val="007A6AE6"/>
    <w:rsid w:val="007A6D89"/>
    <w:rsid w:val="007A6DA2"/>
    <w:rsid w:val="007A6E45"/>
    <w:rsid w:val="007A7169"/>
    <w:rsid w:val="007A7180"/>
    <w:rsid w:val="007A726A"/>
    <w:rsid w:val="007A7288"/>
    <w:rsid w:val="007A729B"/>
    <w:rsid w:val="007A72B6"/>
    <w:rsid w:val="007A72D5"/>
    <w:rsid w:val="007A732F"/>
    <w:rsid w:val="007A733D"/>
    <w:rsid w:val="007A7435"/>
    <w:rsid w:val="007A745B"/>
    <w:rsid w:val="007A747B"/>
    <w:rsid w:val="007A748E"/>
    <w:rsid w:val="007A75EA"/>
    <w:rsid w:val="007A7610"/>
    <w:rsid w:val="007A778C"/>
    <w:rsid w:val="007A780C"/>
    <w:rsid w:val="007A782A"/>
    <w:rsid w:val="007A78EB"/>
    <w:rsid w:val="007A796E"/>
    <w:rsid w:val="007A7993"/>
    <w:rsid w:val="007A7B08"/>
    <w:rsid w:val="007A7C94"/>
    <w:rsid w:val="007A7D1C"/>
    <w:rsid w:val="007A7D4B"/>
    <w:rsid w:val="007A7EB9"/>
    <w:rsid w:val="007A7F18"/>
    <w:rsid w:val="007B0025"/>
    <w:rsid w:val="007B0397"/>
    <w:rsid w:val="007B0583"/>
    <w:rsid w:val="007B0595"/>
    <w:rsid w:val="007B0632"/>
    <w:rsid w:val="007B063E"/>
    <w:rsid w:val="007B0696"/>
    <w:rsid w:val="007B06D7"/>
    <w:rsid w:val="007B0735"/>
    <w:rsid w:val="007B0841"/>
    <w:rsid w:val="007B08DE"/>
    <w:rsid w:val="007B09AE"/>
    <w:rsid w:val="007B0B15"/>
    <w:rsid w:val="007B0B74"/>
    <w:rsid w:val="007B0BA9"/>
    <w:rsid w:val="007B0BCF"/>
    <w:rsid w:val="007B0C7B"/>
    <w:rsid w:val="007B0D3D"/>
    <w:rsid w:val="007B0E96"/>
    <w:rsid w:val="007B0EB0"/>
    <w:rsid w:val="007B0EC2"/>
    <w:rsid w:val="007B1340"/>
    <w:rsid w:val="007B13C5"/>
    <w:rsid w:val="007B1466"/>
    <w:rsid w:val="007B178E"/>
    <w:rsid w:val="007B18CD"/>
    <w:rsid w:val="007B195A"/>
    <w:rsid w:val="007B1A5B"/>
    <w:rsid w:val="007B1BDF"/>
    <w:rsid w:val="007B1BE0"/>
    <w:rsid w:val="007B1C59"/>
    <w:rsid w:val="007B1CA7"/>
    <w:rsid w:val="007B1D4A"/>
    <w:rsid w:val="007B1EF3"/>
    <w:rsid w:val="007B1F8E"/>
    <w:rsid w:val="007B1FFC"/>
    <w:rsid w:val="007B2099"/>
    <w:rsid w:val="007B2223"/>
    <w:rsid w:val="007B2567"/>
    <w:rsid w:val="007B266A"/>
    <w:rsid w:val="007B272F"/>
    <w:rsid w:val="007B2883"/>
    <w:rsid w:val="007B29C3"/>
    <w:rsid w:val="007B2BD3"/>
    <w:rsid w:val="007B2F0B"/>
    <w:rsid w:val="007B3198"/>
    <w:rsid w:val="007B32B9"/>
    <w:rsid w:val="007B32BD"/>
    <w:rsid w:val="007B3436"/>
    <w:rsid w:val="007B35AB"/>
    <w:rsid w:val="007B36D4"/>
    <w:rsid w:val="007B377F"/>
    <w:rsid w:val="007B393F"/>
    <w:rsid w:val="007B3946"/>
    <w:rsid w:val="007B397F"/>
    <w:rsid w:val="007B39AE"/>
    <w:rsid w:val="007B3A73"/>
    <w:rsid w:val="007B3C57"/>
    <w:rsid w:val="007B3C8C"/>
    <w:rsid w:val="007B3D20"/>
    <w:rsid w:val="007B3D2B"/>
    <w:rsid w:val="007B3D8A"/>
    <w:rsid w:val="007B3DB5"/>
    <w:rsid w:val="007B3DB8"/>
    <w:rsid w:val="007B3DDE"/>
    <w:rsid w:val="007B3EEF"/>
    <w:rsid w:val="007B3F64"/>
    <w:rsid w:val="007B3FCD"/>
    <w:rsid w:val="007B4377"/>
    <w:rsid w:val="007B453B"/>
    <w:rsid w:val="007B454F"/>
    <w:rsid w:val="007B458A"/>
    <w:rsid w:val="007B45F7"/>
    <w:rsid w:val="007B4AE6"/>
    <w:rsid w:val="007B4B01"/>
    <w:rsid w:val="007B4B04"/>
    <w:rsid w:val="007B4B41"/>
    <w:rsid w:val="007B4DD5"/>
    <w:rsid w:val="007B4EF6"/>
    <w:rsid w:val="007B4FD1"/>
    <w:rsid w:val="007B5090"/>
    <w:rsid w:val="007B5127"/>
    <w:rsid w:val="007B51FA"/>
    <w:rsid w:val="007B5303"/>
    <w:rsid w:val="007B5342"/>
    <w:rsid w:val="007B5390"/>
    <w:rsid w:val="007B53AB"/>
    <w:rsid w:val="007B53CA"/>
    <w:rsid w:val="007B5417"/>
    <w:rsid w:val="007B547B"/>
    <w:rsid w:val="007B54A0"/>
    <w:rsid w:val="007B551E"/>
    <w:rsid w:val="007B554D"/>
    <w:rsid w:val="007B55F9"/>
    <w:rsid w:val="007B56EF"/>
    <w:rsid w:val="007B5825"/>
    <w:rsid w:val="007B5A5C"/>
    <w:rsid w:val="007B5B71"/>
    <w:rsid w:val="007B5D48"/>
    <w:rsid w:val="007B5DA3"/>
    <w:rsid w:val="007B5E8A"/>
    <w:rsid w:val="007B5EED"/>
    <w:rsid w:val="007B5F26"/>
    <w:rsid w:val="007B60DE"/>
    <w:rsid w:val="007B61F1"/>
    <w:rsid w:val="007B6298"/>
    <w:rsid w:val="007B636C"/>
    <w:rsid w:val="007B6432"/>
    <w:rsid w:val="007B643D"/>
    <w:rsid w:val="007B6758"/>
    <w:rsid w:val="007B67D1"/>
    <w:rsid w:val="007B68AC"/>
    <w:rsid w:val="007B69BC"/>
    <w:rsid w:val="007B6C24"/>
    <w:rsid w:val="007B719D"/>
    <w:rsid w:val="007B734E"/>
    <w:rsid w:val="007B7368"/>
    <w:rsid w:val="007B7369"/>
    <w:rsid w:val="007B737C"/>
    <w:rsid w:val="007B745B"/>
    <w:rsid w:val="007B7615"/>
    <w:rsid w:val="007B76BB"/>
    <w:rsid w:val="007B7724"/>
    <w:rsid w:val="007B7793"/>
    <w:rsid w:val="007B77D1"/>
    <w:rsid w:val="007B783B"/>
    <w:rsid w:val="007B79E9"/>
    <w:rsid w:val="007B7A0D"/>
    <w:rsid w:val="007B7A99"/>
    <w:rsid w:val="007B7AD5"/>
    <w:rsid w:val="007B7D0A"/>
    <w:rsid w:val="007B7E9C"/>
    <w:rsid w:val="007B7F02"/>
    <w:rsid w:val="007B7F7C"/>
    <w:rsid w:val="007C0083"/>
    <w:rsid w:val="007C0117"/>
    <w:rsid w:val="007C01AD"/>
    <w:rsid w:val="007C01DC"/>
    <w:rsid w:val="007C0204"/>
    <w:rsid w:val="007C024F"/>
    <w:rsid w:val="007C0290"/>
    <w:rsid w:val="007C04FD"/>
    <w:rsid w:val="007C0588"/>
    <w:rsid w:val="007C058F"/>
    <w:rsid w:val="007C0593"/>
    <w:rsid w:val="007C0628"/>
    <w:rsid w:val="007C063D"/>
    <w:rsid w:val="007C06F5"/>
    <w:rsid w:val="007C0747"/>
    <w:rsid w:val="007C0782"/>
    <w:rsid w:val="007C081A"/>
    <w:rsid w:val="007C0867"/>
    <w:rsid w:val="007C09C1"/>
    <w:rsid w:val="007C0B8E"/>
    <w:rsid w:val="007C0C34"/>
    <w:rsid w:val="007C0C37"/>
    <w:rsid w:val="007C0C47"/>
    <w:rsid w:val="007C0C84"/>
    <w:rsid w:val="007C0CEE"/>
    <w:rsid w:val="007C0E07"/>
    <w:rsid w:val="007C0EC7"/>
    <w:rsid w:val="007C10C8"/>
    <w:rsid w:val="007C12E3"/>
    <w:rsid w:val="007C13AB"/>
    <w:rsid w:val="007C13AF"/>
    <w:rsid w:val="007C13B9"/>
    <w:rsid w:val="007C145B"/>
    <w:rsid w:val="007C1562"/>
    <w:rsid w:val="007C17BE"/>
    <w:rsid w:val="007C195C"/>
    <w:rsid w:val="007C1AAC"/>
    <w:rsid w:val="007C1B16"/>
    <w:rsid w:val="007C1C65"/>
    <w:rsid w:val="007C1D73"/>
    <w:rsid w:val="007C1DF6"/>
    <w:rsid w:val="007C1E03"/>
    <w:rsid w:val="007C1F16"/>
    <w:rsid w:val="007C1F20"/>
    <w:rsid w:val="007C1FD1"/>
    <w:rsid w:val="007C2187"/>
    <w:rsid w:val="007C2268"/>
    <w:rsid w:val="007C236E"/>
    <w:rsid w:val="007C2438"/>
    <w:rsid w:val="007C24DF"/>
    <w:rsid w:val="007C2601"/>
    <w:rsid w:val="007C26DF"/>
    <w:rsid w:val="007C2931"/>
    <w:rsid w:val="007C293A"/>
    <w:rsid w:val="007C2A92"/>
    <w:rsid w:val="007C2C5B"/>
    <w:rsid w:val="007C2D08"/>
    <w:rsid w:val="007C2D36"/>
    <w:rsid w:val="007C2DED"/>
    <w:rsid w:val="007C2F57"/>
    <w:rsid w:val="007C3002"/>
    <w:rsid w:val="007C3053"/>
    <w:rsid w:val="007C3104"/>
    <w:rsid w:val="007C343F"/>
    <w:rsid w:val="007C3506"/>
    <w:rsid w:val="007C3716"/>
    <w:rsid w:val="007C39AC"/>
    <w:rsid w:val="007C39E2"/>
    <w:rsid w:val="007C3A15"/>
    <w:rsid w:val="007C3D2C"/>
    <w:rsid w:val="007C3E72"/>
    <w:rsid w:val="007C3E74"/>
    <w:rsid w:val="007C3E93"/>
    <w:rsid w:val="007C3EE5"/>
    <w:rsid w:val="007C3F56"/>
    <w:rsid w:val="007C3F77"/>
    <w:rsid w:val="007C4052"/>
    <w:rsid w:val="007C40EA"/>
    <w:rsid w:val="007C412F"/>
    <w:rsid w:val="007C4295"/>
    <w:rsid w:val="007C4347"/>
    <w:rsid w:val="007C43AF"/>
    <w:rsid w:val="007C4453"/>
    <w:rsid w:val="007C44EB"/>
    <w:rsid w:val="007C48E2"/>
    <w:rsid w:val="007C4A0B"/>
    <w:rsid w:val="007C4CFD"/>
    <w:rsid w:val="007C4EDD"/>
    <w:rsid w:val="007C4EE0"/>
    <w:rsid w:val="007C4FD1"/>
    <w:rsid w:val="007C500D"/>
    <w:rsid w:val="007C508E"/>
    <w:rsid w:val="007C5091"/>
    <w:rsid w:val="007C50BE"/>
    <w:rsid w:val="007C511B"/>
    <w:rsid w:val="007C51BC"/>
    <w:rsid w:val="007C5272"/>
    <w:rsid w:val="007C5279"/>
    <w:rsid w:val="007C539D"/>
    <w:rsid w:val="007C548D"/>
    <w:rsid w:val="007C579C"/>
    <w:rsid w:val="007C581E"/>
    <w:rsid w:val="007C58B6"/>
    <w:rsid w:val="007C592E"/>
    <w:rsid w:val="007C5957"/>
    <w:rsid w:val="007C5A62"/>
    <w:rsid w:val="007C5A92"/>
    <w:rsid w:val="007C5C88"/>
    <w:rsid w:val="007C5D7B"/>
    <w:rsid w:val="007C5E48"/>
    <w:rsid w:val="007C5EF4"/>
    <w:rsid w:val="007C5FD2"/>
    <w:rsid w:val="007C63CF"/>
    <w:rsid w:val="007C6707"/>
    <w:rsid w:val="007C6752"/>
    <w:rsid w:val="007C6880"/>
    <w:rsid w:val="007C68C2"/>
    <w:rsid w:val="007C69FC"/>
    <w:rsid w:val="007C6A8B"/>
    <w:rsid w:val="007C6C62"/>
    <w:rsid w:val="007C6D17"/>
    <w:rsid w:val="007C6E27"/>
    <w:rsid w:val="007C6E9C"/>
    <w:rsid w:val="007C6FA5"/>
    <w:rsid w:val="007C6FAD"/>
    <w:rsid w:val="007C70A2"/>
    <w:rsid w:val="007C719E"/>
    <w:rsid w:val="007C7208"/>
    <w:rsid w:val="007C7243"/>
    <w:rsid w:val="007C724D"/>
    <w:rsid w:val="007C72D4"/>
    <w:rsid w:val="007C72DD"/>
    <w:rsid w:val="007C74FA"/>
    <w:rsid w:val="007C7530"/>
    <w:rsid w:val="007C759F"/>
    <w:rsid w:val="007C75A9"/>
    <w:rsid w:val="007C7654"/>
    <w:rsid w:val="007C7858"/>
    <w:rsid w:val="007C787F"/>
    <w:rsid w:val="007C7915"/>
    <w:rsid w:val="007C79FD"/>
    <w:rsid w:val="007C7A5E"/>
    <w:rsid w:val="007C7B07"/>
    <w:rsid w:val="007C7C54"/>
    <w:rsid w:val="007C7D5F"/>
    <w:rsid w:val="007C7E9A"/>
    <w:rsid w:val="007C7EE9"/>
    <w:rsid w:val="007C7F0A"/>
    <w:rsid w:val="007C7FB1"/>
    <w:rsid w:val="007C7FC0"/>
    <w:rsid w:val="007CE0F6"/>
    <w:rsid w:val="007D000B"/>
    <w:rsid w:val="007D0091"/>
    <w:rsid w:val="007D00B0"/>
    <w:rsid w:val="007D00B6"/>
    <w:rsid w:val="007D0179"/>
    <w:rsid w:val="007D01F7"/>
    <w:rsid w:val="007D03A6"/>
    <w:rsid w:val="007D04F7"/>
    <w:rsid w:val="007D0904"/>
    <w:rsid w:val="007D0B01"/>
    <w:rsid w:val="007D0B10"/>
    <w:rsid w:val="007D0D1E"/>
    <w:rsid w:val="007D0D31"/>
    <w:rsid w:val="007D0D66"/>
    <w:rsid w:val="007D0EAE"/>
    <w:rsid w:val="007D0EF4"/>
    <w:rsid w:val="007D0FA8"/>
    <w:rsid w:val="007D1033"/>
    <w:rsid w:val="007D1073"/>
    <w:rsid w:val="007D10E3"/>
    <w:rsid w:val="007D1114"/>
    <w:rsid w:val="007D115E"/>
    <w:rsid w:val="007D1195"/>
    <w:rsid w:val="007D11A5"/>
    <w:rsid w:val="007D1320"/>
    <w:rsid w:val="007D1390"/>
    <w:rsid w:val="007D13A4"/>
    <w:rsid w:val="007D1479"/>
    <w:rsid w:val="007D1646"/>
    <w:rsid w:val="007D16AA"/>
    <w:rsid w:val="007D16B8"/>
    <w:rsid w:val="007D16BD"/>
    <w:rsid w:val="007D16C4"/>
    <w:rsid w:val="007D181E"/>
    <w:rsid w:val="007D1ABA"/>
    <w:rsid w:val="007D1AF9"/>
    <w:rsid w:val="007D1B2B"/>
    <w:rsid w:val="007D1BF8"/>
    <w:rsid w:val="007D1DC1"/>
    <w:rsid w:val="007D1ED1"/>
    <w:rsid w:val="007D20BB"/>
    <w:rsid w:val="007D20F0"/>
    <w:rsid w:val="007D21BD"/>
    <w:rsid w:val="007D21E0"/>
    <w:rsid w:val="007D21FB"/>
    <w:rsid w:val="007D22D2"/>
    <w:rsid w:val="007D2301"/>
    <w:rsid w:val="007D237A"/>
    <w:rsid w:val="007D248B"/>
    <w:rsid w:val="007D251A"/>
    <w:rsid w:val="007D2684"/>
    <w:rsid w:val="007D26EE"/>
    <w:rsid w:val="007D279F"/>
    <w:rsid w:val="007D28C7"/>
    <w:rsid w:val="007D28D3"/>
    <w:rsid w:val="007D297A"/>
    <w:rsid w:val="007D299E"/>
    <w:rsid w:val="007D2A7E"/>
    <w:rsid w:val="007D2ADD"/>
    <w:rsid w:val="007D2C61"/>
    <w:rsid w:val="007D2C71"/>
    <w:rsid w:val="007D2D30"/>
    <w:rsid w:val="007D2E2E"/>
    <w:rsid w:val="007D2F4D"/>
    <w:rsid w:val="007D2F95"/>
    <w:rsid w:val="007D2FBA"/>
    <w:rsid w:val="007D2FDD"/>
    <w:rsid w:val="007D3063"/>
    <w:rsid w:val="007D30AE"/>
    <w:rsid w:val="007D330F"/>
    <w:rsid w:val="007D33B5"/>
    <w:rsid w:val="007D353B"/>
    <w:rsid w:val="007D3676"/>
    <w:rsid w:val="007D3766"/>
    <w:rsid w:val="007D3A04"/>
    <w:rsid w:val="007D3A76"/>
    <w:rsid w:val="007D3AEE"/>
    <w:rsid w:val="007D3B3B"/>
    <w:rsid w:val="007D3BE2"/>
    <w:rsid w:val="007D3C52"/>
    <w:rsid w:val="007D3CBC"/>
    <w:rsid w:val="007D3CDA"/>
    <w:rsid w:val="007D3E21"/>
    <w:rsid w:val="007D4112"/>
    <w:rsid w:val="007D41E5"/>
    <w:rsid w:val="007D4228"/>
    <w:rsid w:val="007D42A7"/>
    <w:rsid w:val="007D4365"/>
    <w:rsid w:val="007D443D"/>
    <w:rsid w:val="007D455F"/>
    <w:rsid w:val="007D4563"/>
    <w:rsid w:val="007D4610"/>
    <w:rsid w:val="007D471F"/>
    <w:rsid w:val="007D4747"/>
    <w:rsid w:val="007D47C5"/>
    <w:rsid w:val="007D483D"/>
    <w:rsid w:val="007D4A88"/>
    <w:rsid w:val="007D4AB5"/>
    <w:rsid w:val="007D4AB9"/>
    <w:rsid w:val="007D4BBD"/>
    <w:rsid w:val="007D4D90"/>
    <w:rsid w:val="007D4DF3"/>
    <w:rsid w:val="007D4EAC"/>
    <w:rsid w:val="007D4F33"/>
    <w:rsid w:val="007D508B"/>
    <w:rsid w:val="007D50D8"/>
    <w:rsid w:val="007D51E0"/>
    <w:rsid w:val="007D51F0"/>
    <w:rsid w:val="007D5272"/>
    <w:rsid w:val="007D5447"/>
    <w:rsid w:val="007D54B1"/>
    <w:rsid w:val="007D54BD"/>
    <w:rsid w:val="007D5694"/>
    <w:rsid w:val="007D5737"/>
    <w:rsid w:val="007D5744"/>
    <w:rsid w:val="007D58F4"/>
    <w:rsid w:val="007D5A0D"/>
    <w:rsid w:val="007D5A19"/>
    <w:rsid w:val="007D5B63"/>
    <w:rsid w:val="007D5B7C"/>
    <w:rsid w:val="007D5BE0"/>
    <w:rsid w:val="007D5CBC"/>
    <w:rsid w:val="007D5D49"/>
    <w:rsid w:val="007D5DE0"/>
    <w:rsid w:val="007D5E79"/>
    <w:rsid w:val="007D5E95"/>
    <w:rsid w:val="007D5EC3"/>
    <w:rsid w:val="007D5F41"/>
    <w:rsid w:val="007D6148"/>
    <w:rsid w:val="007D6150"/>
    <w:rsid w:val="007D6174"/>
    <w:rsid w:val="007D640B"/>
    <w:rsid w:val="007D645C"/>
    <w:rsid w:val="007D6479"/>
    <w:rsid w:val="007D6534"/>
    <w:rsid w:val="007D6553"/>
    <w:rsid w:val="007D6565"/>
    <w:rsid w:val="007D65C8"/>
    <w:rsid w:val="007D6624"/>
    <w:rsid w:val="007D6631"/>
    <w:rsid w:val="007D6691"/>
    <w:rsid w:val="007D669B"/>
    <w:rsid w:val="007D671F"/>
    <w:rsid w:val="007D672A"/>
    <w:rsid w:val="007D6755"/>
    <w:rsid w:val="007D67B3"/>
    <w:rsid w:val="007D685F"/>
    <w:rsid w:val="007D6877"/>
    <w:rsid w:val="007D689E"/>
    <w:rsid w:val="007D68A9"/>
    <w:rsid w:val="007D68C3"/>
    <w:rsid w:val="007D696D"/>
    <w:rsid w:val="007D6A46"/>
    <w:rsid w:val="007D6ACC"/>
    <w:rsid w:val="007D6D66"/>
    <w:rsid w:val="007D6DB6"/>
    <w:rsid w:val="007D6DBF"/>
    <w:rsid w:val="007D6E1A"/>
    <w:rsid w:val="007D6EB7"/>
    <w:rsid w:val="007D6ED2"/>
    <w:rsid w:val="007D6ED6"/>
    <w:rsid w:val="007D6F26"/>
    <w:rsid w:val="007D6FAE"/>
    <w:rsid w:val="007D6FB1"/>
    <w:rsid w:val="007D70AC"/>
    <w:rsid w:val="007D719F"/>
    <w:rsid w:val="007D71B0"/>
    <w:rsid w:val="007D726A"/>
    <w:rsid w:val="007D731C"/>
    <w:rsid w:val="007D7355"/>
    <w:rsid w:val="007D7447"/>
    <w:rsid w:val="007D74C9"/>
    <w:rsid w:val="007D7548"/>
    <w:rsid w:val="007D75F8"/>
    <w:rsid w:val="007D771A"/>
    <w:rsid w:val="007D789E"/>
    <w:rsid w:val="007D78A7"/>
    <w:rsid w:val="007D79FD"/>
    <w:rsid w:val="007D7A69"/>
    <w:rsid w:val="007D7AC2"/>
    <w:rsid w:val="007D7B4A"/>
    <w:rsid w:val="007D7D1D"/>
    <w:rsid w:val="007D7DC0"/>
    <w:rsid w:val="007D7EB1"/>
    <w:rsid w:val="007E0023"/>
    <w:rsid w:val="007E0116"/>
    <w:rsid w:val="007E01A0"/>
    <w:rsid w:val="007E02B9"/>
    <w:rsid w:val="007E02CF"/>
    <w:rsid w:val="007E0301"/>
    <w:rsid w:val="007E0395"/>
    <w:rsid w:val="007E03C6"/>
    <w:rsid w:val="007E05D0"/>
    <w:rsid w:val="007E0661"/>
    <w:rsid w:val="007E06EF"/>
    <w:rsid w:val="007E088D"/>
    <w:rsid w:val="007E098D"/>
    <w:rsid w:val="007E099B"/>
    <w:rsid w:val="007E09E1"/>
    <w:rsid w:val="007E0A63"/>
    <w:rsid w:val="007E0AF5"/>
    <w:rsid w:val="007E0B50"/>
    <w:rsid w:val="007E0CB8"/>
    <w:rsid w:val="007E0E70"/>
    <w:rsid w:val="007E0EF7"/>
    <w:rsid w:val="007E1182"/>
    <w:rsid w:val="007E132C"/>
    <w:rsid w:val="007E13B5"/>
    <w:rsid w:val="007E143F"/>
    <w:rsid w:val="007E1598"/>
    <w:rsid w:val="007E159C"/>
    <w:rsid w:val="007E1651"/>
    <w:rsid w:val="007E182F"/>
    <w:rsid w:val="007E1895"/>
    <w:rsid w:val="007E1A9F"/>
    <w:rsid w:val="007E1ACA"/>
    <w:rsid w:val="007E1AD9"/>
    <w:rsid w:val="007E1D16"/>
    <w:rsid w:val="007E1D33"/>
    <w:rsid w:val="007E1DE7"/>
    <w:rsid w:val="007E2079"/>
    <w:rsid w:val="007E21A0"/>
    <w:rsid w:val="007E21E2"/>
    <w:rsid w:val="007E21E9"/>
    <w:rsid w:val="007E22EB"/>
    <w:rsid w:val="007E22FD"/>
    <w:rsid w:val="007E2390"/>
    <w:rsid w:val="007E23CA"/>
    <w:rsid w:val="007E2547"/>
    <w:rsid w:val="007E2548"/>
    <w:rsid w:val="007E25E3"/>
    <w:rsid w:val="007E2600"/>
    <w:rsid w:val="007E270A"/>
    <w:rsid w:val="007E277A"/>
    <w:rsid w:val="007E280B"/>
    <w:rsid w:val="007E288A"/>
    <w:rsid w:val="007E28AD"/>
    <w:rsid w:val="007E28F7"/>
    <w:rsid w:val="007E2B54"/>
    <w:rsid w:val="007E2B58"/>
    <w:rsid w:val="007E2BF5"/>
    <w:rsid w:val="007E2CB9"/>
    <w:rsid w:val="007E2D0E"/>
    <w:rsid w:val="007E2D36"/>
    <w:rsid w:val="007E2D64"/>
    <w:rsid w:val="007E2DC8"/>
    <w:rsid w:val="007E2DEC"/>
    <w:rsid w:val="007E2EDE"/>
    <w:rsid w:val="007E2EF2"/>
    <w:rsid w:val="007E3023"/>
    <w:rsid w:val="007E30A2"/>
    <w:rsid w:val="007E30A6"/>
    <w:rsid w:val="007E323E"/>
    <w:rsid w:val="007E3245"/>
    <w:rsid w:val="007E3287"/>
    <w:rsid w:val="007E335D"/>
    <w:rsid w:val="007E34CE"/>
    <w:rsid w:val="007E3729"/>
    <w:rsid w:val="007E37BA"/>
    <w:rsid w:val="007E3924"/>
    <w:rsid w:val="007E39FA"/>
    <w:rsid w:val="007E3A2C"/>
    <w:rsid w:val="007E3B09"/>
    <w:rsid w:val="007E3B8D"/>
    <w:rsid w:val="007E3C3E"/>
    <w:rsid w:val="007E3E75"/>
    <w:rsid w:val="007E40CB"/>
    <w:rsid w:val="007E4163"/>
    <w:rsid w:val="007E428C"/>
    <w:rsid w:val="007E42A7"/>
    <w:rsid w:val="007E43D3"/>
    <w:rsid w:val="007E4496"/>
    <w:rsid w:val="007E45EF"/>
    <w:rsid w:val="007E4649"/>
    <w:rsid w:val="007E4704"/>
    <w:rsid w:val="007E4807"/>
    <w:rsid w:val="007E4A59"/>
    <w:rsid w:val="007E4A97"/>
    <w:rsid w:val="007E4D8D"/>
    <w:rsid w:val="007E4E4B"/>
    <w:rsid w:val="007E4E91"/>
    <w:rsid w:val="007E4ED8"/>
    <w:rsid w:val="007E4EDF"/>
    <w:rsid w:val="007E4F38"/>
    <w:rsid w:val="007E4F9C"/>
    <w:rsid w:val="007E52B3"/>
    <w:rsid w:val="007E52B9"/>
    <w:rsid w:val="007E5407"/>
    <w:rsid w:val="007E54ED"/>
    <w:rsid w:val="007E55ED"/>
    <w:rsid w:val="007E56A6"/>
    <w:rsid w:val="007E56C5"/>
    <w:rsid w:val="007E56F9"/>
    <w:rsid w:val="007E5810"/>
    <w:rsid w:val="007E5C5E"/>
    <w:rsid w:val="007E5D21"/>
    <w:rsid w:val="007E5E2A"/>
    <w:rsid w:val="007E60FC"/>
    <w:rsid w:val="007E619C"/>
    <w:rsid w:val="007E6392"/>
    <w:rsid w:val="007E6465"/>
    <w:rsid w:val="007E6647"/>
    <w:rsid w:val="007E67E9"/>
    <w:rsid w:val="007E6877"/>
    <w:rsid w:val="007E68D9"/>
    <w:rsid w:val="007E694C"/>
    <w:rsid w:val="007E69A0"/>
    <w:rsid w:val="007E6BE3"/>
    <w:rsid w:val="007E6E0E"/>
    <w:rsid w:val="007E6F49"/>
    <w:rsid w:val="007E6F96"/>
    <w:rsid w:val="007E7096"/>
    <w:rsid w:val="007E70A2"/>
    <w:rsid w:val="007E717A"/>
    <w:rsid w:val="007E7281"/>
    <w:rsid w:val="007E7305"/>
    <w:rsid w:val="007E744F"/>
    <w:rsid w:val="007E74E5"/>
    <w:rsid w:val="007E75C2"/>
    <w:rsid w:val="007E7678"/>
    <w:rsid w:val="007E769F"/>
    <w:rsid w:val="007E77F3"/>
    <w:rsid w:val="007E78EC"/>
    <w:rsid w:val="007E792A"/>
    <w:rsid w:val="007E7A4D"/>
    <w:rsid w:val="007E7C7B"/>
    <w:rsid w:val="007E7C94"/>
    <w:rsid w:val="007E7CC5"/>
    <w:rsid w:val="007E7FF6"/>
    <w:rsid w:val="007F00A8"/>
    <w:rsid w:val="007F00C9"/>
    <w:rsid w:val="007F0141"/>
    <w:rsid w:val="007F015C"/>
    <w:rsid w:val="007F0195"/>
    <w:rsid w:val="007F023D"/>
    <w:rsid w:val="007F0326"/>
    <w:rsid w:val="007F0468"/>
    <w:rsid w:val="007F04AA"/>
    <w:rsid w:val="007F0554"/>
    <w:rsid w:val="007F065D"/>
    <w:rsid w:val="007F06DA"/>
    <w:rsid w:val="007F0924"/>
    <w:rsid w:val="007F098D"/>
    <w:rsid w:val="007F0AC1"/>
    <w:rsid w:val="007F0B06"/>
    <w:rsid w:val="007F0BB3"/>
    <w:rsid w:val="007F0CC4"/>
    <w:rsid w:val="007F0D42"/>
    <w:rsid w:val="007F0DB4"/>
    <w:rsid w:val="007F0F1C"/>
    <w:rsid w:val="007F0F7D"/>
    <w:rsid w:val="007F0F7E"/>
    <w:rsid w:val="007F10E9"/>
    <w:rsid w:val="007F119A"/>
    <w:rsid w:val="007F12C2"/>
    <w:rsid w:val="007F12C9"/>
    <w:rsid w:val="007F1359"/>
    <w:rsid w:val="007F1500"/>
    <w:rsid w:val="007F1570"/>
    <w:rsid w:val="007F1675"/>
    <w:rsid w:val="007F16F1"/>
    <w:rsid w:val="007F17E2"/>
    <w:rsid w:val="007F1850"/>
    <w:rsid w:val="007F189B"/>
    <w:rsid w:val="007F18B2"/>
    <w:rsid w:val="007F19A1"/>
    <w:rsid w:val="007F1AB9"/>
    <w:rsid w:val="007F1AFC"/>
    <w:rsid w:val="007F1BD8"/>
    <w:rsid w:val="007F1C18"/>
    <w:rsid w:val="007F1C39"/>
    <w:rsid w:val="007F1D45"/>
    <w:rsid w:val="007F20C3"/>
    <w:rsid w:val="007F20F8"/>
    <w:rsid w:val="007F2131"/>
    <w:rsid w:val="007F214F"/>
    <w:rsid w:val="007F2152"/>
    <w:rsid w:val="007F2167"/>
    <w:rsid w:val="007F222F"/>
    <w:rsid w:val="007F232D"/>
    <w:rsid w:val="007F2336"/>
    <w:rsid w:val="007F25EA"/>
    <w:rsid w:val="007F2633"/>
    <w:rsid w:val="007F2685"/>
    <w:rsid w:val="007F2748"/>
    <w:rsid w:val="007F27EA"/>
    <w:rsid w:val="007F284C"/>
    <w:rsid w:val="007F289F"/>
    <w:rsid w:val="007F28A8"/>
    <w:rsid w:val="007F28DF"/>
    <w:rsid w:val="007F29A9"/>
    <w:rsid w:val="007F29CC"/>
    <w:rsid w:val="007F2A93"/>
    <w:rsid w:val="007F2C2B"/>
    <w:rsid w:val="007F2D00"/>
    <w:rsid w:val="007F2DAB"/>
    <w:rsid w:val="007F2EB9"/>
    <w:rsid w:val="007F2FFF"/>
    <w:rsid w:val="007F3099"/>
    <w:rsid w:val="007F3412"/>
    <w:rsid w:val="007F3489"/>
    <w:rsid w:val="007F34A0"/>
    <w:rsid w:val="007F34AE"/>
    <w:rsid w:val="007F3574"/>
    <w:rsid w:val="007F36E3"/>
    <w:rsid w:val="007F370F"/>
    <w:rsid w:val="007F3844"/>
    <w:rsid w:val="007F38B2"/>
    <w:rsid w:val="007F3A4D"/>
    <w:rsid w:val="007F3BE0"/>
    <w:rsid w:val="007F3C2B"/>
    <w:rsid w:val="007F3C8A"/>
    <w:rsid w:val="007F3FAB"/>
    <w:rsid w:val="007F403D"/>
    <w:rsid w:val="007F4068"/>
    <w:rsid w:val="007F406C"/>
    <w:rsid w:val="007F4116"/>
    <w:rsid w:val="007F4126"/>
    <w:rsid w:val="007F41A7"/>
    <w:rsid w:val="007F41C4"/>
    <w:rsid w:val="007F4266"/>
    <w:rsid w:val="007F4292"/>
    <w:rsid w:val="007F42C3"/>
    <w:rsid w:val="007F43F1"/>
    <w:rsid w:val="007F43F6"/>
    <w:rsid w:val="007F4491"/>
    <w:rsid w:val="007F44EF"/>
    <w:rsid w:val="007F461B"/>
    <w:rsid w:val="007F4682"/>
    <w:rsid w:val="007F46D6"/>
    <w:rsid w:val="007F4818"/>
    <w:rsid w:val="007F483A"/>
    <w:rsid w:val="007F48CE"/>
    <w:rsid w:val="007F4951"/>
    <w:rsid w:val="007F4A16"/>
    <w:rsid w:val="007F4A52"/>
    <w:rsid w:val="007F4A9C"/>
    <w:rsid w:val="007F4B9D"/>
    <w:rsid w:val="007F4D3C"/>
    <w:rsid w:val="007F4D77"/>
    <w:rsid w:val="007F4D8B"/>
    <w:rsid w:val="007F4D8E"/>
    <w:rsid w:val="007F4E99"/>
    <w:rsid w:val="007F4F85"/>
    <w:rsid w:val="007F5226"/>
    <w:rsid w:val="007F5310"/>
    <w:rsid w:val="007F5442"/>
    <w:rsid w:val="007F5494"/>
    <w:rsid w:val="007F54FD"/>
    <w:rsid w:val="007F56D7"/>
    <w:rsid w:val="007F5707"/>
    <w:rsid w:val="007F5744"/>
    <w:rsid w:val="007F57F1"/>
    <w:rsid w:val="007F583F"/>
    <w:rsid w:val="007F5912"/>
    <w:rsid w:val="007F5AA7"/>
    <w:rsid w:val="007F5AA8"/>
    <w:rsid w:val="007F5AF8"/>
    <w:rsid w:val="007F5B8D"/>
    <w:rsid w:val="007F5CEC"/>
    <w:rsid w:val="007F5D41"/>
    <w:rsid w:val="007F5D7E"/>
    <w:rsid w:val="007F5F12"/>
    <w:rsid w:val="007F5F45"/>
    <w:rsid w:val="007F5F76"/>
    <w:rsid w:val="007F611A"/>
    <w:rsid w:val="007F61A1"/>
    <w:rsid w:val="007F6214"/>
    <w:rsid w:val="007F6239"/>
    <w:rsid w:val="007F6331"/>
    <w:rsid w:val="007F641D"/>
    <w:rsid w:val="007F6450"/>
    <w:rsid w:val="007F6671"/>
    <w:rsid w:val="007F66F9"/>
    <w:rsid w:val="007F671E"/>
    <w:rsid w:val="007F6856"/>
    <w:rsid w:val="007F699E"/>
    <w:rsid w:val="007F6BD8"/>
    <w:rsid w:val="007F6C2B"/>
    <w:rsid w:val="007F6C9F"/>
    <w:rsid w:val="007F6D74"/>
    <w:rsid w:val="007F6DFC"/>
    <w:rsid w:val="007F6E1C"/>
    <w:rsid w:val="007F6EB9"/>
    <w:rsid w:val="007F6F91"/>
    <w:rsid w:val="007F6FFC"/>
    <w:rsid w:val="007F7032"/>
    <w:rsid w:val="007F70E5"/>
    <w:rsid w:val="007F70FD"/>
    <w:rsid w:val="007F71C7"/>
    <w:rsid w:val="007F71FE"/>
    <w:rsid w:val="007F7238"/>
    <w:rsid w:val="007F736D"/>
    <w:rsid w:val="007F73DD"/>
    <w:rsid w:val="007F743B"/>
    <w:rsid w:val="007F74B4"/>
    <w:rsid w:val="007F74DB"/>
    <w:rsid w:val="007F7553"/>
    <w:rsid w:val="007F787E"/>
    <w:rsid w:val="007F7946"/>
    <w:rsid w:val="007F7BE5"/>
    <w:rsid w:val="007F7D14"/>
    <w:rsid w:val="007F7EAE"/>
    <w:rsid w:val="007F7EE3"/>
    <w:rsid w:val="0080005A"/>
    <w:rsid w:val="00800164"/>
    <w:rsid w:val="008002D1"/>
    <w:rsid w:val="008002EA"/>
    <w:rsid w:val="008004B1"/>
    <w:rsid w:val="0080055F"/>
    <w:rsid w:val="00800561"/>
    <w:rsid w:val="0080057D"/>
    <w:rsid w:val="00800895"/>
    <w:rsid w:val="008008C6"/>
    <w:rsid w:val="00800965"/>
    <w:rsid w:val="00800988"/>
    <w:rsid w:val="00800D47"/>
    <w:rsid w:val="00800D77"/>
    <w:rsid w:val="00800E62"/>
    <w:rsid w:val="00800EC0"/>
    <w:rsid w:val="00800EE4"/>
    <w:rsid w:val="00800FAD"/>
    <w:rsid w:val="00801069"/>
    <w:rsid w:val="0080117E"/>
    <w:rsid w:val="00801201"/>
    <w:rsid w:val="008012F6"/>
    <w:rsid w:val="00801400"/>
    <w:rsid w:val="008014DE"/>
    <w:rsid w:val="008014F3"/>
    <w:rsid w:val="00801565"/>
    <w:rsid w:val="00801575"/>
    <w:rsid w:val="008015C4"/>
    <w:rsid w:val="008015FC"/>
    <w:rsid w:val="008019B1"/>
    <w:rsid w:val="00801BBC"/>
    <w:rsid w:val="00801D9B"/>
    <w:rsid w:val="00801E3A"/>
    <w:rsid w:val="00802179"/>
    <w:rsid w:val="00802249"/>
    <w:rsid w:val="00802265"/>
    <w:rsid w:val="008022AB"/>
    <w:rsid w:val="008022B6"/>
    <w:rsid w:val="008022F6"/>
    <w:rsid w:val="0080234B"/>
    <w:rsid w:val="008024A2"/>
    <w:rsid w:val="0080254B"/>
    <w:rsid w:val="0080258E"/>
    <w:rsid w:val="0080275F"/>
    <w:rsid w:val="008027A3"/>
    <w:rsid w:val="008028DB"/>
    <w:rsid w:val="00802AEA"/>
    <w:rsid w:val="00802BF8"/>
    <w:rsid w:val="00802C06"/>
    <w:rsid w:val="00802CF6"/>
    <w:rsid w:val="00802D49"/>
    <w:rsid w:val="00802DFC"/>
    <w:rsid w:val="00803214"/>
    <w:rsid w:val="00803220"/>
    <w:rsid w:val="00803357"/>
    <w:rsid w:val="0080338F"/>
    <w:rsid w:val="008034A4"/>
    <w:rsid w:val="0080350A"/>
    <w:rsid w:val="008035EB"/>
    <w:rsid w:val="00803704"/>
    <w:rsid w:val="00803923"/>
    <w:rsid w:val="00803B5E"/>
    <w:rsid w:val="00803D04"/>
    <w:rsid w:val="00803E24"/>
    <w:rsid w:val="00803E54"/>
    <w:rsid w:val="00803F44"/>
    <w:rsid w:val="00803FA5"/>
    <w:rsid w:val="00803FB8"/>
    <w:rsid w:val="00803FF0"/>
    <w:rsid w:val="00804003"/>
    <w:rsid w:val="00804073"/>
    <w:rsid w:val="0080417A"/>
    <w:rsid w:val="00804569"/>
    <w:rsid w:val="0080456E"/>
    <w:rsid w:val="00804B38"/>
    <w:rsid w:val="00804D1F"/>
    <w:rsid w:val="00804D4A"/>
    <w:rsid w:val="00804D97"/>
    <w:rsid w:val="00804E96"/>
    <w:rsid w:val="00804EA3"/>
    <w:rsid w:val="00804FD8"/>
    <w:rsid w:val="00805004"/>
    <w:rsid w:val="008050C7"/>
    <w:rsid w:val="0080516A"/>
    <w:rsid w:val="0080520F"/>
    <w:rsid w:val="008054E2"/>
    <w:rsid w:val="0080564B"/>
    <w:rsid w:val="0080567B"/>
    <w:rsid w:val="0080581D"/>
    <w:rsid w:val="00805837"/>
    <w:rsid w:val="00805923"/>
    <w:rsid w:val="008059DE"/>
    <w:rsid w:val="00805B5C"/>
    <w:rsid w:val="00805BA7"/>
    <w:rsid w:val="00805C34"/>
    <w:rsid w:val="00805DB3"/>
    <w:rsid w:val="00805DF7"/>
    <w:rsid w:val="00805F85"/>
    <w:rsid w:val="00806006"/>
    <w:rsid w:val="008060CE"/>
    <w:rsid w:val="0080628C"/>
    <w:rsid w:val="0080629F"/>
    <w:rsid w:val="008062C3"/>
    <w:rsid w:val="00806406"/>
    <w:rsid w:val="00806480"/>
    <w:rsid w:val="008066E9"/>
    <w:rsid w:val="00806789"/>
    <w:rsid w:val="0080683D"/>
    <w:rsid w:val="008068D2"/>
    <w:rsid w:val="00806A17"/>
    <w:rsid w:val="00806B65"/>
    <w:rsid w:val="00806B6D"/>
    <w:rsid w:val="00806B7F"/>
    <w:rsid w:val="00806B84"/>
    <w:rsid w:val="00806BF8"/>
    <w:rsid w:val="00806D05"/>
    <w:rsid w:val="00806D27"/>
    <w:rsid w:val="00806DA2"/>
    <w:rsid w:val="00806F6F"/>
    <w:rsid w:val="00806F74"/>
    <w:rsid w:val="00807047"/>
    <w:rsid w:val="008073E9"/>
    <w:rsid w:val="008073F6"/>
    <w:rsid w:val="008075BE"/>
    <w:rsid w:val="008078CB"/>
    <w:rsid w:val="00807994"/>
    <w:rsid w:val="008079B4"/>
    <w:rsid w:val="00807B4D"/>
    <w:rsid w:val="00807B8F"/>
    <w:rsid w:val="00807BE2"/>
    <w:rsid w:val="00807D6B"/>
    <w:rsid w:val="00807DFD"/>
    <w:rsid w:val="00807E2E"/>
    <w:rsid w:val="00807FF4"/>
    <w:rsid w:val="00807FF8"/>
    <w:rsid w:val="0081010B"/>
    <w:rsid w:val="008101F2"/>
    <w:rsid w:val="0081020F"/>
    <w:rsid w:val="008103D0"/>
    <w:rsid w:val="008104BA"/>
    <w:rsid w:val="0081051E"/>
    <w:rsid w:val="00810617"/>
    <w:rsid w:val="008107DE"/>
    <w:rsid w:val="008108E5"/>
    <w:rsid w:val="00810BC8"/>
    <w:rsid w:val="00810BCF"/>
    <w:rsid w:val="00810D79"/>
    <w:rsid w:val="00810FA4"/>
    <w:rsid w:val="008111CB"/>
    <w:rsid w:val="008111D3"/>
    <w:rsid w:val="00811254"/>
    <w:rsid w:val="0081131A"/>
    <w:rsid w:val="0081134C"/>
    <w:rsid w:val="0081135F"/>
    <w:rsid w:val="008115A1"/>
    <w:rsid w:val="00811636"/>
    <w:rsid w:val="00811654"/>
    <w:rsid w:val="008117D4"/>
    <w:rsid w:val="008118AB"/>
    <w:rsid w:val="00811911"/>
    <w:rsid w:val="0081192D"/>
    <w:rsid w:val="0081199B"/>
    <w:rsid w:val="00811B09"/>
    <w:rsid w:val="00811C45"/>
    <w:rsid w:val="00811C55"/>
    <w:rsid w:val="00811C72"/>
    <w:rsid w:val="00811CA2"/>
    <w:rsid w:val="00811CE0"/>
    <w:rsid w:val="00811D54"/>
    <w:rsid w:val="00811D73"/>
    <w:rsid w:val="00811E0A"/>
    <w:rsid w:val="00811EEA"/>
    <w:rsid w:val="00811F52"/>
    <w:rsid w:val="008120F6"/>
    <w:rsid w:val="0081210E"/>
    <w:rsid w:val="00812300"/>
    <w:rsid w:val="008123CB"/>
    <w:rsid w:val="00812446"/>
    <w:rsid w:val="00812504"/>
    <w:rsid w:val="00812629"/>
    <w:rsid w:val="00812760"/>
    <w:rsid w:val="00812949"/>
    <w:rsid w:val="0081294E"/>
    <w:rsid w:val="008129AD"/>
    <w:rsid w:val="008129F6"/>
    <w:rsid w:val="00812AAA"/>
    <w:rsid w:val="00812AB1"/>
    <w:rsid w:val="00812AFF"/>
    <w:rsid w:val="00812B20"/>
    <w:rsid w:val="00812B9B"/>
    <w:rsid w:val="00812E9B"/>
    <w:rsid w:val="00812F18"/>
    <w:rsid w:val="00812F2A"/>
    <w:rsid w:val="00813074"/>
    <w:rsid w:val="00813124"/>
    <w:rsid w:val="00813191"/>
    <w:rsid w:val="008133A1"/>
    <w:rsid w:val="008133DF"/>
    <w:rsid w:val="0081340F"/>
    <w:rsid w:val="008134DD"/>
    <w:rsid w:val="00813568"/>
    <w:rsid w:val="00813675"/>
    <w:rsid w:val="008136AF"/>
    <w:rsid w:val="008137A1"/>
    <w:rsid w:val="008137E4"/>
    <w:rsid w:val="008137FC"/>
    <w:rsid w:val="0081385A"/>
    <w:rsid w:val="0081387B"/>
    <w:rsid w:val="008139F8"/>
    <w:rsid w:val="00813C0C"/>
    <w:rsid w:val="00813D2E"/>
    <w:rsid w:val="00813F30"/>
    <w:rsid w:val="00813F95"/>
    <w:rsid w:val="00813FAA"/>
    <w:rsid w:val="00813FC4"/>
    <w:rsid w:val="00814016"/>
    <w:rsid w:val="0081402B"/>
    <w:rsid w:val="008140A1"/>
    <w:rsid w:val="0081410F"/>
    <w:rsid w:val="00814306"/>
    <w:rsid w:val="0081434C"/>
    <w:rsid w:val="00814432"/>
    <w:rsid w:val="00814468"/>
    <w:rsid w:val="008144A3"/>
    <w:rsid w:val="00814507"/>
    <w:rsid w:val="0081458C"/>
    <w:rsid w:val="00814745"/>
    <w:rsid w:val="0081479B"/>
    <w:rsid w:val="008147E0"/>
    <w:rsid w:val="0081487A"/>
    <w:rsid w:val="008148F0"/>
    <w:rsid w:val="0081492E"/>
    <w:rsid w:val="00814997"/>
    <w:rsid w:val="008149C6"/>
    <w:rsid w:val="00814A7F"/>
    <w:rsid w:val="00814A97"/>
    <w:rsid w:val="00814ABD"/>
    <w:rsid w:val="00814AC2"/>
    <w:rsid w:val="00814B13"/>
    <w:rsid w:val="00814B79"/>
    <w:rsid w:val="00814CF2"/>
    <w:rsid w:val="00814D06"/>
    <w:rsid w:val="00814D3C"/>
    <w:rsid w:val="00814D5E"/>
    <w:rsid w:val="00814DC3"/>
    <w:rsid w:val="00814E59"/>
    <w:rsid w:val="00814EAB"/>
    <w:rsid w:val="00814EF6"/>
    <w:rsid w:val="00815105"/>
    <w:rsid w:val="0081526D"/>
    <w:rsid w:val="00815270"/>
    <w:rsid w:val="00815276"/>
    <w:rsid w:val="008153A5"/>
    <w:rsid w:val="008153B2"/>
    <w:rsid w:val="008153CC"/>
    <w:rsid w:val="0081542C"/>
    <w:rsid w:val="00815460"/>
    <w:rsid w:val="00815720"/>
    <w:rsid w:val="008157B9"/>
    <w:rsid w:val="0081581F"/>
    <w:rsid w:val="00815AEF"/>
    <w:rsid w:val="00815C5E"/>
    <w:rsid w:val="00815DC5"/>
    <w:rsid w:val="00815F6D"/>
    <w:rsid w:val="00815F88"/>
    <w:rsid w:val="0081601B"/>
    <w:rsid w:val="00816024"/>
    <w:rsid w:val="00816052"/>
    <w:rsid w:val="0081609E"/>
    <w:rsid w:val="008162DE"/>
    <w:rsid w:val="00816307"/>
    <w:rsid w:val="00816471"/>
    <w:rsid w:val="0081650B"/>
    <w:rsid w:val="0081652C"/>
    <w:rsid w:val="008168A2"/>
    <w:rsid w:val="00816967"/>
    <w:rsid w:val="00816969"/>
    <w:rsid w:val="00816A08"/>
    <w:rsid w:val="00816ABC"/>
    <w:rsid w:val="00816D24"/>
    <w:rsid w:val="00816E64"/>
    <w:rsid w:val="00816F02"/>
    <w:rsid w:val="00816F16"/>
    <w:rsid w:val="00817111"/>
    <w:rsid w:val="00817115"/>
    <w:rsid w:val="00817132"/>
    <w:rsid w:val="0081716F"/>
    <w:rsid w:val="00817187"/>
    <w:rsid w:val="008171A0"/>
    <w:rsid w:val="00817260"/>
    <w:rsid w:val="008176E2"/>
    <w:rsid w:val="00817A2E"/>
    <w:rsid w:val="00817A41"/>
    <w:rsid w:val="00817BE1"/>
    <w:rsid w:val="00817BF0"/>
    <w:rsid w:val="00817BF5"/>
    <w:rsid w:val="00817CFE"/>
    <w:rsid w:val="008200AC"/>
    <w:rsid w:val="008200CA"/>
    <w:rsid w:val="00820138"/>
    <w:rsid w:val="0082014A"/>
    <w:rsid w:val="00820259"/>
    <w:rsid w:val="0082031D"/>
    <w:rsid w:val="008203E8"/>
    <w:rsid w:val="00820547"/>
    <w:rsid w:val="0082057D"/>
    <w:rsid w:val="0082059A"/>
    <w:rsid w:val="008205A5"/>
    <w:rsid w:val="008205EB"/>
    <w:rsid w:val="008207B8"/>
    <w:rsid w:val="008207BB"/>
    <w:rsid w:val="0082084C"/>
    <w:rsid w:val="00820875"/>
    <w:rsid w:val="008208CC"/>
    <w:rsid w:val="008208D6"/>
    <w:rsid w:val="00820A0F"/>
    <w:rsid w:val="00820A64"/>
    <w:rsid w:val="00820C92"/>
    <w:rsid w:val="00820D6D"/>
    <w:rsid w:val="00820E38"/>
    <w:rsid w:val="00820ECB"/>
    <w:rsid w:val="0082106B"/>
    <w:rsid w:val="00821093"/>
    <w:rsid w:val="008210F9"/>
    <w:rsid w:val="008211D9"/>
    <w:rsid w:val="0082122D"/>
    <w:rsid w:val="0082124D"/>
    <w:rsid w:val="008212AD"/>
    <w:rsid w:val="0082138E"/>
    <w:rsid w:val="00821449"/>
    <w:rsid w:val="008214C8"/>
    <w:rsid w:val="00821506"/>
    <w:rsid w:val="00821538"/>
    <w:rsid w:val="008216CC"/>
    <w:rsid w:val="00821760"/>
    <w:rsid w:val="0082183E"/>
    <w:rsid w:val="008219AE"/>
    <w:rsid w:val="008219C0"/>
    <w:rsid w:val="00821A44"/>
    <w:rsid w:val="00821AA1"/>
    <w:rsid w:val="00821AA6"/>
    <w:rsid w:val="00821AC0"/>
    <w:rsid w:val="00821ACB"/>
    <w:rsid w:val="00821DA5"/>
    <w:rsid w:val="00821EBD"/>
    <w:rsid w:val="00821FB0"/>
    <w:rsid w:val="00821FBC"/>
    <w:rsid w:val="00821FD8"/>
    <w:rsid w:val="00822086"/>
    <w:rsid w:val="008222B0"/>
    <w:rsid w:val="008222ED"/>
    <w:rsid w:val="00822444"/>
    <w:rsid w:val="008224F0"/>
    <w:rsid w:val="00822697"/>
    <w:rsid w:val="008226BF"/>
    <w:rsid w:val="00822707"/>
    <w:rsid w:val="0082271A"/>
    <w:rsid w:val="008227AA"/>
    <w:rsid w:val="00822823"/>
    <w:rsid w:val="008228EE"/>
    <w:rsid w:val="00822A8C"/>
    <w:rsid w:val="00822AE6"/>
    <w:rsid w:val="00822C16"/>
    <w:rsid w:val="00822C2A"/>
    <w:rsid w:val="00822C8F"/>
    <w:rsid w:val="00822DBB"/>
    <w:rsid w:val="00822E4F"/>
    <w:rsid w:val="00822F6A"/>
    <w:rsid w:val="00822F88"/>
    <w:rsid w:val="0082303F"/>
    <w:rsid w:val="00823071"/>
    <w:rsid w:val="008230C6"/>
    <w:rsid w:val="008231FC"/>
    <w:rsid w:val="0082321F"/>
    <w:rsid w:val="008232C5"/>
    <w:rsid w:val="00823310"/>
    <w:rsid w:val="008233C5"/>
    <w:rsid w:val="0082349A"/>
    <w:rsid w:val="0082360D"/>
    <w:rsid w:val="0082367C"/>
    <w:rsid w:val="0082370E"/>
    <w:rsid w:val="00823823"/>
    <w:rsid w:val="00823883"/>
    <w:rsid w:val="0082391C"/>
    <w:rsid w:val="00823AAB"/>
    <w:rsid w:val="00823AC7"/>
    <w:rsid w:val="00823AF7"/>
    <w:rsid w:val="00823B69"/>
    <w:rsid w:val="00823BAB"/>
    <w:rsid w:val="00823D32"/>
    <w:rsid w:val="00823DA8"/>
    <w:rsid w:val="00823EAD"/>
    <w:rsid w:val="00823F68"/>
    <w:rsid w:val="0082430A"/>
    <w:rsid w:val="008243F1"/>
    <w:rsid w:val="00824440"/>
    <w:rsid w:val="008244D1"/>
    <w:rsid w:val="0082463F"/>
    <w:rsid w:val="0082470B"/>
    <w:rsid w:val="008248C1"/>
    <w:rsid w:val="008249E6"/>
    <w:rsid w:val="00824A48"/>
    <w:rsid w:val="00824B1E"/>
    <w:rsid w:val="00824BD4"/>
    <w:rsid w:val="00824C09"/>
    <w:rsid w:val="00824C8E"/>
    <w:rsid w:val="00824D1C"/>
    <w:rsid w:val="00824D4A"/>
    <w:rsid w:val="00824D64"/>
    <w:rsid w:val="00824E2A"/>
    <w:rsid w:val="00824E58"/>
    <w:rsid w:val="00824F62"/>
    <w:rsid w:val="00824FF1"/>
    <w:rsid w:val="008253BA"/>
    <w:rsid w:val="008253BE"/>
    <w:rsid w:val="0082545A"/>
    <w:rsid w:val="00825551"/>
    <w:rsid w:val="0082559A"/>
    <w:rsid w:val="008255F9"/>
    <w:rsid w:val="00825658"/>
    <w:rsid w:val="0082570B"/>
    <w:rsid w:val="00825814"/>
    <w:rsid w:val="008258E8"/>
    <w:rsid w:val="008259BB"/>
    <w:rsid w:val="00825A7C"/>
    <w:rsid w:val="00825BF4"/>
    <w:rsid w:val="00825E28"/>
    <w:rsid w:val="00825F9A"/>
    <w:rsid w:val="00826161"/>
    <w:rsid w:val="0082633D"/>
    <w:rsid w:val="00826376"/>
    <w:rsid w:val="00826441"/>
    <w:rsid w:val="008268FF"/>
    <w:rsid w:val="0082692D"/>
    <w:rsid w:val="00826A0F"/>
    <w:rsid w:val="00826ABA"/>
    <w:rsid w:val="00826B02"/>
    <w:rsid w:val="00826C53"/>
    <w:rsid w:val="00826C75"/>
    <w:rsid w:val="00826D18"/>
    <w:rsid w:val="008270A7"/>
    <w:rsid w:val="00827191"/>
    <w:rsid w:val="008271AE"/>
    <w:rsid w:val="008271C5"/>
    <w:rsid w:val="008271ED"/>
    <w:rsid w:val="0082722A"/>
    <w:rsid w:val="00827232"/>
    <w:rsid w:val="00827288"/>
    <w:rsid w:val="008272E9"/>
    <w:rsid w:val="008274A6"/>
    <w:rsid w:val="008274BA"/>
    <w:rsid w:val="008276BD"/>
    <w:rsid w:val="008277E6"/>
    <w:rsid w:val="008277F2"/>
    <w:rsid w:val="008277FA"/>
    <w:rsid w:val="00827818"/>
    <w:rsid w:val="00827822"/>
    <w:rsid w:val="008278B3"/>
    <w:rsid w:val="00827935"/>
    <w:rsid w:val="00827954"/>
    <w:rsid w:val="0082796B"/>
    <w:rsid w:val="00827B01"/>
    <w:rsid w:val="00827C06"/>
    <w:rsid w:val="00827C20"/>
    <w:rsid w:val="00827C56"/>
    <w:rsid w:val="00827C7D"/>
    <w:rsid w:val="00827D1D"/>
    <w:rsid w:val="00827D86"/>
    <w:rsid w:val="00827DE1"/>
    <w:rsid w:val="00827DF8"/>
    <w:rsid w:val="00827E74"/>
    <w:rsid w:val="00827E84"/>
    <w:rsid w:val="00827F00"/>
    <w:rsid w:val="00827F14"/>
    <w:rsid w:val="00827F43"/>
    <w:rsid w:val="00827FC1"/>
    <w:rsid w:val="00827FE5"/>
    <w:rsid w:val="00830138"/>
    <w:rsid w:val="008304D5"/>
    <w:rsid w:val="008306F1"/>
    <w:rsid w:val="00830711"/>
    <w:rsid w:val="0083082A"/>
    <w:rsid w:val="00830860"/>
    <w:rsid w:val="00830996"/>
    <w:rsid w:val="00830B3F"/>
    <w:rsid w:val="00830BE0"/>
    <w:rsid w:val="00830CA6"/>
    <w:rsid w:val="00830D0B"/>
    <w:rsid w:val="00830D27"/>
    <w:rsid w:val="00830D64"/>
    <w:rsid w:val="00830D6D"/>
    <w:rsid w:val="00830DDC"/>
    <w:rsid w:val="00830F4F"/>
    <w:rsid w:val="00830F7F"/>
    <w:rsid w:val="008311D3"/>
    <w:rsid w:val="00831372"/>
    <w:rsid w:val="008315C2"/>
    <w:rsid w:val="0083161A"/>
    <w:rsid w:val="00831819"/>
    <w:rsid w:val="0083198E"/>
    <w:rsid w:val="00831AE4"/>
    <w:rsid w:val="00831B4F"/>
    <w:rsid w:val="00831B6E"/>
    <w:rsid w:val="00831CEC"/>
    <w:rsid w:val="00831D0E"/>
    <w:rsid w:val="00831D1C"/>
    <w:rsid w:val="00831D4F"/>
    <w:rsid w:val="00831D54"/>
    <w:rsid w:val="00831DE9"/>
    <w:rsid w:val="00831F19"/>
    <w:rsid w:val="00832111"/>
    <w:rsid w:val="008321D4"/>
    <w:rsid w:val="00832299"/>
    <w:rsid w:val="0083238A"/>
    <w:rsid w:val="00832394"/>
    <w:rsid w:val="0083251F"/>
    <w:rsid w:val="0083255A"/>
    <w:rsid w:val="008326F9"/>
    <w:rsid w:val="00832894"/>
    <w:rsid w:val="00832955"/>
    <w:rsid w:val="0083298A"/>
    <w:rsid w:val="00832A77"/>
    <w:rsid w:val="00832C23"/>
    <w:rsid w:val="00832D02"/>
    <w:rsid w:val="00832D5C"/>
    <w:rsid w:val="00832DB1"/>
    <w:rsid w:val="00832E1E"/>
    <w:rsid w:val="00832E1F"/>
    <w:rsid w:val="00832E80"/>
    <w:rsid w:val="00832E84"/>
    <w:rsid w:val="00832ED9"/>
    <w:rsid w:val="0083305C"/>
    <w:rsid w:val="00833189"/>
    <w:rsid w:val="0083319D"/>
    <w:rsid w:val="00833264"/>
    <w:rsid w:val="00833274"/>
    <w:rsid w:val="00833287"/>
    <w:rsid w:val="00833421"/>
    <w:rsid w:val="0083343C"/>
    <w:rsid w:val="008334BB"/>
    <w:rsid w:val="008335FD"/>
    <w:rsid w:val="00833688"/>
    <w:rsid w:val="00833958"/>
    <w:rsid w:val="008339C1"/>
    <w:rsid w:val="008339DB"/>
    <w:rsid w:val="00833B03"/>
    <w:rsid w:val="00833B2F"/>
    <w:rsid w:val="00833C60"/>
    <w:rsid w:val="00833D04"/>
    <w:rsid w:val="00833F8E"/>
    <w:rsid w:val="0083405A"/>
    <w:rsid w:val="008342E9"/>
    <w:rsid w:val="00834319"/>
    <w:rsid w:val="008343D1"/>
    <w:rsid w:val="00834402"/>
    <w:rsid w:val="0083457F"/>
    <w:rsid w:val="008345B4"/>
    <w:rsid w:val="00834851"/>
    <w:rsid w:val="00834932"/>
    <w:rsid w:val="0083498E"/>
    <w:rsid w:val="008349AD"/>
    <w:rsid w:val="00834A40"/>
    <w:rsid w:val="00834A41"/>
    <w:rsid w:val="00834A58"/>
    <w:rsid w:val="00834DAF"/>
    <w:rsid w:val="00834F89"/>
    <w:rsid w:val="0083501B"/>
    <w:rsid w:val="0083507C"/>
    <w:rsid w:val="00835178"/>
    <w:rsid w:val="008352D4"/>
    <w:rsid w:val="008352D6"/>
    <w:rsid w:val="0083532D"/>
    <w:rsid w:val="00835462"/>
    <w:rsid w:val="0083547C"/>
    <w:rsid w:val="0083557B"/>
    <w:rsid w:val="0083558B"/>
    <w:rsid w:val="0083559E"/>
    <w:rsid w:val="008357CF"/>
    <w:rsid w:val="00835804"/>
    <w:rsid w:val="0083590C"/>
    <w:rsid w:val="00835911"/>
    <w:rsid w:val="00835979"/>
    <w:rsid w:val="00835A88"/>
    <w:rsid w:val="00835B1A"/>
    <w:rsid w:val="00835B7C"/>
    <w:rsid w:val="00835BAF"/>
    <w:rsid w:val="00835E10"/>
    <w:rsid w:val="00835E7F"/>
    <w:rsid w:val="00835F16"/>
    <w:rsid w:val="00835FC9"/>
    <w:rsid w:val="00835FE4"/>
    <w:rsid w:val="00835FFD"/>
    <w:rsid w:val="0083614C"/>
    <w:rsid w:val="00836197"/>
    <w:rsid w:val="008361E5"/>
    <w:rsid w:val="00836380"/>
    <w:rsid w:val="0083661D"/>
    <w:rsid w:val="00836655"/>
    <w:rsid w:val="0083669C"/>
    <w:rsid w:val="00836920"/>
    <w:rsid w:val="008369D4"/>
    <w:rsid w:val="00836A27"/>
    <w:rsid w:val="00836A3D"/>
    <w:rsid w:val="00836B5C"/>
    <w:rsid w:val="00836CFE"/>
    <w:rsid w:val="00836D6A"/>
    <w:rsid w:val="00836E90"/>
    <w:rsid w:val="00836EC2"/>
    <w:rsid w:val="00836EEE"/>
    <w:rsid w:val="00837055"/>
    <w:rsid w:val="00837068"/>
    <w:rsid w:val="00837247"/>
    <w:rsid w:val="008372FA"/>
    <w:rsid w:val="00837301"/>
    <w:rsid w:val="00837385"/>
    <w:rsid w:val="008373BA"/>
    <w:rsid w:val="00837440"/>
    <w:rsid w:val="00837445"/>
    <w:rsid w:val="008374C6"/>
    <w:rsid w:val="008376F0"/>
    <w:rsid w:val="0083775C"/>
    <w:rsid w:val="00837937"/>
    <w:rsid w:val="00837A1D"/>
    <w:rsid w:val="00837A96"/>
    <w:rsid w:val="00837BC1"/>
    <w:rsid w:val="00837BD4"/>
    <w:rsid w:val="00837C28"/>
    <w:rsid w:val="00837CC5"/>
    <w:rsid w:val="00837CCE"/>
    <w:rsid w:val="00837F57"/>
    <w:rsid w:val="0083B330"/>
    <w:rsid w:val="00840159"/>
    <w:rsid w:val="008401AD"/>
    <w:rsid w:val="00840252"/>
    <w:rsid w:val="0084029B"/>
    <w:rsid w:val="008402FD"/>
    <w:rsid w:val="0084035D"/>
    <w:rsid w:val="00840368"/>
    <w:rsid w:val="008403CE"/>
    <w:rsid w:val="0084040B"/>
    <w:rsid w:val="008406DB"/>
    <w:rsid w:val="0084074D"/>
    <w:rsid w:val="00840990"/>
    <w:rsid w:val="00840AD3"/>
    <w:rsid w:val="00840B04"/>
    <w:rsid w:val="00840CD0"/>
    <w:rsid w:val="00840CE7"/>
    <w:rsid w:val="00840CF5"/>
    <w:rsid w:val="00840D61"/>
    <w:rsid w:val="00840DF2"/>
    <w:rsid w:val="00840FA0"/>
    <w:rsid w:val="00841044"/>
    <w:rsid w:val="00841099"/>
    <w:rsid w:val="008410F0"/>
    <w:rsid w:val="008413CA"/>
    <w:rsid w:val="00841598"/>
    <w:rsid w:val="00841606"/>
    <w:rsid w:val="008416B9"/>
    <w:rsid w:val="00841871"/>
    <w:rsid w:val="00841954"/>
    <w:rsid w:val="00841B99"/>
    <w:rsid w:val="00841BA4"/>
    <w:rsid w:val="00841BA8"/>
    <w:rsid w:val="00841C3B"/>
    <w:rsid w:val="00841D41"/>
    <w:rsid w:val="00841D4B"/>
    <w:rsid w:val="00841DFA"/>
    <w:rsid w:val="00841F2E"/>
    <w:rsid w:val="00841F30"/>
    <w:rsid w:val="00841FE5"/>
    <w:rsid w:val="00842087"/>
    <w:rsid w:val="008421F7"/>
    <w:rsid w:val="00842206"/>
    <w:rsid w:val="008422A5"/>
    <w:rsid w:val="008422FC"/>
    <w:rsid w:val="008423B7"/>
    <w:rsid w:val="00842400"/>
    <w:rsid w:val="008425FF"/>
    <w:rsid w:val="0084268A"/>
    <w:rsid w:val="008426D9"/>
    <w:rsid w:val="008426E0"/>
    <w:rsid w:val="0084270E"/>
    <w:rsid w:val="00842744"/>
    <w:rsid w:val="00842918"/>
    <w:rsid w:val="00842A3A"/>
    <w:rsid w:val="00842AA1"/>
    <w:rsid w:val="00842B8B"/>
    <w:rsid w:val="00842C47"/>
    <w:rsid w:val="00842D45"/>
    <w:rsid w:val="00842EAB"/>
    <w:rsid w:val="00842F1B"/>
    <w:rsid w:val="00842F8C"/>
    <w:rsid w:val="00842FB8"/>
    <w:rsid w:val="00843096"/>
    <w:rsid w:val="008430D7"/>
    <w:rsid w:val="00843116"/>
    <w:rsid w:val="008431E0"/>
    <w:rsid w:val="0084321B"/>
    <w:rsid w:val="0084324F"/>
    <w:rsid w:val="0084326F"/>
    <w:rsid w:val="00843408"/>
    <w:rsid w:val="008434B6"/>
    <w:rsid w:val="0084352A"/>
    <w:rsid w:val="0084386A"/>
    <w:rsid w:val="0084388E"/>
    <w:rsid w:val="00843994"/>
    <w:rsid w:val="008439A3"/>
    <w:rsid w:val="008439D6"/>
    <w:rsid w:val="008439FD"/>
    <w:rsid w:val="00843A3B"/>
    <w:rsid w:val="00843AD3"/>
    <w:rsid w:val="00843C2F"/>
    <w:rsid w:val="00843C78"/>
    <w:rsid w:val="00843CE8"/>
    <w:rsid w:val="00843DB2"/>
    <w:rsid w:val="00843EB9"/>
    <w:rsid w:val="00843F3F"/>
    <w:rsid w:val="00843F49"/>
    <w:rsid w:val="008441AD"/>
    <w:rsid w:val="00844279"/>
    <w:rsid w:val="0084427F"/>
    <w:rsid w:val="0084432C"/>
    <w:rsid w:val="008443E0"/>
    <w:rsid w:val="0084440E"/>
    <w:rsid w:val="00844410"/>
    <w:rsid w:val="0084446D"/>
    <w:rsid w:val="00844500"/>
    <w:rsid w:val="00844594"/>
    <w:rsid w:val="0084459E"/>
    <w:rsid w:val="008445F2"/>
    <w:rsid w:val="008447AA"/>
    <w:rsid w:val="00844814"/>
    <w:rsid w:val="0084498E"/>
    <w:rsid w:val="00844ADD"/>
    <w:rsid w:val="00844BD0"/>
    <w:rsid w:val="00844BF4"/>
    <w:rsid w:val="00844C2D"/>
    <w:rsid w:val="00844D12"/>
    <w:rsid w:val="00844E56"/>
    <w:rsid w:val="00845129"/>
    <w:rsid w:val="008451DB"/>
    <w:rsid w:val="008453D8"/>
    <w:rsid w:val="008453F1"/>
    <w:rsid w:val="0084542C"/>
    <w:rsid w:val="00845453"/>
    <w:rsid w:val="00845638"/>
    <w:rsid w:val="008457D2"/>
    <w:rsid w:val="00845809"/>
    <w:rsid w:val="008459C7"/>
    <w:rsid w:val="00845A79"/>
    <w:rsid w:val="00845B21"/>
    <w:rsid w:val="00845BB8"/>
    <w:rsid w:val="00845C99"/>
    <w:rsid w:val="00845E95"/>
    <w:rsid w:val="00845EC2"/>
    <w:rsid w:val="00845EDA"/>
    <w:rsid w:val="00845FF9"/>
    <w:rsid w:val="00846176"/>
    <w:rsid w:val="008462CA"/>
    <w:rsid w:val="008464DB"/>
    <w:rsid w:val="00846564"/>
    <w:rsid w:val="008465BE"/>
    <w:rsid w:val="008465C6"/>
    <w:rsid w:val="00846654"/>
    <w:rsid w:val="008466B1"/>
    <w:rsid w:val="008466ED"/>
    <w:rsid w:val="008467C6"/>
    <w:rsid w:val="008468EF"/>
    <w:rsid w:val="0084695D"/>
    <w:rsid w:val="00846A81"/>
    <w:rsid w:val="00846A99"/>
    <w:rsid w:val="00846AAF"/>
    <w:rsid w:val="00846BC6"/>
    <w:rsid w:val="00846D1A"/>
    <w:rsid w:val="00846D30"/>
    <w:rsid w:val="00846D6E"/>
    <w:rsid w:val="00846E25"/>
    <w:rsid w:val="00846E5A"/>
    <w:rsid w:val="00846EB9"/>
    <w:rsid w:val="00846EFF"/>
    <w:rsid w:val="00846F0C"/>
    <w:rsid w:val="00846F18"/>
    <w:rsid w:val="00846F68"/>
    <w:rsid w:val="00846F76"/>
    <w:rsid w:val="00846FC6"/>
    <w:rsid w:val="00847001"/>
    <w:rsid w:val="0084701E"/>
    <w:rsid w:val="008470AA"/>
    <w:rsid w:val="0084711A"/>
    <w:rsid w:val="00847340"/>
    <w:rsid w:val="00847384"/>
    <w:rsid w:val="008473CA"/>
    <w:rsid w:val="00847578"/>
    <w:rsid w:val="0084757F"/>
    <w:rsid w:val="0084759B"/>
    <w:rsid w:val="0084773B"/>
    <w:rsid w:val="0084778C"/>
    <w:rsid w:val="00847857"/>
    <w:rsid w:val="008478C4"/>
    <w:rsid w:val="0084799F"/>
    <w:rsid w:val="00847A54"/>
    <w:rsid w:val="00847A63"/>
    <w:rsid w:val="00847CDE"/>
    <w:rsid w:val="00847CE9"/>
    <w:rsid w:val="00847DBA"/>
    <w:rsid w:val="00847E12"/>
    <w:rsid w:val="00847F88"/>
    <w:rsid w:val="00850026"/>
    <w:rsid w:val="00850109"/>
    <w:rsid w:val="00850198"/>
    <w:rsid w:val="008507A1"/>
    <w:rsid w:val="0085089A"/>
    <w:rsid w:val="0085099D"/>
    <w:rsid w:val="00850A59"/>
    <w:rsid w:val="00850AC4"/>
    <w:rsid w:val="00850B1A"/>
    <w:rsid w:val="00850B85"/>
    <w:rsid w:val="00850D1A"/>
    <w:rsid w:val="00850E20"/>
    <w:rsid w:val="00850E7E"/>
    <w:rsid w:val="00851087"/>
    <w:rsid w:val="008512A1"/>
    <w:rsid w:val="008512B2"/>
    <w:rsid w:val="00851413"/>
    <w:rsid w:val="00851544"/>
    <w:rsid w:val="00851589"/>
    <w:rsid w:val="0085173D"/>
    <w:rsid w:val="008517C4"/>
    <w:rsid w:val="00851924"/>
    <w:rsid w:val="00851A69"/>
    <w:rsid w:val="00851BDB"/>
    <w:rsid w:val="00851C93"/>
    <w:rsid w:val="00851D63"/>
    <w:rsid w:val="00851DD5"/>
    <w:rsid w:val="00851E8C"/>
    <w:rsid w:val="00851EB8"/>
    <w:rsid w:val="00851F94"/>
    <w:rsid w:val="00851FC2"/>
    <w:rsid w:val="00852051"/>
    <w:rsid w:val="008521F9"/>
    <w:rsid w:val="00852224"/>
    <w:rsid w:val="00852293"/>
    <w:rsid w:val="00852313"/>
    <w:rsid w:val="008523AD"/>
    <w:rsid w:val="008524E6"/>
    <w:rsid w:val="0085258F"/>
    <w:rsid w:val="0085262A"/>
    <w:rsid w:val="008527AD"/>
    <w:rsid w:val="00852864"/>
    <w:rsid w:val="008528CB"/>
    <w:rsid w:val="00852B07"/>
    <w:rsid w:val="00852C4B"/>
    <w:rsid w:val="00852E18"/>
    <w:rsid w:val="00852F3D"/>
    <w:rsid w:val="008532F5"/>
    <w:rsid w:val="008532F9"/>
    <w:rsid w:val="00853360"/>
    <w:rsid w:val="0085342A"/>
    <w:rsid w:val="0085353A"/>
    <w:rsid w:val="008535A5"/>
    <w:rsid w:val="008535A9"/>
    <w:rsid w:val="008536D2"/>
    <w:rsid w:val="008536EC"/>
    <w:rsid w:val="00853841"/>
    <w:rsid w:val="00853923"/>
    <w:rsid w:val="00853ADA"/>
    <w:rsid w:val="00853B37"/>
    <w:rsid w:val="00853C7B"/>
    <w:rsid w:val="00853D4D"/>
    <w:rsid w:val="00853DB9"/>
    <w:rsid w:val="00853ED5"/>
    <w:rsid w:val="00853FBF"/>
    <w:rsid w:val="00853FD3"/>
    <w:rsid w:val="00854090"/>
    <w:rsid w:val="0085409A"/>
    <w:rsid w:val="008540A5"/>
    <w:rsid w:val="008540F1"/>
    <w:rsid w:val="008540F9"/>
    <w:rsid w:val="00854148"/>
    <w:rsid w:val="008541F4"/>
    <w:rsid w:val="008543BB"/>
    <w:rsid w:val="0085441D"/>
    <w:rsid w:val="008547C4"/>
    <w:rsid w:val="00854855"/>
    <w:rsid w:val="008548BF"/>
    <w:rsid w:val="0085492C"/>
    <w:rsid w:val="00854984"/>
    <w:rsid w:val="00854B7F"/>
    <w:rsid w:val="00854C67"/>
    <w:rsid w:val="00854CA0"/>
    <w:rsid w:val="00854CBC"/>
    <w:rsid w:val="00854CDB"/>
    <w:rsid w:val="00854D86"/>
    <w:rsid w:val="00854DEE"/>
    <w:rsid w:val="00854E01"/>
    <w:rsid w:val="00854E2A"/>
    <w:rsid w:val="00854ED9"/>
    <w:rsid w:val="00854FB7"/>
    <w:rsid w:val="00855033"/>
    <w:rsid w:val="008551B3"/>
    <w:rsid w:val="008552BC"/>
    <w:rsid w:val="0085534E"/>
    <w:rsid w:val="008553B8"/>
    <w:rsid w:val="008553E0"/>
    <w:rsid w:val="0085542D"/>
    <w:rsid w:val="00855495"/>
    <w:rsid w:val="008554AE"/>
    <w:rsid w:val="00855566"/>
    <w:rsid w:val="0085558D"/>
    <w:rsid w:val="008555EC"/>
    <w:rsid w:val="00855899"/>
    <w:rsid w:val="008558DE"/>
    <w:rsid w:val="00855A3F"/>
    <w:rsid w:val="00855B61"/>
    <w:rsid w:val="00855CAE"/>
    <w:rsid w:val="00855E94"/>
    <w:rsid w:val="00855FDB"/>
    <w:rsid w:val="00856071"/>
    <w:rsid w:val="00856386"/>
    <w:rsid w:val="008563B9"/>
    <w:rsid w:val="00856481"/>
    <w:rsid w:val="00856485"/>
    <w:rsid w:val="008565AD"/>
    <w:rsid w:val="008566C9"/>
    <w:rsid w:val="00856799"/>
    <w:rsid w:val="008567D1"/>
    <w:rsid w:val="008568B1"/>
    <w:rsid w:val="00856942"/>
    <w:rsid w:val="00856A32"/>
    <w:rsid w:val="00856AF3"/>
    <w:rsid w:val="00856B7D"/>
    <w:rsid w:val="00856BF4"/>
    <w:rsid w:val="00856D51"/>
    <w:rsid w:val="00856D63"/>
    <w:rsid w:val="00856E33"/>
    <w:rsid w:val="00856FB6"/>
    <w:rsid w:val="00857094"/>
    <w:rsid w:val="0085709F"/>
    <w:rsid w:val="00857155"/>
    <w:rsid w:val="008571D5"/>
    <w:rsid w:val="008573A2"/>
    <w:rsid w:val="0085741C"/>
    <w:rsid w:val="00857448"/>
    <w:rsid w:val="00857580"/>
    <w:rsid w:val="00857584"/>
    <w:rsid w:val="008575B7"/>
    <w:rsid w:val="008575E3"/>
    <w:rsid w:val="00857660"/>
    <w:rsid w:val="00857682"/>
    <w:rsid w:val="0085778D"/>
    <w:rsid w:val="008577DA"/>
    <w:rsid w:val="008578CF"/>
    <w:rsid w:val="00857913"/>
    <w:rsid w:val="00857929"/>
    <w:rsid w:val="008579C8"/>
    <w:rsid w:val="00857B6E"/>
    <w:rsid w:val="00857BAA"/>
    <w:rsid w:val="00857BDA"/>
    <w:rsid w:val="00857D5B"/>
    <w:rsid w:val="00857D99"/>
    <w:rsid w:val="00857DA5"/>
    <w:rsid w:val="00857DFD"/>
    <w:rsid w:val="00857F26"/>
    <w:rsid w:val="00859F96"/>
    <w:rsid w:val="008600F3"/>
    <w:rsid w:val="008603B9"/>
    <w:rsid w:val="008604BD"/>
    <w:rsid w:val="008604FD"/>
    <w:rsid w:val="008605B2"/>
    <w:rsid w:val="00860690"/>
    <w:rsid w:val="008607C5"/>
    <w:rsid w:val="0086085C"/>
    <w:rsid w:val="008608F1"/>
    <w:rsid w:val="00860AA7"/>
    <w:rsid w:val="00860AF2"/>
    <w:rsid w:val="00860BE4"/>
    <w:rsid w:val="00860D11"/>
    <w:rsid w:val="00860D49"/>
    <w:rsid w:val="00860E14"/>
    <w:rsid w:val="00860EA5"/>
    <w:rsid w:val="00860F82"/>
    <w:rsid w:val="00861164"/>
    <w:rsid w:val="00861237"/>
    <w:rsid w:val="008612EA"/>
    <w:rsid w:val="00861324"/>
    <w:rsid w:val="00861363"/>
    <w:rsid w:val="008613CF"/>
    <w:rsid w:val="008613DB"/>
    <w:rsid w:val="0086162A"/>
    <w:rsid w:val="00861755"/>
    <w:rsid w:val="00861775"/>
    <w:rsid w:val="0086178F"/>
    <w:rsid w:val="008617A7"/>
    <w:rsid w:val="00861AFA"/>
    <w:rsid w:val="00861C83"/>
    <w:rsid w:val="00861E22"/>
    <w:rsid w:val="00861F51"/>
    <w:rsid w:val="00861FE1"/>
    <w:rsid w:val="00862253"/>
    <w:rsid w:val="008623DE"/>
    <w:rsid w:val="00862615"/>
    <w:rsid w:val="008626F7"/>
    <w:rsid w:val="0086272A"/>
    <w:rsid w:val="008628DC"/>
    <w:rsid w:val="0086294B"/>
    <w:rsid w:val="00862978"/>
    <w:rsid w:val="008629FB"/>
    <w:rsid w:val="00862A13"/>
    <w:rsid w:val="00862A3E"/>
    <w:rsid w:val="00862A63"/>
    <w:rsid w:val="00862AAF"/>
    <w:rsid w:val="00862B2A"/>
    <w:rsid w:val="00862B83"/>
    <w:rsid w:val="00862C1B"/>
    <w:rsid w:val="00862D61"/>
    <w:rsid w:val="00862D68"/>
    <w:rsid w:val="00862DB3"/>
    <w:rsid w:val="00862DC3"/>
    <w:rsid w:val="008630E8"/>
    <w:rsid w:val="00863140"/>
    <w:rsid w:val="00863195"/>
    <w:rsid w:val="008631D3"/>
    <w:rsid w:val="00863348"/>
    <w:rsid w:val="00863431"/>
    <w:rsid w:val="008634EF"/>
    <w:rsid w:val="00863625"/>
    <w:rsid w:val="00863668"/>
    <w:rsid w:val="00863671"/>
    <w:rsid w:val="0086369A"/>
    <w:rsid w:val="00863740"/>
    <w:rsid w:val="0086376F"/>
    <w:rsid w:val="008637A3"/>
    <w:rsid w:val="008637AB"/>
    <w:rsid w:val="008638C6"/>
    <w:rsid w:val="00863C25"/>
    <w:rsid w:val="00863EC5"/>
    <w:rsid w:val="00863EDD"/>
    <w:rsid w:val="00864040"/>
    <w:rsid w:val="008640D5"/>
    <w:rsid w:val="008641AB"/>
    <w:rsid w:val="00864208"/>
    <w:rsid w:val="008642E9"/>
    <w:rsid w:val="0086434A"/>
    <w:rsid w:val="0086437B"/>
    <w:rsid w:val="008644A8"/>
    <w:rsid w:val="008644B7"/>
    <w:rsid w:val="00864534"/>
    <w:rsid w:val="008645EB"/>
    <w:rsid w:val="0086473B"/>
    <w:rsid w:val="008648AF"/>
    <w:rsid w:val="0086496D"/>
    <w:rsid w:val="008649D8"/>
    <w:rsid w:val="00864A2D"/>
    <w:rsid w:val="00864A79"/>
    <w:rsid w:val="00864AB2"/>
    <w:rsid w:val="00864B21"/>
    <w:rsid w:val="00864CA5"/>
    <w:rsid w:val="00864CBA"/>
    <w:rsid w:val="00864CCE"/>
    <w:rsid w:val="00864F95"/>
    <w:rsid w:val="00864FD3"/>
    <w:rsid w:val="00865032"/>
    <w:rsid w:val="0086508B"/>
    <w:rsid w:val="008650D0"/>
    <w:rsid w:val="008650FE"/>
    <w:rsid w:val="0086520C"/>
    <w:rsid w:val="00865221"/>
    <w:rsid w:val="0086523B"/>
    <w:rsid w:val="008652CE"/>
    <w:rsid w:val="008652F6"/>
    <w:rsid w:val="00865304"/>
    <w:rsid w:val="00865382"/>
    <w:rsid w:val="0086542A"/>
    <w:rsid w:val="00865501"/>
    <w:rsid w:val="00865552"/>
    <w:rsid w:val="008655C3"/>
    <w:rsid w:val="0086574B"/>
    <w:rsid w:val="00865797"/>
    <w:rsid w:val="008658E9"/>
    <w:rsid w:val="00865ABB"/>
    <w:rsid w:val="00865B32"/>
    <w:rsid w:val="00865B3F"/>
    <w:rsid w:val="00865BA5"/>
    <w:rsid w:val="00865C06"/>
    <w:rsid w:val="00865D76"/>
    <w:rsid w:val="00865DB4"/>
    <w:rsid w:val="00865E54"/>
    <w:rsid w:val="00865EBA"/>
    <w:rsid w:val="008660C1"/>
    <w:rsid w:val="00866189"/>
    <w:rsid w:val="0086623C"/>
    <w:rsid w:val="00866265"/>
    <w:rsid w:val="00866429"/>
    <w:rsid w:val="008664BA"/>
    <w:rsid w:val="008665E5"/>
    <w:rsid w:val="008666C3"/>
    <w:rsid w:val="00866708"/>
    <w:rsid w:val="0086671B"/>
    <w:rsid w:val="008668D4"/>
    <w:rsid w:val="0086694B"/>
    <w:rsid w:val="00866A81"/>
    <w:rsid w:val="00866ACE"/>
    <w:rsid w:val="00866ADB"/>
    <w:rsid w:val="00866B7E"/>
    <w:rsid w:val="00866C21"/>
    <w:rsid w:val="00866D32"/>
    <w:rsid w:val="00866DD3"/>
    <w:rsid w:val="00866E01"/>
    <w:rsid w:val="00866E4C"/>
    <w:rsid w:val="00866F08"/>
    <w:rsid w:val="00867178"/>
    <w:rsid w:val="0086720F"/>
    <w:rsid w:val="008672A8"/>
    <w:rsid w:val="00867344"/>
    <w:rsid w:val="008673F2"/>
    <w:rsid w:val="008674C6"/>
    <w:rsid w:val="0086760F"/>
    <w:rsid w:val="00867B20"/>
    <w:rsid w:val="00867BE4"/>
    <w:rsid w:val="008701E3"/>
    <w:rsid w:val="008703C9"/>
    <w:rsid w:val="00870547"/>
    <w:rsid w:val="0087062C"/>
    <w:rsid w:val="008706AD"/>
    <w:rsid w:val="008707A6"/>
    <w:rsid w:val="00870B70"/>
    <w:rsid w:val="00870D08"/>
    <w:rsid w:val="00870E0E"/>
    <w:rsid w:val="00870E36"/>
    <w:rsid w:val="00870FF6"/>
    <w:rsid w:val="00871006"/>
    <w:rsid w:val="00871044"/>
    <w:rsid w:val="00871281"/>
    <w:rsid w:val="008712F2"/>
    <w:rsid w:val="008714DE"/>
    <w:rsid w:val="00871566"/>
    <w:rsid w:val="00871581"/>
    <w:rsid w:val="008715E8"/>
    <w:rsid w:val="0087165A"/>
    <w:rsid w:val="008716D6"/>
    <w:rsid w:val="008716D9"/>
    <w:rsid w:val="008716EC"/>
    <w:rsid w:val="0087173B"/>
    <w:rsid w:val="0087175E"/>
    <w:rsid w:val="00871875"/>
    <w:rsid w:val="00871956"/>
    <w:rsid w:val="00871983"/>
    <w:rsid w:val="00871A08"/>
    <w:rsid w:val="00871A8B"/>
    <w:rsid w:val="00871A9C"/>
    <w:rsid w:val="00871AF3"/>
    <w:rsid w:val="00871B0E"/>
    <w:rsid w:val="00871BC2"/>
    <w:rsid w:val="00871C12"/>
    <w:rsid w:val="00871EB9"/>
    <w:rsid w:val="00871F82"/>
    <w:rsid w:val="00872089"/>
    <w:rsid w:val="008720D9"/>
    <w:rsid w:val="00872180"/>
    <w:rsid w:val="008721D1"/>
    <w:rsid w:val="0087228C"/>
    <w:rsid w:val="008723F8"/>
    <w:rsid w:val="0087245E"/>
    <w:rsid w:val="00872596"/>
    <w:rsid w:val="00872696"/>
    <w:rsid w:val="0087278F"/>
    <w:rsid w:val="00872812"/>
    <w:rsid w:val="00872A46"/>
    <w:rsid w:val="00872B53"/>
    <w:rsid w:val="00872B77"/>
    <w:rsid w:val="00872BA0"/>
    <w:rsid w:val="00872C83"/>
    <w:rsid w:val="00872E45"/>
    <w:rsid w:val="00872F7E"/>
    <w:rsid w:val="00872FCE"/>
    <w:rsid w:val="008730B6"/>
    <w:rsid w:val="00873104"/>
    <w:rsid w:val="0087313E"/>
    <w:rsid w:val="00873247"/>
    <w:rsid w:val="00873283"/>
    <w:rsid w:val="008733E3"/>
    <w:rsid w:val="0087379D"/>
    <w:rsid w:val="008737C7"/>
    <w:rsid w:val="008739F4"/>
    <w:rsid w:val="00873AB6"/>
    <w:rsid w:val="00873ACD"/>
    <w:rsid w:val="00873B89"/>
    <w:rsid w:val="00873BBA"/>
    <w:rsid w:val="00873BE0"/>
    <w:rsid w:val="00873C9F"/>
    <w:rsid w:val="00873D67"/>
    <w:rsid w:val="00873F3F"/>
    <w:rsid w:val="00873F4A"/>
    <w:rsid w:val="00873F5D"/>
    <w:rsid w:val="008741C2"/>
    <w:rsid w:val="00874220"/>
    <w:rsid w:val="0087422F"/>
    <w:rsid w:val="008742DC"/>
    <w:rsid w:val="00874320"/>
    <w:rsid w:val="00874523"/>
    <w:rsid w:val="008745D5"/>
    <w:rsid w:val="008745DE"/>
    <w:rsid w:val="0087472A"/>
    <w:rsid w:val="0087472F"/>
    <w:rsid w:val="00874750"/>
    <w:rsid w:val="00874765"/>
    <w:rsid w:val="008747E6"/>
    <w:rsid w:val="0087487F"/>
    <w:rsid w:val="00874903"/>
    <w:rsid w:val="00874909"/>
    <w:rsid w:val="0087490D"/>
    <w:rsid w:val="00874917"/>
    <w:rsid w:val="00874924"/>
    <w:rsid w:val="00874931"/>
    <w:rsid w:val="00874B6D"/>
    <w:rsid w:val="00874BA2"/>
    <w:rsid w:val="00874C17"/>
    <w:rsid w:val="00874D6F"/>
    <w:rsid w:val="00874DC6"/>
    <w:rsid w:val="00874E85"/>
    <w:rsid w:val="0087501D"/>
    <w:rsid w:val="008750EF"/>
    <w:rsid w:val="0087512F"/>
    <w:rsid w:val="0087516C"/>
    <w:rsid w:val="008752FC"/>
    <w:rsid w:val="0087547B"/>
    <w:rsid w:val="00875511"/>
    <w:rsid w:val="0087553C"/>
    <w:rsid w:val="008755A1"/>
    <w:rsid w:val="008756B1"/>
    <w:rsid w:val="00875820"/>
    <w:rsid w:val="00875939"/>
    <w:rsid w:val="00875A8C"/>
    <w:rsid w:val="00875AD3"/>
    <w:rsid w:val="00875B8C"/>
    <w:rsid w:val="00875BCB"/>
    <w:rsid w:val="00875BDA"/>
    <w:rsid w:val="00875C22"/>
    <w:rsid w:val="00875C7D"/>
    <w:rsid w:val="00875C81"/>
    <w:rsid w:val="00875D50"/>
    <w:rsid w:val="00875D52"/>
    <w:rsid w:val="00875D8F"/>
    <w:rsid w:val="00875E04"/>
    <w:rsid w:val="00875E27"/>
    <w:rsid w:val="00875E6B"/>
    <w:rsid w:val="00875FC0"/>
    <w:rsid w:val="00876010"/>
    <w:rsid w:val="00876023"/>
    <w:rsid w:val="0087638B"/>
    <w:rsid w:val="008763C0"/>
    <w:rsid w:val="008764BA"/>
    <w:rsid w:val="0087653E"/>
    <w:rsid w:val="00876660"/>
    <w:rsid w:val="008766C2"/>
    <w:rsid w:val="008766FD"/>
    <w:rsid w:val="00876833"/>
    <w:rsid w:val="008768A4"/>
    <w:rsid w:val="008768BF"/>
    <w:rsid w:val="008768EB"/>
    <w:rsid w:val="00876D45"/>
    <w:rsid w:val="00876E1A"/>
    <w:rsid w:val="00876E5B"/>
    <w:rsid w:val="00876F3B"/>
    <w:rsid w:val="00876F82"/>
    <w:rsid w:val="00877050"/>
    <w:rsid w:val="0087707E"/>
    <w:rsid w:val="0087709A"/>
    <w:rsid w:val="008771B6"/>
    <w:rsid w:val="00877290"/>
    <w:rsid w:val="0087737D"/>
    <w:rsid w:val="008774FC"/>
    <w:rsid w:val="0087755A"/>
    <w:rsid w:val="008776A2"/>
    <w:rsid w:val="00877731"/>
    <w:rsid w:val="00877841"/>
    <w:rsid w:val="00877947"/>
    <w:rsid w:val="0087795B"/>
    <w:rsid w:val="0087798F"/>
    <w:rsid w:val="008779CC"/>
    <w:rsid w:val="00877B13"/>
    <w:rsid w:val="00877B7E"/>
    <w:rsid w:val="00877B98"/>
    <w:rsid w:val="00877F02"/>
    <w:rsid w:val="00877F09"/>
    <w:rsid w:val="00877FBF"/>
    <w:rsid w:val="008804BE"/>
    <w:rsid w:val="00880609"/>
    <w:rsid w:val="008808A7"/>
    <w:rsid w:val="008808F2"/>
    <w:rsid w:val="00880956"/>
    <w:rsid w:val="0088096F"/>
    <w:rsid w:val="00880A28"/>
    <w:rsid w:val="00880B1C"/>
    <w:rsid w:val="00880BE5"/>
    <w:rsid w:val="00880C46"/>
    <w:rsid w:val="00880E07"/>
    <w:rsid w:val="00880E41"/>
    <w:rsid w:val="00880E6A"/>
    <w:rsid w:val="00880E7F"/>
    <w:rsid w:val="00880EA5"/>
    <w:rsid w:val="00880F66"/>
    <w:rsid w:val="00880FE7"/>
    <w:rsid w:val="008810A6"/>
    <w:rsid w:val="0088117F"/>
    <w:rsid w:val="008812E7"/>
    <w:rsid w:val="008813DD"/>
    <w:rsid w:val="00881454"/>
    <w:rsid w:val="0088164B"/>
    <w:rsid w:val="0088165E"/>
    <w:rsid w:val="008816E7"/>
    <w:rsid w:val="00881785"/>
    <w:rsid w:val="008817DC"/>
    <w:rsid w:val="008817EC"/>
    <w:rsid w:val="0088191F"/>
    <w:rsid w:val="00881A1B"/>
    <w:rsid w:val="00881A33"/>
    <w:rsid w:val="00881A7F"/>
    <w:rsid w:val="00881A9D"/>
    <w:rsid w:val="00881C4F"/>
    <w:rsid w:val="00881C82"/>
    <w:rsid w:val="00881D15"/>
    <w:rsid w:val="00881E2D"/>
    <w:rsid w:val="00881E3A"/>
    <w:rsid w:val="00881E85"/>
    <w:rsid w:val="00881F52"/>
    <w:rsid w:val="0088201C"/>
    <w:rsid w:val="00882054"/>
    <w:rsid w:val="00882170"/>
    <w:rsid w:val="008821E9"/>
    <w:rsid w:val="00882292"/>
    <w:rsid w:val="008822CF"/>
    <w:rsid w:val="008823A6"/>
    <w:rsid w:val="008823B1"/>
    <w:rsid w:val="0088248F"/>
    <w:rsid w:val="008824AC"/>
    <w:rsid w:val="0088254F"/>
    <w:rsid w:val="00882683"/>
    <w:rsid w:val="008826D8"/>
    <w:rsid w:val="008827DA"/>
    <w:rsid w:val="0088284B"/>
    <w:rsid w:val="008828BD"/>
    <w:rsid w:val="00882A5E"/>
    <w:rsid w:val="00882A83"/>
    <w:rsid w:val="00882B6E"/>
    <w:rsid w:val="00882B72"/>
    <w:rsid w:val="00882CFF"/>
    <w:rsid w:val="00882D77"/>
    <w:rsid w:val="00882DAD"/>
    <w:rsid w:val="00882E3F"/>
    <w:rsid w:val="00882EAD"/>
    <w:rsid w:val="00882EF2"/>
    <w:rsid w:val="0088304C"/>
    <w:rsid w:val="00883062"/>
    <w:rsid w:val="008830DE"/>
    <w:rsid w:val="008834C2"/>
    <w:rsid w:val="00883625"/>
    <w:rsid w:val="0088371B"/>
    <w:rsid w:val="008838F8"/>
    <w:rsid w:val="008839DD"/>
    <w:rsid w:val="00883A02"/>
    <w:rsid w:val="00883A6C"/>
    <w:rsid w:val="00883AB5"/>
    <w:rsid w:val="00883ABA"/>
    <w:rsid w:val="00883C2A"/>
    <w:rsid w:val="00883C3C"/>
    <w:rsid w:val="00883C77"/>
    <w:rsid w:val="00883D9F"/>
    <w:rsid w:val="00884098"/>
    <w:rsid w:val="008840A2"/>
    <w:rsid w:val="00884151"/>
    <w:rsid w:val="00884183"/>
    <w:rsid w:val="008841D7"/>
    <w:rsid w:val="00884363"/>
    <w:rsid w:val="008843CC"/>
    <w:rsid w:val="00884507"/>
    <w:rsid w:val="00884612"/>
    <w:rsid w:val="00884645"/>
    <w:rsid w:val="0088488F"/>
    <w:rsid w:val="008848FF"/>
    <w:rsid w:val="00884960"/>
    <w:rsid w:val="0088496F"/>
    <w:rsid w:val="00884976"/>
    <w:rsid w:val="00884B3B"/>
    <w:rsid w:val="00884B45"/>
    <w:rsid w:val="00884B5A"/>
    <w:rsid w:val="00884B7B"/>
    <w:rsid w:val="00884BA5"/>
    <w:rsid w:val="00884BB5"/>
    <w:rsid w:val="00884CD4"/>
    <w:rsid w:val="0088524D"/>
    <w:rsid w:val="00885261"/>
    <w:rsid w:val="008855A9"/>
    <w:rsid w:val="00885631"/>
    <w:rsid w:val="00885642"/>
    <w:rsid w:val="008856BC"/>
    <w:rsid w:val="0088573B"/>
    <w:rsid w:val="00885779"/>
    <w:rsid w:val="008857AB"/>
    <w:rsid w:val="00885AC8"/>
    <w:rsid w:val="00885B28"/>
    <w:rsid w:val="00885BD5"/>
    <w:rsid w:val="00885C68"/>
    <w:rsid w:val="00885D78"/>
    <w:rsid w:val="00885DC9"/>
    <w:rsid w:val="00885DE8"/>
    <w:rsid w:val="00885DF1"/>
    <w:rsid w:val="00885E69"/>
    <w:rsid w:val="00885FC4"/>
    <w:rsid w:val="0088603E"/>
    <w:rsid w:val="00886086"/>
    <w:rsid w:val="008860D3"/>
    <w:rsid w:val="00886195"/>
    <w:rsid w:val="0088620F"/>
    <w:rsid w:val="008863FE"/>
    <w:rsid w:val="00886490"/>
    <w:rsid w:val="0088660F"/>
    <w:rsid w:val="00886AB7"/>
    <w:rsid w:val="00886C75"/>
    <w:rsid w:val="00886C8C"/>
    <w:rsid w:val="00886CBA"/>
    <w:rsid w:val="00886DAA"/>
    <w:rsid w:val="00886E36"/>
    <w:rsid w:val="00886EF1"/>
    <w:rsid w:val="0088701E"/>
    <w:rsid w:val="0088707B"/>
    <w:rsid w:val="00887249"/>
    <w:rsid w:val="00887383"/>
    <w:rsid w:val="0088757D"/>
    <w:rsid w:val="00887600"/>
    <w:rsid w:val="00887969"/>
    <w:rsid w:val="00887C40"/>
    <w:rsid w:val="00887C45"/>
    <w:rsid w:val="00887C64"/>
    <w:rsid w:val="00887C68"/>
    <w:rsid w:val="00887C9D"/>
    <w:rsid w:val="00887D18"/>
    <w:rsid w:val="00887D40"/>
    <w:rsid w:val="00887D87"/>
    <w:rsid w:val="00887DE8"/>
    <w:rsid w:val="00890001"/>
    <w:rsid w:val="008900AA"/>
    <w:rsid w:val="008901FA"/>
    <w:rsid w:val="00890353"/>
    <w:rsid w:val="0089043F"/>
    <w:rsid w:val="00890488"/>
    <w:rsid w:val="008904BC"/>
    <w:rsid w:val="0089052E"/>
    <w:rsid w:val="00890570"/>
    <w:rsid w:val="0089061B"/>
    <w:rsid w:val="00890783"/>
    <w:rsid w:val="008907F4"/>
    <w:rsid w:val="0089084B"/>
    <w:rsid w:val="00890A0C"/>
    <w:rsid w:val="00890ACB"/>
    <w:rsid w:val="00890E04"/>
    <w:rsid w:val="00890E97"/>
    <w:rsid w:val="00890EE1"/>
    <w:rsid w:val="00890F80"/>
    <w:rsid w:val="00890F95"/>
    <w:rsid w:val="00891060"/>
    <w:rsid w:val="0089128A"/>
    <w:rsid w:val="00891312"/>
    <w:rsid w:val="00891370"/>
    <w:rsid w:val="0089140E"/>
    <w:rsid w:val="00891495"/>
    <w:rsid w:val="008915E8"/>
    <w:rsid w:val="00891747"/>
    <w:rsid w:val="00891873"/>
    <w:rsid w:val="008918A6"/>
    <w:rsid w:val="00891AA4"/>
    <w:rsid w:val="00891B21"/>
    <w:rsid w:val="00891B5D"/>
    <w:rsid w:val="00891BEB"/>
    <w:rsid w:val="00891C02"/>
    <w:rsid w:val="00891CFE"/>
    <w:rsid w:val="00891D2B"/>
    <w:rsid w:val="00891D30"/>
    <w:rsid w:val="00891DA7"/>
    <w:rsid w:val="00891DC6"/>
    <w:rsid w:val="00891DDF"/>
    <w:rsid w:val="00891EE4"/>
    <w:rsid w:val="008920F2"/>
    <w:rsid w:val="0089219F"/>
    <w:rsid w:val="008922DB"/>
    <w:rsid w:val="00892300"/>
    <w:rsid w:val="008923A5"/>
    <w:rsid w:val="008923D9"/>
    <w:rsid w:val="00892435"/>
    <w:rsid w:val="00892465"/>
    <w:rsid w:val="0089255D"/>
    <w:rsid w:val="00892589"/>
    <w:rsid w:val="008925CE"/>
    <w:rsid w:val="00892635"/>
    <w:rsid w:val="008926A8"/>
    <w:rsid w:val="0089277F"/>
    <w:rsid w:val="008927AB"/>
    <w:rsid w:val="008928C1"/>
    <w:rsid w:val="008929B0"/>
    <w:rsid w:val="008929E5"/>
    <w:rsid w:val="00892AF7"/>
    <w:rsid w:val="00892B0A"/>
    <w:rsid w:val="00892B67"/>
    <w:rsid w:val="00892BF5"/>
    <w:rsid w:val="00892D6A"/>
    <w:rsid w:val="00892D8A"/>
    <w:rsid w:val="00892F38"/>
    <w:rsid w:val="00892F5D"/>
    <w:rsid w:val="00892F71"/>
    <w:rsid w:val="0089309D"/>
    <w:rsid w:val="008931C5"/>
    <w:rsid w:val="00893210"/>
    <w:rsid w:val="00893352"/>
    <w:rsid w:val="00893606"/>
    <w:rsid w:val="008937A0"/>
    <w:rsid w:val="00893852"/>
    <w:rsid w:val="008938CE"/>
    <w:rsid w:val="00893A55"/>
    <w:rsid w:val="00893ABB"/>
    <w:rsid w:val="00893B49"/>
    <w:rsid w:val="00893BCA"/>
    <w:rsid w:val="00893BEF"/>
    <w:rsid w:val="00893C75"/>
    <w:rsid w:val="00893CEF"/>
    <w:rsid w:val="00893E18"/>
    <w:rsid w:val="00893E60"/>
    <w:rsid w:val="00893F63"/>
    <w:rsid w:val="0089400E"/>
    <w:rsid w:val="00894065"/>
    <w:rsid w:val="008940DC"/>
    <w:rsid w:val="0089412F"/>
    <w:rsid w:val="008941A1"/>
    <w:rsid w:val="0089428B"/>
    <w:rsid w:val="00894455"/>
    <w:rsid w:val="008944AD"/>
    <w:rsid w:val="00894510"/>
    <w:rsid w:val="00894567"/>
    <w:rsid w:val="008945B5"/>
    <w:rsid w:val="008945DA"/>
    <w:rsid w:val="00894950"/>
    <w:rsid w:val="008949F0"/>
    <w:rsid w:val="00894AEE"/>
    <w:rsid w:val="00894B3B"/>
    <w:rsid w:val="00894C97"/>
    <w:rsid w:val="00894CD9"/>
    <w:rsid w:val="00894DCA"/>
    <w:rsid w:val="00894F70"/>
    <w:rsid w:val="00895067"/>
    <w:rsid w:val="0089514F"/>
    <w:rsid w:val="0089522D"/>
    <w:rsid w:val="0089526F"/>
    <w:rsid w:val="0089533F"/>
    <w:rsid w:val="0089536C"/>
    <w:rsid w:val="00895433"/>
    <w:rsid w:val="00895574"/>
    <w:rsid w:val="008956EF"/>
    <w:rsid w:val="008958F8"/>
    <w:rsid w:val="00895920"/>
    <w:rsid w:val="008959B7"/>
    <w:rsid w:val="00895A0A"/>
    <w:rsid w:val="00895A28"/>
    <w:rsid w:val="00895BE7"/>
    <w:rsid w:val="00895C39"/>
    <w:rsid w:val="00895CA8"/>
    <w:rsid w:val="00895CAC"/>
    <w:rsid w:val="00895D5D"/>
    <w:rsid w:val="00895ED7"/>
    <w:rsid w:val="00895F61"/>
    <w:rsid w:val="00895FC5"/>
    <w:rsid w:val="00896036"/>
    <w:rsid w:val="0089608F"/>
    <w:rsid w:val="00896267"/>
    <w:rsid w:val="008963AA"/>
    <w:rsid w:val="008965AB"/>
    <w:rsid w:val="00896775"/>
    <w:rsid w:val="008967D0"/>
    <w:rsid w:val="00896A53"/>
    <w:rsid w:val="00896A72"/>
    <w:rsid w:val="00896AB1"/>
    <w:rsid w:val="00896AF3"/>
    <w:rsid w:val="00896B07"/>
    <w:rsid w:val="00896C66"/>
    <w:rsid w:val="00896D87"/>
    <w:rsid w:val="00896E6E"/>
    <w:rsid w:val="00896F4A"/>
    <w:rsid w:val="00896FB8"/>
    <w:rsid w:val="00897055"/>
    <w:rsid w:val="0089711E"/>
    <w:rsid w:val="00897120"/>
    <w:rsid w:val="00897193"/>
    <w:rsid w:val="0089734D"/>
    <w:rsid w:val="00897372"/>
    <w:rsid w:val="00897485"/>
    <w:rsid w:val="008974D8"/>
    <w:rsid w:val="00897563"/>
    <w:rsid w:val="008975BD"/>
    <w:rsid w:val="00897688"/>
    <w:rsid w:val="008978EA"/>
    <w:rsid w:val="00897B0D"/>
    <w:rsid w:val="00897B82"/>
    <w:rsid w:val="00897C13"/>
    <w:rsid w:val="00897CC9"/>
    <w:rsid w:val="00897D7A"/>
    <w:rsid w:val="00897DAD"/>
    <w:rsid w:val="00897DDA"/>
    <w:rsid w:val="00897E6A"/>
    <w:rsid w:val="00897E83"/>
    <w:rsid w:val="00897F40"/>
    <w:rsid w:val="00897F61"/>
    <w:rsid w:val="00897FF9"/>
    <w:rsid w:val="0089C21E"/>
    <w:rsid w:val="008A01F4"/>
    <w:rsid w:val="008A022B"/>
    <w:rsid w:val="008A03B0"/>
    <w:rsid w:val="008A03C4"/>
    <w:rsid w:val="008A0413"/>
    <w:rsid w:val="008A04F5"/>
    <w:rsid w:val="008A0811"/>
    <w:rsid w:val="008A0989"/>
    <w:rsid w:val="008A0BDA"/>
    <w:rsid w:val="008A0D79"/>
    <w:rsid w:val="008A0E50"/>
    <w:rsid w:val="008A0FA6"/>
    <w:rsid w:val="008A0FBF"/>
    <w:rsid w:val="008A1149"/>
    <w:rsid w:val="008A115F"/>
    <w:rsid w:val="008A1333"/>
    <w:rsid w:val="008A140B"/>
    <w:rsid w:val="008A1511"/>
    <w:rsid w:val="008A1746"/>
    <w:rsid w:val="008A1A7D"/>
    <w:rsid w:val="008A1B56"/>
    <w:rsid w:val="008A1C71"/>
    <w:rsid w:val="008A1C8A"/>
    <w:rsid w:val="008A1D5E"/>
    <w:rsid w:val="008A1D69"/>
    <w:rsid w:val="008A1D7D"/>
    <w:rsid w:val="008A1E02"/>
    <w:rsid w:val="008A1E12"/>
    <w:rsid w:val="008A1EAD"/>
    <w:rsid w:val="008A1EC8"/>
    <w:rsid w:val="008A2119"/>
    <w:rsid w:val="008A21B0"/>
    <w:rsid w:val="008A21CF"/>
    <w:rsid w:val="008A228F"/>
    <w:rsid w:val="008A2294"/>
    <w:rsid w:val="008A2368"/>
    <w:rsid w:val="008A23B7"/>
    <w:rsid w:val="008A26C7"/>
    <w:rsid w:val="008A276C"/>
    <w:rsid w:val="008A27A9"/>
    <w:rsid w:val="008A285D"/>
    <w:rsid w:val="008A28E2"/>
    <w:rsid w:val="008A29CB"/>
    <w:rsid w:val="008A2BD1"/>
    <w:rsid w:val="008A2BE0"/>
    <w:rsid w:val="008A2C7C"/>
    <w:rsid w:val="008A2C9E"/>
    <w:rsid w:val="008A2D17"/>
    <w:rsid w:val="008A2D46"/>
    <w:rsid w:val="008A2F16"/>
    <w:rsid w:val="008A30C4"/>
    <w:rsid w:val="008A3190"/>
    <w:rsid w:val="008A31EB"/>
    <w:rsid w:val="008A3221"/>
    <w:rsid w:val="008A3255"/>
    <w:rsid w:val="008A32B0"/>
    <w:rsid w:val="008A35AD"/>
    <w:rsid w:val="008A361E"/>
    <w:rsid w:val="008A37AA"/>
    <w:rsid w:val="008A3823"/>
    <w:rsid w:val="008A3A02"/>
    <w:rsid w:val="008A3A2E"/>
    <w:rsid w:val="008A3A82"/>
    <w:rsid w:val="008A3D55"/>
    <w:rsid w:val="008A3DC4"/>
    <w:rsid w:val="008A3EF8"/>
    <w:rsid w:val="008A3F91"/>
    <w:rsid w:val="008A4074"/>
    <w:rsid w:val="008A407B"/>
    <w:rsid w:val="008A4265"/>
    <w:rsid w:val="008A43AE"/>
    <w:rsid w:val="008A4590"/>
    <w:rsid w:val="008A47C3"/>
    <w:rsid w:val="008A4B37"/>
    <w:rsid w:val="008A4B64"/>
    <w:rsid w:val="008A4BDB"/>
    <w:rsid w:val="008A4EFE"/>
    <w:rsid w:val="008A4F11"/>
    <w:rsid w:val="008A4F74"/>
    <w:rsid w:val="008A4FF3"/>
    <w:rsid w:val="008A52DF"/>
    <w:rsid w:val="008A5395"/>
    <w:rsid w:val="008A53A6"/>
    <w:rsid w:val="008A53BE"/>
    <w:rsid w:val="008A546A"/>
    <w:rsid w:val="008A5506"/>
    <w:rsid w:val="008A566D"/>
    <w:rsid w:val="008A56C5"/>
    <w:rsid w:val="008A57B7"/>
    <w:rsid w:val="008A57F7"/>
    <w:rsid w:val="008A5814"/>
    <w:rsid w:val="008A58C2"/>
    <w:rsid w:val="008A58CF"/>
    <w:rsid w:val="008A5910"/>
    <w:rsid w:val="008A5932"/>
    <w:rsid w:val="008A59E2"/>
    <w:rsid w:val="008A5A3D"/>
    <w:rsid w:val="008A5AEF"/>
    <w:rsid w:val="008A5B48"/>
    <w:rsid w:val="008A5B77"/>
    <w:rsid w:val="008A5C39"/>
    <w:rsid w:val="008A6097"/>
    <w:rsid w:val="008A61A7"/>
    <w:rsid w:val="008A621F"/>
    <w:rsid w:val="008A624B"/>
    <w:rsid w:val="008A62C9"/>
    <w:rsid w:val="008A6370"/>
    <w:rsid w:val="008A665F"/>
    <w:rsid w:val="008A66BE"/>
    <w:rsid w:val="008A6A43"/>
    <w:rsid w:val="008A6A52"/>
    <w:rsid w:val="008A6BC4"/>
    <w:rsid w:val="008A6D4D"/>
    <w:rsid w:val="008A6DFA"/>
    <w:rsid w:val="008A7011"/>
    <w:rsid w:val="008A7020"/>
    <w:rsid w:val="008A70D8"/>
    <w:rsid w:val="008A7138"/>
    <w:rsid w:val="008A71FF"/>
    <w:rsid w:val="008A7257"/>
    <w:rsid w:val="008A739C"/>
    <w:rsid w:val="008A74AB"/>
    <w:rsid w:val="008A7671"/>
    <w:rsid w:val="008A7756"/>
    <w:rsid w:val="008A7982"/>
    <w:rsid w:val="008A7A4E"/>
    <w:rsid w:val="008A7B2D"/>
    <w:rsid w:val="008A7B44"/>
    <w:rsid w:val="008A7C77"/>
    <w:rsid w:val="008A7CE3"/>
    <w:rsid w:val="008A7D83"/>
    <w:rsid w:val="008A7DB8"/>
    <w:rsid w:val="008A7E18"/>
    <w:rsid w:val="008A7F23"/>
    <w:rsid w:val="008A7F7B"/>
    <w:rsid w:val="008B0018"/>
    <w:rsid w:val="008B0063"/>
    <w:rsid w:val="008B019D"/>
    <w:rsid w:val="008B01F6"/>
    <w:rsid w:val="008B0216"/>
    <w:rsid w:val="008B03AE"/>
    <w:rsid w:val="008B03C5"/>
    <w:rsid w:val="008B0482"/>
    <w:rsid w:val="008B0517"/>
    <w:rsid w:val="008B06EA"/>
    <w:rsid w:val="008B0928"/>
    <w:rsid w:val="008B0958"/>
    <w:rsid w:val="008B0A70"/>
    <w:rsid w:val="008B0B0F"/>
    <w:rsid w:val="008B0C6B"/>
    <w:rsid w:val="008B0CDE"/>
    <w:rsid w:val="008B0D08"/>
    <w:rsid w:val="008B0D93"/>
    <w:rsid w:val="008B0E90"/>
    <w:rsid w:val="008B0F6F"/>
    <w:rsid w:val="008B107D"/>
    <w:rsid w:val="008B12BD"/>
    <w:rsid w:val="008B133A"/>
    <w:rsid w:val="008B13F4"/>
    <w:rsid w:val="008B161F"/>
    <w:rsid w:val="008B185B"/>
    <w:rsid w:val="008B1904"/>
    <w:rsid w:val="008B1A9C"/>
    <w:rsid w:val="008B1AA0"/>
    <w:rsid w:val="008B1AED"/>
    <w:rsid w:val="008B1B48"/>
    <w:rsid w:val="008B1CF9"/>
    <w:rsid w:val="008B1D1A"/>
    <w:rsid w:val="008B1D5F"/>
    <w:rsid w:val="008B1F76"/>
    <w:rsid w:val="008B202F"/>
    <w:rsid w:val="008B210D"/>
    <w:rsid w:val="008B2126"/>
    <w:rsid w:val="008B221B"/>
    <w:rsid w:val="008B2276"/>
    <w:rsid w:val="008B2389"/>
    <w:rsid w:val="008B23A5"/>
    <w:rsid w:val="008B23E0"/>
    <w:rsid w:val="008B24A9"/>
    <w:rsid w:val="008B2526"/>
    <w:rsid w:val="008B2552"/>
    <w:rsid w:val="008B26CB"/>
    <w:rsid w:val="008B26F5"/>
    <w:rsid w:val="008B272D"/>
    <w:rsid w:val="008B27C8"/>
    <w:rsid w:val="008B286B"/>
    <w:rsid w:val="008B2901"/>
    <w:rsid w:val="008B29AC"/>
    <w:rsid w:val="008B2B2F"/>
    <w:rsid w:val="008B2BF0"/>
    <w:rsid w:val="008B2C1A"/>
    <w:rsid w:val="008B2C9E"/>
    <w:rsid w:val="008B2D11"/>
    <w:rsid w:val="008B2D6B"/>
    <w:rsid w:val="008B2E69"/>
    <w:rsid w:val="008B2EE3"/>
    <w:rsid w:val="008B31BB"/>
    <w:rsid w:val="008B3206"/>
    <w:rsid w:val="008B321D"/>
    <w:rsid w:val="008B3309"/>
    <w:rsid w:val="008B3318"/>
    <w:rsid w:val="008B33C0"/>
    <w:rsid w:val="008B344B"/>
    <w:rsid w:val="008B345D"/>
    <w:rsid w:val="008B346F"/>
    <w:rsid w:val="008B356A"/>
    <w:rsid w:val="008B364C"/>
    <w:rsid w:val="008B36F5"/>
    <w:rsid w:val="008B39B5"/>
    <w:rsid w:val="008B3B75"/>
    <w:rsid w:val="008B3CB8"/>
    <w:rsid w:val="008B3F71"/>
    <w:rsid w:val="008B3FC3"/>
    <w:rsid w:val="008B3FFC"/>
    <w:rsid w:val="008B4080"/>
    <w:rsid w:val="008B40AB"/>
    <w:rsid w:val="008B40DE"/>
    <w:rsid w:val="008B40FB"/>
    <w:rsid w:val="008B41A6"/>
    <w:rsid w:val="008B4210"/>
    <w:rsid w:val="008B43AD"/>
    <w:rsid w:val="008B43D5"/>
    <w:rsid w:val="008B4466"/>
    <w:rsid w:val="008B452B"/>
    <w:rsid w:val="008B458B"/>
    <w:rsid w:val="008B4619"/>
    <w:rsid w:val="008B467A"/>
    <w:rsid w:val="008B46D3"/>
    <w:rsid w:val="008B471A"/>
    <w:rsid w:val="008B484A"/>
    <w:rsid w:val="008B4877"/>
    <w:rsid w:val="008B488F"/>
    <w:rsid w:val="008B495D"/>
    <w:rsid w:val="008B4A36"/>
    <w:rsid w:val="008B4A63"/>
    <w:rsid w:val="008B4CFB"/>
    <w:rsid w:val="008B4D25"/>
    <w:rsid w:val="008B4E9E"/>
    <w:rsid w:val="008B4F96"/>
    <w:rsid w:val="008B505C"/>
    <w:rsid w:val="008B50B8"/>
    <w:rsid w:val="008B5197"/>
    <w:rsid w:val="008B51FA"/>
    <w:rsid w:val="008B5276"/>
    <w:rsid w:val="008B52E2"/>
    <w:rsid w:val="008B53DB"/>
    <w:rsid w:val="008B5413"/>
    <w:rsid w:val="008B5537"/>
    <w:rsid w:val="008B554C"/>
    <w:rsid w:val="008B55EB"/>
    <w:rsid w:val="008B566A"/>
    <w:rsid w:val="008B5778"/>
    <w:rsid w:val="008B57D6"/>
    <w:rsid w:val="008B5A5F"/>
    <w:rsid w:val="008B5B69"/>
    <w:rsid w:val="008B5B72"/>
    <w:rsid w:val="008B5B9B"/>
    <w:rsid w:val="008B5B9C"/>
    <w:rsid w:val="008B5EA3"/>
    <w:rsid w:val="008B5F6F"/>
    <w:rsid w:val="008B60E3"/>
    <w:rsid w:val="008B63C4"/>
    <w:rsid w:val="008B6465"/>
    <w:rsid w:val="008B6485"/>
    <w:rsid w:val="008B6522"/>
    <w:rsid w:val="008B6743"/>
    <w:rsid w:val="008B67B0"/>
    <w:rsid w:val="008B6860"/>
    <w:rsid w:val="008B68C1"/>
    <w:rsid w:val="008B6953"/>
    <w:rsid w:val="008B6A2D"/>
    <w:rsid w:val="008B6AB1"/>
    <w:rsid w:val="008B6CF2"/>
    <w:rsid w:val="008B6E31"/>
    <w:rsid w:val="008B6E33"/>
    <w:rsid w:val="008B6E5F"/>
    <w:rsid w:val="008B6EED"/>
    <w:rsid w:val="008B6F8F"/>
    <w:rsid w:val="008B6FB0"/>
    <w:rsid w:val="008B70AD"/>
    <w:rsid w:val="008B71FB"/>
    <w:rsid w:val="008B7313"/>
    <w:rsid w:val="008B7349"/>
    <w:rsid w:val="008B747B"/>
    <w:rsid w:val="008B7A82"/>
    <w:rsid w:val="008B7AD8"/>
    <w:rsid w:val="008B7CB5"/>
    <w:rsid w:val="008B7DAE"/>
    <w:rsid w:val="008B7ED8"/>
    <w:rsid w:val="008B7F38"/>
    <w:rsid w:val="008B7F4F"/>
    <w:rsid w:val="008C0085"/>
    <w:rsid w:val="008C017D"/>
    <w:rsid w:val="008C020F"/>
    <w:rsid w:val="008C0367"/>
    <w:rsid w:val="008C04AA"/>
    <w:rsid w:val="008C04FD"/>
    <w:rsid w:val="008C0649"/>
    <w:rsid w:val="008C077A"/>
    <w:rsid w:val="008C0819"/>
    <w:rsid w:val="008C081F"/>
    <w:rsid w:val="008C08C6"/>
    <w:rsid w:val="008C094B"/>
    <w:rsid w:val="008C0989"/>
    <w:rsid w:val="008C0A7E"/>
    <w:rsid w:val="008C0AF5"/>
    <w:rsid w:val="008C0AFD"/>
    <w:rsid w:val="008C0B45"/>
    <w:rsid w:val="008C0BBC"/>
    <w:rsid w:val="008C0C3F"/>
    <w:rsid w:val="008C0E90"/>
    <w:rsid w:val="008C1141"/>
    <w:rsid w:val="008C11A4"/>
    <w:rsid w:val="008C1329"/>
    <w:rsid w:val="008C1330"/>
    <w:rsid w:val="008C14A1"/>
    <w:rsid w:val="008C1B09"/>
    <w:rsid w:val="008C1B64"/>
    <w:rsid w:val="008C1C8B"/>
    <w:rsid w:val="008C1C8E"/>
    <w:rsid w:val="008C1DEA"/>
    <w:rsid w:val="008C1EB9"/>
    <w:rsid w:val="008C1EC8"/>
    <w:rsid w:val="008C1EF7"/>
    <w:rsid w:val="008C1F58"/>
    <w:rsid w:val="008C237B"/>
    <w:rsid w:val="008C2425"/>
    <w:rsid w:val="008C2496"/>
    <w:rsid w:val="008C2514"/>
    <w:rsid w:val="008C254A"/>
    <w:rsid w:val="008C2625"/>
    <w:rsid w:val="008C2686"/>
    <w:rsid w:val="008C269F"/>
    <w:rsid w:val="008C26C1"/>
    <w:rsid w:val="008C276B"/>
    <w:rsid w:val="008C2839"/>
    <w:rsid w:val="008C2856"/>
    <w:rsid w:val="008C287F"/>
    <w:rsid w:val="008C299E"/>
    <w:rsid w:val="008C2A9F"/>
    <w:rsid w:val="008C2AD7"/>
    <w:rsid w:val="008C2CFC"/>
    <w:rsid w:val="008C2E18"/>
    <w:rsid w:val="008C2F05"/>
    <w:rsid w:val="008C2F75"/>
    <w:rsid w:val="008C2F93"/>
    <w:rsid w:val="008C2FC6"/>
    <w:rsid w:val="008C3048"/>
    <w:rsid w:val="008C3097"/>
    <w:rsid w:val="008C32D1"/>
    <w:rsid w:val="008C3385"/>
    <w:rsid w:val="008C33EC"/>
    <w:rsid w:val="008C34F5"/>
    <w:rsid w:val="008C34FE"/>
    <w:rsid w:val="008C3524"/>
    <w:rsid w:val="008C352A"/>
    <w:rsid w:val="008C37F2"/>
    <w:rsid w:val="008C3A04"/>
    <w:rsid w:val="008C3B59"/>
    <w:rsid w:val="008C3B9F"/>
    <w:rsid w:val="008C3C91"/>
    <w:rsid w:val="008C3D22"/>
    <w:rsid w:val="008C3D73"/>
    <w:rsid w:val="008C3DE8"/>
    <w:rsid w:val="008C3E7F"/>
    <w:rsid w:val="008C3FAD"/>
    <w:rsid w:val="008C40F2"/>
    <w:rsid w:val="008C4252"/>
    <w:rsid w:val="008C4306"/>
    <w:rsid w:val="008C4326"/>
    <w:rsid w:val="008C4395"/>
    <w:rsid w:val="008C43BD"/>
    <w:rsid w:val="008C4440"/>
    <w:rsid w:val="008C4477"/>
    <w:rsid w:val="008C44CC"/>
    <w:rsid w:val="008C4532"/>
    <w:rsid w:val="008C463E"/>
    <w:rsid w:val="008C46BF"/>
    <w:rsid w:val="008C46D5"/>
    <w:rsid w:val="008C46FD"/>
    <w:rsid w:val="008C47D1"/>
    <w:rsid w:val="008C4DA9"/>
    <w:rsid w:val="008C4E3D"/>
    <w:rsid w:val="008C504E"/>
    <w:rsid w:val="008C51F2"/>
    <w:rsid w:val="008C5348"/>
    <w:rsid w:val="008C5420"/>
    <w:rsid w:val="008C5471"/>
    <w:rsid w:val="008C5881"/>
    <w:rsid w:val="008C5905"/>
    <w:rsid w:val="008C5A4F"/>
    <w:rsid w:val="008C5D5F"/>
    <w:rsid w:val="008C5D93"/>
    <w:rsid w:val="008C5E58"/>
    <w:rsid w:val="008C5EA9"/>
    <w:rsid w:val="008C60EC"/>
    <w:rsid w:val="008C6156"/>
    <w:rsid w:val="008C618E"/>
    <w:rsid w:val="008C62C1"/>
    <w:rsid w:val="008C6350"/>
    <w:rsid w:val="008C6397"/>
    <w:rsid w:val="008C6543"/>
    <w:rsid w:val="008C659F"/>
    <w:rsid w:val="008C670E"/>
    <w:rsid w:val="008C67AA"/>
    <w:rsid w:val="008C68C4"/>
    <w:rsid w:val="008C68D5"/>
    <w:rsid w:val="008C6960"/>
    <w:rsid w:val="008C6AA6"/>
    <w:rsid w:val="008C6AEB"/>
    <w:rsid w:val="008C6BA3"/>
    <w:rsid w:val="008C6BCE"/>
    <w:rsid w:val="008C6D51"/>
    <w:rsid w:val="008C70E2"/>
    <w:rsid w:val="008C72D3"/>
    <w:rsid w:val="008C72DA"/>
    <w:rsid w:val="008C744D"/>
    <w:rsid w:val="008C74FA"/>
    <w:rsid w:val="008C7503"/>
    <w:rsid w:val="008C752C"/>
    <w:rsid w:val="008C7568"/>
    <w:rsid w:val="008C75DF"/>
    <w:rsid w:val="008C764D"/>
    <w:rsid w:val="008C7668"/>
    <w:rsid w:val="008C7753"/>
    <w:rsid w:val="008C784D"/>
    <w:rsid w:val="008C78C2"/>
    <w:rsid w:val="008C7A00"/>
    <w:rsid w:val="008C7ADA"/>
    <w:rsid w:val="008C7B05"/>
    <w:rsid w:val="008C7CE7"/>
    <w:rsid w:val="008C7D46"/>
    <w:rsid w:val="008C7E9C"/>
    <w:rsid w:val="008C7F45"/>
    <w:rsid w:val="008D0020"/>
    <w:rsid w:val="008D0042"/>
    <w:rsid w:val="008D00F3"/>
    <w:rsid w:val="008D0263"/>
    <w:rsid w:val="008D0292"/>
    <w:rsid w:val="008D048B"/>
    <w:rsid w:val="008D0545"/>
    <w:rsid w:val="008D0575"/>
    <w:rsid w:val="008D06B4"/>
    <w:rsid w:val="008D075D"/>
    <w:rsid w:val="008D0766"/>
    <w:rsid w:val="008D0848"/>
    <w:rsid w:val="008D096F"/>
    <w:rsid w:val="008D0A9A"/>
    <w:rsid w:val="008D0CF3"/>
    <w:rsid w:val="008D0D7D"/>
    <w:rsid w:val="008D0E71"/>
    <w:rsid w:val="008D0EE3"/>
    <w:rsid w:val="008D123B"/>
    <w:rsid w:val="008D13C8"/>
    <w:rsid w:val="008D1408"/>
    <w:rsid w:val="008D14A2"/>
    <w:rsid w:val="008D1541"/>
    <w:rsid w:val="008D1594"/>
    <w:rsid w:val="008D162D"/>
    <w:rsid w:val="008D16B7"/>
    <w:rsid w:val="008D16B9"/>
    <w:rsid w:val="008D17B1"/>
    <w:rsid w:val="008D17B9"/>
    <w:rsid w:val="008D17D8"/>
    <w:rsid w:val="008D18BF"/>
    <w:rsid w:val="008D195E"/>
    <w:rsid w:val="008D19E4"/>
    <w:rsid w:val="008D1A13"/>
    <w:rsid w:val="008D1B64"/>
    <w:rsid w:val="008D1CF3"/>
    <w:rsid w:val="008D1D0C"/>
    <w:rsid w:val="008D1D7D"/>
    <w:rsid w:val="008D1DB9"/>
    <w:rsid w:val="008D200A"/>
    <w:rsid w:val="008D20E1"/>
    <w:rsid w:val="008D212A"/>
    <w:rsid w:val="008D21BA"/>
    <w:rsid w:val="008D21DC"/>
    <w:rsid w:val="008D221C"/>
    <w:rsid w:val="008D2369"/>
    <w:rsid w:val="008D2401"/>
    <w:rsid w:val="008D2414"/>
    <w:rsid w:val="008D2621"/>
    <w:rsid w:val="008D28A9"/>
    <w:rsid w:val="008D2B18"/>
    <w:rsid w:val="008D2BF5"/>
    <w:rsid w:val="008D2C0A"/>
    <w:rsid w:val="008D2C11"/>
    <w:rsid w:val="008D2C16"/>
    <w:rsid w:val="008D2C64"/>
    <w:rsid w:val="008D2CFF"/>
    <w:rsid w:val="008D316E"/>
    <w:rsid w:val="008D31BD"/>
    <w:rsid w:val="008D320D"/>
    <w:rsid w:val="008D32F8"/>
    <w:rsid w:val="008D335A"/>
    <w:rsid w:val="008D343C"/>
    <w:rsid w:val="008D3745"/>
    <w:rsid w:val="008D379A"/>
    <w:rsid w:val="008D37D4"/>
    <w:rsid w:val="008D3950"/>
    <w:rsid w:val="008D3A12"/>
    <w:rsid w:val="008D3D03"/>
    <w:rsid w:val="008D3E64"/>
    <w:rsid w:val="008D3E6E"/>
    <w:rsid w:val="008D3EDA"/>
    <w:rsid w:val="008D3FD5"/>
    <w:rsid w:val="008D4188"/>
    <w:rsid w:val="008D41D2"/>
    <w:rsid w:val="008D4382"/>
    <w:rsid w:val="008D43E0"/>
    <w:rsid w:val="008D457D"/>
    <w:rsid w:val="008D485E"/>
    <w:rsid w:val="008D486C"/>
    <w:rsid w:val="008D48E5"/>
    <w:rsid w:val="008D4956"/>
    <w:rsid w:val="008D4AE7"/>
    <w:rsid w:val="008D4B19"/>
    <w:rsid w:val="008D4B6F"/>
    <w:rsid w:val="008D4BA5"/>
    <w:rsid w:val="008D4C86"/>
    <w:rsid w:val="008D4D27"/>
    <w:rsid w:val="008D4D6E"/>
    <w:rsid w:val="008D4D9C"/>
    <w:rsid w:val="008D4DBE"/>
    <w:rsid w:val="008D4DF8"/>
    <w:rsid w:val="008D4E8A"/>
    <w:rsid w:val="008D4EBB"/>
    <w:rsid w:val="008D4FB9"/>
    <w:rsid w:val="008D50E9"/>
    <w:rsid w:val="008D520C"/>
    <w:rsid w:val="008D5329"/>
    <w:rsid w:val="008D5491"/>
    <w:rsid w:val="008D54CF"/>
    <w:rsid w:val="008D5587"/>
    <w:rsid w:val="008D55BC"/>
    <w:rsid w:val="008D5614"/>
    <w:rsid w:val="008D5618"/>
    <w:rsid w:val="008D5663"/>
    <w:rsid w:val="008D56CE"/>
    <w:rsid w:val="008D56E4"/>
    <w:rsid w:val="008D573D"/>
    <w:rsid w:val="008D5773"/>
    <w:rsid w:val="008D57F5"/>
    <w:rsid w:val="008D587A"/>
    <w:rsid w:val="008D5B1F"/>
    <w:rsid w:val="008D5C66"/>
    <w:rsid w:val="008D5C88"/>
    <w:rsid w:val="008D602C"/>
    <w:rsid w:val="008D60A8"/>
    <w:rsid w:val="008D61AE"/>
    <w:rsid w:val="008D61D1"/>
    <w:rsid w:val="008D62BF"/>
    <w:rsid w:val="008D630E"/>
    <w:rsid w:val="008D6489"/>
    <w:rsid w:val="008D649C"/>
    <w:rsid w:val="008D64A5"/>
    <w:rsid w:val="008D64AA"/>
    <w:rsid w:val="008D6678"/>
    <w:rsid w:val="008D66C2"/>
    <w:rsid w:val="008D69E8"/>
    <w:rsid w:val="008D6A26"/>
    <w:rsid w:val="008D6A3E"/>
    <w:rsid w:val="008D6AC5"/>
    <w:rsid w:val="008D6C73"/>
    <w:rsid w:val="008D6DAC"/>
    <w:rsid w:val="008D6E34"/>
    <w:rsid w:val="008D709F"/>
    <w:rsid w:val="008D71AE"/>
    <w:rsid w:val="008D71F2"/>
    <w:rsid w:val="008D7359"/>
    <w:rsid w:val="008D747C"/>
    <w:rsid w:val="008D759C"/>
    <w:rsid w:val="008D75D0"/>
    <w:rsid w:val="008D78E7"/>
    <w:rsid w:val="008D7956"/>
    <w:rsid w:val="008D7965"/>
    <w:rsid w:val="008D79C6"/>
    <w:rsid w:val="008D7B31"/>
    <w:rsid w:val="008D7B3B"/>
    <w:rsid w:val="008D7C37"/>
    <w:rsid w:val="008D7D01"/>
    <w:rsid w:val="008D7F15"/>
    <w:rsid w:val="008D7FD9"/>
    <w:rsid w:val="008D945D"/>
    <w:rsid w:val="008E005C"/>
    <w:rsid w:val="008E0114"/>
    <w:rsid w:val="008E012C"/>
    <w:rsid w:val="008E0160"/>
    <w:rsid w:val="008E04C3"/>
    <w:rsid w:val="008E0572"/>
    <w:rsid w:val="008E05A2"/>
    <w:rsid w:val="008E0604"/>
    <w:rsid w:val="008E0774"/>
    <w:rsid w:val="008E07AD"/>
    <w:rsid w:val="008E07B9"/>
    <w:rsid w:val="008E0982"/>
    <w:rsid w:val="008E0A8E"/>
    <w:rsid w:val="008E0C0C"/>
    <w:rsid w:val="008E0C11"/>
    <w:rsid w:val="008E0C5D"/>
    <w:rsid w:val="008E0CD9"/>
    <w:rsid w:val="008E0CE9"/>
    <w:rsid w:val="008E0D31"/>
    <w:rsid w:val="008E0E7F"/>
    <w:rsid w:val="008E0E91"/>
    <w:rsid w:val="008E0EBE"/>
    <w:rsid w:val="008E0F65"/>
    <w:rsid w:val="008E0FA6"/>
    <w:rsid w:val="008E0FA7"/>
    <w:rsid w:val="008E131D"/>
    <w:rsid w:val="008E14BC"/>
    <w:rsid w:val="008E1687"/>
    <w:rsid w:val="008E16DD"/>
    <w:rsid w:val="008E1755"/>
    <w:rsid w:val="008E1B6B"/>
    <w:rsid w:val="008E1C1F"/>
    <w:rsid w:val="008E1C21"/>
    <w:rsid w:val="008E1D6C"/>
    <w:rsid w:val="008E1E63"/>
    <w:rsid w:val="008E1EA1"/>
    <w:rsid w:val="008E1ED4"/>
    <w:rsid w:val="008E217B"/>
    <w:rsid w:val="008E2297"/>
    <w:rsid w:val="008E22C9"/>
    <w:rsid w:val="008E237B"/>
    <w:rsid w:val="008E23B2"/>
    <w:rsid w:val="008E23C1"/>
    <w:rsid w:val="008E23D6"/>
    <w:rsid w:val="008E243A"/>
    <w:rsid w:val="008E2451"/>
    <w:rsid w:val="008E256C"/>
    <w:rsid w:val="008E26FA"/>
    <w:rsid w:val="008E2770"/>
    <w:rsid w:val="008E2A92"/>
    <w:rsid w:val="008E2BC2"/>
    <w:rsid w:val="008E2BD1"/>
    <w:rsid w:val="008E2BDA"/>
    <w:rsid w:val="008E2DA7"/>
    <w:rsid w:val="008E2DBC"/>
    <w:rsid w:val="008E2E37"/>
    <w:rsid w:val="008E2ECB"/>
    <w:rsid w:val="008E2FDE"/>
    <w:rsid w:val="008E2FFC"/>
    <w:rsid w:val="008E3035"/>
    <w:rsid w:val="008E3131"/>
    <w:rsid w:val="008E315C"/>
    <w:rsid w:val="008E31E5"/>
    <w:rsid w:val="008E3347"/>
    <w:rsid w:val="008E3387"/>
    <w:rsid w:val="008E3422"/>
    <w:rsid w:val="008E34B9"/>
    <w:rsid w:val="008E356B"/>
    <w:rsid w:val="008E35CD"/>
    <w:rsid w:val="008E35F3"/>
    <w:rsid w:val="008E3708"/>
    <w:rsid w:val="008E3B04"/>
    <w:rsid w:val="008E3BDB"/>
    <w:rsid w:val="008E3C3C"/>
    <w:rsid w:val="008E3C51"/>
    <w:rsid w:val="008E3CD3"/>
    <w:rsid w:val="008E3F43"/>
    <w:rsid w:val="008E4165"/>
    <w:rsid w:val="008E4291"/>
    <w:rsid w:val="008E4329"/>
    <w:rsid w:val="008E4410"/>
    <w:rsid w:val="008E4523"/>
    <w:rsid w:val="008E4656"/>
    <w:rsid w:val="008E46F1"/>
    <w:rsid w:val="008E4775"/>
    <w:rsid w:val="008E47ED"/>
    <w:rsid w:val="008E4834"/>
    <w:rsid w:val="008E484F"/>
    <w:rsid w:val="008E4B20"/>
    <w:rsid w:val="008E4B2B"/>
    <w:rsid w:val="008E4BBF"/>
    <w:rsid w:val="008E4CB6"/>
    <w:rsid w:val="008E4E7E"/>
    <w:rsid w:val="008E4EA4"/>
    <w:rsid w:val="008E4EB0"/>
    <w:rsid w:val="008E4F15"/>
    <w:rsid w:val="008E4F6B"/>
    <w:rsid w:val="008E4FC0"/>
    <w:rsid w:val="008E5073"/>
    <w:rsid w:val="008E51C8"/>
    <w:rsid w:val="008E5306"/>
    <w:rsid w:val="008E5440"/>
    <w:rsid w:val="008E56BA"/>
    <w:rsid w:val="008E58E0"/>
    <w:rsid w:val="008E5A5F"/>
    <w:rsid w:val="008E5B15"/>
    <w:rsid w:val="008E5BE3"/>
    <w:rsid w:val="008E5C10"/>
    <w:rsid w:val="008E5C20"/>
    <w:rsid w:val="008E5E1C"/>
    <w:rsid w:val="008E5E9A"/>
    <w:rsid w:val="008E5ED8"/>
    <w:rsid w:val="008E5F71"/>
    <w:rsid w:val="008E60AC"/>
    <w:rsid w:val="008E60FA"/>
    <w:rsid w:val="008E62D0"/>
    <w:rsid w:val="008E631E"/>
    <w:rsid w:val="008E63B0"/>
    <w:rsid w:val="008E6479"/>
    <w:rsid w:val="008E64B6"/>
    <w:rsid w:val="008E64DB"/>
    <w:rsid w:val="008E64FA"/>
    <w:rsid w:val="008E6532"/>
    <w:rsid w:val="008E653F"/>
    <w:rsid w:val="008E65AA"/>
    <w:rsid w:val="008E6612"/>
    <w:rsid w:val="008E667C"/>
    <w:rsid w:val="008E66D6"/>
    <w:rsid w:val="008E672D"/>
    <w:rsid w:val="008E684B"/>
    <w:rsid w:val="008E69F7"/>
    <w:rsid w:val="008E6CA6"/>
    <w:rsid w:val="008E6CE4"/>
    <w:rsid w:val="008E6D0D"/>
    <w:rsid w:val="008E6D4D"/>
    <w:rsid w:val="008E6D4E"/>
    <w:rsid w:val="008E6DDB"/>
    <w:rsid w:val="008E6E8A"/>
    <w:rsid w:val="008E6E9B"/>
    <w:rsid w:val="008E6EFD"/>
    <w:rsid w:val="008E7316"/>
    <w:rsid w:val="008E7322"/>
    <w:rsid w:val="008E738F"/>
    <w:rsid w:val="008E74C3"/>
    <w:rsid w:val="008E750A"/>
    <w:rsid w:val="008E75E0"/>
    <w:rsid w:val="008E7633"/>
    <w:rsid w:val="008E782B"/>
    <w:rsid w:val="008E783A"/>
    <w:rsid w:val="008E787A"/>
    <w:rsid w:val="008E7934"/>
    <w:rsid w:val="008E794F"/>
    <w:rsid w:val="008E79F7"/>
    <w:rsid w:val="008E7A61"/>
    <w:rsid w:val="008E7AE9"/>
    <w:rsid w:val="008E7C3F"/>
    <w:rsid w:val="008E7D2E"/>
    <w:rsid w:val="008E7E8D"/>
    <w:rsid w:val="008E7EB8"/>
    <w:rsid w:val="008E7FB8"/>
    <w:rsid w:val="008F0045"/>
    <w:rsid w:val="008F01E7"/>
    <w:rsid w:val="008F0206"/>
    <w:rsid w:val="008F028B"/>
    <w:rsid w:val="008F02EA"/>
    <w:rsid w:val="008F03E9"/>
    <w:rsid w:val="008F0460"/>
    <w:rsid w:val="008F0517"/>
    <w:rsid w:val="008F0558"/>
    <w:rsid w:val="008F0593"/>
    <w:rsid w:val="008F0612"/>
    <w:rsid w:val="008F0644"/>
    <w:rsid w:val="008F06EC"/>
    <w:rsid w:val="008F0814"/>
    <w:rsid w:val="008F083A"/>
    <w:rsid w:val="008F0877"/>
    <w:rsid w:val="008F0883"/>
    <w:rsid w:val="008F08D5"/>
    <w:rsid w:val="008F08EF"/>
    <w:rsid w:val="008F0AFB"/>
    <w:rsid w:val="008F0B16"/>
    <w:rsid w:val="008F0B93"/>
    <w:rsid w:val="008F0B99"/>
    <w:rsid w:val="008F0CC2"/>
    <w:rsid w:val="008F0DB7"/>
    <w:rsid w:val="008F0F81"/>
    <w:rsid w:val="008F110F"/>
    <w:rsid w:val="008F1134"/>
    <w:rsid w:val="008F11AD"/>
    <w:rsid w:val="008F1220"/>
    <w:rsid w:val="008F13B7"/>
    <w:rsid w:val="008F13D9"/>
    <w:rsid w:val="008F13E2"/>
    <w:rsid w:val="008F145C"/>
    <w:rsid w:val="008F150A"/>
    <w:rsid w:val="008F153B"/>
    <w:rsid w:val="008F17A2"/>
    <w:rsid w:val="008F17C5"/>
    <w:rsid w:val="008F18B6"/>
    <w:rsid w:val="008F198C"/>
    <w:rsid w:val="008F19FB"/>
    <w:rsid w:val="008F1BA7"/>
    <w:rsid w:val="008F1C4D"/>
    <w:rsid w:val="008F1C67"/>
    <w:rsid w:val="008F1D6F"/>
    <w:rsid w:val="008F1E5B"/>
    <w:rsid w:val="008F1EE1"/>
    <w:rsid w:val="008F2090"/>
    <w:rsid w:val="008F20CE"/>
    <w:rsid w:val="008F210B"/>
    <w:rsid w:val="008F2281"/>
    <w:rsid w:val="008F22E1"/>
    <w:rsid w:val="008F2366"/>
    <w:rsid w:val="008F23AF"/>
    <w:rsid w:val="008F243D"/>
    <w:rsid w:val="008F2555"/>
    <w:rsid w:val="008F257D"/>
    <w:rsid w:val="008F26E7"/>
    <w:rsid w:val="008F2844"/>
    <w:rsid w:val="008F2976"/>
    <w:rsid w:val="008F2BEB"/>
    <w:rsid w:val="008F2C90"/>
    <w:rsid w:val="008F2CD2"/>
    <w:rsid w:val="008F2CEB"/>
    <w:rsid w:val="008F2E57"/>
    <w:rsid w:val="008F2ECE"/>
    <w:rsid w:val="008F2F49"/>
    <w:rsid w:val="008F2F78"/>
    <w:rsid w:val="008F2F97"/>
    <w:rsid w:val="008F3061"/>
    <w:rsid w:val="008F3134"/>
    <w:rsid w:val="008F3181"/>
    <w:rsid w:val="008F31A2"/>
    <w:rsid w:val="008F3219"/>
    <w:rsid w:val="008F328E"/>
    <w:rsid w:val="008F346C"/>
    <w:rsid w:val="008F34BE"/>
    <w:rsid w:val="008F35D5"/>
    <w:rsid w:val="008F3678"/>
    <w:rsid w:val="008F378D"/>
    <w:rsid w:val="008F380D"/>
    <w:rsid w:val="008F3823"/>
    <w:rsid w:val="008F39B3"/>
    <w:rsid w:val="008F3A17"/>
    <w:rsid w:val="008F3B16"/>
    <w:rsid w:val="008F3C21"/>
    <w:rsid w:val="008F3CA0"/>
    <w:rsid w:val="008F3CBF"/>
    <w:rsid w:val="008F3E2C"/>
    <w:rsid w:val="008F3E30"/>
    <w:rsid w:val="008F3E48"/>
    <w:rsid w:val="008F4079"/>
    <w:rsid w:val="008F40FD"/>
    <w:rsid w:val="008F4243"/>
    <w:rsid w:val="008F42BC"/>
    <w:rsid w:val="008F45AE"/>
    <w:rsid w:val="008F45C1"/>
    <w:rsid w:val="008F4627"/>
    <w:rsid w:val="008F4642"/>
    <w:rsid w:val="008F4730"/>
    <w:rsid w:val="008F47A5"/>
    <w:rsid w:val="008F47A7"/>
    <w:rsid w:val="008F47C4"/>
    <w:rsid w:val="008F49EE"/>
    <w:rsid w:val="008F4A21"/>
    <w:rsid w:val="008F4B6B"/>
    <w:rsid w:val="008F4BD4"/>
    <w:rsid w:val="008F4C07"/>
    <w:rsid w:val="008F4C92"/>
    <w:rsid w:val="008F4D20"/>
    <w:rsid w:val="008F4E61"/>
    <w:rsid w:val="008F4F9D"/>
    <w:rsid w:val="008F50F0"/>
    <w:rsid w:val="008F51E3"/>
    <w:rsid w:val="008F5228"/>
    <w:rsid w:val="008F524E"/>
    <w:rsid w:val="008F52F6"/>
    <w:rsid w:val="008F534B"/>
    <w:rsid w:val="008F53D4"/>
    <w:rsid w:val="008F5419"/>
    <w:rsid w:val="008F5459"/>
    <w:rsid w:val="008F548A"/>
    <w:rsid w:val="008F55CA"/>
    <w:rsid w:val="008F5734"/>
    <w:rsid w:val="008F584C"/>
    <w:rsid w:val="008F58C8"/>
    <w:rsid w:val="008F59A5"/>
    <w:rsid w:val="008F5A3F"/>
    <w:rsid w:val="008F5B7F"/>
    <w:rsid w:val="008F5C33"/>
    <w:rsid w:val="008F5CA2"/>
    <w:rsid w:val="008F5DD5"/>
    <w:rsid w:val="008F5E06"/>
    <w:rsid w:val="008F5E40"/>
    <w:rsid w:val="008F5E4B"/>
    <w:rsid w:val="008F5E99"/>
    <w:rsid w:val="008F5F53"/>
    <w:rsid w:val="008F6011"/>
    <w:rsid w:val="008F6424"/>
    <w:rsid w:val="008F6457"/>
    <w:rsid w:val="008F6465"/>
    <w:rsid w:val="008F656D"/>
    <w:rsid w:val="008F659A"/>
    <w:rsid w:val="008F6640"/>
    <w:rsid w:val="008F67B9"/>
    <w:rsid w:val="008F6A85"/>
    <w:rsid w:val="008F6AD6"/>
    <w:rsid w:val="008F6B79"/>
    <w:rsid w:val="008F6BA7"/>
    <w:rsid w:val="008F6CB6"/>
    <w:rsid w:val="008F6CFD"/>
    <w:rsid w:val="008F6D6A"/>
    <w:rsid w:val="008F70A8"/>
    <w:rsid w:val="008F7107"/>
    <w:rsid w:val="008F729D"/>
    <w:rsid w:val="008F7304"/>
    <w:rsid w:val="008F75F0"/>
    <w:rsid w:val="008F7693"/>
    <w:rsid w:val="008F7769"/>
    <w:rsid w:val="008F77DD"/>
    <w:rsid w:val="008F784D"/>
    <w:rsid w:val="008F78C0"/>
    <w:rsid w:val="008F7978"/>
    <w:rsid w:val="008F7A68"/>
    <w:rsid w:val="008F7AD2"/>
    <w:rsid w:val="008F7B95"/>
    <w:rsid w:val="008F7C9B"/>
    <w:rsid w:val="008F7D3E"/>
    <w:rsid w:val="008F7F02"/>
    <w:rsid w:val="008F7F06"/>
    <w:rsid w:val="008F7F6C"/>
    <w:rsid w:val="008FDA4E"/>
    <w:rsid w:val="00900004"/>
    <w:rsid w:val="00900019"/>
    <w:rsid w:val="009000FD"/>
    <w:rsid w:val="009001A1"/>
    <w:rsid w:val="00900230"/>
    <w:rsid w:val="009003AB"/>
    <w:rsid w:val="009003F0"/>
    <w:rsid w:val="009003F6"/>
    <w:rsid w:val="009004AB"/>
    <w:rsid w:val="0090065E"/>
    <w:rsid w:val="0090067B"/>
    <w:rsid w:val="0090067C"/>
    <w:rsid w:val="009008C2"/>
    <w:rsid w:val="00900982"/>
    <w:rsid w:val="00900C9C"/>
    <w:rsid w:val="00900CEC"/>
    <w:rsid w:val="00900D23"/>
    <w:rsid w:val="00900D99"/>
    <w:rsid w:val="00900E7C"/>
    <w:rsid w:val="00900EAA"/>
    <w:rsid w:val="00901064"/>
    <w:rsid w:val="00901547"/>
    <w:rsid w:val="009015E1"/>
    <w:rsid w:val="0090164A"/>
    <w:rsid w:val="0090169F"/>
    <w:rsid w:val="009017F3"/>
    <w:rsid w:val="009017FD"/>
    <w:rsid w:val="00901800"/>
    <w:rsid w:val="0090185E"/>
    <w:rsid w:val="009018C7"/>
    <w:rsid w:val="00901C77"/>
    <w:rsid w:val="00901CEE"/>
    <w:rsid w:val="00901E28"/>
    <w:rsid w:val="00901EA2"/>
    <w:rsid w:val="00901F1B"/>
    <w:rsid w:val="00901FBA"/>
    <w:rsid w:val="00902051"/>
    <w:rsid w:val="0090216E"/>
    <w:rsid w:val="009021C8"/>
    <w:rsid w:val="0090232F"/>
    <w:rsid w:val="009023B1"/>
    <w:rsid w:val="009023C9"/>
    <w:rsid w:val="009024DE"/>
    <w:rsid w:val="0090253C"/>
    <w:rsid w:val="009025EA"/>
    <w:rsid w:val="009025F5"/>
    <w:rsid w:val="00902618"/>
    <w:rsid w:val="0090261E"/>
    <w:rsid w:val="00902643"/>
    <w:rsid w:val="0090278C"/>
    <w:rsid w:val="009027A1"/>
    <w:rsid w:val="00902A30"/>
    <w:rsid w:val="00902AA3"/>
    <w:rsid w:val="00902AC3"/>
    <w:rsid w:val="00902B78"/>
    <w:rsid w:val="00902C97"/>
    <w:rsid w:val="00902C9B"/>
    <w:rsid w:val="00902E6F"/>
    <w:rsid w:val="00902FAE"/>
    <w:rsid w:val="00903006"/>
    <w:rsid w:val="00903185"/>
    <w:rsid w:val="009032E6"/>
    <w:rsid w:val="009033F1"/>
    <w:rsid w:val="00903472"/>
    <w:rsid w:val="009035E7"/>
    <w:rsid w:val="00903669"/>
    <w:rsid w:val="00903709"/>
    <w:rsid w:val="0090371F"/>
    <w:rsid w:val="0090379B"/>
    <w:rsid w:val="00903832"/>
    <w:rsid w:val="0090383C"/>
    <w:rsid w:val="00903A57"/>
    <w:rsid w:val="00903A70"/>
    <w:rsid w:val="00903AC0"/>
    <w:rsid w:val="00903C4C"/>
    <w:rsid w:val="00903CA0"/>
    <w:rsid w:val="00903CB1"/>
    <w:rsid w:val="00903CE3"/>
    <w:rsid w:val="00903D8F"/>
    <w:rsid w:val="009040B2"/>
    <w:rsid w:val="00904181"/>
    <w:rsid w:val="009041C5"/>
    <w:rsid w:val="00904290"/>
    <w:rsid w:val="00904396"/>
    <w:rsid w:val="00904466"/>
    <w:rsid w:val="0090459B"/>
    <w:rsid w:val="009045D2"/>
    <w:rsid w:val="00904660"/>
    <w:rsid w:val="009048F1"/>
    <w:rsid w:val="009049B9"/>
    <w:rsid w:val="00904A58"/>
    <w:rsid w:val="00904A7D"/>
    <w:rsid w:val="00904B5F"/>
    <w:rsid w:val="00904DEF"/>
    <w:rsid w:val="00904E1B"/>
    <w:rsid w:val="00904E58"/>
    <w:rsid w:val="00904E98"/>
    <w:rsid w:val="00904F9D"/>
    <w:rsid w:val="00905486"/>
    <w:rsid w:val="009054F6"/>
    <w:rsid w:val="0090576C"/>
    <w:rsid w:val="0090592E"/>
    <w:rsid w:val="00905A05"/>
    <w:rsid w:val="00905B43"/>
    <w:rsid w:val="00905B7B"/>
    <w:rsid w:val="00905C2C"/>
    <w:rsid w:val="00905CDD"/>
    <w:rsid w:val="00905D1F"/>
    <w:rsid w:val="00905D26"/>
    <w:rsid w:val="00905EBD"/>
    <w:rsid w:val="00905EEF"/>
    <w:rsid w:val="00905F38"/>
    <w:rsid w:val="00905F68"/>
    <w:rsid w:val="00905F79"/>
    <w:rsid w:val="00906218"/>
    <w:rsid w:val="00906493"/>
    <w:rsid w:val="009064E9"/>
    <w:rsid w:val="0090654B"/>
    <w:rsid w:val="00906583"/>
    <w:rsid w:val="0090660F"/>
    <w:rsid w:val="00906723"/>
    <w:rsid w:val="00906730"/>
    <w:rsid w:val="00906770"/>
    <w:rsid w:val="009068DF"/>
    <w:rsid w:val="00906ABF"/>
    <w:rsid w:val="00906C1E"/>
    <w:rsid w:val="00906C66"/>
    <w:rsid w:val="00906C6F"/>
    <w:rsid w:val="00906E2C"/>
    <w:rsid w:val="00906E85"/>
    <w:rsid w:val="00906FA6"/>
    <w:rsid w:val="00907004"/>
    <w:rsid w:val="009071A2"/>
    <w:rsid w:val="009072EC"/>
    <w:rsid w:val="00907468"/>
    <w:rsid w:val="009074A7"/>
    <w:rsid w:val="00907599"/>
    <w:rsid w:val="00907701"/>
    <w:rsid w:val="009077E7"/>
    <w:rsid w:val="0090796F"/>
    <w:rsid w:val="00907991"/>
    <w:rsid w:val="00907A63"/>
    <w:rsid w:val="00907B28"/>
    <w:rsid w:val="00907C6F"/>
    <w:rsid w:val="00907D0E"/>
    <w:rsid w:val="00907D91"/>
    <w:rsid w:val="00907E42"/>
    <w:rsid w:val="00907EC0"/>
    <w:rsid w:val="0090C032"/>
    <w:rsid w:val="00910068"/>
    <w:rsid w:val="009100B6"/>
    <w:rsid w:val="00910126"/>
    <w:rsid w:val="00910273"/>
    <w:rsid w:val="00910298"/>
    <w:rsid w:val="009102DE"/>
    <w:rsid w:val="009102FF"/>
    <w:rsid w:val="0091034D"/>
    <w:rsid w:val="0091044C"/>
    <w:rsid w:val="00910493"/>
    <w:rsid w:val="00910581"/>
    <w:rsid w:val="009105E4"/>
    <w:rsid w:val="00910698"/>
    <w:rsid w:val="009106CE"/>
    <w:rsid w:val="0091071C"/>
    <w:rsid w:val="009107E7"/>
    <w:rsid w:val="009107FA"/>
    <w:rsid w:val="00910959"/>
    <w:rsid w:val="00910C38"/>
    <w:rsid w:val="00910C8B"/>
    <w:rsid w:val="00910C9E"/>
    <w:rsid w:val="00910E01"/>
    <w:rsid w:val="00910E0D"/>
    <w:rsid w:val="00910FEC"/>
    <w:rsid w:val="009112C8"/>
    <w:rsid w:val="009114CB"/>
    <w:rsid w:val="00911582"/>
    <w:rsid w:val="00911663"/>
    <w:rsid w:val="00911741"/>
    <w:rsid w:val="009118AD"/>
    <w:rsid w:val="009118B2"/>
    <w:rsid w:val="00911954"/>
    <w:rsid w:val="00911966"/>
    <w:rsid w:val="00911AF4"/>
    <w:rsid w:val="00911B20"/>
    <w:rsid w:val="00911B3F"/>
    <w:rsid w:val="00911BAD"/>
    <w:rsid w:val="00911D19"/>
    <w:rsid w:val="00911E25"/>
    <w:rsid w:val="009121DB"/>
    <w:rsid w:val="00912257"/>
    <w:rsid w:val="00912317"/>
    <w:rsid w:val="009123EA"/>
    <w:rsid w:val="0091242E"/>
    <w:rsid w:val="0091245A"/>
    <w:rsid w:val="0091247B"/>
    <w:rsid w:val="009124C5"/>
    <w:rsid w:val="009124EA"/>
    <w:rsid w:val="00912519"/>
    <w:rsid w:val="00912636"/>
    <w:rsid w:val="009126F6"/>
    <w:rsid w:val="0091274D"/>
    <w:rsid w:val="0091285F"/>
    <w:rsid w:val="009128D2"/>
    <w:rsid w:val="009128DF"/>
    <w:rsid w:val="00912959"/>
    <w:rsid w:val="00912A09"/>
    <w:rsid w:val="00912A28"/>
    <w:rsid w:val="00912A29"/>
    <w:rsid w:val="00912A66"/>
    <w:rsid w:val="00912AF7"/>
    <w:rsid w:val="00912C22"/>
    <w:rsid w:val="00912CDD"/>
    <w:rsid w:val="00912CFF"/>
    <w:rsid w:val="00912E3A"/>
    <w:rsid w:val="00912E7D"/>
    <w:rsid w:val="00912E88"/>
    <w:rsid w:val="00912F08"/>
    <w:rsid w:val="00912FCD"/>
    <w:rsid w:val="00913048"/>
    <w:rsid w:val="0091305F"/>
    <w:rsid w:val="00913070"/>
    <w:rsid w:val="0091307C"/>
    <w:rsid w:val="00913281"/>
    <w:rsid w:val="00913291"/>
    <w:rsid w:val="00913354"/>
    <w:rsid w:val="00913467"/>
    <w:rsid w:val="009134C9"/>
    <w:rsid w:val="00913546"/>
    <w:rsid w:val="0091359D"/>
    <w:rsid w:val="00913618"/>
    <w:rsid w:val="0091368B"/>
    <w:rsid w:val="009137E6"/>
    <w:rsid w:val="0091392B"/>
    <w:rsid w:val="00913A6F"/>
    <w:rsid w:val="00913BD1"/>
    <w:rsid w:val="00913C92"/>
    <w:rsid w:val="00913CB5"/>
    <w:rsid w:val="00913D4A"/>
    <w:rsid w:val="00913D72"/>
    <w:rsid w:val="00913DA7"/>
    <w:rsid w:val="00913F3C"/>
    <w:rsid w:val="009140CD"/>
    <w:rsid w:val="009140F1"/>
    <w:rsid w:val="00914316"/>
    <w:rsid w:val="00914342"/>
    <w:rsid w:val="009143F2"/>
    <w:rsid w:val="009144EA"/>
    <w:rsid w:val="00914548"/>
    <w:rsid w:val="009145CC"/>
    <w:rsid w:val="009146D1"/>
    <w:rsid w:val="00914737"/>
    <w:rsid w:val="0091475F"/>
    <w:rsid w:val="0091487C"/>
    <w:rsid w:val="00914932"/>
    <w:rsid w:val="00914934"/>
    <w:rsid w:val="0091493F"/>
    <w:rsid w:val="00914A65"/>
    <w:rsid w:val="00914B09"/>
    <w:rsid w:val="00914B7C"/>
    <w:rsid w:val="00914BCF"/>
    <w:rsid w:val="00914CFA"/>
    <w:rsid w:val="00914D07"/>
    <w:rsid w:val="00914EDC"/>
    <w:rsid w:val="00914F46"/>
    <w:rsid w:val="00914FF7"/>
    <w:rsid w:val="00915029"/>
    <w:rsid w:val="00915162"/>
    <w:rsid w:val="009151FF"/>
    <w:rsid w:val="00915275"/>
    <w:rsid w:val="0091537B"/>
    <w:rsid w:val="00915470"/>
    <w:rsid w:val="009154A5"/>
    <w:rsid w:val="009154EF"/>
    <w:rsid w:val="0091550B"/>
    <w:rsid w:val="00915510"/>
    <w:rsid w:val="00915531"/>
    <w:rsid w:val="00915573"/>
    <w:rsid w:val="00915837"/>
    <w:rsid w:val="00915B1F"/>
    <w:rsid w:val="00915B58"/>
    <w:rsid w:val="00915C2E"/>
    <w:rsid w:val="00915D1B"/>
    <w:rsid w:val="00915E11"/>
    <w:rsid w:val="00915EE4"/>
    <w:rsid w:val="00915F90"/>
    <w:rsid w:val="00916098"/>
    <w:rsid w:val="009160A9"/>
    <w:rsid w:val="00916126"/>
    <w:rsid w:val="00916181"/>
    <w:rsid w:val="0091658E"/>
    <w:rsid w:val="00916717"/>
    <w:rsid w:val="00916884"/>
    <w:rsid w:val="0091694B"/>
    <w:rsid w:val="009169D6"/>
    <w:rsid w:val="00916BF4"/>
    <w:rsid w:val="00916C7D"/>
    <w:rsid w:val="00916CF7"/>
    <w:rsid w:val="00916DC7"/>
    <w:rsid w:val="00916E32"/>
    <w:rsid w:val="00916F8E"/>
    <w:rsid w:val="00916FDC"/>
    <w:rsid w:val="00917077"/>
    <w:rsid w:val="0091730E"/>
    <w:rsid w:val="00917391"/>
    <w:rsid w:val="00917613"/>
    <w:rsid w:val="009177E0"/>
    <w:rsid w:val="009177E3"/>
    <w:rsid w:val="00917A53"/>
    <w:rsid w:val="00917B87"/>
    <w:rsid w:val="00917C62"/>
    <w:rsid w:val="00917D77"/>
    <w:rsid w:val="00917DF2"/>
    <w:rsid w:val="00917E56"/>
    <w:rsid w:val="0092015F"/>
    <w:rsid w:val="009201CE"/>
    <w:rsid w:val="00920254"/>
    <w:rsid w:val="009202EE"/>
    <w:rsid w:val="00920352"/>
    <w:rsid w:val="009203A9"/>
    <w:rsid w:val="00920459"/>
    <w:rsid w:val="00920582"/>
    <w:rsid w:val="009206E3"/>
    <w:rsid w:val="00920997"/>
    <w:rsid w:val="009209B3"/>
    <w:rsid w:val="00920ADA"/>
    <w:rsid w:val="00920B85"/>
    <w:rsid w:val="00920BB6"/>
    <w:rsid w:val="00920C3A"/>
    <w:rsid w:val="00920C3F"/>
    <w:rsid w:val="00920CF0"/>
    <w:rsid w:val="00920DE7"/>
    <w:rsid w:val="00920EF8"/>
    <w:rsid w:val="0092120A"/>
    <w:rsid w:val="009212A2"/>
    <w:rsid w:val="00921417"/>
    <w:rsid w:val="0092144C"/>
    <w:rsid w:val="0092156B"/>
    <w:rsid w:val="00921665"/>
    <w:rsid w:val="00921729"/>
    <w:rsid w:val="00921758"/>
    <w:rsid w:val="00921784"/>
    <w:rsid w:val="00921837"/>
    <w:rsid w:val="009218CC"/>
    <w:rsid w:val="009218E7"/>
    <w:rsid w:val="009218EB"/>
    <w:rsid w:val="009219CC"/>
    <w:rsid w:val="00921A46"/>
    <w:rsid w:val="00921B1C"/>
    <w:rsid w:val="00921B4B"/>
    <w:rsid w:val="00921BDF"/>
    <w:rsid w:val="00921CBD"/>
    <w:rsid w:val="00921CCA"/>
    <w:rsid w:val="00921EA1"/>
    <w:rsid w:val="00921EB6"/>
    <w:rsid w:val="00921FE7"/>
    <w:rsid w:val="00922264"/>
    <w:rsid w:val="009222A1"/>
    <w:rsid w:val="00922328"/>
    <w:rsid w:val="00922462"/>
    <w:rsid w:val="009224EA"/>
    <w:rsid w:val="00922653"/>
    <w:rsid w:val="009226BA"/>
    <w:rsid w:val="00922733"/>
    <w:rsid w:val="00922847"/>
    <w:rsid w:val="00922AD5"/>
    <w:rsid w:val="00922B5E"/>
    <w:rsid w:val="00922E3B"/>
    <w:rsid w:val="00922E76"/>
    <w:rsid w:val="00922ECF"/>
    <w:rsid w:val="00922EDD"/>
    <w:rsid w:val="0092314D"/>
    <w:rsid w:val="009233DF"/>
    <w:rsid w:val="009233E0"/>
    <w:rsid w:val="00923432"/>
    <w:rsid w:val="009234AF"/>
    <w:rsid w:val="00923673"/>
    <w:rsid w:val="00923743"/>
    <w:rsid w:val="00923750"/>
    <w:rsid w:val="0092379D"/>
    <w:rsid w:val="009237D3"/>
    <w:rsid w:val="009238D6"/>
    <w:rsid w:val="0092394B"/>
    <w:rsid w:val="00923970"/>
    <w:rsid w:val="00923978"/>
    <w:rsid w:val="00923A98"/>
    <w:rsid w:val="00923AA8"/>
    <w:rsid w:val="00923C2F"/>
    <w:rsid w:val="00923CBF"/>
    <w:rsid w:val="00923D47"/>
    <w:rsid w:val="00923D72"/>
    <w:rsid w:val="00923DD0"/>
    <w:rsid w:val="00923DF9"/>
    <w:rsid w:val="00923E06"/>
    <w:rsid w:val="00923EE5"/>
    <w:rsid w:val="0092403A"/>
    <w:rsid w:val="009240FA"/>
    <w:rsid w:val="00924108"/>
    <w:rsid w:val="00924188"/>
    <w:rsid w:val="00924452"/>
    <w:rsid w:val="0092457D"/>
    <w:rsid w:val="009246D5"/>
    <w:rsid w:val="0092473A"/>
    <w:rsid w:val="0092476C"/>
    <w:rsid w:val="00924846"/>
    <w:rsid w:val="00924876"/>
    <w:rsid w:val="009248E3"/>
    <w:rsid w:val="00924ADB"/>
    <w:rsid w:val="00924C4A"/>
    <w:rsid w:val="00924CE3"/>
    <w:rsid w:val="00924E93"/>
    <w:rsid w:val="00924F44"/>
    <w:rsid w:val="00924F5F"/>
    <w:rsid w:val="00924FA5"/>
    <w:rsid w:val="00925131"/>
    <w:rsid w:val="00925241"/>
    <w:rsid w:val="00925372"/>
    <w:rsid w:val="009253F6"/>
    <w:rsid w:val="00925447"/>
    <w:rsid w:val="00925476"/>
    <w:rsid w:val="009254B0"/>
    <w:rsid w:val="00925552"/>
    <w:rsid w:val="009255DD"/>
    <w:rsid w:val="009256A2"/>
    <w:rsid w:val="009256DE"/>
    <w:rsid w:val="0092576A"/>
    <w:rsid w:val="009257A5"/>
    <w:rsid w:val="0092581D"/>
    <w:rsid w:val="009258B6"/>
    <w:rsid w:val="009258C5"/>
    <w:rsid w:val="0092591D"/>
    <w:rsid w:val="00925951"/>
    <w:rsid w:val="009259FE"/>
    <w:rsid w:val="00925A98"/>
    <w:rsid w:val="00925B43"/>
    <w:rsid w:val="00925BA7"/>
    <w:rsid w:val="00925C2A"/>
    <w:rsid w:val="00925D21"/>
    <w:rsid w:val="00925E27"/>
    <w:rsid w:val="00925F2D"/>
    <w:rsid w:val="009260E4"/>
    <w:rsid w:val="00926207"/>
    <w:rsid w:val="00926235"/>
    <w:rsid w:val="00926317"/>
    <w:rsid w:val="009263EC"/>
    <w:rsid w:val="009263F6"/>
    <w:rsid w:val="00926416"/>
    <w:rsid w:val="00926600"/>
    <w:rsid w:val="009266A3"/>
    <w:rsid w:val="009266AB"/>
    <w:rsid w:val="00926914"/>
    <w:rsid w:val="00926B42"/>
    <w:rsid w:val="00926B57"/>
    <w:rsid w:val="00926B68"/>
    <w:rsid w:val="00926B95"/>
    <w:rsid w:val="00926C35"/>
    <w:rsid w:val="00926D09"/>
    <w:rsid w:val="00926D28"/>
    <w:rsid w:val="00926F16"/>
    <w:rsid w:val="009270AC"/>
    <w:rsid w:val="009270F6"/>
    <w:rsid w:val="009271D9"/>
    <w:rsid w:val="009272EF"/>
    <w:rsid w:val="009272F3"/>
    <w:rsid w:val="0092748C"/>
    <w:rsid w:val="009274E9"/>
    <w:rsid w:val="0092778E"/>
    <w:rsid w:val="00927832"/>
    <w:rsid w:val="00927840"/>
    <w:rsid w:val="00927981"/>
    <w:rsid w:val="009279A6"/>
    <w:rsid w:val="00927AC3"/>
    <w:rsid w:val="00927AD5"/>
    <w:rsid w:val="00927B8D"/>
    <w:rsid w:val="00927C66"/>
    <w:rsid w:val="00927C78"/>
    <w:rsid w:val="00927DAB"/>
    <w:rsid w:val="00927DEA"/>
    <w:rsid w:val="00927E04"/>
    <w:rsid w:val="00927ECD"/>
    <w:rsid w:val="0092E162"/>
    <w:rsid w:val="00930174"/>
    <w:rsid w:val="009302AA"/>
    <w:rsid w:val="0093032B"/>
    <w:rsid w:val="0093038C"/>
    <w:rsid w:val="009303C9"/>
    <w:rsid w:val="00930452"/>
    <w:rsid w:val="00930470"/>
    <w:rsid w:val="009304C7"/>
    <w:rsid w:val="009305E7"/>
    <w:rsid w:val="009307D5"/>
    <w:rsid w:val="00930807"/>
    <w:rsid w:val="00930847"/>
    <w:rsid w:val="0093085A"/>
    <w:rsid w:val="00930A2C"/>
    <w:rsid w:val="00930AB7"/>
    <w:rsid w:val="00930BC4"/>
    <w:rsid w:val="00930C3E"/>
    <w:rsid w:val="00930CFC"/>
    <w:rsid w:val="00930E27"/>
    <w:rsid w:val="00930E9F"/>
    <w:rsid w:val="00930FE9"/>
    <w:rsid w:val="0093105E"/>
    <w:rsid w:val="00931118"/>
    <w:rsid w:val="009311E2"/>
    <w:rsid w:val="00931296"/>
    <w:rsid w:val="00931331"/>
    <w:rsid w:val="00931365"/>
    <w:rsid w:val="009314CD"/>
    <w:rsid w:val="00931543"/>
    <w:rsid w:val="0093157C"/>
    <w:rsid w:val="009315A7"/>
    <w:rsid w:val="009315F3"/>
    <w:rsid w:val="00931658"/>
    <w:rsid w:val="0093170A"/>
    <w:rsid w:val="00931710"/>
    <w:rsid w:val="00931772"/>
    <w:rsid w:val="009317CD"/>
    <w:rsid w:val="00931917"/>
    <w:rsid w:val="009319EF"/>
    <w:rsid w:val="00931B2E"/>
    <w:rsid w:val="00931B5B"/>
    <w:rsid w:val="00931BF3"/>
    <w:rsid w:val="00931C9F"/>
    <w:rsid w:val="00931CCA"/>
    <w:rsid w:val="00931D60"/>
    <w:rsid w:val="00931D67"/>
    <w:rsid w:val="00931E43"/>
    <w:rsid w:val="00931E51"/>
    <w:rsid w:val="00932029"/>
    <w:rsid w:val="00932063"/>
    <w:rsid w:val="0093227E"/>
    <w:rsid w:val="00932292"/>
    <w:rsid w:val="009322F4"/>
    <w:rsid w:val="00932377"/>
    <w:rsid w:val="009323D5"/>
    <w:rsid w:val="009323F2"/>
    <w:rsid w:val="0093243F"/>
    <w:rsid w:val="009325B1"/>
    <w:rsid w:val="00932742"/>
    <w:rsid w:val="00932765"/>
    <w:rsid w:val="009329C5"/>
    <w:rsid w:val="009329E0"/>
    <w:rsid w:val="00932A3A"/>
    <w:rsid w:val="00932A6F"/>
    <w:rsid w:val="00932B12"/>
    <w:rsid w:val="00932C1E"/>
    <w:rsid w:val="00932C55"/>
    <w:rsid w:val="00932C66"/>
    <w:rsid w:val="00932D5C"/>
    <w:rsid w:val="00932DEA"/>
    <w:rsid w:val="00932E40"/>
    <w:rsid w:val="00932EEE"/>
    <w:rsid w:val="00932F10"/>
    <w:rsid w:val="00932F1B"/>
    <w:rsid w:val="00933175"/>
    <w:rsid w:val="009331A1"/>
    <w:rsid w:val="0093328D"/>
    <w:rsid w:val="00933396"/>
    <w:rsid w:val="0093339F"/>
    <w:rsid w:val="009333D7"/>
    <w:rsid w:val="0093343E"/>
    <w:rsid w:val="009334DC"/>
    <w:rsid w:val="00933697"/>
    <w:rsid w:val="009336D2"/>
    <w:rsid w:val="00933719"/>
    <w:rsid w:val="009337B3"/>
    <w:rsid w:val="009337CE"/>
    <w:rsid w:val="009337DC"/>
    <w:rsid w:val="00933891"/>
    <w:rsid w:val="009339F6"/>
    <w:rsid w:val="00933A0F"/>
    <w:rsid w:val="00933AE4"/>
    <w:rsid w:val="00933BFC"/>
    <w:rsid w:val="00933C09"/>
    <w:rsid w:val="00933CD7"/>
    <w:rsid w:val="00933D4D"/>
    <w:rsid w:val="0093401B"/>
    <w:rsid w:val="00934069"/>
    <w:rsid w:val="009342C5"/>
    <w:rsid w:val="009342D3"/>
    <w:rsid w:val="00934347"/>
    <w:rsid w:val="00934381"/>
    <w:rsid w:val="009343DA"/>
    <w:rsid w:val="009345F9"/>
    <w:rsid w:val="00934624"/>
    <w:rsid w:val="00934785"/>
    <w:rsid w:val="00934798"/>
    <w:rsid w:val="009348C5"/>
    <w:rsid w:val="00934954"/>
    <w:rsid w:val="00934B1C"/>
    <w:rsid w:val="00934C5C"/>
    <w:rsid w:val="00934D14"/>
    <w:rsid w:val="00934D3C"/>
    <w:rsid w:val="00934EF9"/>
    <w:rsid w:val="00934F62"/>
    <w:rsid w:val="00934F64"/>
    <w:rsid w:val="00934F8F"/>
    <w:rsid w:val="00934FDC"/>
    <w:rsid w:val="0093501D"/>
    <w:rsid w:val="00935051"/>
    <w:rsid w:val="0093514A"/>
    <w:rsid w:val="009351F0"/>
    <w:rsid w:val="0093526A"/>
    <w:rsid w:val="009352D3"/>
    <w:rsid w:val="0093540A"/>
    <w:rsid w:val="009354A7"/>
    <w:rsid w:val="009354DC"/>
    <w:rsid w:val="0093573E"/>
    <w:rsid w:val="009358C9"/>
    <w:rsid w:val="009358F0"/>
    <w:rsid w:val="009359D4"/>
    <w:rsid w:val="009359FE"/>
    <w:rsid w:val="00935A11"/>
    <w:rsid w:val="00935B8C"/>
    <w:rsid w:val="00935BB6"/>
    <w:rsid w:val="00935BB8"/>
    <w:rsid w:val="00935C45"/>
    <w:rsid w:val="00935D48"/>
    <w:rsid w:val="00935DD4"/>
    <w:rsid w:val="00935E25"/>
    <w:rsid w:val="00935E3C"/>
    <w:rsid w:val="00936133"/>
    <w:rsid w:val="009363DE"/>
    <w:rsid w:val="009364A8"/>
    <w:rsid w:val="009365AD"/>
    <w:rsid w:val="00936631"/>
    <w:rsid w:val="0093664B"/>
    <w:rsid w:val="00936741"/>
    <w:rsid w:val="00936906"/>
    <w:rsid w:val="00936926"/>
    <w:rsid w:val="00936B2E"/>
    <w:rsid w:val="00936C44"/>
    <w:rsid w:val="00936CA5"/>
    <w:rsid w:val="00936D3A"/>
    <w:rsid w:val="00936D3E"/>
    <w:rsid w:val="00936E3E"/>
    <w:rsid w:val="00936E72"/>
    <w:rsid w:val="00936E8D"/>
    <w:rsid w:val="00936E92"/>
    <w:rsid w:val="00936F52"/>
    <w:rsid w:val="00936F93"/>
    <w:rsid w:val="00937070"/>
    <w:rsid w:val="00937176"/>
    <w:rsid w:val="0093724A"/>
    <w:rsid w:val="009372EE"/>
    <w:rsid w:val="00937421"/>
    <w:rsid w:val="00937460"/>
    <w:rsid w:val="0093747A"/>
    <w:rsid w:val="0093779B"/>
    <w:rsid w:val="00937885"/>
    <w:rsid w:val="009378A3"/>
    <w:rsid w:val="00937BE9"/>
    <w:rsid w:val="00937BED"/>
    <w:rsid w:val="00937D2F"/>
    <w:rsid w:val="00937DE3"/>
    <w:rsid w:val="00937DEC"/>
    <w:rsid w:val="00937EF8"/>
    <w:rsid w:val="00937FAA"/>
    <w:rsid w:val="00937FB9"/>
    <w:rsid w:val="00937FDC"/>
    <w:rsid w:val="00940014"/>
    <w:rsid w:val="009400A2"/>
    <w:rsid w:val="00940170"/>
    <w:rsid w:val="009401A9"/>
    <w:rsid w:val="009401F2"/>
    <w:rsid w:val="00940367"/>
    <w:rsid w:val="00940470"/>
    <w:rsid w:val="009404C0"/>
    <w:rsid w:val="0094057E"/>
    <w:rsid w:val="0094058F"/>
    <w:rsid w:val="009405CA"/>
    <w:rsid w:val="00940645"/>
    <w:rsid w:val="009406C3"/>
    <w:rsid w:val="009406D7"/>
    <w:rsid w:val="009406E6"/>
    <w:rsid w:val="00940788"/>
    <w:rsid w:val="009407BB"/>
    <w:rsid w:val="00940840"/>
    <w:rsid w:val="0094095C"/>
    <w:rsid w:val="00940969"/>
    <w:rsid w:val="009409AF"/>
    <w:rsid w:val="00940AC0"/>
    <w:rsid w:val="00940C59"/>
    <w:rsid w:val="00940DC5"/>
    <w:rsid w:val="00941029"/>
    <w:rsid w:val="00941032"/>
    <w:rsid w:val="0094103E"/>
    <w:rsid w:val="0094107A"/>
    <w:rsid w:val="00941084"/>
    <w:rsid w:val="0094112B"/>
    <w:rsid w:val="00941170"/>
    <w:rsid w:val="0094119F"/>
    <w:rsid w:val="00941441"/>
    <w:rsid w:val="009414A7"/>
    <w:rsid w:val="009416A6"/>
    <w:rsid w:val="00941828"/>
    <w:rsid w:val="0094184F"/>
    <w:rsid w:val="00941A67"/>
    <w:rsid w:val="00941C03"/>
    <w:rsid w:val="00941C0F"/>
    <w:rsid w:val="00941C3E"/>
    <w:rsid w:val="00941C4A"/>
    <w:rsid w:val="00941CAD"/>
    <w:rsid w:val="00941CE3"/>
    <w:rsid w:val="00941E82"/>
    <w:rsid w:val="00941F11"/>
    <w:rsid w:val="00941F33"/>
    <w:rsid w:val="00941F63"/>
    <w:rsid w:val="00941F83"/>
    <w:rsid w:val="00941FDE"/>
    <w:rsid w:val="00942158"/>
    <w:rsid w:val="0094221E"/>
    <w:rsid w:val="00942354"/>
    <w:rsid w:val="009423C7"/>
    <w:rsid w:val="009424AA"/>
    <w:rsid w:val="00942538"/>
    <w:rsid w:val="0094255B"/>
    <w:rsid w:val="009425B5"/>
    <w:rsid w:val="009425C6"/>
    <w:rsid w:val="009425D2"/>
    <w:rsid w:val="009426EF"/>
    <w:rsid w:val="0094277D"/>
    <w:rsid w:val="0094279D"/>
    <w:rsid w:val="00942833"/>
    <w:rsid w:val="00942848"/>
    <w:rsid w:val="009429BB"/>
    <w:rsid w:val="009429F6"/>
    <w:rsid w:val="00942BE0"/>
    <w:rsid w:val="00942F3D"/>
    <w:rsid w:val="00943346"/>
    <w:rsid w:val="0094339F"/>
    <w:rsid w:val="00943453"/>
    <w:rsid w:val="00943480"/>
    <w:rsid w:val="0094353B"/>
    <w:rsid w:val="00943633"/>
    <w:rsid w:val="009436AA"/>
    <w:rsid w:val="009436C4"/>
    <w:rsid w:val="00943704"/>
    <w:rsid w:val="00943756"/>
    <w:rsid w:val="00943778"/>
    <w:rsid w:val="009437A5"/>
    <w:rsid w:val="009437A6"/>
    <w:rsid w:val="0094380D"/>
    <w:rsid w:val="00943849"/>
    <w:rsid w:val="009438A0"/>
    <w:rsid w:val="0094393C"/>
    <w:rsid w:val="00943A9B"/>
    <w:rsid w:val="00943AF4"/>
    <w:rsid w:val="00943B7D"/>
    <w:rsid w:val="00943D5D"/>
    <w:rsid w:val="00943E40"/>
    <w:rsid w:val="00943F16"/>
    <w:rsid w:val="00943FDD"/>
    <w:rsid w:val="00944010"/>
    <w:rsid w:val="0094404E"/>
    <w:rsid w:val="009440CC"/>
    <w:rsid w:val="0094417C"/>
    <w:rsid w:val="009441CE"/>
    <w:rsid w:val="009443DF"/>
    <w:rsid w:val="0094449D"/>
    <w:rsid w:val="009444F9"/>
    <w:rsid w:val="00944521"/>
    <w:rsid w:val="0094457B"/>
    <w:rsid w:val="0094476D"/>
    <w:rsid w:val="009447EE"/>
    <w:rsid w:val="0094484E"/>
    <w:rsid w:val="00944872"/>
    <w:rsid w:val="009448BE"/>
    <w:rsid w:val="00944925"/>
    <w:rsid w:val="00944A01"/>
    <w:rsid w:val="00944D08"/>
    <w:rsid w:val="00944D0A"/>
    <w:rsid w:val="00945095"/>
    <w:rsid w:val="00945251"/>
    <w:rsid w:val="00945451"/>
    <w:rsid w:val="00945471"/>
    <w:rsid w:val="00945524"/>
    <w:rsid w:val="00945611"/>
    <w:rsid w:val="00945788"/>
    <w:rsid w:val="00945819"/>
    <w:rsid w:val="009458A6"/>
    <w:rsid w:val="00945A62"/>
    <w:rsid w:val="00945CF8"/>
    <w:rsid w:val="00945D30"/>
    <w:rsid w:val="00945DD0"/>
    <w:rsid w:val="0094616C"/>
    <w:rsid w:val="0094616F"/>
    <w:rsid w:val="0094623F"/>
    <w:rsid w:val="00946264"/>
    <w:rsid w:val="009462A0"/>
    <w:rsid w:val="009463F1"/>
    <w:rsid w:val="009465CF"/>
    <w:rsid w:val="00946649"/>
    <w:rsid w:val="009466D4"/>
    <w:rsid w:val="0094674E"/>
    <w:rsid w:val="009467F5"/>
    <w:rsid w:val="00946812"/>
    <w:rsid w:val="0094691F"/>
    <w:rsid w:val="00946B26"/>
    <w:rsid w:val="00946B5A"/>
    <w:rsid w:val="00946F1C"/>
    <w:rsid w:val="00947017"/>
    <w:rsid w:val="00947147"/>
    <w:rsid w:val="00947428"/>
    <w:rsid w:val="00947440"/>
    <w:rsid w:val="00947451"/>
    <w:rsid w:val="009474BB"/>
    <w:rsid w:val="0094756B"/>
    <w:rsid w:val="00947598"/>
    <w:rsid w:val="00947599"/>
    <w:rsid w:val="00947640"/>
    <w:rsid w:val="00947708"/>
    <w:rsid w:val="00947789"/>
    <w:rsid w:val="00947923"/>
    <w:rsid w:val="009479AA"/>
    <w:rsid w:val="00947A32"/>
    <w:rsid w:val="00947A84"/>
    <w:rsid w:val="00947AB3"/>
    <w:rsid w:val="00947D24"/>
    <w:rsid w:val="00947DAF"/>
    <w:rsid w:val="00947E24"/>
    <w:rsid w:val="00947EAA"/>
    <w:rsid w:val="00947FC7"/>
    <w:rsid w:val="009501C5"/>
    <w:rsid w:val="009502BC"/>
    <w:rsid w:val="00950472"/>
    <w:rsid w:val="0095066B"/>
    <w:rsid w:val="009507C6"/>
    <w:rsid w:val="00950909"/>
    <w:rsid w:val="00950A01"/>
    <w:rsid w:val="00950A4C"/>
    <w:rsid w:val="00950B46"/>
    <w:rsid w:val="00950B92"/>
    <w:rsid w:val="00950BB3"/>
    <w:rsid w:val="00950BFC"/>
    <w:rsid w:val="00950D7A"/>
    <w:rsid w:val="00950DE5"/>
    <w:rsid w:val="00951075"/>
    <w:rsid w:val="009510D9"/>
    <w:rsid w:val="0095113E"/>
    <w:rsid w:val="0095116F"/>
    <w:rsid w:val="00951233"/>
    <w:rsid w:val="00951335"/>
    <w:rsid w:val="00951407"/>
    <w:rsid w:val="00951451"/>
    <w:rsid w:val="0095151B"/>
    <w:rsid w:val="00951552"/>
    <w:rsid w:val="0095155A"/>
    <w:rsid w:val="0095180F"/>
    <w:rsid w:val="0095187D"/>
    <w:rsid w:val="0095193C"/>
    <w:rsid w:val="00951A03"/>
    <w:rsid w:val="00951ADE"/>
    <w:rsid w:val="00951C5A"/>
    <w:rsid w:val="00951C6B"/>
    <w:rsid w:val="00951CA2"/>
    <w:rsid w:val="00951CD1"/>
    <w:rsid w:val="00951E7B"/>
    <w:rsid w:val="00951E85"/>
    <w:rsid w:val="00951F54"/>
    <w:rsid w:val="0095218A"/>
    <w:rsid w:val="0095225E"/>
    <w:rsid w:val="0095240B"/>
    <w:rsid w:val="0095252F"/>
    <w:rsid w:val="009527E7"/>
    <w:rsid w:val="00952828"/>
    <w:rsid w:val="0095294B"/>
    <w:rsid w:val="00952996"/>
    <w:rsid w:val="009529AA"/>
    <w:rsid w:val="00952B38"/>
    <w:rsid w:val="00952BA0"/>
    <w:rsid w:val="00952C85"/>
    <w:rsid w:val="00952E6C"/>
    <w:rsid w:val="00952E99"/>
    <w:rsid w:val="00952F22"/>
    <w:rsid w:val="00952F45"/>
    <w:rsid w:val="009533E9"/>
    <w:rsid w:val="00953599"/>
    <w:rsid w:val="009535DA"/>
    <w:rsid w:val="00953637"/>
    <w:rsid w:val="0095387A"/>
    <w:rsid w:val="00953965"/>
    <w:rsid w:val="0095396E"/>
    <w:rsid w:val="009539C8"/>
    <w:rsid w:val="00953B8D"/>
    <w:rsid w:val="00953BB0"/>
    <w:rsid w:val="00953C67"/>
    <w:rsid w:val="00953C95"/>
    <w:rsid w:val="00953DAF"/>
    <w:rsid w:val="00953DDE"/>
    <w:rsid w:val="00953E96"/>
    <w:rsid w:val="00953EB3"/>
    <w:rsid w:val="00953F4F"/>
    <w:rsid w:val="00953F64"/>
    <w:rsid w:val="0095401C"/>
    <w:rsid w:val="00954070"/>
    <w:rsid w:val="009540C6"/>
    <w:rsid w:val="0095424A"/>
    <w:rsid w:val="00954250"/>
    <w:rsid w:val="0095426A"/>
    <w:rsid w:val="009543A8"/>
    <w:rsid w:val="00954434"/>
    <w:rsid w:val="0095448D"/>
    <w:rsid w:val="009544B4"/>
    <w:rsid w:val="00954506"/>
    <w:rsid w:val="00954595"/>
    <w:rsid w:val="00954618"/>
    <w:rsid w:val="0095480E"/>
    <w:rsid w:val="009549B2"/>
    <w:rsid w:val="00954A97"/>
    <w:rsid w:val="00954DC4"/>
    <w:rsid w:val="00954DFC"/>
    <w:rsid w:val="00954E18"/>
    <w:rsid w:val="00954E1E"/>
    <w:rsid w:val="00954EAE"/>
    <w:rsid w:val="00954EBE"/>
    <w:rsid w:val="00954F1D"/>
    <w:rsid w:val="00954F56"/>
    <w:rsid w:val="00954F89"/>
    <w:rsid w:val="00955067"/>
    <w:rsid w:val="00955110"/>
    <w:rsid w:val="009551A0"/>
    <w:rsid w:val="0095524C"/>
    <w:rsid w:val="009552B6"/>
    <w:rsid w:val="0095536B"/>
    <w:rsid w:val="00955576"/>
    <w:rsid w:val="009555DF"/>
    <w:rsid w:val="00955624"/>
    <w:rsid w:val="00955638"/>
    <w:rsid w:val="009558B2"/>
    <w:rsid w:val="009559AD"/>
    <w:rsid w:val="00955B1F"/>
    <w:rsid w:val="00955CC8"/>
    <w:rsid w:val="00955CFC"/>
    <w:rsid w:val="00955D6D"/>
    <w:rsid w:val="00955EE1"/>
    <w:rsid w:val="00955F32"/>
    <w:rsid w:val="0095605F"/>
    <w:rsid w:val="009560BD"/>
    <w:rsid w:val="009563A5"/>
    <w:rsid w:val="0095643B"/>
    <w:rsid w:val="00956544"/>
    <w:rsid w:val="00956768"/>
    <w:rsid w:val="009567FA"/>
    <w:rsid w:val="00956864"/>
    <w:rsid w:val="00956869"/>
    <w:rsid w:val="009568E4"/>
    <w:rsid w:val="00956A05"/>
    <w:rsid w:val="00956AB1"/>
    <w:rsid w:val="00956B26"/>
    <w:rsid w:val="00956C1E"/>
    <w:rsid w:val="00956C2B"/>
    <w:rsid w:val="00956CA9"/>
    <w:rsid w:val="00956E0A"/>
    <w:rsid w:val="00956E51"/>
    <w:rsid w:val="00956E99"/>
    <w:rsid w:val="00956F75"/>
    <w:rsid w:val="00956FAB"/>
    <w:rsid w:val="00957062"/>
    <w:rsid w:val="009573B0"/>
    <w:rsid w:val="00957478"/>
    <w:rsid w:val="00957489"/>
    <w:rsid w:val="009575CD"/>
    <w:rsid w:val="0095765B"/>
    <w:rsid w:val="00957824"/>
    <w:rsid w:val="00957A66"/>
    <w:rsid w:val="00957B8E"/>
    <w:rsid w:val="00957C12"/>
    <w:rsid w:val="00957C97"/>
    <w:rsid w:val="00957D42"/>
    <w:rsid w:val="00957F54"/>
    <w:rsid w:val="00957F8A"/>
    <w:rsid w:val="00957FCB"/>
    <w:rsid w:val="0096001B"/>
    <w:rsid w:val="00960023"/>
    <w:rsid w:val="00960297"/>
    <w:rsid w:val="009602E5"/>
    <w:rsid w:val="00960461"/>
    <w:rsid w:val="00960679"/>
    <w:rsid w:val="00960681"/>
    <w:rsid w:val="009606AD"/>
    <w:rsid w:val="0096078E"/>
    <w:rsid w:val="0096083D"/>
    <w:rsid w:val="009609CF"/>
    <w:rsid w:val="00960AF3"/>
    <w:rsid w:val="00960B94"/>
    <w:rsid w:val="00960D25"/>
    <w:rsid w:val="00960D78"/>
    <w:rsid w:val="00960DF9"/>
    <w:rsid w:val="00960E18"/>
    <w:rsid w:val="00960F6B"/>
    <w:rsid w:val="00961013"/>
    <w:rsid w:val="00961077"/>
    <w:rsid w:val="0096109B"/>
    <w:rsid w:val="009610F3"/>
    <w:rsid w:val="009610FB"/>
    <w:rsid w:val="009612B2"/>
    <w:rsid w:val="009612E9"/>
    <w:rsid w:val="0096151E"/>
    <w:rsid w:val="009615A8"/>
    <w:rsid w:val="00961715"/>
    <w:rsid w:val="0096179C"/>
    <w:rsid w:val="009617AF"/>
    <w:rsid w:val="009619A5"/>
    <w:rsid w:val="00961A40"/>
    <w:rsid w:val="00961A46"/>
    <w:rsid w:val="00961B87"/>
    <w:rsid w:val="00961D74"/>
    <w:rsid w:val="00961E86"/>
    <w:rsid w:val="00961F86"/>
    <w:rsid w:val="00961F98"/>
    <w:rsid w:val="00962151"/>
    <w:rsid w:val="0096223B"/>
    <w:rsid w:val="00962448"/>
    <w:rsid w:val="009624B5"/>
    <w:rsid w:val="00962570"/>
    <w:rsid w:val="009626D9"/>
    <w:rsid w:val="009628DD"/>
    <w:rsid w:val="0096292C"/>
    <w:rsid w:val="00962A3D"/>
    <w:rsid w:val="00962A93"/>
    <w:rsid w:val="00962E34"/>
    <w:rsid w:val="00962E6C"/>
    <w:rsid w:val="00962EC5"/>
    <w:rsid w:val="00962FA6"/>
    <w:rsid w:val="009631C0"/>
    <w:rsid w:val="009632E2"/>
    <w:rsid w:val="00963370"/>
    <w:rsid w:val="009633CB"/>
    <w:rsid w:val="00963466"/>
    <w:rsid w:val="009634FC"/>
    <w:rsid w:val="009635A8"/>
    <w:rsid w:val="00963660"/>
    <w:rsid w:val="00963685"/>
    <w:rsid w:val="0096372B"/>
    <w:rsid w:val="009638B2"/>
    <w:rsid w:val="00963931"/>
    <w:rsid w:val="009639FB"/>
    <w:rsid w:val="00963A7A"/>
    <w:rsid w:val="00963AD2"/>
    <w:rsid w:val="00963B39"/>
    <w:rsid w:val="00963BD8"/>
    <w:rsid w:val="00963D37"/>
    <w:rsid w:val="00963F89"/>
    <w:rsid w:val="00964038"/>
    <w:rsid w:val="009640AC"/>
    <w:rsid w:val="009642BD"/>
    <w:rsid w:val="00964368"/>
    <w:rsid w:val="009643F8"/>
    <w:rsid w:val="00964450"/>
    <w:rsid w:val="009644B5"/>
    <w:rsid w:val="00964739"/>
    <w:rsid w:val="0096482E"/>
    <w:rsid w:val="00964A3B"/>
    <w:rsid w:val="00964C11"/>
    <w:rsid w:val="00964D90"/>
    <w:rsid w:val="00964DD6"/>
    <w:rsid w:val="00964EA2"/>
    <w:rsid w:val="00964F49"/>
    <w:rsid w:val="00964FE1"/>
    <w:rsid w:val="0096502B"/>
    <w:rsid w:val="00965168"/>
    <w:rsid w:val="00965197"/>
    <w:rsid w:val="009652B1"/>
    <w:rsid w:val="009652CF"/>
    <w:rsid w:val="00965327"/>
    <w:rsid w:val="0096532C"/>
    <w:rsid w:val="00965361"/>
    <w:rsid w:val="009653D1"/>
    <w:rsid w:val="0096548E"/>
    <w:rsid w:val="00965580"/>
    <w:rsid w:val="009655ED"/>
    <w:rsid w:val="0096567B"/>
    <w:rsid w:val="0096568B"/>
    <w:rsid w:val="00965710"/>
    <w:rsid w:val="00965735"/>
    <w:rsid w:val="009658B3"/>
    <w:rsid w:val="00965903"/>
    <w:rsid w:val="00965A74"/>
    <w:rsid w:val="00965D74"/>
    <w:rsid w:val="00965DD3"/>
    <w:rsid w:val="00965DEA"/>
    <w:rsid w:val="00965EDA"/>
    <w:rsid w:val="00965F15"/>
    <w:rsid w:val="00966233"/>
    <w:rsid w:val="0096626A"/>
    <w:rsid w:val="0096628D"/>
    <w:rsid w:val="00966317"/>
    <w:rsid w:val="0096632C"/>
    <w:rsid w:val="0096635E"/>
    <w:rsid w:val="0096646A"/>
    <w:rsid w:val="009664E1"/>
    <w:rsid w:val="009666DE"/>
    <w:rsid w:val="00966768"/>
    <w:rsid w:val="00966778"/>
    <w:rsid w:val="00966838"/>
    <w:rsid w:val="009668BB"/>
    <w:rsid w:val="009669DB"/>
    <w:rsid w:val="00966A28"/>
    <w:rsid w:val="00966B31"/>
    <w:rsid w:val="00966BF3"/>
    <w:rsid w:val="00966DA3"/>
    <w:rsid w:val="00966EFA"/>
    <w:rsid w:val="00966F42"/>
    <w:rsid w:val="00966FFE"/>
    <w:rsid w:val="0096700A"/>
    <w:rsid w:val="00967192"/>
    <w:rsid w:val="00967298"/>
    <w:rsid w:val="009672CC"/>
    <w:rsid w:val="009673B0"/>
    <w:rsid w:val="0096747B"/>
    <w:rsid w:val="00967577"/>
    <w:rsid w:val="009675A7"/>
    <w:rsid w:val="0096768E"/>
    <w:rsid w:val="00967974"/>
    <w:rsid w:val="009679D7"/>
    <w:rsid w:val="009679F2"/>
    <w:rsid w:val="009679FA"/>
    <w:rsid w:val="00967B34"/>
    <w:rsid w:val="00967C27"/>
    <w:rsid w:val="00967D2B"/>
    <w:rsid w:val="00967E32"/>
    <w:rsid w:val="00967EFB"/>
    <w:rsid w:val="00967FAC"/>
    <w:rsid w:val="0096B3DA"/>
    <w:rsid w:val="00970002"/>
    <w:rsid w:val="00970052"/>
    <w:rsid w:val="0097077C"/>
    <w:rsid w:val="00970830"/>
    <w:rsid w:val="00970978"/>
    <w:rsid w:val="00970A79"/>
    <w:rsid w:val="00970AB7"/>
    <w:rsid w:val="00970B99"/>
    <w:rsid w:val="00970CB7"/>
    <w:rsid w:val="00970D01"/>
    <w:rsid w:val="00970DA7"/>
    <w:rsid w:val="00970DBF"/>
    <w:rsid w:val="00970EC1"/>
    <w:rsid w:val="0097114E"/>
    <w:rsid w:val="009711B2"/>
    <w:rsid w:val="009711B6"/>
    <w:rsid w:val="00971266"/>
    <w:rsid w:val="0097127C"/>
    <w:rsid w:val="00971353"/>
    <w:rsid w:val="00971370"/>
    <w:rsid w:val="00971401"/>
    <w:rsid w:val="009714C3"/>
    <w:rsid w:val="0097156D"/>
    <w:rsid w:val="009717B3"/>
    <w:rsid w:val="00971874"/>
    <w:rsid w:val="009718B7"/>
    <w:rsid w:val="00971915"/>
    <w:rsid w:val="0097191C"/>
    <w:rsid w:val="00971A3A"/>
    <w:rsid w:val="00971B61"/>
    <w:rsid w:val="00971C08"/>
    <w:rsid w:val="00971D67"/>
    <w:rsid w:val="00971E7B"/>
    <w:rsid w:val="00971F25"/>
    <w:rsid w:val="00971FBF"/>
    <w:rsid w:val="00971FFA"/>
    <w:rsid w:val="0097213B"/>
    <w:rsid w:val="00972278"/>
    <w:rsid w:val="00972282"/>
    <w:rsid w:val="00972370"/>
    <w:rsid w:val="00972376"/>
    <w:rsid w:val="00972396"/>
    <w:rsid w:val="00972540"/>
    <w:rsid w:val="00972581"/>
    <w:rsid w:val="00972621"/>
    <w:rsid w:val="00972622"/>
    <w:rsid w:val="009727E0"/>
    <w:rsid w:val="00972801"/>
    <w:rsid w:val="00972827"/>
    <w:rsid w:val="00972A54"/>
    <w:rsid w:val="00972C15"/>
    <w:rsid w:val="00972C9C"/>
    <w:rsid w:val="00972DDF"/>
    <w:rsid w:val="00972DF8"/>
    <w:rsid w:val="00973036"/>
    <w:rsid w:val="00973038"/>
    <w:rsid w:val="00973160"/>
    <w:rsid w:val="009731BA"/>
    <w:rsid w:val="009731BE"/>
    <w:rsid w:val="009731EE"/>
    <w:rsid w:val="0097332D"/>
    <w:rsid w:val="00973348"/>
    <w:rsid w:val="00973353"/>
    <w:rsid w:val="00973382"/>
    <w:rsid w:val="0097344E"/>
    <w:rsid w:val="009734AB"/>
    <w:rsid w:val="009736CD"/>
    <w:rsid w:val="009736F6"/>
    <w:rsid w:val="0097370D"/>
    <w:rsid w:val="00973791"/>
    <w:rsid w:val="009738BB"/>
    <w:rsid w:val="00973903"/>
    <w:rsid w:val="00973965"/>
    <w:rsid w:val="00973B0A"/>
    <w:rsid w:val="00973D19"/>
    <w:rsid w:val="00973DC0"/>
    <w:rsid w:val="00973DC5"/>
    <w:rsid w:val="00973E03"/>
    <w:rsid w:val="00974025"/>
    <w:rsid w:val="009741C1"/>
    <w:rsid w:val="009741C4"/>
    <w:rsid w:val="009743A6"/>
    <w:rsid w:val="0097440E"/>
    <w:rsid w:val="00974444"/>
    <w:rsid w:val="0097449F"/>
    <w:rsid w:val="009745F3"/>
    <w:rsid w:val="00974648"/>
    <w:rsid w:val="00974671"/>
    <w:rsid w:val="009748D3"/>
    <w:rsid w:val="009749F1"/>
    <w:rsid w:val="00974B49"/>
    <w:rsid w:val="00974C21"/>
    <w:rsid w:val="00974C91"/>
    <w:rsid w:val="00974E49"/>
    <w:rsid w:val="00974E87"/>
    <w:rsid w:val="00974E98"/>
    <w:rsid w:val="00974EE1"/>
    <w:rsid w:val="00974EE8"/>
    <w:rsid w:val="00974F90"/>
    <w:rsid w:val="00975040"/>
    <w:rsid w:val="00975086"/>
    <w:rsid w:val="00975110"/>
    <w:rsid w:val="00975333"/>
    <w:rsid w:val="0097537F"/>
    <w:rsid w:val="0097538B"/>
    <w:rsid w:val="00975392"/>
    <w:rsid w:val="00975432"/>
    <w:rsid w:val="00975456"/>
    <w:rsid w:val="0097564A"/>
    <w:rsid w:val="009756CF"/>
    <w:rsid w:val="0097570D"/>
    <w:rsid w:val="0097573F"/>
    <w:rsid w:val="00975911"/>
    <w:rsid w:val="00975992"/>
    <w:rsid w:val="00975AD0"/>
    <w:rsid w:val="00975B51"/>
    <w:rsid w:val="00975C10"/>
    <w:rsid w:val="00975CA7"/>
    <w:rsid w:val="00975CF2"/>
    <w:rsid w:val="00975DD9"/>
    <w:rsid w:val="00975E29"/>
    <w:rsid w:val="00975FBD"/>
    <w:rsid w:val="00975FD7"/>
    <w:rsid w:val="00976005"/>
    <w:rsid w:val="009760F4"/>
    <w:rsid w:val="009760FF"/>
    <w:rsid w:val="00976157"/>
    <w:rsid w:val="009761E5"/>
    <w:rsid w:val="009763E4"/>
    <w:rsid w:val="009765D4"/>
    <w:rsid w:val="0097672C"/>
    <w:rsid w:val="0097698C"/>
    <w:rsid w:val="009769AB"/>
    <w:rsid w:val="009769E2"/>
    <w:rsid w:val="00976A64"/>
    <w:rsid w:val="00976AE7"/>
    <w:rsid w:val="00976C0C"/>
    <w:rsid w:val="00976D27"/>
    <w:rsid w:val="00976E9E"/>
    <w:rsid w:val="009770A5"/>
    <w:rsid w:val="0097718C"/>
    <w:rsid w:val="0097718F"/>
    <w:rsid w:val="0097723A"/>
    <w:rsid w:val="0097726A"/>
    <w:rsid w:val="009774EC"/>
    <w:rsid w:val="00977599"/>
    <w:rsid w:val="00977624"/>
    <w:rsid w:val="0097763C"/>
    <w:rsid w:val="009776FA"/>
    <w:rsid w:val="009777BC"/>
    <w:rsid w:val="00977862"/>
    <w:rsid w:val="0097787A"/>
    <w:rsid w:val="009778F9"/>
    <w:rsid w:val="00977A3A"/>
    <w:rsid w:val="00977A56"/>
    <w:rsid w:val="00977B5C"/>
    <w:rsid w:val="00977C2D"/>
    <w:rsid w:val="00977D1C"/>
    <w:rsid w:val="00977D77"/>
    <w:rsid w:val="00977E0F"/>
    <w:rsid w:val="00977F00"/>
    <w:rsid w:val="00977F1A"/>
    <w:rsid w:val="00980006"/>
    <w:rsid w:val="00980088"/>
    <w:rsid w:val="009800CB"/>
    <w:rsid w:val="009800FF"/>
    <w:rsid w:val="009801AF"/>
    <w:rsid w:val="0098027A"/>
    <w:rsid w:val="009804B2"/>
    <w:rsid w:val="009804EA"/>
    <w:rsid w:val="00980526"/>
    <w:rsid w:val="00980528"/>
    <w:rsid w:val="0098059A"/>
    <w:rsid w:val="00980695"/>
    <w:rsid w:val="009808B5"/>
    <w:rsid w:val="0098094D"/>
    <w:rsid w:val="00980983"/>
    <w:rsid w:val="00980E3D"/>
    <w:rsid w:val="00980E58"/>
    <w:rsid w:val="00980E9B"/>
    <w:rsid w:val="00980ED4"/>
    <w:rsid w:val="00980FE2"/>
    <w:rsid w:val="009811AE"/>
    <w:rsid w:val="009812D2"/>
    <w:rsid w:val="009813CF"/>
    <w:rsid w:val="009813DF"/>
    <w:rsid w:val="009814AC"/>
    <w:rsid w:val="00981551"/>
    <w:rsid w:val="0098160A"/>
    <w:rsid w:val="0098162F"/>
    <w:rsid w:val="00981693"/>
    <w:rsid w:val="00981796"/>
    <w:rsid w:val="0098179B"/>
    <w:rsid w:val="009818ED"/>
    <w:rsid w:val="009819D3"/>
    <w:rsid w:val="00981A10"/>
    <w:rsid w:val="00981A87"/>
    <w:rsid w:val="00981B02"/>
    <w:rsid w:val="00981B0A"/>
    <w:rsid w:val="00981BB0"/>
    <w:rsid w:val="00981BEC"/>
    <w:rsid w:val="00981C61"/>
    <w:rsid w:val="00981CF6"/>
    <w:rsid w:val="00981EA9"/>
    <w:rsid w:val="00981F3F"/>
    <w:rsid w:val="00981F8F"/>
    <w:rsid w:val="0098206C"/>
    <w:rsid w:val="00982181"/>
    <w:rsid w:val="00982356"/>
    <w:rsid w:val="009823EC"/>
    <w:rsid w:val="0098248C"/>
    <w:rsid w:val="009824CB"/>
    <w:rsid w:val="009824FA"/>
    <w:rsid w:val="009825CA"/>
    <w:rsid w:val="0098262B"/>
    <w:rsid w:val="00982665"/>
    <w:rsid w:val="009826E0"/>
    <w:rsid w:val="00982800"/>
    <w:rsid w:val="0098281B"/>
    <w:rsid w:val="009828A0"/>
    <w:rsid w:val="00982A43"/>
    <w:rsid w:val="00982B25"/>
    <w:rsid w:val="00982CD7"/>
    <w:rsid w:val="00982D25"/>
    <w:rsid w:val="00982D31"/>
    <w:rsid w:val="00982D7B"/>
    <w:rsid w:val="00982DE1"/>
    <w:rsid w:val="00982E6D"/>
    <w:rsid w:val="00982F11"/>
    <w:rsid w:val="009830AA"/>
    <w:rsid w:val="009833AB"/>
    <w:rsid w:val="00983484"/>
    <w:rsid w:val="00983518"/>
    <w:rsid w:val="00983602"/>
    <w:rsid w:val="009836E0"/>
    <w:rsid w:val="0098371B"/>
    <w:rsid w:val="009837A0"/>
    <w:rsid w:val="00983894"/>
    <w:rsid w:val="00983AB0"/>
    <w:rsid w:val="00983DFC"/>
    <w:rsid w:val="00983E66"/>
    <w:rsid w:val="00983E6C"/>
    <w:rsid w:val="00983F40"/>
    <w:rsid w:val="00984177"/>
    <w:rsid w:val="009841FB"/>
    <w:rsid w:val="00984205"/>
    <w:rsid w:val="00984363"/>
    <w:rsid w:val="00984514"/>
    <w:rsid w:val="009846DF"/>
    <w:rsid w:val="009846EE"/>
    <w:rsid w:val="00984734"/>
    <w:rsid w:val="009847E8"/>
    <w:rsid w:val="0098480B"/>
    <w:rsid w:val="0098488E"/>
    <w:rsid w:val="009848DA"/>
    <w:rsid w:val="00984A88"/>
    <w:rsid w:val="00984A8D"/>
    <w:rsid w:val="00984AF0"/>
    <w:rsid w:val="00984B9A"/>
    <w:rsid w:val="00984BB0"/>
    <w:rsid w:val="00984BD7"/>
    <w:rsid w:val="00984CA7"/>
    <w:rsid w:val="00984DCF"/>
    <w:rsid w:val="00984F5B"/>
    <w:rsid w:val="00984FAE"/>
    <w:rsid w:val="0098512C"/>
    <w:rsid w:val="0098522C"/>
    <w:rsid w:val="00985381"/>
    <w:rsid w:val="00985385"/>
    <w:rsid w:val="0098568C"/>
    <w:rsid w:val="009856C1"/>
    <w:rsid w:val="009856FE"/>
    <w:rsid w:val="00985805"/>
    <w:rsid w:val="00985872"/>
    <w:rsid w:val="00985888"/>
    <w:rsid w:val="009858C4"/>
    <w:rsid w:val="009858F0"/>
    <w:rsid w:val="00985DE7"/>
    <w:rsid w:val="00985E4C"/>
    <w:rsid w:val="00985EFA"/>
    <w:rsid w:val="0098623A"/>
    <w:rsid w:val="009862FD"/>
    <w:rsid w:val="00986305"/>
    <w:rsid w:val="00986321"/>
    <w:rsid w:val="009867D4"/>
    <w:rsid w:val="009869A5"/>
    <w:rsid w:val="00986AFF"/>
    <w:rsid w:val="00986B9F"/>
    <w:rsid w:val="00986C2B"/>
    <w:rsid w:val="00986D31"/>
    <w:rsid w:val="00986DBE"/>
    <w:rsid w:val="00986ED5"/>
    <w:rsid w:val="00986F21"/>
    <w:rsid w:val="00986F55"/>
    <w:rsid w:val="00986F57"/>
    <w:rsid w:val="00986F72"/>
    <w:rsid w:val="0098703D"/>
    <w:rsid w:val="009870C1"/>
    <w:rsid w:val="009871DB"/>
    <w:rsid w:val="0098722A"/>
    <w:rsid w:val="009872A4"/>
    <w:rsid w:val="0098734B"/>
    <w:rsid w:val="00987363"/>
    <w:rsid w:val="009873A7"/>
    <w:rsid w:val="00987453"/>
    <w:rsid w:val="009875F4"/>
    <w:rsid w:val="009876FB"/>
    <w:rsid w:val="009877F0"/>
    <w:rsid w:val="00987838"/>
    <w:rsid w:val="009878C7"/>
    <w:rsid w:val="0098795B"/>
    <w:rsid w:val="00987A57"/>
    <w:rsid w:val="00987B6D"/>
    <w:rsid w:val="00987D71"/>
    <w:rsid w:val="00987E17"/>
    <w:rsid w:val="00987E4B"/>
    <w:rsid w:val="00987EAD"/>
    <w:rsid w:val="00987F1C"/>
    <w:rsid w:val="00987F9E"/>
    <w:rsid w:val="009900C8"/>
    <w:rsid w:val="009901F8"/>
    <w:rsid w:val="009902A7"/>
    <w:rsid w:val="009902AA"/>
    <w:rsid w:val="009902F0"/>
    <w:rsid w:val="0099031C"/>
    <w:rsid w:val="00990338"/>
    <w:rsid w:val="00990379"/>
    <w:rsid w:val="00990442"/>
    <w:rsid w:val="0099052B"/>
    <w:rsid w:val="00990653"/>
    <w:rsid w:val="00990688"/>
    <w:rsid w:val="0099077F"/>
    <w:rsid w:val="009907C2"/>
    <w:rsid w:val="009907F3"/>
    <w:rsid w:val="009908D2"/>
    <w:rsid w:val="00990910"/>
    <w:rsid w:val="00990AB6"/>
    <w:rsid w:val="00990BB2"/>
    <w:rsid w:val="00990CB8"/>
    <w:rsid w:val="00990CCB"/>
    <w:rsid w:val="00990CDE"/>
    <w:rsid w:val="00990CEA"/>
    <w:rsid w:val="00990D56"/>
    <w:rsid w:val="00990DDE"/>
    <w:rsid w:val="00990F07"/>
    <w:rsid w:val="0099108F"/>
    <w:rsid w:val="0099122E"/>
    <w:rsid w:val="009914B0"/>
    <w:rsid w:val="009915A5"/>
    <w:rsid w:val="009916C2"/>
    <w:rsid w:val="0099171F"/>
    <w:rsid w:val="0099187D"/>
    <w:rsid w:val="00991923"/>
    <w:rsid w:val="009919A2"/>
    <w:rsid w:val="00991A15"/>
    <w:rsid w:val="00991A70"/>
    <w:rsid w:val="00991A99"/>
    <w:rsid w:val="00991B86"/>
    <w:rsid w:val="00991B8B"/>
    <w:rsid w:val="00991B96"/>
    <w:rsid w:val="00991C14"/>
    <w:rsid w:val="00991C4E"/>
    <w:rsid w:val="00991D0F"/>
    <w:rsid w:val="00991D6E"/>
    <w:rsid w:val="00991DF8"/>
    <w:rsid w:val="00991E2E"/>
    <w:rsid w:val="00991E43"/>
    <w:rsid w:val="00991F1B"/>
    <w:rsid w:val="00991F5E"/>
    <w:rsid w:val="00991FD2"/>
    <w:rsid w:val="009920E5"/>
    <w:rsid w:val="00992103"/>
    <w:rsid w:val="00992339"/>
    <w:rsid w:val="0099278B"/>
    <w:rsid w:val="009927AF"/>
    <w:rsid w:val="0099284D"/>
    <w:rsid w:val="009928CF"/>
    <w:rsid w:val="00992984"/>
    <w:rsid w:val="00992A07"/>
    <w:rsid w:val="00992A2B"/>
    <w:rsid w:val="00992AE3"/>
    <w:rsid w:val="00992AEC"/>
    <w:rsid w:val="00992C2A"/>
    <w:rsid w:val="00992E11"/>
    <w:rsid w:val="00992EE5"/>
    <w:rsid w:val="00992F4E"/>
    <w:rsid w:val="00992F8E"/>
    <w:rsid w:val="00992FC3"/>
    <w:rsid w:val="00992FFB"/>
    <w:rsid w:val="009930E9"/>
    <w:rsid w:val="00993395"/>
    <w:rsid w:val="00993555"/>
    <w:rsid w:val="00993695"/>
    <w:rsid w:val="0099371D"/>
    <w:rsid w:val="0099376A"/>
    <w:rsid w:val="009937E1"/>
    <w:rsid w:val="00993847"/>
    <w:rsid w:val="0099397A"/>
    <w:rsid w:val="009939FA"/>
    <w:rsid w:val="00993ADC"/>
    <w:rsid w:val="00993B71"/>
    <w:rsid w:val="00993B78"/>
    <w:rsid w:val="00993CBC"/>
    <w:rsid w:val="00993D9F"/>
    <w:rsid w:val="00993EC1"/>
    <w:rsid w:val="00993EE2"/>
    <w:rsid w:val="00993F12"/>
    <w:rsid w:val="00993F6B"/>
    <w:rsid w:val="00993FBF"/>
    <w:rsid w:val="009941AF"/>
    <w:rsid w:val="009942ED"/>
    <w:rsid w:val="00994440"/>
    <w:rsid w:val="00994541"/>
    <w:rsid w:val="009946A2"/>
    <w:rsid w:val="00994700"/>
    <w:rsid w:val="00994902"/>
    <w:rsid w:val="009949D1"/>
    <w:rsid w:val="00994BBD"/>
    <w:rsid w:val="00994C4F"/>
    <w:rsid w:val="00994E6D"/>
    <w:rsid w:val="00994FAE"/>
    <w:rsid w:val="00995014"/>
    <w:rsid w:val="00995037"/>
    <w:rsid w:val="0099521F"/>
    <w:rsid w:val="00995351"/>
    <w:rsid w:val="00995357"/>
    <w:rsid w:val="00995474"/>
    <w:rsid w:val="00995483"/>
    <w:rsid w:val="009954C6"/>
    <w:rsid w:val="009954E1"/>
    <w:rsid w:val="00995526"/>
    <w:rsid w:val="00995803"/>
    <w:rsid w:val="009959FE"/>
    <w:rsid w:val="00995A1C"/>
    <w:rsid w:val="00995A5E"/>
    <w:rsid w:val="00995B40"/>
    <w:rsid w:val="00995BC4"/>
    <w:rsid w:val="00995E23"/>
    <w:rsid w:val="00995E40"/>
    <w:rsid w:val="00995E8C"/>
    <w:rsid w:val="00995EEC"/>
    <w:rsid w:val="00995FA2"/>
    <w:rsid w:val="00995FC6"/>
    <w:rsid w:val="009961E0"/>
    <w:rsid w:val="00996211"/>
    <w:rsid w:val="0099624D"/>
    <w:rsid w:val="00996281"/>
    <w:rsid w:val="009964B4"/>
    <w:rsid w:val="009964BA"/>
    <w:rsid w:val="009964FE"/>
    <w:rsid w:val="00996623"/>
    <w:rsid w:val="00996743"/>
    <w:rsid w:val="009967F0"/>
    <w:rsid w:val="00996889"/>
    <w:rsid w:val="009969F5"/>
    <w:rsid w:val="00996A1C"/>
    <w:rsid w:val="00996A2B"/>
    <w:rsid w:val="00996A7B"/>
    <w:rsid w:val="00996AB7"/>
    <w:rsid w:val="00996AE6"/>
    <w:rsid w:val="00996C83"/>
    <w:rsid w:val="00996CA4"/>
    <w:rsid w:val="00996CB4"/>
    <w:rsid w:val="00996DDB"/>
    <w:rsid w:val="00996DFB"/>
    <w:rsid w:val="00996E50"/>
    <w:rsid w:val="00996EDA"/>
    <w:rsid w:val="00996FB6"/>
    <w:rsid w:val="00996FE1"/>
    <w:rsid w:val="0099717F"/>
    <w:rsid w:val="00997281"/>
    <w:rsid w:val="00997300"/>
    <w:rsid w:val="00997454"/>
    <w:rsid w:val="0099753F"/>
    <w:rsid w:val="00997548"/>
    <w:rsid w:val="009975A9"/>
    <w:rsid w:val="0099760B"/>
    <w:rsid w:val="00997692"/>
    <w:rsid w:val="009977AC"/>
    <w:rsid w:val="009977DA"/>
    <w:rsid w:val="00997803"/>
    <w:rsid w:val="00997816"/>
    <w:rsid w:val="009979B8"/>
    <w:rsid w:val="00997A6D"/>
    <w:rsid w:val="00997A95"/>
    <w:rsid w:val="00997ADE"/>
    <w:rsid w:val="00997BAB"/>
    <w:rsid w:val="00997BED"/>
    <w:rsid w:val="00997ED9"/>
    <w:rsid w:val="00997F3D"/>
    <w:rsid w:val="00997F8E"/>
    <w:rsid w:val="00997FAB"/>
    <w:rsid w:val="00997FEE"/>
    <w:rsid w:val="009A0031"/>
    <w:rsid w:val="009A0274"/>
    <w:rsid w:val="009A027D"/>
    <w:rsid w:val="009A0357"/>
    <w:rsid w:val="009A0366"/>
    <w:rsid w:val="009A052A"/>
    <w:rsid w:val="009A0598"/>
    <w:rsid w:val="009A070A"/>
    <w:rsid w:val="009A079F"/>
    <w:rsid w:val="009A0A02"/>
    <w:rsid w:val="009A0B0D"/>
    <w:rsid w:val="009A0B3F"/>
    <w:rsid w:val="009A0B54"/>
    <w:rsid w:val="009A0B84"/>
    <w:rsid w:val="009A0BB0"/>
    <w:rsid w:val="009A0C21"/>
    <w:rsid w:val="009A0C79"/>
    <w:rsid w:val="009A0E16"/>
    <w:rsid w:val="009A0E5E"/>
    <w:rsid w:val="009A0E6E"/>
    <w:rsid w:val="009A0F1A"/>
    <w:rsid w:val="009A0F33"/>
    <w:rsid w:val="009A0FFC"/>
    <w:rsid w:val="009A1084"/>
    <w:rsid w:val="009A1193"/>
    <w:rsid w:val="009A11A5"/>
    <w:rsid w:val="009A1252"/>
    <w:rsid w:val="009A1277"/>
    <w:rsid w:val="009A128C"/>
    <w:rsid w:val="009A14A0"/>
    <w:rsid w:val="009A14AD"/>
    <w:rsid w:val="009A1663"/>
    <w:rsid w:val="009A167C"/>
    <w:rsid w:val="009A18C7"/>
    <w:rsid w:val="009A1964"/>
    <w:rsid w:val="009A19AE"/>
    <w:rsid w:val="009A1A65"/>
    <w:rsid w:val="009A1BC7"/>
    <w:rsid w:val="009A1BDB"/>
    <w:rsid w:val="009A1BEB"/>
    <w:rsid w:val="009A1C3A"/>
    <w:rsid w:val="009A1E41"/>
    <w:rsid w:val="009A1F63"/>
    <w:rsid w:val="009A2010"/>
    <w:rsid w:val="009A203B"/>
    <w:rsid w:val="009A2049"/>
    <w:rsid w:val="009A20CA"/>
    <w:rsid w:val="009A231C"/>
    <w:rsid w:val="009A25C2"/>
    <w:rsid w:val="009A2653"/>
    <w:rsid w:val="009A2A15"/>
    <w:rsid w:val="009A2A44"/>
    <w:rsid w:val="009A2ABE"/>
    <w:rsid w:val="009A2BFA"/>
    <w:rsid w:val="009A2C3E"/>
    <w:rsid w:val="009A2E1C"/>
    <w:rsid w:val="009A2F3B"/>
    <w:rsid w:val="009A2F48"/>
    <w:rsid w:val="009A2F95"/>
    <w:rsid w:val="009A2FFF"/>
    <w:rsid w:val="009A3288"/>
    <w:rsid w:val="009A330C"/>
    <w:rsid w:val="009A3314"/>
    <w:rsid w:val="009A333E"/>
    <w:rsid w:val="009A3601"/>
    <w:rsid w:val="009A3632"/>
    <w:rsid w:val="009A363A"/>
    <w:rsid w:val="009A367F"/>
    <w:rsid w:val="009A37B1"/>
    <w:rsid w:val="009A37EE"/>
    <w:rsid w:val="009A3843"/>
    <w:rsid w:val="009A38DB"/>
    <w:rsid w:val="009A39CD"/>
    <w:rsid w:val="009A3A21"/>
    <w:rsid w:val="009A3A4D"/>
    <w:rsid w:val="009A3B8C"/>
    <w:rsid w:val="009A3BD1"/>
    <w:rsid w:val="009A3C25"/>
    <w:rsid w:val="009A3C6B"/>
    <w:rsid w:val="009A3CD1"/>
    <w:rsid w:val="009A3D15"/>
    <w:rsid w:val="009A3D67"/>
    <w:rsid w:val="009A3E56"/>
    <w:rsid w:val="009A3EA2"/>
    <w:rsid w:val="009A40C1"/>
    <w:rsid w:val="009A4223"/>
    <w:rsid w:val="009A44F9"/>
    <w:rsid w:val="009A453E"/>
    <w:rsid w:val="009A47E5"/>
    <w:rsid w:val="009A4819"/>
    <w:rsid w:val="009A4978"/>
    <w:rsid w:val="009A4A45"/>
    <w:rsid w:val="009A4CC8"/>
    <w:rsid w:val="009A4DAA"/>
    <w:rsid w:val="009A4E63"/>
    <w:rsid w:val="009A515D"/>
    <w:rsid w:val="009A5180"/>
    <w:rsid w:val="009A51DD"/>
    <w:rsid w:val="009A5354"/>
    <w:rsid w:val="009A5515"/>
    <w:rsid w:val="009A5532"/>
    <w:rsid w:val="009A5585"/>
    <w:rsid w:val="009A55B4"/>
    <w:rsid w:val="009A5680"/>
    <w:rsid w:val="009A5734"/>
    <w:rsid w:val="009A5746"/>
    <w:rsid w:val="009A57A2"/>
    <w:rsid w:val="009A5B5D"/>
    <w:rsid w:val="009A5B9E"/>
    <w:rsid w:val="009A5DB7"/>
    <w:rsid w:val="009A600B"/>
    <w:rsid w:val="009A60A9"/>
    <w:rsid w:val="009A62E5"/>
    <w:rsid w:val="009A62F4"/>
    <w:rsid w:val="009A635E"/>
    <w:rsid w:val="009A6373"/>
    <w:rsid w:val="009A6441"/>
    <w:rsid w:val="009A6499"/>
    <w:rsid w:val="009A64B3"/>
    <w:rsid w:val="009A66C0"/>
    <w:rsid w:val="009A6750"/>
    <w:rsid w:val="009A688D"/>
    <w:rsid w:val="009A697C"/>
    <w:rsid w:val="009A69B0"/>
    <w:rsid w:val="009A6A88"/>
    <w:rsid w:val="009A6B68"/>
    <w:rsid w:val="009A6B6B"/>
    <w:rsid w:val="009A6BDB"/>
    <w:rsid w:val="009A6C48"/>
    <w:rsid w:val="009A6EB6"/>
    <w:rsid w:val="009A7064"/>
    <w:rsid w:val="009A71A3"/>
    <w:rsid w:val="009A71A4"/>
    <w:rsid w:val="009A7417"/>
    <w:rsid w:val="009A7598"/>
    <w:rsid w:val="009A770F"/>
    <w:rsid w:val="009A7756"/>
    <w:rsid w:val="009A7767"/>
    <w:rsid w:val="009A77DB"/>
    <w:rsid w:val="009A7883"/>
    <w:rsid w:val="009A78AA"/>
    <w:rsid w:val="009A78B5"/>
    <w:rsid w:val="009A79BF"/>
    <w:rsid w:val="009A7AB4"/>
    <w:rsid w:val="009A7B36"/>
    <w:rsid w:val="009A7B8B"/>
    <w:rsid w:val="009A7C20"/>
    <w:rsid w:val="009A7C79"/>
    <w:rsid w:val="009A7CE7"/>
    <w:rsid w:val="009A7D19"/>
    <w:rsid w:val="009A7E16"/>
    <w:rsid w:val="009A7E45"/>
    <w:rsid w:val="009A7F54"/>
    <w:rsid w:val="009A7F55"/>
    <w:rsid w:val="009B025C"/>
    <w:rsid w:val="009B03B6"/>
    <w:rsid w:val="009B041E"/>
    <w:rsid w:val="009B04A8"/>
    <w:rsid w:val="009B050E"/>
    <w:rsid w:val="009B057B"/>
    <w:rsid w:val="009B066F"/>
    <w:rsid w:val="009B0766"/>
    <w:rsid w:val="009B07D6"/>
    <w:rsid w:val="009B080E"/>
    <w:rsid w:val="009B08AB"/>
    <w:rsid w:val="009B0A14"/>
    <w:rsid w:val="009B0B2A"/>
    <w:rsid w:val="009B0DFE"/>
    <w:rsid w:val="009B0F8D"/>
    <w:rsid w:val="009B0FCC"/>
    <w:rsid w:val="009B0FF8"/>
    <w:rsid w:val="009B10AF"/>
    <w:rsid w:val="009B1168"/>
    <w:rsid w:val="009B120E"/>
    <w:rsid w:val="009B1289"/>
    <w:rsid w:val="009B12AB"/>
    <w:rsid w:val="009B14CB"/>
    <w:rsid w:val="009B1692"/>
    <w:rsid w:val="009B16D9"/>
    <w:rsid w:val="009B180E"/>
    <w:rsid w:val="009B1954"/>
    <w:rsid w:val="009B19C4"/>
    <w:rsid w:val="009B19D4"/>
    <w:rsid w:val="009B1A33"/>
    <w:rsid w:val="009B1BC8"/>
    <w:rsid w:val="009B1C78"/>
    <w:rsid w:val="009B1CA5"/>
    <w:rsid w:val="009B1E9E"/>
    <w:rsid w:val="009B1ECE"/>
    <w:rsid w:val="009B2063"/>
    <w:rsid w:val="009B20A1"/>
    <w:rsid w:val="009B2178"/>
    <w:rsid w:val="009B2300"/>
    <w:rsid w:val="009B23B3"/>
    <w:rsid w:val="009B23BD"/>
    <w:rsid w:val="009B2412"/>
    <w:rsid w:val="009B24B7"/>
    <w:rsid w:val="009B2525"/>
    <w:rsid w:val="009B2558"/>
    <w:rsid w:val="009B2576"/>
    <w:rsid w:val="009B25C4"/>
    <w:rsid w:val="009B25EE"/>
    <w:rsid w:val="009B26C7"/>
    <w:rsid w:val="009B2720"/>
    <w:rsid w:val="009B274D"/>
    <w:rsid w:val="009B29AE"/>
    <w:rsid w:val="009B2BCF"/>
    <w:rsid w:val="009B2DE4"/>
    <w:rsid w:val="009B2E13"/>
    <w:rsid w:val="009B2E55"/>
    <w:rsid w:val="009B2E8B"/>
    <w:rsid w:val="009B2EE8"/>
    <w:rsid w:val="009B2F9E"/>
    <w:rsid w:val="009B2FAB"/>
    <w:rsid w:val="009B3012"/>
    <w:rsid w:val="009B303B"/>
    <w:rsid w:val="009B3040"/>
    <w:rsid w:val="009B3085"/>
    <w:rsid w:val="009B30B5"/>
    <w:rsid w:val="009B3185"/>
    <w:rsid w:val="009B31E7"/>
    <w:rsid w:val="009B33AC"/>
    <w:rsid w:val="009B346B"/>
    <w:rsid w:val="009B3636"/>
    <w:rsid w:val="009B36A4"/>
    <w:rsid w:val="009B37B4"/>
    <w:rsid w:val="009B38B1"/>
    <w:rsid w:val="009B38B5"/>
    <w:rsid w:val="009B38C0"/>
    <w:rsid w:val="009B390E"/>
    <w:rsid w:val="009B3AB3"/>
    <w:rsid w:val="009B3BBB"/>
    <w:rsid w:val="009B3C56"/>
    <w:rsid w:val="009B3CA1"/>
    <w:rsid w:val="009B3CA2"/>
    <w:rsid w:val="009B3CBC"/>
    <w:rsid w:val="009B3CD8"/>
    <w:rsid w:val="009B3DA0"/>
    <w:rsid w:val="009B3E2A"/>
    <w:rsid w:val="009B3EC6"/>
    <w:rsid w:val="009B4012"/>
    <w:rsid w:val="009B4143"/>
    <w:rsid w:val="009B427B"/>
    <w:rsid w:val="009B433B"/>
    <w:rsid w:val="009B4374"/>
    <w:rsid w:val="009B439B"/>
    <w:rsid w:val="009B440F"/>
    <w:rsid w:val="009B445F"/>
    <w:rsid w:val="009B4550"/>
    <w:rsid w:val="009B4588"/>
    <w:rsid w:val="009B458C"/>
    <w:rsid w:val="009B4672"/>
    <w:rsid w:val="009B4956"/>
    <w:rsid w:val="009B49AF"/>
    <w:rsid w:val="009B4A71"/>
    <w:rsid w:val="009B4B38"/>
    <w:rsid w:val="009B4C00"/>
    <w:rsid w:val="009B4C6D"/>
    <w:rsid w:val="009B4D02"/>
    <w:rsid w:val="009B4D4F"/>
    <w:rsid w:val="009B4DE0"/>
    <w:rsid w:val="009B4E59"/>
    <w:rsid w:val="009B4E70"/>
    <w:rsid w:val="009B4F6E"/>
    <w:rsid w:val="009B4F8C"/>
    <w:rsid w:val="009B4FC0"/>
    <w:rsid w:val="009B5030"/>
    <w:rsid w:val="009B5094"/>
    <w:rsid w:val="009B5096"/>
    <w:rsid w:val="009B5099"/>
    <w:rsid w:val="009B5265"/>
    <w:rsid w:val="009B52AC"/>
    <w:rsid w:val="009B52B7"/>
    <w:rsid w:val="009B538E"/>
    <w:rsid w:val="009B5481"/>
    <w:rsid w:val="009B549C"/>
    <w:rsid w:val="009B54B7"/>
    <w:rsid w:val="009B54C4"/>
    <w:rsid w:val="009B5625"/>
    <w:rsid w:val="009B5910"/>
    <w:rsid w:val="009B597A"/>
    <w:rsid w:val="009B59F2"/>
    <w:rsid w:val="009B5B10"/>
    <w:rsid w:val="009B5BD0"/>
    <w:rsid w:val="009B5BF6"/>
    <w:rsid w:val="009B5C57"/>
    <w:rsid w:val="009B5C91"/>
    <w:rsid w:val="009B5D13"/>
    <w:rsid w:val="009B5E04"/>
    <w:rsid w:val="009B5E8A"/>
    <w:rsid w:val="009B5EE1"/>
    <w:rsid w:val="009B5F34"/>
    <w:rsid w:val="009B5F9F"/>
    <w:rsid w:val="009B5FD8"/>
    <w:rsid w:val="009B6056"/>
    <w:rsid w:val="009B60D4"/>
    <w:rsid w:val="009B6105"/>
    <w:rsid w:val="009B6211"/>
    <w:rsid w:val="009B6318"/>
    <w:rsid w:val="009B6554"/>
    <w:rsid w:val="009B6568"/>
    <w:rsid w:val="009B6589"/>
    <w:rsid w:val="009B6682"/>
    <w:rsid w:val="009B66F9"/>
    <w:rsid w:val="009B675C"/>
    <w:rsid w:val="009B6991"/>
    <w:rsid w:val="009B6997"/>
    <w:rsid w:val="009B69DD"/>
    <w:rsid w:val="009B6C19"/>
    <w:rsid w:val="009B6D32"/>
    <w:rsid w:val="009B6D77"/>
    <w:rsid w:val="009B6E05"/>
    <w:rsid w:val="009B6FAD"/>
    <w:rsid w:val="009B70B3"/>
    <w:rsid w:val="009B7176"/>
    <w:rsid w:val="009B7269"/>
    <w:rsid w:val="009B7327"/>
    <w:rsid w:val="009B733A"/>
    <w:rsid w:val="009B735B"/>
    <w:rsid w:val="009B738C"/>
    <w:rsid w:val="009B73F9"/>
    <w:rsid w:val="009B74D1"/>
    <w:rsid w:val="009B751A"/>
    <w:rsid w:val="009B7530"/>
    <w:rsid w:val="009B7537"/>
    <w:rsid w:val="009B75E8"/>
    <w:rsid w:val="009B76A6"/>
    <w:rsid w:val="009B76E6"/>
    <w:rsid w:val="009B774C"/>
    <w:rsid w:val="009B7832"/>
    <w:rsid w:val="009B7883"/>
    <w:rsid w:val="009B793D"/>
    <w:rsid w:val="009B7A63"/>
    <w:rsid w:val="009B7A9C"/>
    <w:rsid w:val="009B7AD7"/>
    <w:rsid w:val="009B7AEF"/>
    <w:rsid w:val="009B7D1C"/>
    <w:rsid w:val="009B7D66"/>
    <w:rsid w:val="009B7EFE"/>
    <w:rsid w:val="009B7F39"/>
    <w:rsid w:val="009B7FD7"/>
    <w:rsid w:val="009C0011"/>
    <w:rsid w:val="009C0245"/>
    <w:rsid w:val="009C02DD"/>
    <w:rsid w:val="009C02DF"/>
    <w:rsid w:val="009C02E3"/>
    <w:rsid w:val="009C0336"/>
    <w:rsid w:val="009C049C"/>
    <w:rsid w:val="009C04A0"/>
    <w:rsid w:val="009C04B0"/>
    <w:rsid w:val="009C060E"/>
    <w:rsid w:val="009C069A"/>
    <w:rsid w:val="009C06B0"/>
    <w:rsid w:val="009C08E9"/>
    <w:rsid w:val="009C0A51"/>
    <w:rsid w:val="009C0AE7"/>
    <w:rsid w:val="009C0B16"/>
    <w:rsid w:val="009C0BFD"/>
    <w:rsid w:val="009C0CE2"/>
    <w:rsid w:val="009C0D01"/>
    <w:rsid w:val="009C0D64"/>
    <w:rsid w:val="009C0E90"/>
    <w:rsid w:val="009C0F3B"/>
    <w:rsid w:val="009C1091"/>
    <w:rsid w:val="009C1149"/>
    <w:rsid w:val="009C11EC"/>
    <w:rsid w:val="009C1219"/>
    <w:rsid w:val="009C128F"/>
    <w:rsid w:val="009C12B1"/>
    <w:rsid w:val="009C1370"/>
    <w:rsid w:val="009C139C"/>
    <w:rsid w:val="009C14D8"/>
    <w:rsid w:val="009C14F1"/>
    <w:rsid w:val="009C153B"/>
    <w:rsid w:val="009C1564"/>
    <w:rsid w:val="009C15B4"/>
    <w:rsid w:val="009C15BA"/>
    <w:rsid w:val="009C1724"/>
    <w:rsid w:val="009C1737"/>
    <w:rsid w:val="009C176F"/>
    <w:rsid w:val="009C19B5"/>
    <w:rsid w:val="009C1BA2"/>
    <w:rsid w:val="009C1BD1"/>
    <w:rsid w:val="009C1CBF"/>
    <w:rsid w:val="009C1E72"/>
    <w:rsid w:val="009C1ECE"/>
    <w:rsid w:val="009C1ED1"/>
    <w:rsid w:val="009C1FAA"/>
    <w:rsid w:val="009C206B"/>
    <w:rsid w:val="009C2162"/>
    <w:rsid w:val="009C2233"/>
    <w:rsid w:val="009C225E"/>
    <w:rsid w:val="009C23B5"/>
    <w:rsid w:val="009C2445"/>
    <w:rsid w:val="009C262F"/>
    <w:rsid w:val="009C2824"/>
    <w:rsid w:val="009C28CA"/>
    <w:rsid w:val="009C2D56"/>
    <w:rsid w:val="009C2E93"/>
    <w:rsid w:val="009C2F60"/>
    <w:rsid w:val="009C2FA6"/>
    <w:rsid w:val="009C2FDC"/>
    <w:rsid w:val="009C30F2"/>
    <w:rsid w:val="009C3187"/>
    <w:rsid w:val="009C3214"/>
    <w:rsid w:val="009C3239"/>
    <w:rsid w:val="009C32D6"/>
    <w:rsid w:val="009C3300"/>
    <w:rsid w:val="009C34B7"/>
    <w:rsid w:val="009C3526"/>
    <w:rsid w:val="009C375C"/>
    <w:rsid w:val="009C37BC"/>
    <w:rsid w:val="009C38C8"/>
    <w:rsid w:val="009C395D"/>
    <w:rsid w:val="009C399D"/>
    <w:rsid w:val="009C39A5"/>
    <w:rsid w:val="009C3B0B"/>
    <w:rsid w:val="009C3C59"/>
    <w:rsid w:val="009C3C5D"/>
    <w:rsid w:val="009C3DBF"/>
    <w:rsid w:val="009C3DC7"/>
    <w:rsid w:val="009C3E44"/>
    <w:rsid w:val="009C3E90"/>
    <w:rsid w:val="009C3EBF"/>
    <w:rsid w:val="009C404F"/>
    <w:rsid w:val="009C40B0"/>
    <w:rsid w:val="009C40C4"/>
    <w:rsid w:val="009C4192"/>
    <w:rsid w:val="009C42BF"/>
    <w:rsid w:val="009C42CD"/>
    <w:rsid w:val="009C42DF"/>
    <w:rsid w:val="009C43DE"/>
    <w:rsid w:val="009C43F5"/>
    <w:rsid w:val="009C4612"/>
    <w:rsid w:val="009C47C9"/>
    <w:rsid w:val="009C494A"/>
    <w:rsid w:val="009C4A24"/>
    <w:rsid w:val="009C4A78"/>
    <w:rsid w:val="009C4A92"/>
    <w:rsid w:val="009C4AAB"/>
    <w:rsid w:val="009C4AD4"/>
    <w:rsid w:val="009C4AEF"/>
    <w:rsid w:val="009C4BB5"/>
    <w:rsid w:val="009C4EEE"/>
    <w:rsid w:val="009C4F1D"/>
    <w:rsid w:val="009C4F65"/>
    <w:rsid w:val="009C4F67"/>
    <w:rsid w:val="009C501C"/>
    <w:rsid w:val="009C50EB"/>
    <w:rsid w:val="009C5204"/>
    <w:rsid w:val="009C526C"/>
    <w:rsid w:val="009C5292"/>
    <w:rsid w:val="009C52E6"/>
    <w:rsid w:val="009C52EA"/>
    <w:rsid w:val="009C557F"/>
    <w:rsid w:val="009C55C5"/>
    <w:rsid w:val="009C55F7"/>
    <w:rsid w:val="009C5629"/>
    <w:rsid w:val="009C5636"/>
    <w:rsid w:val="009C5640"/>
    <w:rsid w:val="009C596C"/>
    <w:rsid w:val="009C5BF1"/>
    <w:rsid w:val="009C5CF0"/>
    <w:rsid w:val="009C5DA4"/>
    <w:rsid w:val="009C5E24"/>
    <w:rsid w:val="009C5E67"/>
    <w:rsid w:val="009C5EBA"/>
    <w:rsid w:val="009C5EC8"/>
    <w:rsid w:val="009C5F00"/>
    <w:rsid w:val="009C6206"/>
    <w:rsid w:val="009C627F"/>
    <w:rsid w:val="009C632C"/>
    <w:rsid w:val="009C6367"/>
    <w:rsid w:val="009C65B0"/>
    <w:rsid w:val="009C65ED"/>
    <w:rsid w:val="009C6740"/>
    <w:rsid w:val="009C67BB"/>
    <w:rsid w:val="009C685F"/>
    <w:rsid w:val="009C68AC"/>
    <w:rsid w:val="009C690B"/>
    <w:rsid w:val="009C69A1"/>
    <w:rsid w:val="009C69D9"/>
    <w:rsid w:val="009C6AA3"/>
    <w:rsid w:val="009C6ABC"/>
    <w:rsid w:val="009C6AEB"/>
    <w:rsid w:val="009C6E5E"/>
    <w:rsid w:val="009C7085"/>
    <w:rsid w:val="009C71F2"/>
    <w:rsid w:val="009C7411"/>
    <w:rsid w:val="009C7466"/>
    <w:rsid w:val="009C75F0"/>
    <w:rsid w:val="009C760A"/>
    <w:rsid w:val="009C769A"/>
    <w:rsid w:val="009C77CD"/>
    <w:rsid w:val="009C7866"/>
    <w:rsid w:val="009C7885"/>
    <w:rsid w:val="009C7932"/>
    <w:rsid w:val="009C7A51"/>
    <w:rsid w:val="009C7B4E"/>
    <w:rsid w:val="009C7C9A"/>
    <w:rsid w:val="009C7CD8"/>
    <w:rsid w:val="009C7E07"/>
    <w:rsid w:val="009C7E36"/>
    <w:rsid w:val="009C7E9C"/>
    <w:rsid w:val="009C7F8F"/>
    <w:rsid w:val="009C7FCE"/>
    <w:rsid w:val="009D007B"/>
    <w:rsid w:val="009D0218"/>
    <w:rsid w:val="009D02FE"/>
    <w:rsid w:val="009D0318"/>
    <w:rsid w:val="009D0358"/>
    <w:rsid w:val="009D0516"/>
    <w:rsid w:val="009D05B4"/>
    <w:rsid w:val="009D0616"/>
    <w:rsid w:val="009D0702"/>
    <w:rsid w:val="009D0732"/>
    <w:rsid w:val="009D077D"/>
    <w:rsid w:val="009D0822"/>
    <w:rsid w:val="009D0879"/>
    <w:rsid w:val="009D09F5"/>
    <w:rsid w:val="009D0A7A"/>
    <w:rsid w:val="009D0B77"/>
    <w:rsid w:val="009D0D66"/>
    <w:rsid w:val="009D0F99"/>
    <w:rsid w:val="009D114A"/>
    <w:rsid w:val="009D11B7"/>
    <w:rsid w:val="009D11CE"/>
    <w:rsid w:val="009D126B"/>
    <w:rsid w:val="009D1285"/>
    <w:rsid w:val="009D12A2"/>
    <w:rsid w:val="009D1313"/>
    <w:rsid w:val="009D134F"/>
    <w:rsid w:val="009D14E8"/>
    <w:rsid w:val="009D151C"/>
    <w:rsid w:val="009D16A2"/>
    <w:rsid w:val="009D171A"/>
    <w:rsid w:val="009D176B"/>
    <w:rsid w:val="009D1850"/>
    <w:rsid w:val="009D18EB"/>
    <w:rsid w:val="009D19D2"/>
    <w:rsid w:val="009D1B5D"/>
    <w:rsid w:val="009D1BAE"/>
    <w:rsid w:val="009D1BB0"/>
    <w:rsid w:val="009D1C23"/>
    <w:rsid w:val="009D1CE2"/>
    <w:rsid w:val="009D1D90"/>
    <w:rsid w:val="009D1D9D"/>
    <w:rsid w:val="009D1E7A"/>
    <w:rsid w:val="009D1E9E"/>
    <w:rsid w:val="009D2359"/>
    <w:rsid w:val="009D2391"/>
    <w:rsid w:val="009D254E"/>
    <w:rsid w:val="009D27AA"/>
    <w:rsid w:val="009D27B8"/>
    <w:rsid w:val="009D28F5"/>
    <w:rsid w:val="009D2B77"/>
    <w:rsid w:val="009D2C13"/>
    <w:rsid w:val="009D2D2F"/>
    <w:rsid w:val="009D2D85"/>
    <w:rsid w:val="009D2E67"/>
    <w:rsid w:val="009D2EFE"/>
    <w:rsid w:val="009D2F84"/>
    <w:rsid w:val="009D2F9B"/>
    <w:rsid w:val="009D2FB5"/>
    <w:rsid w:val="009D304A"/>
    <w:rsid w:val="009D312B"/>
    <w:rsid w:val="009D31A3"/>
    <w:rsid w:val="009D3382"/>
    <w:rsid w:val="009D3493"/>
    <w:rsid w:val="009D34A8"/>
    <w:rsid w:val="009D373C"/>
    <w:rsid w:val="009D38BB"/>
    <w:rsid w:val="009D3906"/>
    <w:rsid w:val="009D3972"/>
    <w:rsid w:val="009D399C"/>
    <w:rsid w:val="009D3B6D"/>
    <w:rsid w:val="009D3BB5"/>
    <w:rsid w:val="009D3D71"/>
    <w:rsid w:val="009D3E18"/>
    <w:rsid w:val="009D3F96"/>
    <w:rsid w:val="009D3F9C"/>
    <w:rsid w:val="009D3FA4"/>
    <w:rsid w:val="009D3FD0"/>
    <w:rsid w:val="009D4050"/>
    <w:rsid w:val="009D42D3"/>
    <w:rsid w:val="009D432B"/>
    <w:rsid w:val="009D4404"/>
    <w:rsid w:val="009D4613"/>
    <w:rsid w:val="009D4847"/>
    <w:rsid w:val="009D4867"/>
    <w:rsid w:val="009D48E8"/>
    <w:rsid w:val="009D4A38"/>
    <w:rsid w:val="009D4B97"/>
    <w:rsid w:val="009D4CCE"/>
    <w:rsid w:val="009D4CD2"/>
    <w:rsid w:val="009D4E03"/>
    <w:rsid w:val="009D4E8F"/>
    <w:rsid w:val="009D50A2"/>
    <w:rsid w:val="009D50FC"/>
    <w:rsid w:val="009D516B"/>
    <w:rsid w:val="009D5268"/>
    <w:rsid w:val="009D5286"/>
    <w:rsid w:val="009D53A4"/>
    <w:rsid w:val="009D549B"/>
    <w:rsid w:val="009D54A9"/>
    <w:rsid w:val="009D5678"/>
    <w:rsid w:val="009D5692"/>
    <w:rsid w:val="009D5796"/>
    <w:rsid w:val="009D582F"/>
    <w:rsid w:val="009D5932"/>
    <w:rsid w:val="009D5A2F"/>
    <w:rsid w:val="009D5A49"/>
    <w:rsid w:val="009D5AE1"/>
    <w:rsid w:val="009D5B96"/>
    <w:rsid w:val="009D5BA8"/>
    <w:rsid w:val="009D5C18"/>
    <w:rsid w:val="009D5F41"/>
    <w:rsid w:val="009D5FAB"/>
    <w:rsid w:val="009D6359"/>
    <w:rsid w:val="009D6412"/>
    <w:rsid w:val="009D642C"/>
    <w:rsid w:val="009D642D"/>
    <w:rsid w:val="009D6456"/>
    <w:rsid w:val="009D646B"/>
    <w:rsid w:val="009D64B2"/>
    <w:rsid w:val="009D666C"/>
    <w:rsid w:val="009D66D6"/>
    <w:rsid w:val="009D66F1"/>
    <w:rsid w:val="009D66FE"/>
    <w:rsid w:val="009D6720"/>
    <w:rsid w:val="009D67A3"/>
    <w:rsid w:val="009D6BB2"/>
    <w:rsid w:val="009D6BE9"/>
    <w:rsid w:val="009D6BF7"/>
    <w:rsid w:val="009D6C0D"/>
    <w:rsid w:val="009D6DFE"/>
    <w:rsid w:val="009D6E1E"/>
    <w:rsid w:val="009D7145"/>
    <w:rsid w:val="009D71E2"/>
    <w:rsid w:val="009D72E9"/>
    <w:rsid w:val="009D72F6"/>
    <w:rsid w:val="009D73BC"/>
    <w:rsid w:val="009D73D0"/>
    <w:rsid w:val="009D740B"/>
    <w:rsid w:val="009D74F7"/>
    <w:rsid w:val="009D75A5"/>
    <w:rsid w:val="009D75AD"/>
    <w:rsid w:val="009D75B3"/>
    <w:rsid w:val="009D75BE"/>
    <w:rsid w:val="009D75ED"/>
    <w:rsid w:val="009D7907"/>
    <w:rsid w:val="009D79A9"/>
    <w:rsid w:val="009D7A3D"/>
    <w:rsid w:val="009D7A72"/>
    <w:rsid w:val="009D7A8C"/>
    <w:rsid w:val="009D7D81"/>
    <w:rsid w:val="009D7E65"/>
    <w:rsid w:val="009D7EE5"/>
    <w:rsid w:val="009D7EE7"/>
    <w:rsid w:val="009D7F5B"/>
    <w:rsid w:val="009E02FC"/>
    <w:rsid w:val="009E042D"/>
    <w:rsid w:val="009E04C0"/>
    <w:rsid w:val="009E0529"/>
    <w:rsid w:val="009E07FF"/>
    <w:rsid w:val="009E0881"/>
    <w:rsid w:val="009E0946"/>
    <w:rsid w:val="009E0A47"/>
    <w:rsid w:val="009E0A93"/>
    <w:rsid w:val="009E0B7A"/>
    <w:rsid w:val="009E0B7E"/>
    <w:rsid w:val="009E0BCE"/>
    <w:rsid w:val="009E0C6F"/>
    <w:rsid w:val="009E0C9A"/>
    <w:rsid w:val="009E0CFE"/>
    <w:rsid w:val="009E0E02"/>
    <w:rsid w:val="009E0E79"/>
    <w:rsid w:val="009E0E8E"/>
    <w:rsid w:val="009E0F48"/>
    <w:rsid w:val="009E0FA9"/>
    <w:rsid w:val="009E1059"/>
    <w:rsid w:val="009E1082"/>
    <w:rsid w:val="009E1095"/>
    <w:rsid w:val="009E10BF"/>
    <w:rsid w:val="009E129D"/>
    <w:rsid w:val="009E1305"/>
    <w:rsid w:val="009E13E9"/>
    <w:rsid w:val="009E150A"/>
    <w:rsid w:val="009E159E"/>
    <w:rsid w:val="009E15AF"/>
    <w:rsid w:val="009E1609"/>
    <w:rsid w:val="009E165A"/>
    <w:rsid w:val="009E1676"/>
    <w:rsid w:val="009E1716"/>
    <w:rsid w:val="009E197D"/>
    <w:rsid w:val="009E1ACB"/>
    <w:rsid w:val="009E1AE3"/>
    <w:rsid w:val="009E1B06"/>
    <w:rsid w:val="009E1B0E"/>
    <w:rsid w:val="009E1BCD"/>
    <w:rsid w:val="009E1C03"/>
    <w:rsid w:val="009E1C1F"/>
    <w:rsid w:val="009E1DDF"/>
    <w:rsid w:val="009E1EDC"/>
    <w:rsid w:val="009E1F1F"/>
    <w:rsid w:val="009E1F41"/>
    <w:rsid w:val="009E2044"/>
    <w:rsid w:val="009E207C"/>
    <w:rsid w:val="009E21E9"/>
    <w:rsid w:val="009E23AE"/>
    <w:rsid w:val="009E23FC"/>
    <w:rsid w:val="009E267C"/>
    <w:rsid w:val="009E26E0"/>
    <w:rsid w:val="009E2754"/>
    <w:rsid w:val="009E297B"/>
    <w:rsid w:val="009E2A32"/>
    <w:rsid w:val="009E2A36"/>
    <w:rsid w:val="009E2A3F"/>
    <w:rsid w:val="009E2B9A"/>
    <w:rsid w:val="009E2BD9"/>
    <w:rsid w:val="009E2D23"/>
    <w:rsid w:val="009E2D24"/>
    <w:rsid w:val="009E2E1E"/>
    <w:rsid w:val="009E2E42"/>
    <w:rsid w:val="009E2EEF"/>
    <w:rsid w:val="009E2F3A"/>
    <w:rsid w:val="009E30B0"/>
    <w:rsid w:val="009E30CC"/>
    <w:rsid w:val="009E3105"/>
    <w:rsid w:val="009E31EA"/>
    <w:rsid w:val="009E3278"/>
    <w:rsid w:val="009E3362"/>
    <w:rsid w:val="009E3420"/>
    <w:rsid w:val="009E34EF"/>
    <w:rsid w:val="009E351E"/>
    <w:rsid w:val="009E354E"/>
    <w:rsid w:val="009E359E"/>
    <w:rsid w:val="009E3637"/>
    <w:rsid w:val="009E3646"/>
    <w:rsid w:val="009E38F5"/>
    <w:rsid w:val="009E391F"/>
    <w:rsid w:val="009E3980"/>
    <w:rsid w:val="009E39C5"/>
    <w:rsid w:val="009E3B54"/>
    <w:rsid w:val="009E3CB8"/>
    <w:rsid w:val="009E3D98"/>
    <w:rsid w:val="009E3E9B"/>
    <w:rsid w:val="009E3FEB"/>
    <w:rsid w:val="009E3FFF"/>
    <w:rsid w:val="009E418A"/>
    <w:rsid w:val="009E423D"/>
    <w:rsid w:val="009E430D"/>
    <w:rsid w:val="009E4429"/>
    <w:rsid w:val="009E45EB"/>
    <w:rsid w:val="009E460E"/>
    <w:rsid w:val="009E462E"/>
    <w:rsid w:val="009E4649"/>
    <w:rsid w:val="009E469D"/>
    <w:rsid w:val="009E4723"/>
    <w:rsid w:val="009E475C"/>
    <w:rsid w:val="009E4780"/>
    <w:rsid w:val="009E47AC"/>
    <w:rsid w:val="009E48B4"/>
    <w:rsid w:val="009E4920"/>
    <w:rsid w:val="009E49B5"/>
    <w:rsid w:val="009E4A46"/>
    <w:rsid w:val="009E4B79"/>
    <w:rsid w:val="009E4BEC"/>
    <w:rsid w:val="009E4CD6"/>
    <w:rsid w:val="009E4D0B"/>
    <w:rsid w:val="009E4E04"/>
    <w:rsid w:val="009E4E41"/>
    <w:rsid w:val="009E4E5C"/>
    <w:rsid w:val="009E4F4D"/>
    <w:rsid w:val="009E4F6C"/>
    <w:rsid w:val="009E510B"/>
    <w:rsid w:val="009E5211"/>
    <w:rsid w:val="009E521F"/>
    <w:rsid w:val="009E5568"/>
    <w:rsid w:val="009E5738"/>
    <w:rsid w:val="009E59A5"/>
    <w:rsid w:val="009E5AC1"/>
    <w:rsid w:val="009E5B52"/>
    <w:rsid w:val="009E5BD6"/>
    <w:rsid w:val="009E5BDD"/>
    <w:rsid w:val="009E5F9B"/>
    <w:rsid w:val="009E5FBD"/>
    <w:rsid w:val="009E6004"/>
    <w:rsid w:val="009E6047"/>
    <w:rsid w:val="009E605F"/>
    <w:rsid w:val="009E60B4"/>
    <w:rsid w:val="009E6244"/>
    <w:rsid w:val="009E62A4"/>
    <w:rsid w:val="009E630C"/>
    <w:rsid w:val="009E633F"/>
    <w:rsid w:val="009E64B8"/>
    <w:rsid w:val="009E65BA"/>
    <w:rsid w:val="009E65E6"/>
    <w:rsid w:val="009E6635"/>
    <w:rsid w:val="009E685A"/>
    <w:rsid w:val="009E6867"/>
    <w:rsid w:val="009E6BEC"/>
    <w:rsid w:val="009E6C9A"/>
    <w:rsid w:val="009E6D34"/>
    <w:rsid w:val="009E6DE6"/>
    <w:rsid w:val="009E6E54"/>
    <w:rsid w:val="009E6E89"/>
    <w:rsid w:val="009E6EAB"/>
    <w:rsid w:val="009E6ECB"/>
    <w:rsid w:val="009E6FBB"/>
    <w:rsid w:val="009E7007"/>
    <w:rsid w:val="009E7072"/>
    <w:rsid w:val="009E7258"/>
    <w:rsid w:val="009E72B2"/>
    <w:rsid w:val="009E73A3"/>
    <w:rsid w:val="009E74E9"/>
    <w:rsid w:val="009E76A9"/>
    <w:rsid w:val="009E7744"/>
    <w:rsid w:val="009E77B8"/>
    <w:rsid w:val="009E7A3C"/>
    <w:rsid w:val="009E7ADF"/>
    <w:rsid w:val="009E7B0A"/>
    <w:rsid w:val="009E7B50"/>
    <w:rsid w:val="009E7C56"/>
    <w:rsid w:val="009E7C71"/>
    <w:rsid w:val="009E7CB6"/>
    <w:rsid w:val="009E7CC8"/>
    <w:rsid w:val="009E7CCF"/>
    <w:rsid w:val="009E7F36"/>
    <w:rsid w:val="009E7F5C"/>
    <w:rsid w:val="009E7FA4"/>
    <w:rsid w:val="009E7FB8"/>
    <w:rsid w:val="009F002C"/>
    <w:rsid w:val="009F00D5"/>
    <w:rsid w:val="009F00EB"/>
    <w:rsid w:val="009F03C5"/>
    <w:rsid w:val="009F043D"/>
    <w:rsid w:val="009F0502"/>
    <w:rsid w:val="009F059D"/>
    <w:rsid w:val="009F05F1"/>
    <w:rsid w:val="009F06B3"/>
    <w:rsid w:val="009F06D9"/>
    <w:rsid w:val="009F084C"/>
    <w:rsid w:val="009F09C8"/>
    <w:rsid w:val="009F0A34"/>
    <w:rsid w:val="009F0AB8"/>
    <w:rsid w:val="009F0B08"/>
    <w:rsid w:val="009F0B2E"/>
    <w:rsid w:val="009F0BCB"/>
    <w:rsid w:val="009F0EBD"/>
    <w:rsid w:val="009F1046"/>
    <w:rsid w:val="009F10B9"/>
    <w:rsid w:val="009F110A"/>
    <w:rsid w:val="009F1118"/>
    <w:rsid w:val="009F11C5"/>
    <w:rsid w:val="009F128B"/>
    <w:rsid w:val="009F12CE"/>
    <w:rsid w:val="009F12E6"/>
    <w:rsid w:val="009F132C"/>
    <w:rsid w:val="009F1396"/>
    <w:rsid w:val="009F13D6"/>
    <w:rsid w:val="009F14A4"/>
    <w:rsid w:val="009F14B4"/>
    <w:rsid w:val="009F1532"/>
    <w:rsid w:val="009F15E7"/>
    <w:rsid w:val="009F1694"/>
    <w:rsid w:val="009F16C5"/>
    <w:rsid w:val="009F1729"/>
    <w:rsid w:val="009F173F"/>
    <w:rsid w:val="009F187A"/>
    <w:rsid w:val="009F1895"/>
    <w:rsid w:val="009F196E"/>
    <w:rsid w:val="009F19F4"/>
    <w:rsid w:val="009F19FB"/>
    <w:rsid w:val="009F1A61"/>
    <w:rsid w:val="009F1A7D"/>
    <w:rsid w:val="009F1A9D"/>
    <w:rsid w:val="009F1AD9"/>
    <w:rsid w:val="009F1CC1"/>
    <w:rsid w:val="009F1CEB"/>
    <w:rsid w:val="009F1CF3"/>
    <w:rsid w:val="009F1D21"/>
    <w:rsid w:val="009F1F01"/>
    <w:rsid w:val="009F1F5E"/>
    <w:rsid w:val="009F21C7"/>
    <w:rsid w:val="009F21ED"/>
    <w:rsid w:val="009F2285"/>
    <w:rsid w:val="009F2309"/>
    <w:rsid w:val="009F25DC"/>
    <w:rsid w:val="009F268A"/>
    <w:rsid w:val="009F2692"/>
    <w:rsid w:val="009F273F"/>
    <w:rsid w:val="009F28DA"/>
    <w:rsid w:val="009F28F4"/>
    <w:rsid w:val="009F2A6A"/>
    <w:rsid w:val="009F2ADA"/>
    <w:rsid w:val="009F2B21"/>
    <w:rsid w:val="009F2B46"/>
    <w:rsid w:val="009F2BBC"/>
    <w:rsid w:val="009F2C23"/>
    <w:rsid w:val="009F2F11"/>
    <w:rsid w:val="009F2F4B"/>
    <w:rsid w:val="009F2FBD"/>
    <w:rsid w:val="009F2FCA"/>
    <w:rsid w:val="009F2FEF"/>
    <w:rsid w:val="009F30B3"/>
    <w:rsid w:val="009F3171"/>
    <w:rsid w:val="009F3179"/>
    <w:rsid w:val="009F32DE"/>
    <w:rsid w:val="009F33D3"/>
    <w:rsid w:val="009F340A"/>
    <w:rsid w:val="009F3699"/>
    <w:rsid w:val="009F36A5"/>
    <w:rsid w:val="009F3739"/>
    <w:rsid w:val="009F37ED"/>
    <w:rsid w:val="009F384C"/>
    <w:rsid w:val="009F39A1"/>
    <w:rsid w:val="009F3A4E"/>
    <w:rsid w:val="009F3D6A"/>
    <w:rsid w:val="009F3D6E"/>
    <w:rsid w:val="009F3E4D"/>
    <w:rsid w:val="009F3F14"/>
    <w:rsid w:val="009F3FFF"/>
    <w:rsid w:val="009F4004"/>
    <w:rsid w:val="009F402E"/>
    <w:rsid w:val="009F4275"/>
    <w:rsid w:val="009F43B8"/>
    <w:rsid w:val="009F4AD9"/>
    <w:rsid w:val="009F4B38"/>
    <w:rsid w:val="009F4C13"/>
    <w:rsid w:val="009F4C90"/>
    <w:rsid w:val="009F4C95"/>
    <w:rsid w:val="009F4DD8"/>
    <w:rsid w:val="009F4F1C"/>
    <w:rsid w:val="009F4F66"/>
    <w:rsid w:val="009F4F97"/>
    <w:rsid w:val="009F5034"/>
    <w:rsid w:val="009F50F7"/>
    <w:rsid w:val="009F52D7"/>
    <w:rsid w:val="009F53D8"/>
    <w:rsid w:val="009F53FE"/>
    <w:rsid w:val="009F5461"/>
    <w:rsid w:val="009F5616"/>
    <w:rsid w:val="009F5618"/>
    <w:rsid w:val="009F5684"/>
    <w:rsid w:val="009F5794"/>
    <w:rsid w:val="009F57BB"/>
    <w:rsid w:val="009F584B"/>
    <w:rsid w:val="009F5C0F"/>
    <w:rsid w:val="009F5CA4"/>
    <w:rsid w:val="009F5CDA"/>
    <w:rsid w:val="009F5D6B"/>
    <w:rsid w:val="009F5F15"/>
    <w:rsid w:val="009F5F3E"/>
    <w:rsid w:val="009F5F56"/>
    <w:rsid w:val="009F606D"/>
    <w:rsid w:val="009F6253"/>
    <w:rsid w:val="009F6304"/>
    <w:rsid w:val="009F6540"/>
    <w:rsid w:val="009F655B"/>
    <w:rsid w:val="009F6568"/>
    <w:rsid w:val="009F66DB"/>
    <w:rsid w:val="009F6735"/>
    <w:rsid w:val="009F6787"/>
    <w:rsid w:val="009F6794"/>
    <w:rsid w:val="009F68AB"/>
    <w:rsid w:val="009F68BB"/>
    <w:rsid w:val="009F697B"/>
    <w:rsid w:val="009F6B1F"/>
    <w:rsid w:val="009F6BAB"/>
    <w:rsid w:val="009F6BC8"/>
    <w:rsid w:val="009F6BE0"/>
    <w:rsid w:val="009F6C11"/>
    <w:rsid w:val="009F6C8A"/>
    <w:rsid w:val="009F6D42"/>
    <w:rsid w:val="009F6D5A"/>
    <w:rsid w:val="009F6D7C"/>
    <w:rsid w:val="009F6E7D"/>
    <w:rsid w:val="009F6FAA"/>
    <w:rsid w:val="009F6FE3"/>
    <w:rsid w:val="009F707F"/>
    <w:rsid w:val="009F7112"/>
    <w:rsid w:val="009F722F"/>
    <w:rsid w:val="009F7272"/>
    <w:rsid w:val="009F7339"/>
    <w:rsid w:val="009F738F"/>
    <w:rsid w:val="009F75DD"/>
    <w:rsid w:val="009F79B1"/>
    <w:rsid w:val="009F79F7"/>
    <w:rsid w:val="009F7A02"/>
    <w:rsid w:val="009F7A65"/>
    <w:rsid w:val="009F7C74"/>
    <w:rsid w:val="009F7D19"/>
    <w:rsid w:val="009F7DAC"/>
    <w:rsid w:val="009F7E01"/>
    <w:rsid w:val="009F7EED"/>
    <w:rsid w:val="009F7F22"/>
    <w:rsid w:val="009F7F45"/>
    <w:rsid w:val="009F7FB4"/>
    <w:rsid w:val="00A0016E"/>
    <w:rsid w:val="00A001B2"/>
    <w:rsid w:val="00A0029B"/>
    <w:rsid w:val="00A002EE"/>
    <w:rsid w:val="00A00314"/>
    <w:rsid w:val="00A003E5"/>
    <w:rsid w:val="00A0055F"/>
    <w:rsid w:val="00A0058F"/>
    <w:rsid w:val="00A005A8"/>
    <w:rsid w:val="00A005B3"/>
    <w:rsid w:val="00A00712"/>
    <w:rsid w:val="00A007DD"/>
    <w:rsid w:val="00A00834"/>
    <w:rsid w:val="00A0083E"/>
    <w:rsid w:val="00A00867"/>
    <w:rsid w:val="00A008E2"/>
    <w:rsid w:val="00A00A33"/>
    <w:rsid w:val="00A00AFC"/>
    <w:rsid w:val="00A00B62"/>
    <w:rsid w:val="00A00BFB"/>
    <w:rsid w:val="00A00CF0"/>
    <w:rsid w:val="00A00D7E"/>
    <w:rsid w:val="00A00E26"/>
    <w:rsid w:val="00A00E5A"/>
    <w:rsid w:val="00A00F43"/>
    <w:rsid w:val="00A00F70"/>
    <w:rsid w:val="00A01034"/>
    <w:rsid w:val="00A01120"/>
    <w:rsid w:val="00A01166"/>
    <w:rsid w:val="00A01188"/>
    <w:rsid w:val="00A011EE"/>
    <w:rsid w:val="00A01284"/>
    <w:rsid w:val="00A012C0"/>
    <w:rsid w:val="00A012D0"/>
    <w:rsid w:val="00A01430"/>
    <w:rsid w:val="00A01440"/>
    <w:rsid w:val="00A014A3"/>
    <w:rsid w:val="00A014AC"/>
    <w:rsid w:val="00A014FC"/>
    <w:rsid w:val="00A01574"/>
    <w:rsid w:val="00A015EB"/>
    <w:rsid w:val="00A0164C"/>
    <w:rsid w:val="00A01788"/>
    <w:rsid w:val="00A01839"/>
    <w:rsid w:val="00A01887"/>
    <w:rsid w:val="00A018AE"/>
    <w:rsid w:val="00A0191C"/>
    <w:rsid w:val="00A0197E"/>
    <w:rsid w:val="00A0199D"/>
    <w:rsid w:val="00A019FB"/>
    <w:rsid w:val="00A01A6E"/>
    <w:rsid w:val="00A01BA5"/>
    <w:rsid w:val="00A01C7B"/>
    <w:rsid w:val="00A01DA0"/>
    <w:rsid w:val="00A01F9E"/>
    <w:rsid w:val="00A01FDB"/>
    <w:rsid w:val="00A023BD"/>
    <w:rsid w:val="00A02472"/>
    <w:rsid w:val="00A02485"/>
    <w:rsid w:val="00A0249E"/>
    <w:rsid w:val="00A024C7"/>
    <w:rsid w:val="00A025CC"/>
    <w:rsid w:val="00A02669"/>
    <w:rsid w:val="00A02759"/>
    <w:rsid w:val="00A02805"/>
    <w:rsid w:val="00A0285D"/>
    <w:rsid w:val="00A02A45"/>
    <w:rsid w:val="00A02A7C"/>
    <w:rsid w:val="00A02C4E"/>
    <w:rsid w:val="00A02C86"/>
    <w:rsid w:val="00A02DFC"/>
    <w:rsid w:val="00A02E07"/>
    <w:rsid w:val="00A03067"/>
    <w:rsid w:val="00A0323D"/>
    <w:rsid w:val="00A03375"/>
    <w:rsid w:val="00A033B8"/>
    <w:rsid w:val="00A03507"/>
    <w:rsid w:val="00A03614"/>
    <w:rsid w:val="00A0375F"/>
    <w:rsid w:val="00A0389F"/>
    <w:rsid w:val="00A039FB"/>
    <w:rsid w:val="00A03A1A"/>
    <w:rsid w:val="00A03A52"/>
    <w:rsid w:val="00A03AC2"/>
    <w:rsid w:val="00A03B48"/>
    <w:rsid w:val="00A03D6E"/>
    <w:rsid w:val="00A03FE5"/>
    <w:rsid w:val="00A03FFA"/>
    <w:rsid w:val="00A0401D"/>
    <w:rsid w:val="00A040FE"/>
    <w:rsid w:val="00A04100"/>
    <w:rsid w:val="00A042D3"/>
    <w:rsid w:val="00A04385"/>
    <w:rsid w:val="00A043BC"/>
    <w:rsid w:val="00A043F0"/>
    <w:rsid w:val="00A04489"/>
    <w:rsid w:val="00A04579"/>
    <w:rsid w:val="00A045F5"/>
    <w:rsid w:val="00A046B3"/>
    <w:rsid w:val="00A047D6"/>
    <w:rsid w:val="00A04821"/>
    <w:rsid w:val="00A04A2D"/>
    <w:rsid w:val="00A04A48"/>
    <w:rsid w:val="00A04B14"/>
    <w:rsid w:val="00A04B61"/>
    <w:rsid w:val="00A04BA4"/>
    <w:rsid w:val="00A04C12"/>
    <w:rsid w:val="00A04E25"/>
    <w:rsid w:val="00A04F97"/>
    <w:rsid w:val="00A04FC3"/>
    <w:rsid w:val="00A05070"/>
    <w:rsid w:val="00A0507B"/>
    <w:rsid w:val="00A05098"/>
    <w:rsid w:val="00A0519F"/>
    <w:rsid w:val="00A05245"/>
    <w:rsid w:val="00A05312"/>
    <w:rsid w:val="00A0534F"/>
    <w:rsid w:val="00A0548E"/>
    <w:rsid w:val="00A054E1"/>
    <w:rsid w:val="00A05539"/>
    <w:rsid w:val="00A05772"/>
    <w:rsid w:val="00A0582B"/>
    <w:rsid w:val="00A05866"/>
    <w:rsid w:val="00A05900"/>
    <w:rsid w:val="00A05933"/>
    <w:rsid w:val="00A05C85"/>
    <w:rsid w:val="00A05CD4"/>
    <w:rsid w:val="00A05D24"/>
    <w:rsid w:val="00A05DC6"/>
    <w:rsid w:val="00A05DFA"/>
    <w:rsid w:val="00A05EFE"/>
    <w:rsid w:val="00A05F61"/>
    <w:rsid w:val="00A05F8A"/>
    <w:rsid w:val="00A0617F"/>
    <w:rsid w:val="00A062C1"/>
    <w:rsid w:val="00A06340"/>
    <w:rsid w:val="00A0636D"/>
    <w:rsid w:val="00A063E2"/>
    <w:rsid w:val="00A0640C"/>
    <w:rsid w:val="00A066A0"/>
    <w:rsid w:val="00A067FF"/>
    <w:rsid w:val="00A068FB"/>
    <w:rsid w:val="00A06973"/>
    <w:rsid w:val="00A06A20"/>
    <w:rsid w:val="00A06B72"/>
    <w:rsid w:val="00A06C8C"/>
    <w:rsid w:val="00A06E02"/>
    <w:rsid w:val="00A06E4E"/>
    <w:rsid w:val="00A06EE0"/>
    <w:rsid w:val="00A06F02"/>
    <w:rsid w:val="00A0713C"/>
    <w:rsid w:val="00A07526"/>
    <w:rsid w:val="00A075E1"/>
    <w:rsid w:val="00A0779F"/>
    <w:rsid w:val="00A0798A"/>
    <w:rsid w:val="00A07A1C"/>
    <w:rsid w:val="00A07AE1"/>
    <w:rsid w:val="00A07C8A"/>
    <w:rsid w:val="00A07E52"/>
    <w:rsid w:val="00A07F2A"/>
    <w:rsid w:val="00A07F38"/>
    <w:rsid w:val="00A100E6"/>
    <w:rsid w:val="00A10131"/>
    <w:rsid w:val="00A101E8"/>
    <w:rsid w:val="00A101F4"/>
    <w:rsid w:val="00A10218"/>
    <w:rsid w:val="00A10465"/>
    <w:rsid w:val="00A104E0"/>
    <w:rsid w:val="00A1057D"/>
    <w:rsid w:val="00A106EF"/>
    <w:rsid w:val="00A10812"/>
    <w:rsid w:val="00A1089A"/>
    <w:rsid w:val="00A108F5"/>
    <w:rsid w:val="00A1090A"/>
    <w:rsid w:val="00A10C7A"/>
    <w:rsid w:val="00A10D2D"/>
    <w:rsid w:val="00A10E3B"/>
    <w:rsid w:val="00A10E83"/>
    <w:rsid w:val="00A10EFE"/>
    <w:rsid w:val="00A10F58"/>
    <w:rsid w:val="00A1103C"/>
    <w:rsid w:val="00A110AD"/>
    <w:rsid w:val="00A110EA"/>
    <w:rsid w:val="00A11146"/>
    <w:rsid w:val="00A111B1"/>
    <w:rsid w:val="00A111C8"/>
    <w:rsid w:val="00A111D5"/>
    <w:rsid w:val="00A11285"/>
    <w:rsid w:val="00A113D7"/>
    <w:rsid w:val="00A11551"/>
    <w:rsid w:val="00A115BE"/>
    <w:rsid w:val="00A11736"/>
    <w:rsid w:val="00A11825"/>
    <w:rsid w:val="00A1185E"/>
    <w:rsid w:val="00A118D3"/>
    <w:rsid w:val="00A11B77"/>
    <w:rsid w:val="00A11CF3"/>
    <w:rsid w:val="00A11CF9"/>
    <w:rsid w:val="00A11D31"/>
    <w:rsid w:val="00A11F96"/>
    <w:rsid w:val="00A11FD6"/>
    <w:rsid w:val="00A12069"/>
    <w:rsid w:val="00A12158"/>
    <w:rsid w:val="00A12230"/>
    <w:rsid w:val="00A1235E"/>
    <w:rsid w:val="00A123B2"/>
    <w:rsid w:val="00A124C5"/>
    <w:rsid w:val="00A12571"/>
    <w:rsid w:val="00A12684"/>
    <w:rsid w:val="00A126E8"/>
    <w:rsid w:val="00A128BB"/>
    <w:rsid w:val="00A12A42"/>
    <w:rsid w:val="00A12A56"/>
    <w:rsid w:val="00A12C11"/>
    <w:rsid w:val="00A12DD2"/>
    <w:rsid w:val="00A12E36"/>
    <w:rsid w:val="00A12EBC"/>
    <w:rsid w:val="00A130C8"/>
    <w:rsid w:val="00A130E9"/>
    <w:rsid w:val="00A13162"/>
    <w:rsid w:val="00A1344E"/>
    <w:rsid w:val="00A134B7"/>
    <w:rsid w:val="00A134C7"/>
    <w:rsid w:val="00A13535"/>
    <w:rsid w:val="00A135FB"/>
    <w:rsid w:val="00A137D0"/>
    <w:rsid w:val="00A137D5"/>
    <w:rsid w:val="00A137E9"/>
    <w:rsid w:val="00A138E7"/>
    <w:rsid w:val="00A139D9"/>
    <w:rsid w:val="00A13AD2"/>
    <w:rsid w:val="00A13D3C"/>
    <w:rsid w:val="00A13DED"/>
    <w:rsid w:val="00A13F43"/>
    <w:rsid w:val="00A1401F"/>
    <w:rsid w:val="00A14172"/>
    <w:rsid w:val="00A142AE"/>
    <w:rsid w:val="00A142EA"/>
    <w:rsid w:val="00A14314"/>
    <w:rsid w:val="00A144C7"/>
    <w:rsid w:val="00A14504"/>
    <w:rsid w:val="00A14543"/>
    <w:rsid w:val="00A147DF"/>
    <w:rsid w:val="00A14881"/>
    <w:rsid w:val="00A14AF2"/>
    <w:rsid w:val="00A14B8A"/>
    <w:rsid w:val="00A14C1C"/>
    <w:rsid w:val="00A14C60"/>
    <w:rsid w:val="00A14C6F"/>
    <w:rsid w:val="00A14D21"/>
    <w:rsid w:val="00A14E14"/>
    <w:rsid w:val="00A14E4E"/>
    <w:rsid w:val="00A14F25"/>
    <w:rsid w:val="00A14F3F"/>
    <w:rsid w:val="00A14FB9"/>
    <w:rsid w:val="00A15005"/>
    <w:rsid w:val="00A1513E"/>
    <w:rsid w:val="00A151CA"/>
    <w:rsid w:val="00A1520F"/>
    <w:rsid w:val="00A1528D"/>
    <w:rsid w:val="00A15383"/>
    <w:rsid w:val="00A1540E"/>
    <w:rsid w:val="00A15495"/>
    <w:rsid w:val="00A155C5"/>
    <w:rsid w:val="00A157B1"/>
    <w:rsid w:val="00A158E4"/>
    <w:rsid w:val="00A15AE8"/>
    <w:rsid w:val="00A15BAC"/>
    <w:rsid w:val="00A15C8E"/>
    <w:rsid w:val="00A16104"/>
    <w:rsid w:val="00A161BE"/>
    <w:rsid w:val="00A162D4"/>
    <w:rsid w:val="00A166A2"/>
    <w:rsid w:val="00A167C9"/>
    <w:rsid w:val="00A16A41"/>
    <w:rsid w:val="00A16BA6"/>
    <w:rsid w:val="00A16BDC"/>
    <w:rsid w:val="00A17031"/>
    <w:rsid w:val="00A1707E"/>
    <w:rsid w:val="00A17087"/>
    <w:rsid w:val="00A17203"/>
    <w:rsid w:val="00A172C5"/>
    <w:rsid w:val="00A17345"/>
    <w:rsid w:val="00A17363"/>
    <w:rsid w:val="00A17413"/>
    <w:rsid w:val="00A1745B"/>
    <w:rsid w:val="00A1749E"/>
    <w:rsid w:val="00A174A0"/>
    <w:rsid w:val="00A174F8"/>
    <w:rsid w:val="00A175A4"/>
    <w:rsid w:val="00A175E8"/>
    <w:rsid w:val="00A1790A"/>
    <w:rsid w:val="00A17946"/>
    <w:rsid w:val="00A17A5F"/>
    <w:rsid w:val="00A17ABB"/>
    <w:rsid w:val="00A17B09"/>
    <w:rsid w:val="00A17B93"/>
    <w:rsid w:val="00A17BA1"/>
    <w:rsid w:val="00A17C5B"/>
    <w:rsid w:val="00A17C5C"/>
    <w:rsid w:val="00A17D58"/>
    <w:rsid w:val="00A20065"/>
    <w:rsid w:val="00A2009E"/>
    <w:rsid w:val="00A20148"/>
    <w:rsid w:val="00A201E1"/>
    <w:rsid w:val="00A20210"/>
    <w:rsid w:val="00A2021E"/>
    <w:rsid w:val="00A20224"/>
    <w:rsid w:val="00A202F5"/>
    <w:rsid w:val="00A20330"/>
    <w:rsid w:val="00A20548"/>
    <w:rsid w:val="00A20596"/>
    <w:rsid w:val="00A206AD"/>
    <w:rsid w:val="00A206C9"/>
    <w:rsid w:val="00A20713"/>
    <w:rsid w:val="00A208E9"/>
    <w:rsid w:val="00A2090E"/>
    <w:rsid w:val="00A2094D"/>
    <w:rsid w:val="00A209DD"/>
    <w:rsid w:val="00A209E3"/>
    <w:rsid w:val="00A209E5"/>
    <w:rsid w:val="00A20A8B"/>
    <w:rsid w:val="00A20AB2"/>
    <w:rsid w:val="00A20AD1"/>
    <w:rsid w:val="00A20D21"/>
    <w:rsid w:val="00A20EAC"/>
    <w:rsid w:val="00A20F8B"/>
    <w:rsid w:val="00A20FBB"/>
    <w:rsid w:val="00A21053"/>
    <w:rsid w:val="00A210F9"/>
    <w:rsid w:val="00A21147"/>
    <w:rsid w:val="00A21193"/>
    <w:rsid w:val="00A21206"/>
    <w:rsid w:val="00A21229"/>
    <w:rsid w:val="00A21257"/>
    <w:rsid w:val="00A2139B"/>
    <w:rsid w:val="00A2149C"/>
    <w:rsid w:val="00A215B2"/>
    <w:rsid w:val="00A21730"/>
    <w:rsid w:val="00A2177E"/>
    <w:rsid w:val="00A21785"/>
    <w:rsid w:val="00A2185F"/>
    <w:rsid w:val="00A2189A"/>
    <w:rsid w:val="00A218A4"/>
    <w:rsid w:val="00A21942"/>
    <w:rsid w:val="00A21979"/>
    <w:rsid w:val="00A219AF"/>
    <w:rsid w:val="00A21A85"/>
    <w:rsid w:val="00A21B01"/>
    <w:rsid w:val="00A21CB6"/>
    <w:rsid w:val="00A21D36"/>
    <w:rsid w:val="00A21EB8"/>
    <w:rsid w:val="00A21FC4"/>
    <w:rsid w:val="00A21FF1"/>
    <w:rsid w:val="00A221CE"/>
    <w:rsid w:val="00A2252F"/>
    <w:rsid w:val="00A226AA"/>
    <w:rsid w:val="00A226C4"/>
    <w:rsid w:val="00A22748"/>
    <w:rsid w:val="00A22787"/>
    <w:rsid w:val="00A227AF"/>
    <w:rsid w:val="00A228EE"/>
    <w:rsid w:val="00A2291A"/>
    <w:rsid w:val="00A22972"/>
    <w:rsid w:val="00A22A06"/>
    <w:rsid w:val="00A22AAC"/>
    <w:rsid w:val="00A22BB3"/>
    <w:rsid w:val="00A22DBE"/>
    <w:rsid w:val="00A22FFE"/>
    <w:rsid w:val="00A234E5"/>
    <w:rsid w:val="00A2356D"/>
    <w:rsid w:val="00A23570"/>
    <w:rsid w:val="00A236B0"/>
    <w:rsid w:val="00A2371B"/>
    <w:rsid w:val="00A238F6"/>
    <w:rsid w:val="00A2391C"/>
    <w:rsid w:val="00A2398F"/>
    <w:rsid w:val="00A23A07"/>
    <w:rsid w:val="00A23AFC"/>
    <w:rsid w:val="00A23B29"/>
    <w:rsid w:val="00A23D54"/>
    <w:rsid w:val="00A23DB4"/>
    <w:rsid w:val="00A23EC2"/>
    <w:rsid w:val="00A23F40"/>
    <w:rsid w:val="00A23F89"/>
    <w:rsid w:val="00A23FEB"/>
    <w:rsid w:val="00A24004"/>
    <w:rsid w:val="00A24031"/>
    <w:rsid w:val="00A240D1"/>
    <w:rsid w:val="00A240F2"/>
    <w:rsid w:val="00A242D8"/>
    <w:rsid w:val="00A24310"/>
    <w:rsid w:val="00A2440A"/>
    <w:rsid w:val="00A2441B"/>
    <w:rsid w:val="00A244AD"/>
    <w:rsid w:val="00A245FD"/>
    <w:rsid w:val="00A24619"/>
    <w:rsid w:val="00A24690"/>
    <w:rsid w:val="00A2469D"/>
    <w:rsid w:val="00A246B1"/>
    <w:rsid w:val="00A24724"/>
    <w:rsid w:val="00A247B2"/>
    <w:rsid w:val="00A247C5"/>
    <w:rsid w:val="00A248B0"/>
    <w:rsid w:val="00A24905"/>
    <w:rsid w:val="00A24A0B"/>
    <w:rsid w:val="00A24A7F"/>
    <w:rsid w:val="00A24AD8"/>
    <w:rsid w:val="00A24BF2"/>
    <w:rsid w:val="00A24CD3"/>
    <w:rsid w:val="00A24D98"/>
    <w:rsid w:val="00A24E68"/>
    <w:rsid w:val="00A24F4D"/>
    <w:rsid w:val="00A25087"/>
    <w:rsid w:val="00A250B1"/>
    <w:rsid w:val="00A250C6"/>
    <w:rsid w:val="00A25107"/>
    <w:rsid w:val="00A251AC"/>
    <w:rsid w:val="00A251CB"/>
    <w:rsid w:val="00A2526B"/>
    <w:rsid w:val="00A252E6"/>
    <w:rsid w:val="00A25381"/>
    <w:rsid w:val="00A253AA"/>
    <w:rsid w:val="00A253E5"/>
    <w:rsid w:val="00A2541A"/>
    <w:rsid w:val="00A25470"/>
    <w:rsid w:val="00A2552E"/>
    <w:rsid w:val="00A25582"/>
    <w:rsid w:val="00A2560F"/>
    <w:rsid w:val="00A256A1"/>
    <w:rsid w:val="00A257B2"/>
    <w:rsid w:val="00A258BB"/>
    <w:rsid w:val="00A259AB"/>
    <w:rsid w:val="00A25A5E"/>
    <w:rsid w:val="00A25A71"/>
    <w:rsid w:val="00A25AD7"/>
    <w:rsid w:val="00A25B13"/>
    <w:rsid w:val="00A25DAF"/>
    <w:rsid w:val="00A25E59"/>
    <w:rsid w:val="00A25E5B"/>
    <w:rsid w:val="00A25EE8"/>
    <w:rsid w:val="00A2601F"/>
    <w:rsid w:val="00A2603A"/>
    <w:rsid w:val="00A2621A"/>
    <w:rsid w:val="00A26329"/>
    <w:rsid w:val="00A263B6"/>
    <w:rsid w:val="00A263F8"/>
    <w:rsid w:val="00A26469"/>
    <w:rsid w:val="00A26472"/>
    <w:rsid w:val="00A2699F"/>
    <w:rsid w:val="00A26B48"/>
    <w:rsid w:val="00A26C22"/>
    <w:rsid w:val="00A26CC0"/>
    <w:rsid w:val="00A27127"/>
    <w:rsid w:val="00A271F7"/>
    <w:rsid w:val="00A2725A"/>
    <w:rsid w:val="00A2732E"/>
    <w:rsid w:val="00A2733F"/>
    <w:rsid w:val="00A273B1"/>
    <w:rsid w:val="00A27435"/>
    <w:rsid w:val="00A27449"/>
    <w:rsid w:val="00A27511"/>
    <w:rsid w:val="00A2755B"/>
    <w:rsid w:val="00A27711"/>
    <w:rsid w:val="00A277AD"/>
    <w:rsid w:val="00A27976"/>
    <w:rsid w:val="00A279BB"/>
    <w:rsid w:val="00A279E6"/>
    <w:rsid w:val="00A27A88"/>
    <w:rsid w:val="00A27AEC"/>
    <w:rsid w:val="00A27BBD"/>
    <w:rsid w:val="00A27BDA"/>
    <w:rsid w:val="00A27C8D"/>
    <w:rsid w:val="00A27DEA"/>
    <w:rsid w:val="00A27E3A"/>
    <w:rsid w:val="00A3021E"/>
    <w:rsid w:val="00A3023E"/>
    <w:rsid w:val="00A3029E"/>
    <w:rsid w:val="00A302E6"/>
    <w:rsid w:val="00A302F9"/>
    <w:rsid w:val="00A303E9"/>
    <w:rsid w:val="00A304B3"/>
    <w:rsid w:val="00A304E8"/>
    <w:rsid w:val="00A304ED"/>
    <w:rsid w:val="00A30502"/>
    <w:rsid w:val="00A3054B"/>
    <w:rsid w:val="00A30661"/>
    <w:rsid w:val="00A30663"/>
    <w:rsid w:val="00A30694"/>
    <w:rsid w:val="00A30778"/>
    <w:rsid w:val="00A307C2"/>
    <w:rsid w:val="00A30950"/>
    <w:rsid w:val="00A30A53"/>
    <w:rsid w:val="00A30B8A"/>
    <w:rsid w:val="00A30C68"/>
    <w:rsid w:val="00A30CFF"/>
    <w:rsid w:val="00A30D20"/>
    <w:rsid w:val="00A30D50"/>
    <w:rsid w:val="00A30D8B"/>
    <w:rsid w:val="00A30E93"/>
    <w:rsid w:val="00A30F34"/>
    <w:rsid w:val="00A30F5A"/>
    <w:rsid w:val="00A31067"/>
    <w:rsid w:val="00A311DE"/>
    <w:rsid w:val="00A31239"/>
    <w:rsid w:val="00A31354"/>
    <w:rsid w:val="00A31364"/>
    <w:rsid w:val="00A313A0"/>
    <w:rsid w:val="00A3149A"/>
    <w:rsid w:val="00A314C7"/>
    <w:rsid w:val="00A31567"/>
    <w:rsid w:val="00A315EF"/>
    <w:rsid w:val="00A31612"/>
    <w:rsid w:val="00A3164F"/>
    <w:rsid w:val="00A31679"/>
    <w:rsid w:val="00A316C2"/>
    <w:rsid w:val="00A316F6"/>
    <w:rsid w:val="00A318DC"/>
    <w:rsid w:val="00A318EA"/>
    <w:rsid w:val="00A3192A"/>
    <w:rsid w:val="00A31957"/>
    <w:rsid w:val="00A31974"/>
    <w:rsid w:val="00A31999"/>
    <w:rsid w:val="00A31B66"/>
    <w:rsid w:val="00A31BCD"/>
    <w:rsid w:val="00A31BD1"/>
    <w:rsid w:val="00A31C79"/>
    <w:rsid w:val="00A31DCA"/>
    <w:rsid w:val="00A31F0B"/>
    <w:rsid w:val="00A31FA5"/>
    <w:rsid w:val="00A31FBB"/>
    <w:rsid w:val="00A3224A"/>
    <w:rsid w:val="00A32343"/>
    <w:rsid w:val="00A326DD"/>
    <w:rsid w:val="00A32774"/>
    <w:rsid w:val="00A327EE"/>
    <w:rsid w:val="00A328B7"/>
    <w:rsid w:val="00A328C1"/>
    <w:rsid w:val="00A329A4"/>
    <w:rsid w:val="00A329B3"/>
    <w:rsid w:val="00A32A37"/>
    <w:rsid w:val="00A32A6E"/>
    <w:rsid w:val="00A32B35"/>
    <w:rsid w:val="00A32BAB"/>
    <w:rsid w:val="00A32CB2"/>
    <w:rsid w:val="00A32E1B"/>
    <w:rsid w:val="00A32F6F"/>
    <w:rsid w:val="00A32FFF"/>
    <w:rsid w:val="00A332C2"/>
    <w:rsid w:val="00A332F5"/>
    <w:rsid w:val="00A333B6"/>
    <w:rsid w:val="00A33438"/>
    <w:rsid w:val="00A33440"/>
    <w:rsid w:val="00A33474"/>
    <w:rsid w:val="00A334D4"/>
    <w:rsid w:val="00A335A2"/>
    <w:rsid w:val="00A335E2"/>
    <w:rsid w:val="00A336B7"/>
    <w:rsid w:val="00A3372B"/>
    <w:rsid w:val="00A337CD"/>
    <w:rsid w:val="00A3391D"/>
    <w:rsid w:val="00A33AFE"/>
    <w:rsid w:val="00A33B47"/>
    <w:rsid w:val="00A33C63"/>
    <w:rsid w:val="00A33C9B"/>
    <w:rsid w:val="00A33DF9"/>
    <w:rsid w:val="00A33E29"/>
    <w:rsid w:val="00A33E5C"/>
    <w:rsid w:val="00A33F6F"/>
    <w:rsid w:val="00A33F92"/>
    <w:rsid w:val="00A33F96"/>
    <w:rsid w:val="00A33FF9"/>
    <w:rsid w:val="00A34013"/>
    <w:rsid w:val="00A34048"/>
    <w:rsid w:val="00A340A6"/>
    <w:rsid w:val="00A3414D"/>
    <w:rsid w:val="00A34173"/>
    <w:rsid w:val="00A34194"/>
    <w:rsid w:val="00A34431"/>
    <w:rsid w:val="00A346D6"/>
    <w:rsid w:val="00A346E2"/>
    <w:rsid w:val="00A349AF"/>
    <w:rsid w:val="00A34ADC"/>
    <w:rsid w:val="00A34FCB"/>
    <w:rsid w:val="00A35188"/>
    <w:rsid w:val="00A351A4"/>
    <w:rsid w:val="00A351A8"/>
    <w:rsid w:val="00A35232"/>
    <w:rsid w:val="00A352ED"/>
    <w:rsid w:val="00A355DB"/>
    <w:rsid w:val="00A356FA"/>
    <w:rsid w:val="00A3576D"/>
    <w:rsid w:val="00A357AE"/>
    <w:rsid w:val="00A3583D"/>
    <w:rsid w:val="00A359BE"/>
    <w:rsid w:val="00A35A11"/>
    <w:rsid w:val="00A35A2B"/>
    <w:rsid w:val="00A35A5C"/>
    <w:rsid w:val="00A35A7C"/>
    <w:rsid w:val="00A35B32"/>
    <w:rsid w:val="00A361B7"/>
    <w:rsid w:val="00A361B8"/>
    <w:rsid w:val="00A36226"/>
    <w:rsid w:val="00A36250"/>
    <w:rsid w:val="00A3635B"/>
    <w:rsid w:val="00A364BA"/>
    <w:rsid w:val="00A36596"/>
    <w:rsid w:val="00A36730"/>
    <w:rsid w:val="00A367EA"/>
    <w:rsid w:val="00A3689C"/>
    <w:rsid w:val="00A369D7"/>
    <w:rsid w:val="00A36AE4"/>
    <w:rsid w:val="00A36C8E"/>
    <w:rsid w:val="00A36DA1"/>
    <w:rsid w:val="00A36DC7"/>
    <w:rsid w:val="00A36E40"/>
    <w:rsid w:val="00A36E58"/>
    <w:rsid w:val="00A36F55"/>
    <w:rsid w:val="00A36FC3"/>
    <w:rsid w:val="00A370CA"/>
    <w:rsid w:val="00A371D6"/>
    <w:rsid w:val="00A371E5"/>
    <w:rsid w:val="00A37222"/>
    <w:rsid w:val="00A37391"/>
    <w:rsid w:val="00A373A1"/>
    <w:rsid w:val="00A37539"/>
    <w:rsid w:val="00A37599"/>
    <w:rsid w:val="00A37685"/>
    <w:rsid w:val="00A376D2"/>
    <w:rsid w:val="00A3783D"/>
    <w:rsid w:val="00A37972"/>
    <w:rsid w:val="00A37B1B"/>
    <w:rsid w:val="00A37B91"/>
    <w:rsid w:val="00A37C01"/>
    <w:rsid w:val="00A37C19"/>
    <w:rsid w:val="00A37CEE"/>
    <w:rsid w:val="00A37D42"/>
    <w:rsid w:val="00A37D7A"/>
    <w:rsid w:val="00A37DD8"/>
    <w:rsid w:val="00A37E95"/>
    <w:rsid w:val="00A37EC6"/>
    <w:rsid w:val="00A37EFD"/>
    <w:rsid w:val="00A37F88"/>
    <w:rsid w:val="00A37FA9"/>
    <w:rsid w:val="00A383FA"/>
    <w:rsid w:val="00A4002A"/>
    <w:rsid w:val="00A4008A"/>
    <w:rsid w:val="00A4014D"/>
    <w:rsid w:val="00A401F3"/>
    <w:rsid w:val="00A40336"/>
    <w:rsid w:val="00A40381"/>
    <w:rsid w:val="00A403D8"/>
    <w:rsid w:val="00A40491"/>
    <w:rsid w:val="00A405B5"/>
    <w:rsid w:val="00A40607"/>
    <w:rsid w:val="00A406D3"/>
    <w:rsid w:val="00A407E6"/>
    <w:rsid w:val="00A408C3"/>
    <w:rsid w:val="00A4095E"/>
    <w:rsid w:val="00A40A2A"/>
    <w:rsid w:val="00A40A64"/>
    <w:rsid w:val="00A40A81"/>
    <w:rsid w:val="00A40B2C"/>
    <w:rsid w:val="00A40B6C"/>
    <w:rsid w:val="00A40C87"/>
    <w:rsid w:val="00A40EEC"/>
    <w:rsid w:val="00A40F3F"/>
    <w:rsid w:val="00A40FB1"/>
    <w:rsid w:val="00A41127"/>
    <w:rsid w:val="00A412A4"/>
    <w:rsid w:val="00A412C0"/>
    <w:rsid w:val="00A412D3"/>
    <w:rsid w:val="00A4138E"/>
    <w:rsid w:val="00A41492"/>
    <w:rsid w:val="00A414F7"/>
    <w:rsid w:val="00A41534"/>
    <w:rsid w:val="00A41551"/>
    <w:rsid w:val="00A4162E"/>
    <w:rsid w:val="00A41735"/>
    <w:rsid w:val="00A41746"/>
    <w:rsid w:val="00A41813"/>
    <w:rsid w:val="00A418C3"/>
    <w:rsid w:val="00A418D5"/>
    <w:rsid w:val="00A418FB"/>
    <w:rsid w:val="00A41946"/>
    <w:rsid w:val="00A41AF5"/>
    <w:rsid w:val="00A41AFC"/>
    <w:rsid w:val="00A41C06"/>
    <w:rsid w:val="00A41C54"/>
    <w:rsid w:val="00A41CAD"/>
    <w:rsid w:val="00A41D17"/>
    <w:rsid w:val="00A41DBE"/>
    <w:rsid w:val="00A41E55"/>
    <w:rsid w:val="00A41F2D"/>
    <w:rsid w:val="00A41F7F"/>
    <w:rsid w:val="00A4207E"/>
    <w:rsid w:val="00A42125"/>
    <w:rsid w:val="00A42166"/>
    <w:rsid w:val="00A42175"/>
    <w:rsid w:val="00A4232B"/>
    <w:rsid w:val="00A423E0"/>
    <w:rsid w:val="00A423EA"/>
    <w:rsid w:val="00A42526"/>
    <w:rsid w:val="00A42655"/>
    <w:rsid w:val="00A42704"/>
    <w:rsid w:val="00A427C3"/>
    <w:rsid w:val="00A4286C"/>
    <w:rsid w:val="00A428F6"/>
    <w:rsid w:val="00A4294E"/>
    <w:rsid w:val="00A429D5"/>
    <w:rsid w:val="00A42A2D"/>
    <w:rsid w:val="00A42A3D"/>
    <w:rsid w:val="00A42B0F"/>
    <w:rsid w:val="00A42B40"/>
    <w:rsid w:val="00A42C92"/>
    <w:rsid w:val="00A43106"/>
    <w:rsid w:val="00A4322D"/>
    <w:rsid w:val="00A4324F"/>
    <w:rsid w:val="00A4346B"/>
    <w:rsid w:val="00A43477"/>
    <w:rsid w:val="00A4347B"/>
    <w:rsid w:val="00A4369D"/>
    <w:rsid w:val="00A437F7"/>
    <w:rsid w:val="00A4388E"/>
    <w:rsid w:val="00A43893"/>
    <w:rsid w:val="00A438A5"/>
    <w:rsid w:val="00A43919"/>
    <w:rsid w:val="00A439C1"/>
    <w:rsid w:val="00A43A0B"/>
    <w:rsid w:val="00A43AE4"/>
    <w:rsid w:val="00A43B83"/>
    <w:rsid w:val="00A43BA7"/>
    <w:rsid w:val="00A43D25"/>
    <w:rsid w:val="00A43EFC"/>
    <w:rsid w:val="00A43F5D"/>
    <w:rsid w:val="00A43FC0"/>
    <w:rsid w:val="00A441A0"/>
    <w:rsid w:val="00A4439E"/>
    <w:rsid w:val="00A44564"/>
    <w:rsid w:val="00A44733"/>
    <w:rsid w:val="00A44813"/>
    <w:rsid w:val="00A448D7"/>
    <w:rsid w:val="00A44923"/>
    <w:rsid w:val="00A449F9"/>
    <w:rsid w:val="00A44BB0"/>
    <w:rsid w:val="00A44BE9"/>
    <w:rsid w:val="00A44C7B"/>
    <w:rsid w:val="00A44CCC"/>
    <w:rsid w:val="00A44D8D"/>
    <w:rsid w:val="00A44DA2"/>
    <w:rsid w:val="00A44EA4"/>
    <w:rsid w:val="00A44F74"/>
    <w:rsid w:val="00A44FAD"/>
    <w:rsid w:val="00A44FCE"/>
    <w:rsid w:val="00A451C0"/>
    <w:rsid w:val="00A4520D"/>
    <w:rsid w:val="00A45379"/>
    <w:rsid w:val="00A45628"/>
    <w:rsid w:val="00A456E7"/>
    <w:rsid w:val="00A4570F"/>
    <w:rsid w:val="00A457A2"/>
    <w:rsid w:val="00A45816"/>
    <w:rsid w:val="00A45847"/>
    <w:rsid w:val="00A45A39"/>
    <w:rsid w:val="00A45A43"/>
    <w:rsid w:val="00A45A6B"/>
    <w:rsid w:val="00A45A6D"/>
    <w:rsid w:val="00A45B33"/>
    <w:rsid w:val="00A45B41"/>
    <w:rsid w:val="00A45C62"/>
    <w:rsid w:val="00A45D31"/>
    <w:rsid w:val="00A45E99"/>
    <w:rsid w:val="00A45FC9"/>
    <w:rsid w:val="00A460A3"/>
    <w:rsid w:val="00A461F2"/>
    <w:rsid w:val="00A46251"/>
    <w:rsid w:val="00A46256"/>
    <w:rsid w:val="00A46352"/>
    <w:rsid w:val="00A46438"/>
    <w:rsid w:val="00A46584"/>
    <w:rsid w:val="00A4662E"/>
    <w:rsid w:val="00A467C1"/>
    <w:rsid w:val="00A46A44"/>
    <w:rsid w:val="00A46A4D"/>
    <w:rsid w:val="00A46AB1"/>
    <w:rsid w:val="00A46B16"/>
    <w:rsid w:val="00A46B85"/>
    <w:rsid w:val="00A46BF0"/>
    <w:rsid w:val="00A46C02"/>
    <w:rsid w:val="00A46C3B"/>
    <w:rsid w:val="00A46C52"/>
    <w:rsid w:val="00A46C63"/>
    <w:rsid w:val="00A46C79"/>
    <w:rsid w:val="00A46D32"/>
    <w:rsid w:val="00A46D64"/>
    <w:rsid w:val="00A46DB4"/>
    <w:rsid w:val="00A46E17"/>
    <w:rsid w:val="00A46E88"/>
    <w:rsid w:val="00A46EB8"/>
    <w:rsid w:val="00A46F3E"/>
    <w:rsid w:val="00A46FCD"/>
    <w:rsid w:val="00A470BA"/>
    <w:rsid w:val="00A470E5"/>
    <w:rsid w:val="00A4716A"/>
    <w:rsid w:val="00A471A6"/>
    <w:rsid w:val="00A47216"/>
    <w:rsid w:val="00A472BE"/>
    <w:rsid w:val="00A472E7"/>
    <w:rsid w:val="00A47540"/>
    <w:rsid w:val="00A477FC"/>
    <w:rsid w:val="00A47888"/>
    <w:rsid w:val="00A47895"/>
    <w:rsid w:val="00A479A9"/>
    <w:rsid w:val="00A479D1"/>
    <w:rsid w:val="00A47B70"/>
    <w:rsid w:val="00A47BE1"/>
    <w:rsid w:val="00A47C67"/>
    <w:rsid w:val="00A47CE6"/>
    <w:rsid w:val="00A47D1F"/>
    <w:rsid w:val="00A47D8D"/>
    <w:rsid w:val="00A47D99"/>
    <w:rsid w:val="00A47DC2"/>
    <w:rsid w:val="00A47E43"/>
    <w:rsid w:val="00A47EC2"/>
    <w:rsid w:val="00A47F51"/>
    <w:rsid w:val="00A4AF0E"/>
    <w:rsid w:val="00A50157"/>
    <w:rsid w:val="00A502B9"/>
    <w:rsid w:val="00A503DB"/>
    <w:rsid w:val="00A503F4"/>
    <w:rsid w:val="00A50421"/>
    <w:rsid w:val="00A50461"/>
    <w:rsid w:val="00A50467"/>
    <w:rsid w:val="00A504CC"/>
    <w:rsid w:val="00A50535"/>
    <w:rsid w:val="00A50714"/>
    <w:rsid w:val="00A507B0"/>
    <w:rsid w:val="00A509F8"/>
    <w:rsid w:val="00A50AB8"/>
    <w:rsid w:val="00A50BB2"/>
    <w:rsid w:val="00A50BC5"/>
    <w:rsid w:val="00A50BEF"/>
    <w:rsid w:val="00A50D0A"/>
    <w:rsid w:val="00A50DBC"/>
    <w:rsid w:val="00A50DD8"/>
    <w:rsid w:val="00A50DF1"/>
    <w:rsid w:val="00A50DF4"/>
    <w:rsid w:val="00A50E66"/>
    <w:rsid w:val="00A50E8D"/>
    <w:rsid w:val="00A50EBE"/>
    <w:rsid w:val="00A50FC9"/>
    <w:rsid w:val="00A50FFE"/>
    <w:rsid w:val="00A51055"/>
    <w:rsid w:val="00A51075"/>
    <w:rsid w:val="00A510ED"/>
    <w:rsid w:val="00A511B1"/>
    <w:rsid w:val="00A5120F"/>
    <w:rsid w:val="00A5125A"/>
    <w:rsid w:val="00A512A9"/>
    <w:rsid w:val="00A5134E"/>
    <w:rsid w:val="00A51433"/>
    <w:rsid w:val="00A51469"/>
    <w:rsid w:val="00A51490"/>
    <w:rsid w:val="00A514DF"/>
    <w:rsid w:val="00A51592"/>
    <w:rsid w:val="00A515F3"/>
    <w:rsid w:val="00A516A1"/>
    <w:rsid w:val="00A516C0"/>
    <w:rsid w:val="00A5173C"/>
    <w:rsid w:val="00A5175C"/>
    <w:rsid w:val="00A517FF"/>
    <w:rsid w:val="00A5180E"/>
    <w:rsid w:val="00A518DE"/>
    <w:rsid w:val="00A518F7"/>
    <w:rsid w:val="00A51944"/>
    <w:rsid w:val="00A5196B"/>
    <w:rsid w:val="00A51A14"/>
    <w:rsid w:val="00A51A3E"/>
    <w:rsid w:val="00A51AAE"/>
    <w:rsid w:val="00A51BE9"/>
    <w:rsid w:val="00A51CBB"/>
    <w:rsid w:val="00A51D97"/>
    <w:rsid w:val="00A51E3F"/>
    <w:rsid w:val="00A51E7F"/>
    <w:rsid w:val="00A51F8E"/>
    <w:rsid w:val="00A522DD"/>
    <w:rsid w:val="00A52305"/>
    <w:rsid w:val="00A52363"/>
    <w:rsid w:val="00A52405"/>
    <w:rsid w:val="00A5263F"/>
    <w:rsid w:val="00A526E9"/>
    <w:rsid w:val="00A52936"/>
    <w:rsid w:val="00A52AFC"/>
    <w:rsid w:val="00A52B90"/>
    <w:rsid w:val="00A52BBF"/>
    <w:rsid w:val="00A52BDF"/>
    <w:rsid w:val="00A52BE4"/>
    <w:rsid w:val="00A52C67"/>
    <w:rsid w:val="00A52C76"/>
    <w:rsid w:val="00A52C9A"/>
    <w:rsid w:val="00A52D75"/>
    <w:rsid w:val="00A52E74"/>
    <w:rsid w:val="00A52E98"/>
    <w:rsid w:val="00A52F5A"/>
    <w:rsid w:val="00A52FE9"/>
    <w:rsid w:val="00A5303F"/>
    <w:rsid w:val="00A53215"/>
    <w:rsid w:val="00A5321C"/>
    <w:rsid w:val="00A532C5"/>
    <w:rsid w:val="00A532C7"/>
    <w:rsid w:val="00A532E0"/>
    <w:rsid w:val="00A5357F"/>
    <w:rsid w:val="00A53595"/>
    <w:rsid w:val="00A53664"/>
    <w:rsid w:val="00A536A0"/>
    <w:rsid w:val="00A53855"/>
    <w:rsid w:val="00A538FB"/>
    <w:rsid w:val="00A539FD"/>
    <w:rsid w:val="00A53AB4"/>
    <w:rsid w:val="00A53AEE"/>
    <w:rsid w:val="00A53B36"/>
    <w:rsid w:val="00A53B4D"/>
    <w:rsid w:val="00A53BA2"/>
    <w:rsid w:val="00A53D66"/>
    <w:rsid w:val="00A53D8B"/>
    <w:rsid w:val="00A53F7C"/>
    <w:rsid w:val="00A54031"/>
    <w:rsid w:val="00A54055"/>
    <w:rsid w:val="00A541E5"/>
    <w:rsid w:val="00A541F8"/>
    <w:rsid w:val="00A542F1"/>
    <w:rsid w:val="00A54365"/>
    <w:rsid w:val="00A5445C"/>
    <w:rsid w:val="00A544DE"/>
    <w:rsid w:val="00A544E6"/>
    <w:rsid w:val="00A545C7"/>
    <w:rsid w:val="00A549BF"/>
    <w:rsid w:val="00A54A2F"/>
    <w:rsid w:val="00A54AEF"/>
    <w:rsid w:val="00A54B3C"/>
    <w:rsid w:val="00A54B66"/>
    <w:rsid w:val="00A54C74"/>
    <w:rsid w:val="00A54C90"/>
    <w:rsid w:val="00A54D0B"/>
    <w:rsid w:val="00A54D63"/>
    <w:rsid w:val="00A54DC5"/>
    <w:rsid w:val="00A55090"/>
    <w:rsid w:val="00A5509A"/>
    <w:rsid w:val="00A550B6"/>
    <w:rsid w:val="00A5512A"/>
    <w:rsid w:val="00A554F6"/>
    <w:rsid w:val="00A5558A"/>
    <w:rsid w:val="00A5559D"/>
    <w:rsid w:val="00A555EF"/>
    <w:rsid w:val="00A55620"/>
    <w:rsid w:val="00A55639"/>
    <w:rsid w:val="00A55683"/>
    <w:rsid w:val="00A557BC"/>
    <w:rsid w:val="00A55846"/>
    <w:rsid w:val="00A55897"/>
    <w:rsid w:val="00A558BF"/>
    <w:rsid w:val="00A558C9"/>
    <w:rsid w:val="00A5590A"/>
    <w:rsid w:val="00A55978"/>
    <w:rsid w:val="00A55DE9"/>
    <w:rsid w:val="00A55F51"/>
    <w:rsid w:val="00A56039"/>
    <w:rsid w:val="00A560A7"/>
    <w:rsid w:val="00A560B8"/>
    <w:rsid w:val="00A561C7"/>
    <w:rsid w:val="00A562B9"/>
    <w:rsid w:val="00A563E9"/>
    <w:rsid w:val="00A566CB"/>
    <w:rsid w:val="00A566E3"/>
    <w:rsid w:val="00A567C7"/>
    <w:rsid w:val="00A56858"/>
    <w:rsid w:val="00A56A0B"/>
    <w:rsid w:val="00A56ACD"/>
    <w:rsid w:val="00A56B2C"/>
    <w:rsid w:val="00A56D1C"/>
    <w:rsid w:val="00A56D3F"/>
    <w:rsid w:val="00A56D59"/>
    <w:rsid w:val="00A56D5E"/>
    <w:rsid w:val="00A56EB6"/>
    <w:rsid w:val="00A56EE0"/>
    <w:rsid w:val="00A5704B"/>
    <w:rsid w:val="00A57089"/>
    <w:rsid w:val="00A570C0"/>
    <w:rsid w:val="00A5721D"/>
    <w:rsid w:val="00A57265"/>
    <w:rsid w:val="00A572A8"/>
    <w:rsid w:val="00A5739C"/>
    <w:rsid w:val="00A5745F"/>
    <w:rsid w:val="00A574A6"/>
    <w:rsid w:val="00A57519"/>
    <w:rsid w:val="00A575C4"/>
    <w:rsid w:val="00A5763E"/>
    <w:rsid w:val="00A57656"/>
    <w:rsid w:val="00A576BF"/>
    <w:rsid w:val="00A578DD"/>
    <w:rsid w:val="00A57A37"/>
    <w:rsid w:val="00A57A3D"/>
    <w:rsid w:val="00A57B02"/>
    <w:rsid w:val="00A57BAA"/>
    <w:rsid w:val="00A57BE4"/>
    <w:rsid w:val="00A57CD9"/>
    <w:rsid w:val="00A57F6C"/>
    <w:rsid w:val="00A57FA2"/>
    <w:rsid w:val="00A60034"/>
    <w:rsid w:val="00A60041"/>
    <w:rsid w:val="00A600E8"/>
    <w:rsid w:val="00A601FC"/>
    <w:rsid w:val="00A603A0"/>
    <w:rsid w:val="00A6040C"/>
    <w:rsid w:val="00A6056C"/>
    <w:rsid w:val="00A6068B"/>
    <w:rsid w:val="00A606B2"/>
    <w:rsid w:val="00A608EB"/>
    <w:rsid w:val="00A60900"/>
    <w:rsid w:val="00A6095A"/>
    <w:rsid w:val="00A609FD"/>
    <w:rsid w:val="00A60A79"/>
    <w:rsid w:val="00A60C06"/>
    <w:rsid w:val="00A60D1C"/>
    <w:rsid w:val="00A60DDE"/>
    <w:rsid w:val="00A60F5F"/>
    <w:rsid w:val="00A61016"/>
    <w:rsid w:val="00A6101F"/>
    <w:rsid w:val="00A61045"/>
    <w:rsid w:val="00A610FE"/>
    <w:rsid w:val="00A6110C"/>
    <w:rsid w:val="00A6112B"/>
    <w:rsid w:val="00A6124A"/>
    <w:rsid w:val="00A6156E"/>
    <w:rsid w:val="00A615E6"/>
    <w:rsid w:val="00A6173A"/>
    <w:rsid w:val="00A617AB"/>
    <w:rsid w:val="00A61845"/>
    <w:rsid w:val="00A61946"/>
    <w:rsid w:val="00A61B22"/>
    <w:rsid w:val="00A61B42"/>
    <w:rsid w:val="00A61B4B"/>
    <w:rsid w:val="00A61C47"/>
    <w:rsid w:val="00A61D23"/>
    <w:rsid w:val="00A61DC7"/>
    <w:rsid w:val="00A61E22"/>
    <w:rsid w:val="00A61ECE"/>
    <w:rsid w:val="00A61F29"/>
    <w:rsid w:val="00A62003"/>
    <w:rsid w:val="00A6231E"/>
    <w:rsid w:val="00A62656"/>
    <w:rsid w:val="00A62738"/>
    <w:rsid w:val="00A62834"/>
    <w:rsid w:val="00A62986"/>
    <w:rsid w:val="00A62ABD"/>
    <w:rsid w:val="00A62AC9"/>
    <w:rsid w:val="00A62BBC"/>
    <w:rsid w:val="00A62DD6"/>
    <w:rsid w:val="00A62E2A"/>
    <w:rsid w:val="00A62F12"/>
    <w:rsid w:val="00A62F5D"/>
    <w:rsid w:val="00A63128"/>
    <w:rsid w:val="00A6316A"/>
    <w:rsid w:val="00A63385"/>
    <w:rsid w:val="00A63401"/>
    <w:rsid w:val="00A63405"/>
    <w:rsid w:val="00A634F0"/>
    <w:rsid w:val="00A635F7"/>
    <w:rsid w:val="00A6364C"/>
    <w:rsid w:val="00A636FE"/>
    <w:rsid w:val="00A63754"/>
    <w:rsid w:val="00A637E2"/>
    <w:rsid w:val="00A63878"/>
    <w:rsid w:val="00A63891"/>
    <w:rsid w:val="00A63991"/>
    <w:rsid w:val="00A63BF0"/>
    <w:rsid w:val="00A63C4F"/>
    <w:rsid w:val="00A63C74"/>
    <w:rsid w:val="00A63C88"/>
    <w:rsid w:val="00A63C96"/>
    <w:rsid w:val="00A63D90"/>
    <w:rsid w:val="00A63DD6"/>
    <w:rsid w:val="00A63E1F"/>
    <w:rsid w:val="00A63E2B"/>
    <w:rsid w:val="00A63E3E"/>
    <w:rsid w:val="00A63EF3"/>
    <w:rsid w:val="00A63FED"/>
    <w:rsid w:val="00A64052"/>
    <w:rsid w:val="00A6411C"/>
    <w:rsid w:val="00A6414F"/>
    <w:rsid w:val="00A64274"/>
    <w:rsid w:val="00A6465C"/>
    <w:rsid w:val="00A6465F"/>
    <w:rsid w:val="00A64771"/>
    <w:rsid w:val="00A647D8"/>
    <w:rsid w:val="00A6486A"/>
    <w:rsid w:val="00A648DC"/>
    <w:rsid w:val="00A64912"/>
    <w:rsid w:val="00A649E6"/>
    <w:rsid w:val="00A64B1B"/>
    <w:rsid w:val="00A64F92"/>
    <w:rsid w:val="00A6502A"/>
    <w:rsid w:val="00A6506F"/>
    <w:rsid w:val="00A650BC"/>
    <w:rsid w:val="00A6511B"/>
    <w:rsid w:val="00A652C0"/>
    <w:rsid w:val="00A652CF"/>
    <w:rsid w:val="00A6533B"/>
    <w:rsid w:val="00A655C3"/>
    <w:rsid w:val="00A655EF"/>
    <w:rsid w:val="00A6562F"/>
    <w:rsid w:val="00A65736"/>
    <w:rsid w:val="00A657DD"/>
    <w:rsid w:val="00A65840"/>
    <w:rsid w:val="00A6594A"/>
    <w:rsid w:val="00A659B1"/>
    <w:rsid w:val="00A659C0"/>
    <w:rsid w:val="00A65B61"/>
    <w:rsid w:val="00A65B97"/>
    <w:rsid w:val="00A65DAD"/>
    <w:rsid w:val="00A65DB1"/>
    <w:rsid w:val="00A65F00"/>
    <w:rsid w:val="00A65F13"/>
    <w:rsid w:val="00A65F91"/>
    <w:rsid w:val="00A66111"/>
    <w:rsid w:val="00A66146"/>
    <w:rsid w:val="00A66210"/>
    <w:rsid w:val="00A66222"/>
    <w:rsid w:val="00A6628E"/>
    <w:rsid w:val="00A662C7"/>
    <w:rsid w:val="00A663B3"/>
    <w:rsid w:val="00A6662C"/>
    <w:rsid w:val="00A6669F"/>
    <w:rsid w:val="00A66929"/>
    <w:rsid w:val="00A66A0B"/>
    <w:rsid w:val="00A66A88"/>
    <w:rsid w:val="00A66C33"/>
    <w:rsid w:val="00A66C5D"/>
    <w:rsid w:val="00A66DE0"/>
    <w:rsid w:val="00A66DFF"/>
    <w:rsid w:val="00A66F61"/>
    <w:rsid w:val="00A66FC8"/>
    <w:rsid w:val="00A671CE"/>
    <w:rsid w:val="00A67254"/>
    <w:rsid w:val="00A67362"/>
    <w:rsid w:val="00A6740A"/>
    <w:rsid w:val="00A67425"/>
    <w:rsid w:val="00A67475"/>
    <w:rsid w:val="00A675F1"/>
    <w:rsid w:val="00A6767B"/>
    <w:rsid w:val="00A6779D"/>
    <w:rsid w:val="00A6788D"/>
    <w:rsid w:val="00A67AEF"/>
    <w:rsid w:val="00A67B2B"/>
    <w:rsid w:val="00A67BE7"/>
    <w:rsid w:val="00A67C7A"/>
    <w:rsid w:val="00A67CF7"/>
    <w:rsid w:val="00A67D31"/>
    <w:rsid w:val="00A67D43"/>
    <w:rsid w:val="00A67DF4"/>
    <w:rsid w:val="00A67FC0"/>
    <w:rsid w:val="00A70007"/>
    <w:rsid w:val="00A700BC"/>
    <w:rsid w:val="00A70181"/>
    <w:rsid w:val="00A702E4"/>
    <w:rsid w:val="00A702FF"/>
    <w:rsid w:val="00A70326"/>
    <w:rsid w:val="00A7052C"/>
    <w:rsid w:val="00A70600"/>
    <w:rsid w:val="00A70647"/>
    <w:rsid w:val="00A707F9"/>
    <w:rsid w:val="00A7096D"/>
    <w:rsid w:val="00A70A41"/>
    <w:rsid w:val="00A70B54"/>
    <w:rsid w:val="00A70C7E"/>
    <w:rsid w:val="00A70D78"/>
    <w:rsid w:val="00A70D85"/>
    <w:rsid w:val="00A70FCB"/>
    <w:rsid w:val="00A70FEC"/>
    <w:rsid w:val="00A71099"/>
    <w:rsid w:val="00A710AD"/>
    <w:rsid w:val="00A71136"/>
    <w:rsid w:val="00A71209"/>
    <w:rsid w:val="00A7125A"/>
    <w:rsid w:val="00A71262"/>
    <w:rsid w:val="00A712B7"/>
    <w:rsid w:val="00A713D7"/>
    <w:rsid w:val="00A713DA"/>
    <w:rsid w:val="00A7154C"/>
    <w:rsid w:val="00A715F1"/>
    <w:rsid w:val="00A71715"/>
    <w:rsid w:val="00A7173A"/>
    <w:rsid w:val="00A7176E"/>
    <w:rsid w:val="00A7180C"/>
    <w:rsid w:val="00A718E9"/>
    <w:rsid w:val="00A7199A"/>
    <w:rsid w:val="00A7199C"/>
    <w:rsid w:val="00A719DD"/>
    <w:rsid w:val="00A71B15"/>
    <w:rsid w:val="00A71BA3"/>
    <w:rsid w:val="00A71D43"/>
    <w:rsid w:val="00A71DD2"/>
    <w:rsid w:val="00A71F10"/>
    <w:rsid w:val="00A71F43"/>
    <w:rsid w:val="00A71F75"/>
    <w:rsid w:val="00A71F9C"/>
    <w:rsid w:val="00A71F9F"/>
    <w:rsid w:val="00A720B8"/>
    <w:rsid w:val="00A7216A"/>
    <w:rsid w:val="00A72239"/>
    <w:rsid w:val="00A72351"/>
    <w:rsid w:val="00A724DE"/>
    <w:rsid w:val="00A72534"/>
    <w:rsid w:val="00A72550"/>
    <w:rsid w:val="00A72600"/>
    <w:rsid w:val="00A72648"/>
    <w:rsid w:val="00A726A5"/>
    <w:rsid w:val="00A72707"/>
    <w:rsid w:val="00A7273B"/>
    <w:rsid w:val="00A72816"/>
    <w:rsid w:val="00A7291B"/>
    <w:rsid w:val="00A72940"/>
    <w:rsid w:val="00A7299F"/>
    <w:rsid w:val="00A72BC8"/>
    <w:rsid w:val="00A72BCA"/>
    <w:rsid w:val="00A72C1E"/>
    <w:rsid w:val="00A72D02"/>
    <w:rsid w:val="00A72D70"/>
    <w:rsid w:val="00A72DAD"/>
    <w:rsid w:val="00A72E0F"/>
    <w:rsid w:val="00A72E6F"/>
    <w:rsid w:val="00A72F1B"/>
    <w:rsid w:val="00A72F68"/>
    <w:rsid w:val="00A72FAD"/>
    <w:rsid w:val="00A7306C"/>
    <w:rsid w:val="00A730E7"/>
    <w:rsid w:val="00A73103"/>
    <w:rsid w:val="00A731F4"/>
    <w:rsid w:val="00A733CE"/>
    <w:rsid w:val="00A733F2"/>
    <w:rsid w:val="00A734E8"/>
    <w:rsid w:val="00A73612"/>
    <w:rsid w:val="00A7361C"/>
    <w:rsid w:val="00A737F3"/>
    <w:rsid w:val="00A7395B"/>
    <w:rsid w:val="00A73A07"/>
    <w:rsid w:val="00A73B0D"/>
    <w:rsid w:val="00A73B1B"/>
    <w:rsid w:val="00A73BBD"/>
    <w:rsid w:val="00A73C60"/>
    <w:rsid w:val="00A73CD7"/>
    <w:rsid w:val="00A73D62"/>
    <w:rsid w:val="00A73F0A"/>
    <w:rsid w:val="00A73FB7"/>
    <w:rsid w:val="00A7404D"/>
    <w:rsid w:val="00A7405E"/>
    <w:rsid w:val="00A740C1"/>
    <w:rsid w:val="00A74166"/>
    <w:rsid w:val="00A7417D"/>
    <w:rsid w:val="00A742D4"/>
    <w:rsid w:val="00A74373"/>
    <w:rsid w:val="00A745A5"/>
    <w:rsid w:val="00A746B3"/>
    <w:rsid w:val="00A74743"/>
    <w:rsid w:val="00A7474C"/>
    <w:rsid w:val="00A74844"/>
    <w:rsid w:val="00A74867"/>
    <w:rsid w:val="00A748BB"/>
    <w:rsid w:val="00A74D9A"/>
    <w:rsid w:val="00A74DAC"/>
    <w:rsid w:val="00A74EA7"/>
    <w:rsid w:val="00A75254"/>
    <w:rsid w:val="00A75278"/>
    <w:rsid w:val="00A75413"/>
    <w:rsid w:val="00A7560A"/>
    <w:rsid w:val="00A7578A"/>
    <w:rsid w:val="00A7583A"/>
    <w:rsid w:val="00A75905"/>
    <w:rsid w:val="00A75CA5"/>
    <w:rsid w:val="00A75CCE"/>
    <w:rsid w:val="00A75DA9"/>
    <w:rsid w:val="00A75E00"/>
    <w:rsid w:val="00A75E7D"/>
    <w:rsid w:val="00A760AF"/>
    <w:rsid w:val="00A760F6"/>
    <w:rsid w:val="00A76112"/>
    <w:rsid w:val="00A76196"/>
    <w:rsid w:val="00A761AA"/>
    <w:rsid w:val="00A761C3"/>
    <w:rsid w:val="00A7630B"/>
    <w:rsid w:val="00A76527"/>
    <w:rsid w:val="00A76558"/>
    <w:rsid w:val="00A765EF"/>
    <w:rsid w:val="00A766D0"/>
    <w:rsid w:val="00A76766"/>
    <w:rsid w:val="00A769EE"/>
    <w:rsid w:val="00A76C70"/>
    <w:rsid w:val="00A76C9D"/>
    <w:rsid w:val="00A76CB7"/>
    <w:rsid w:val="00A76D4E"/>
    <w:rsid w:val="00A77012"/>
    <w:rsid w:val="00A770A6"/>
    <w:rsid w:val="00A770AE"/>
    <w:rsid w:val="00A7711D"/>
    <w:rsid w:val="00A77162"/>
    <w:rsid w:val="00A771C2"/>
    <w:rsid w:val="00A772B4"/>
    <w:rsid w:val="00A77372"/>
    <w:rsid w:val="00A77403"/>
    <w:rsid w:val="00A77525"/>
    <w:rsid w:val="00A77632"/>
    <w:rsid w:val="00A77646"/>
    <w:rsid w:val="00A7766E"/>
    <w:rsid w:val="00A7769E"/>
    <w:rsid w:val="00A7786E"/>
    <w:rsid w:val="00A778FB"/>
    <w:rsid w:val="00A77906"/>
    <w:rsid w:val="00A7796C"/>
    <w:rsid w:val="00A77B6B"/>
    <w:rsid w:val="00A77B96"/>
    <w:rsid w:val="00A77C1C"/>
    <w:rsid w:val="00A77D26"/>
    <w:rsid w:val="00A77D92"/>
    <w:rsid w:val="00A77DA2"/>
    <w:rsid w:val="00A77DA9"/>
    <w:rsid w:val="00A77E19"/>
    <w:rsid w:val="00A77E95"/>
    <w:rsid w:val="00A77E97"/>
    <w:rsid w:val="00A800AF"/>
    <w:rsid w:val="00A8016F"/>
    <w:rsid w:val="00A8018F"/>
    <w:rsid w:val="00A801B2"/>
    <w:rsid w:val="00A8023F"/>
    <w:rsid w:val="00A80294"/>
    <w:rsid w:val="00A80373"/>
    <w:rsid w:val="00A804A6"/>
    <w:rsid w:val="00A805A3"/>
    <w:rsid w:val="00A80623"/>
    <w:rsid w:val="00A806AB"/>
    <w:rsid w:val="00A806AF"/>
    <w:rsid w:val="00A806B6"/>
    <w:rsid w:val="00A80954"/>
    <w:rsid w:val="00A80C28"/>
    <w:rsid w:val="00A80C81"/>
    <w:rsid w:val="00A80DC2"/>
    <w:rsid w:val="00A80F02"/>
    <w:rsid w:val="00A81072"/>
    <w:rsid w:val="00A8112A"/>
    <w:rsid w:val="00A811E4"/>
    <w:rsid w:val="00A81455"/>
    <w:rsid w:val="00A814F4"/>
    <w:rsid w:val="00A81514"/>
    <w:rsid w:val="00A8154E"/>
    <w:rsid w:val="00A81822"/>
    <w:rsid w:val="00A81850"/>
    <w:rsid w:val="00A818CA"/>
    <w:rsid w:val="00A81928"/>
    <w:rsid w:val="00A81941"/>
    <w:rsid w:val="00A81A06"/>
    <w:rsid w:val="00A81A1F"/>
    <w:rsid w:val="00A81A4C"/>
    <w:rsid w:val="00A81AF7"/>
    <w:rsid w:val="00A81B2C"/>
    <w:rsid w:val="00A81BBD"/>
    <w:rsid w:val="00A81BDA"/>
    <w:rsid w:val="00A81D3A"/>
    <w:rsid w:val="00A81DAB"/>
    <w:rsid w:val="00A81FC1"/>
    <w:rsid w:val="00A82046"/>
    <w:rsid w:val="00A8209E"/>
    <w:rsid w:val="00A820E6"/>
    <w:rsid w:val="00A82116"/>
    <w:rsid w:val="00A82126"/>
    <w:rsid w:val="00A821B1"/>
    <w:rsid w:val="00A8231A"/>
    <w:rsid w:val="00A823D1"/>
    <w:rsid w:val="00A8250E"/>
    <w:rsid w:val="00A82514"/>
    <w:rsid w:val="00A8251A"/>
    <w:rsid w:val="00A825F6"/>
    <w:rsid w:val="00A8263D"/>
    <w:rsid w:val="00A82645"/>
    <w:rsid w:val="00A82791"/>
    <w:rsid w:val="00A82822"/>
    <w:rsid w:val="00A828A7"/>
    <w:rsid w:val="00A82900"/>
    <w:rsid w:val="00A8298A"/>
    <w:rsid w:val="00A82999"/>
    <w:rsid w:val="00A829EC"/>
    <w:rsid w:val="00A82BBA"/>
    <w:rsid w:val="00A82D83"/>
    <w:rsid w:val="00A82DB1"/>
    <w:rsid w:val="00A82E17"/>
    <w:rsid w:val="00A82F01"/>
    <w:rsid w:val="00A82F1D"/>
    <w:rsid w:val="00A83007"/>
    <w:rsid w:val="00A830A1"/>
    <w:rsid w:val="00A83220"/>
    <w:rsid w:val="00A8324E"/>
    <w:rsid w:val="00A8328B"/>
    <w:rsid w:val="00A832ED"/>
    <w:rsid w:val="00A83342"/>
    <w:rsid w:val="00A833F4"/>
    <w:rsid w:val="00A83556"/>
    <w:rsid w:val="00A83616"/>
    <w:rsid w:val="00A8367A"/>
    <w:rsid w:val="00A836BB"/>
    <w:rsid w:val="00A836E9"/>
    <w:rsid w:val="00A8371B"/>
    <w:rsid w:val="00A8389D"/>
    <w:rsid w:val="00A838A6"/>
    <w:rsid w:val="00A8397C"/>
    <w:rsid w:val="00A83B9D"/>
    <w:rsid w:val="00A83D21"/>
    <w:rsid w:val="00A83D7F"/>
    <w:rsid w:val="00A83DC6"/>
    <w:rsid w:val="00A83E19"/>
    <w:rsid w:val="00A83ECA"/>
    <w:rsid w:val="00A840CA"/>
    <w:rsid w:val="00A84126"/>
    <w:rsid w:val="00A84262"/>
    <w:rsid w:val="00A842D6"/>
    <w:rsid w:val="00A84326"/>
    <w:rsid w:val="00A84343"/>
    <w:rsid w:val="00A8434B"/>
    <w:rsid w:val="00A845B7"/>
    <w:rsid w:val="00A845FF"/>
    <w:rsid w:val="00A84607"/>
    <w:rsid w:val="00A84623"/>
    <w:rsid w:val="00A847D9"/>
    <w:rsid w:val="00A84831"/>
    <w:rsid w:val="00A84837"/>
    <w:rsid w:val="00A8494B"/>
    <w:rsid w:val="00A8495A"/>
    <w:rsid w:val="00A8497F"/>
    <w:rsid w:val="00A849DC"/>
    <w:rsid w:val="00A84ACF"/>
    <w:rsid w:val="00A84C92"/>
    <w:rsid w:val="00A84D41"/>
    <w:rsid w:val="00A84D99"/>
    <w:rsid w:val="00A84DEE"/>
    <w:rsid w:val="00A850D6"/>
    <w:rsid w:val="00A85171"/>
    <w:rsid w:val="00A85186"/>
    <w:rsid w:val="00A85188"/>
    <w:rsid w:val="00A8519E"/>
    <w:rsid w:val="00A851A8"/>
    <w:rsid w:val="00A852CC"/>
    <w:rsid w:val="00A85312"/>
    <w:rsid w:val="00A85488"/>
    <w:rsid w:val="00A854F0"/>
    <w:rsid w:val="00A85547"/>
    <w:rsid w:val="00A85560"/>
    <w:rsid w:val="00A85598"/>
    <w:rsid w:val="00A855C2"/>
    <w:rsid w:val="00A85693"/>
    <w:rsid w:val="00A856DD"/>
    <w:rsid w:val="00A856F2"/>
    <w:rsid w:val="00A85731"/>
    <w:rsid w:val="00A857DF"/>
    <w:rsid w:val="00A8585B"/>
    <w:rsid w:val="00A85961"/>
    <w:rsid w:val="00A859E4"/>
    <w:rsid w:val="00A85A58"/>
    <w:rsid w:val="00A85AAD"/>
    <w:rsid w:val="00A85B36"/>
    <w:rsid w:val="00A85CEE"/>
    <w:rsid w:val="00A85E8A"/>
    <w:rsid w:val="00A860FF"/>
    <w:rsid w:val="00A86254"/>
    <w:rsid w:val="00A863A1"/>
    <w:rsid w:val="00A86538"/>
    <w:rsid w:val="00A86547"/>
    <w:rsid w:val="00A86548"/>
    <w:rsid w:val="00A865D8"/>
    <w:rsid w:val="00A865DA"/>
    <w:rsid w:val="00A86698"/>
    <w:rsid w:val="00A8679C"/>
    <w:rsid w:val="00A8689B"/>
    <w:rsid w:val="00A868CE"/>
    <w:rsid w:val="00A86A0E"/>
    <w:rsid w:val="00A86B86"/>
    <w:rsid w:val="00A86BB9"/>
    <w:rsid w:val="00A86BDC"/>
    <w:rsid w:val="00A86CFC"/>
    <w:rsid w:val="00A86D77"/>
    <w:rsid w:val="00A86F21"/>
    <w:rsid w:val="00A87003"/>
    <w:rsid w:val="00A870E6"/>
    <w:rsid w:val="00A870F4"/>
    <w:rsid w:val="00A87236"/>
    <w:rsid w:val="00A87256"/>
    <w:rsid w:val="00A8725A"/>
    <w:rsid w:val="00A8726B"/>
    <w:rsid w:val="00A87384"/>
    <w:rsid w:val="00A873FC"/>
    <w:rsid w:val="00A8745B"/>
    <w:rsid w:val="00A8747D"/>
    <w:rsid w:val="00A8772D"/>
    <w:rsid w:val="00A87816"/>
    <w:rsid w:val="00A87926"/>
    <w:rsid w:val="00A87A5B"/>
    <w:rsid w:val="00A87AD8"/>
    <w:rsid w:val="00A87CA1"/>
    <w:rsid w:val="00A87D18"/>
    <w:rsid w:val="00A87D47"/>
    <w:rsid w:val="00A87DD1"/>
    <w:rsid w:val="00A87E6D"/>
    <w:rsid w:val="00A87FE7"/>
    <w:rsid w:val="00A87FFB"/>
    <w:rsid w:val="00A90086"/>
    <w:rsid w:val="00A9017B"/>
    <w:rsid w:val="00A90185"/>
    <w:rsid w:val="00A9022F"/>
    <w:rsid w:val="00A902C9"/>
    <w:rsid w:val="00A90396"/>
    <w:rsid w:val="00A903D9"/>
    <w:rsid w:val="00A903FB"/>
    <w:rsid w:val="00A90512"/>
    <w:rsid w:val="00A905C4"/>
    <w:rsid w:val="00A9064D"/>
    <w:rsid w:val="00A9078B"/>
    <w:rsid w:val="00A9080A"/>
    <w:rsid w:val="00A9084E"/>
    <w:rsid w:val="00A90905"/>
    <w:rsid w:val="00A90942"/>
    <w:rsid w:val="00A90BFA"/>
    <w:rsid w:val="00A90C81"/>
    <w:rsid w:val="00A90E0B"/>
    <w:rsid w:val="00A90E7A"/>
    <w:rsid w:val="00A90EBE"/>
    <w:rsid w:val="00A90FC4"/>
    <w:rsid w:val="00A9101C"/>
    <w:rsid w:val="00A9123A"/>
    <w:rsid w:val="00A912CC"/>
    <w:rsid w:val="00A913C6"/>
    <w:rsid w:val="00A9141C"/>
    <w:rsid w:val="00A915E5"/>
    <w:rsid w:val="00A9171A"/>
    <w:rsid w:val="00A91727"/>
    <w:rsid w:val="00A917EB"/>
    <w:rsid w:val="00A9196B"/>
    <w:rsid w:val="00A91AD2"/>
    <w:rsid w:val="00A91B95"/>
    <w:rsid w:val="00A91C45"/>
    <w:rsid w:val="00A91C85"/>
    <w:rsid w:val="00A91CE5"/>
    <w:rsid w:val="00A91CF7"/>
    <w:rsid w:val="00A91DDB"/>
    <w:rsid w:val="00A91E11"/>
    <w:rsid w:val="00A91F7C"/>
    <w:rsid w:val="00A921BC"/>
    <w:rsid w:val="00A921D3"/>
    <w:rsid w:val="00A92290"/>
    <w:rsid w:val="00A923DF"/>
    <w:rsid w:val="00A92606"/>
    <w:rsid w:val="00A92636"/>
    <w:rsid w:val="00A9266D"/>
    <w:rsid w:val="00A926E4"/>
    <w:rsid w:val="00A9272A"/>
    <w:rsid w:val="00A9294B"/>
    <w:rsid w:val="00A92A9F"/>
    <w:rsid w:val="00A92B92"/>
    <w:rsid w:val="00A92CEB"/>
    <w:rsid w:val="00A92DDC"/>
    <w:rsid w:val="00A92EFD"/>
    <w:rsid w:val="00A9309D"/>
    <w:rsid w:val="00A9309F"/>
    <w:rsid w:val="00A9314D"/>
    <w:rsid w:val="00A93197"/>
    <w:rsid w:val="00A9320C"/>
    <w:rsid w:val="00A93244"/>
    <w:rsid w:val="00A93353"/>
    <w:rsid w:val="00A933EA"/>
    <w:rsid w:val="00A93515"/>
    <w:rsid w:val="00A9375D"/>
    <w:rsid w:val="00A9381B"/>
    <w:rsid w:val="00A93BE3"/>
    <w:rsid w:val="00A93D9C"/>
    <w:rsid w:val="00A93E82"/>
    <w:rsid w:val="00A93F35"/>
    <w:rsid w:val="00A93FD7"/>
    <w:rsid w:val="00A9404E"/>
    <w:rsid w:val="00A943E6"/>
    <w:rsid w:val="00A9444D"/>
    <w:rsid w:val="00A944D0"/>
    <w:rsid w:val="00A9451B"/>
    <w:rsid w:val="00A9470E"/>
    <w:rsid w:val="00A94804"/>
    <w:rsid w:val="00A94885"/>
    <w:rsid w:val="00A948E0"/>
    <w:rsid w:val="00A94B4A"/>
    <w:rsid w:val="00A94BE6"/>
    <w:rsid w:val="00A94EC6"/>
    <w:rsid w:val="00A94F4F"/>
    <w:rsid w:val="00A9501F"/>
    <w:rsid w:val="00A95095"/>
    <w:rsid w:val="00A950FF"/>
    <w:rsid w:val="00A95161"/>
    <w:rsid w:val="00A952B1"/>
    <w:rsid w:val="00A9542C"/>
    <w:rsid w:val="00A9565F"/>
    <w:rsid w:val="00A9581C"/>
    <w:rsid w:val="00A958B7"/>
    <w:rsid w:val="00A9599C"/>
    <w:rsid w:val="00A95AC1"/>
    <w:rsid w:val="00A95AD1"/>
    <w:rsid w:val="00A95ADA"/>
    <w:rsid w:val="00A95B2E"/>
    <w:rsid w:val="00A95CF3"/>
    <w:rsid w:val="00A95DF8"/>
    <w:rsid w:val="00A95E9E"/>
    <w:rsid w:val="00A95EB6"/>
    <w:rsid w:val="00A95EFA"/>
    <w:rsid w:val="00A95FF9"/>
    <w:rsid w:val="00A9628D"/>
    <w:rsid w:val="00A96294"/>
    <w:rsid w:val="00A9629B"/>
    <w:rsid w:val="00A96323"/>
    <w:rsid w:val="00A96335"/>
    <w:rsid w:val="00A9633F"/>
    <w:rsid w:val="00A963F4"/>
    <w:rsid w:val="00A9657B"/>
    <w:rsid w:val="00A96735"/>
    <w:rsid w:val="00A9678C"/>
    <w:rsid w:val="00A96983"/>
    <w:rsid w:val="00A96A49"/>
    <w:rsid w:val="00A96A62"/>
    <w:rsid w:val="00A96A91"/>
    <w:rsid w:val="00A96B11"/>
    <w:rsid w:val="00A96C6E"/>
    <w:rsid w:val="00A96CF5"/>
    <w:rsid w:val="00A96D42"/>
    <w:rsid w:val="00A96DDA"/>
    <w:rsid w:val="00A96E3B"/>
    <w:rsid w:val="00A96FDB"/>
    <w:rsid w:val="00A97280"/>
    <w:rsid w:val="00A97360"/>
    <w:rsid w:val="00A97371"/>
    <w:rsid w:val="00A973E5"/>
    <w:rsid w:val="00A975AD"/>
    <w:rsid w:val="00A97618"/>
    <w:rsid w:val="00A9764E"/>
    <w:rsid w:val="00A9766A"/>
    <w:rsid w:val="00A97861"/>
    <w:rsid w:val="00A97893"/>
    <w:rsid w:val="00A9789A"/>
    <w:rsid w:val="00A97987"/>
    <w:rsid w:val="00A97A42"/>
    <w:rsid w:val="00A97C8A"/>
    <w:rsid w:val="00A97CB9"/>
    <w:rsid w:val="00A97E82"/>
    <w:rsid w:val="00A97FE4"/>
    <w:rsid w:val="00AA00A8"/>
    <w:rsid w:val="00AA00D4"/>
    <w:rsid w:val="00AA0115"/>
    <w:rsid w:val="00AA0236"/>
    <w:rsid w:val="00AA02C2"/>
    <w:rsid w:val="00AA0304"/>
    <w:rsid w:val="00AA03CD"/>
    <w:rsid w:val="00AA0412"/>
    <w:rsid w:val="00AA0455"/>
    <w:rsid w:val="00AA049C"/>
    <w:rsid w:val="00AA04C8"/>
    <w:rsid w:val="00AA05FD"/>
    <w:rsid w:val="00AA0635"/>
    <w:rsid w:val="00AA066F"/>
    <w:rsid w:val="00AA0696"/>
    <w:rsid w:val="00AA06AB"/>
    <w:rsid w:val="00AA0900"/>
    <w:rsid w:val="00AA0918"/>
    <w:rsid w:val="00AA0948"/>
    <w:rsid w:val="00AA09FE"/>
    <w:rsid w:val="00AA0C41"/>
    <w:rsid w:val="00AA0C8B"/>
    <w:rsid w:val="00AA0C97"/>
    <w:rsid w:val="00AA0D0F"/>
    <w:rsid w:val="00AA0DC3"/>
    <w:rsid w:val="00AA0FE5"/>
    <w:rsid w:val="00AA1017"/>
    <w:rsid w:val="00AA102B"/>
    <w:rsid w:val="00AA1048"/>
    <w:rsid w:val="00AA1078"/>
    <w:rsid w:val="00AA109B"/>
    <w:rsid w:val="00AA111D"/>
    <w:rsid w:val="00AA1239"/>
    <w:rsid w:val="00AA1436"/>
    <w:rsid w:val="00AA14D8"/>
    <w:rsid w:val="00AA14FF"/>
    <w:rsid w:val="00AA15B4"/>
    <w:rsid w:val="00AA15BC"/>
    <w:rsid w:val="00AA1704"/>
    <w:rsid w:val="00AA1825"/>
    <w:rsid w:val="00AA185B"/>
    <w:rsid w:val="00AA188C"/>
    <w:rsid w:val="00AA18B5"/>
    <w:rsid w:val="00AA193E"/>
    <w:rsid w:val="00AA1956"/>
    <w:rsid w:val="00AA1A87"/>
    <w:rsid w:val="00AA1A88"/>
    <w:rsid w:val="00AA1ACB"/>
    <w:rsid w:val="00AA1E8C"/>
    <w:rsid w:val="00AA1EEC"/>
    <w:rsid w:val="00AA1F04"/>
    <w:rsid w:val="00AA1F41"/>
    <w:rsid w:val="00AA1F76"/>
    <w:rsid w:val="00AA1FF6"/>
    <w:rsid w:val="00AA208E"/>
    <w:rsid w:val="00AA20DF"/>
    <w:rsid w:val="00AA20E5"/>
    <w:rsid w:val="00AA21FE"/>
    <w:rsid w:val="00AA22BE"/>
    <w:rsid w:val="00AA22DD"/>
    <w:rsid w:val="00AA2345"/>
    <w:rsid w:val="00AA2407"/>
    <w:rsid w:val="00AA255B"/>
    <w:rsid w:val="00AA2718"/>
    <w:rsid w:val="00AA2AB6"/>
    <w:rsid w:val="00AA2B82"/>
    <w:rsid w:val="00AA2C33"/>
    <w:rsid w:val="00AA2DC9"/>
    <w:rsid w:val="00AA2E68"/>
    <w:rsid w:val="00AA2F6E"/>
    <w:rsid w:val="00AA2FD2"/>
    <w:rsid w:val="00AA2FF3"/>
    <w:rsid w:val="00AA308C"/>
    <w:rsid w:val="00AA30BD"/>
    <w:rsid w:val="00AA31CD"/>
    <w:rsid w:val="00AA3307"/>
    <w:rsid w:val="00AA337E"/>
    <w:rsid w:val="00AA3455"/>
    <w:rsid w:val="00AA35E8"/>
    <w:rsid w:val="00AA3755"/>
    <w:rsid w:val="00AA3885"/>
    <w:rsid w:val="00AA399B"/>
    <w:rsid w:val="00AA3C48"/>
    <w:rsid w:val="00AA3C57"/>
    <w:rsid w:val="00AA3E5C"/>
    <w:rsid w:val="00AA3E8D"/>
    <w:rsid w:val="00AA3EDF"/>
    <w:rsid w:val="00AA3F1C"/>
    <w:rsid w:val="00AA4008"/>
    <w:rsid w:val="00AA40EA"/>
    <w:rsid w:val="00AA414F"/>
    <w:rsid w:val="00AA41A6"/>
    <w:rsid w:val="00AA42CB"/>
    <w:rsid w:val="00AA439C"/>
    <w:rsid w:val="00AA43F2"/>
    <w:rsid w:val="00AA44FA"/>
    <w:rsid w:val="00AA45DF"/>
    <w:rsid w:val="00AA4779"/>
    <w:rsid w:val="00AA4882"/>
    <w:rsid w:val="00AA497E"/>
    <w:rsid w:val="00AA4B39"/>
    <w:rsid w:val="00AA4C12"/>
    <w:rsid w:val="00AA4C44"/>
    <w:rsid w:val="00AA4C75"/>
    <w:rsid w:val="00AA4DF7"/>
    <w:rsid w:val="00AA4F4C"/>
    <w:rsid w:val="00AA4F79"/>
    <w:rsid w:val="00AA4FFC"/>
    <w:rsid w:val="00AA5022"/>
    <w:rsid w:val="00AA52EE"/>
    <w:rsid w:val="00AA54F6"/>
    <w:rsid w:val="00AA55C0"/>
    <w:rsid w:val="00AA5762"/>
    <w:rsid w:val="00AA57AA"/>
    <w:rsid w:val="00AA57C7"/>
    <w:rsid w:val="00AA57D2"/>
    <w:rsid w:val="00AA58C4"/>
    <w:rsid w:val="00AA59C1"/>
    <w:rsid w:val="00AA5BC1"/>
    <w:rsid w:val="00AA5C22"/>
    <w:rsid w:val="00AA5CAF"/>
    <w:rsid w:val="00AA5CF7"/>
    <w:rsid w:val="00AA5D97"/>
    <w:rsid w:val="00AA5E50"/>
    <w:rsid w:val="00AA5EA7"/>
    <w:rsid w:val="00AA6081"/>
    <w:rsid w:val="00AA60D7"/>
    <w:rsid w:val="00AA60DA"/>
    <w:rsid w:val="00AA617B"/>
    <w:rsid w:val="00AA623C"/>
    <w:rsid w:val="00AA6332"/>
    <w:rsid w:val="00AA639C"/>
    <w:rsid w:val="00AA63EB"/>
    <w:rsid w:val="00AA6451"/>
    <w:rsid w:val="00AA6480"/>
    <w:rsid w:val="00AA6513"/>
    <w:rsid w:val="00AA66E2"/>
    <w:rsid w:val="00AA679B"/>
    <w:rsid w:val="00AA6893"/>
    <w:rsid w:val="00AA6901"/>
    <w:rsid w:val="00AA6B53"/>
    <w:rsid w:val="00AA6B6C"/>
    <w:rsid w:val="00AA6BE5"/>
    <w:rsid w:val="00AA6C27"/>
    <w:rsid w:val="00AA6C50"/>
    <w:rsid w:val="00AA6CE4"/>
    <w:rsid w:val="00AA6E34"/>
    <w:rsid w:val="00AA6FC3"/>
    <w:rsid w:val="00AA7027"/>
    <w:rsid w:val="00AA705F"/>
    <w:rsid w:val="00AA70BA"/>
    <w:rsid w:val="00AA7268"/>
    <w:rsid w:val="00AA736E"/>
    <w:rsid w:val="00AA73D5"/>
    <w:rsid w:val="00AA73D8"/>
    <w:rsid w:val="00AA74A7"/>
    <w:rsid w:val="00AA754F"/>
    <w:rsid w:val="00AA77C3"/>
    <w:rsid w:val="00AA7825"/>
    <w:rsid w:val="00AA787E"/>
    <w:rsid w:val="00AA7965"/>
    <w:rsid w:val="00AA7986"/>
    <w:rsid w:val="00AA79ED"/>
    <w:rsid w:val="00AA7A6A"/>
    <w:rsid w:val="00AA7B4D"/>
    <w:rsid w:val="00AA7BDB"/>
    <w:rsid w:val="00AA7C1B"/>
    <w:rsid w:val="00AA7E2C"/>
    <w:rsid w:val="00AA7F0A"/>
    <w:rsid w:val="00AB0065"/>
    <w:rsid w:val="00AB0112"/>
    <w:rsid w:val="00AB0133"/>
    <w:rsid w:val="00AB0349"/>
    <w:rsid w:val="00AB03A0"/>
    <w:rsid w:val="00AB047E"/>
    <w:rsid w:val="00AB0491"/>
    <w:rsid w:val="00AB0508"/>
    <w:rsid w:val="00AB0537"/>
    <w:rsid w:val="00AB0580"/>
    <w:rsid w:val="00AB0698"/>
    <w:rsid w:val="00AB06D8"/>
    <w:rsid w:val="00AB06E3"/>
    <w:rsid w:val="00AB0705"/>
    <w:rsid w:val="00AB0711"/>
    <w:rsid w:val="00AB0762"/>
    <w:rsid w:val="00AB0855"/>
    <w:rsid w:val="00AB0890"/>
    <w:rsid w:val="00AB0894"/>
    <w:rsid w:val="00AB08E3"/>
    <w:rsid w:val="00AB0BF2"/>
    <w:rsid w:val="00AB0BF6"/>
    <w:rsid w:val="00AB0C05"/>
    <w:rsid w:val="00AB0C5A"/>
    <w:rsid w:val="00AB0E70"/>
    <w:rsid w:val="00AB0F38"/>
    <w:rsid w:val="00AB10A9"/>
    <w:rsid w:val="00AB1118"/>
    <w:rsid w:val="00AB11ED"/>
    <w:rsid w:val="00AB1404"/>
    <w:rsid w:val="00AB1467"/>
    <w:rsid w:val="00AB179B"/>
    <w:rsid w:val="00AB1A53"/>
    <w:rsid w:val="00AB1B02"/>
    <w:rsid w:val="00AB217F"/>
    <w:rsid w:val="00AB21BD"/>
    <w:rsid w:val="00AB226C"/>
    <w:rsid w:val="00AB2393"/>
    <w:rsid w:val="00AB2466"/>
    <w:rsid w:val="00AB2470"/>
    <w:rsid w:val="00AB25D4"/>
    <w:rsid w:val="00AB262A"/>
    <w:rsid w:val="00AB265F"/>
    <w:rsid w:val="00AB2714"/>
    <w:rsid w:val="00AB27F0"/>
    <w:rsid w:val="00AB281B"/>
    <w:rsid w:val="00AB2861"/>
    <w:rsid w:val="00AB2876"/>
    <w:rsid w:val="00AB2889"/>
    <w:rsid w:val="00AB28B3"/>
    <w:rsid w:val="00AB2B87"/>
    <w:rsid w:val="00AB2B8C"/>
    <w:rsid w:val="00AB2B93"/>
    <w:rsid w:val="00AB2C05"/>
    <w:rsid w:val="00AB2D07"/>
    <w:rsid w:val="00AB2DB4"/>
    <w:rsid w:val="00AB2F2C"/>
    <w:rsid w:val="00AB3020"/>
    <w:rsid w:val="00AB30AF"/>
    <w:rsid w:val="00AB31A9"/>
    <w:rsid w:val="00AB31EC"/>
    <w:rsid w:val="00AB3317"/>
    <w:rsid w:val="00AB33F2"/>
    <w:rsid w:val="00AB351F"/>
    <w:rsid w:val="00AB364B"/>
    <w:rsid w:val="00AB3685"/>
    <w:rsid w:val="00AB36C3"/>
    <w:rsid w:val="00AB384E"/>
    <w:rsid w:val="00AB3957"/>
    <w:rsid w:val="00AB3975"/>
    <w:rsid w:val="00AB39F4"/>
    <w:rsid w:val="00AB3A11"/>
    <w:rsid w:val="00AB3C3B"/>
    <w:rsid w:val="00AB3E46"/>
    <w:rsid w:val="00AB3E85"/>
    <w:rsid w:val="00AB3EEB"/>
    <w:rsid w:val="00AB3F3A"/>
    <w:rsid w:val="00AB416E"/>
    <w:rsid w:val="00AB416F"/>
    <w:rsid w:val="00AB42A7"/>
    <w:rsid w:val="00AB43AF"/>
    <w:rsid w:val="00AB459F"/>
    <w:rsid w:val="00AB465E"/>
    <w:rsid w:val="00AB47B1"/>
    <w:rsid w:val="00AB4824"/>
    <w:rsid w:val="00AB491E"/>
    <w:rsid w:val="00AB496A"/>
    <w:rsid w:val="00AB4AD4"/>
    <w:rsid w:val="00AB4B96"/>
    <w:rsid w:val="00AB4C2A"/>
    <w:rsid w:val="00AB4C50"/>
    <w:rsid w:val="00AB5289"/>
    <w:rsid w:val="00AB53E1"/>
    <w:rsid w:val="00AB5560"/>
    <w:rsid w:val="00AB56A3"/>
    <w:rsid w:val="00AB5765"/>
    <w:rsid w:val="00AB57D4"/>
    <w:rsid w:val="00AB57E0"/>
    <w:rsid w:val="00AB59E6"/>
    <w:rsid w:val="00AB5AB9"/>
    <w:rsid w:val="00AB5C02"/>
    <w:rsid w:val="00AB5C60"/>
    <w:rsid w:val="00AB5C72"/>
    <w:rsid w:val="00AB5D5B"/>
    <w:rsid w:val="00AB5EB9"/>
    <w:rsid w:val="00AB5FA3"/>
    <w:rsid w:val="00AB61D5"/>
    <w:rsid w:val="00AB6299"/>
    <w:rsid w:val="00AB63D6"/>
    <w:rsid w:val="00AB64F7"/>
    <w:rsid w:val="00AB65F2"/>
    <w:rsid w:val="00AB66FF"/>
    <w:rsid w:val="00AB6759"/>
    <w:rsid w:val="00AB6797"/>
    <w:rsid w:val="00AB67AC"/>
    <w:rsid w:val="00AB6947"/>
    <w:rsid w:val="00AB6B4C"/>
    <w:rsid w:val="00AB6B5A"/>
    <w:rsid w:val="00AB6BD0"/>
    <w:rsid w:val="00AB6C65"/>
    <w:rsid w:val="00AB6D99"/>
    <w:rsid w:val="00AB6E70"/>
    <w:rsid w:val="00AB6FA5"/>
    <w:rsid w:val="00AB70AB"/>
    <w:rsid w:val="00AB70B2"/>
    <w:rsid w:val="00AB70EB"/>
    <w:rsid w:val="00AB7174"/>
    <w:rsid w:val="00AB7296"/>
    <w:rsid w:val="00AB72D5"/>
    <w:rsid w:val="00AB7608"/>
    <w:rsid w:val="00AB762F"/>
    <w:rsid w:val="00AB7C21"/>
    <w:rsid w:val="00AB7CEB"/>
    <w:rsid w:val="00AB7DE2"/>
    <w:rsid w:val="00AB7E33"/>
    <w:rsid w:val="00AB7E8D"/>
    <w:rsid w:val="00AC01BB"/>
    <w:rsid w:val="00AC02F1"/>
    <w:rsid w:val="00AC0309"/>
    <w:rsid w:val="00AC0341"/>
    <w:rsid w:val="00AC035C"/>
    <w:rsid w:val="00AC0470"/>
    <w:rsid w:val="00AC04A4"/>
    <w:rsid w:val="00AC04A6"/>
    <w:rsid w:val="00AC050D"/>
    <w:rsid w:val="00AC05A1"/>
    <w:rsid w:val="00AC06BC"/>
    <w:rsid w:val="00AC092B"/>
    <w:rsid w:val="00AC0A6D"/>
    <w:rsid w:val="00AC0B85"/>
    <w:rsid w:val="00AC0C1F"/>
    <w:rsid w:val="00AC0C2E"/>
    <w:rsid w:val="00AC0C36"/>
    <w:rsid w:val="00AC0DCE"/>
    <w:rsid w:val="00AC0EE9"/>
    <w:rsid w:val="00AC0F85"/>
    <w:rsid w:val="00AC0FB7"/>
    <w:rsid w:val="00AC1076"/>
    <w:rsid w:val="00AC108C"/>
    <w:rsid w:val="00AC116D"/>
    <w:rsid w:val="00AC11D8"/>
    <w:rsid w:val="00AC1228"/>
    <w:rsid w:val="00AC124B"/>
    <w:rsid w:val="00AC13C2"/>
    <w:rsid w:val="00AC14CB"/>
    <w:rsid w:val="00AC15C4"/>
    <w:rsid w:val="00AC1768"/>
    <w:rsid w:val="00AC17A0"/>
    <w:rsid w:val="00AC17E7"/>
    <w:rsid w:val="00AC1921"/>
    <w:rsid w:val="00AC19A2"/>
    <w:rsid w:val="00AC1A25"/>
    <w:rsid w:val="00AC1AD8"/>
    <w:rsid w:val="00AC1B36"/>
    <w:rsid w:val="00AC1B75"/>
    <w:rsid w:val="00AC1B7D"/>
    <w:rsid w:val="00AC1BE3"/>
    <w:rsid w:val="00AC1EBD"/>
    <w:rsid w:val="00AC1FB8"/>
    <w:rsid w:val="00AC1FE1"/>
    <w:rsid w:val="00AC200D"/>
    <w:rsid w:val="00AC212A"/>
    <w:rsid w:val="00AC21FC"/>
    <w:rsid w:val="00AC220D"/>
    <w:rsid w:val="00AC238B"/>
    <w:rsid w:val="00AC23EC"/>
    <w:rsid w:val="00AC25D5"/>
    <w:rsid w:val="00AC25E6"/>
    <w:rsid w:val="00AC261B"/>
    <w:rsid w:val="00AC26A0"/>
    <w:rsid w:val="00AC2713"/>
    <w:rsid w:val="00AC2813"/>
    <w:rsid w:val="00AC2849"/>
    <w:rsid w:val="00AC2907"/>
    <w:rsid w:val="00AC2A2B"/>
    <w:rsid w:val="00AC2ADE"/>
    <w:rsid w:val="00AC2B34"/>
    <w:rsid w:val="00AC2D92"/>
    <w:rsid w:val="00AC2E37"/>
    <w:rsid w:val="00AC2EDE"/>
    <w:rsid w:val="00AC2EF6"/>
    <w:rsid w:val="00AC2FD6"/>
    <w:rsid w:val="00AC3078"/>
    <w:rsid w:val="00AC3192"/>
    <w:rsid w:val="00AC319C"/>
    <w:rsid w:val="00AC31E3"/>
    <w:rsid w:val="00AC326D"/>
    <w:rsid w:val="00AC327E"/>
    <w:rsid w:val="00AC32AD"/>
    <w:rsid w:val="00AC3384"/>
    <w:rsid w:val="00AC33AC"/>
    <w:rsid w:val="00AC33E4"/>
    <w:rsid w:val="00AC3511"/>
    <w:rsid w:val="00AC351D"/>
    <w:rsid w:val="00AC35FF"/>
    <w:rsid w:val="00AC36A7"/>
    <w:rsid w:val="00AC3729"/>
    <w:rsid w:val="00AC37A5"/>
    <w:rsid w:val="00AC37E9"/>
    <w:rsid w:val="00AC3826"/>
    <w:rsid w:val="00AC398F"/>
    <w:rsid w:val="00AC39A1"/>
    <w:rsid w:val="00AC3A57"/>
    <w:rsid w:val="00AC3A9C"/>
    <w:rsid w:val="00AC3B0F"/>
    <w:rsid w:val="00AC3D13"/>
    <w:rsid w:val="00AC3DEB"/>
    <w:rsid w:val="00AC3EC7"/>
    <w:rsid w:val="00AC3F26"/>
    <w:rsid w:val="00AC3F2A"/>
    <w:rsid w:val="00AC3F39"/>
    <w:rsid w:val="00AC4040"/>
    <w:rsid w:val="00AC40AD"/>
    <w:rsid w:val="00AC4117"/>
    <w:rsid w:val="00AC41CE"/>
    <w:rsid w:val="00AC422B"/>
    <w:rsid w:val="00AC4405"/>
    <w:rsid w:val="00AC450F"/>
    <w:rsid w:val="00AC478C"/>
    <w:rsid w:val="00AC48FB"/>
    <w:rsid w:val="00AC4952"/>
    <w:rsid w:val="00AC4B03"/>
    <w:rsid w:val="00AC4BAE"/>
    <w:rsid w:val="00AC4CDE"/>
    <w:rsid w:val="00AC4DD2"/>
    <w:rsid w:val="00AC4E12"/>
    <w:rsid w:val="00AC4E95"/>
    <w:rsid w:val="00AC4EA9"/>
    <w:rsid w:val="00AC4EBD"/>
    <w:rsid w:val="00AC50C0"/>
    <w:rsid w:val="00AC50FE"/>
    <w:rsid w:val="00AC5108"/>
    <w:rsid w:val="00AC5155"/>
    <w:rsid w:val="00AC528E"/>
    <w:rsid w:val="00AC52B3"/>
    <w:rsid w:val="00AC52F6"/>
    <w:rsid w:val="00AC52FF"/>
    <w:rsid w:val="00AC5353"/>
    <w:rsid w:val="00AC53A7"/>
    <w:rsid w:val="00AC560A"/>
    <w:rsid w:val="00AC568E"/>
    <w:rsid w:val="00AC5718"/>
    <w:rsid w:val="00AC5833"/>
    <w:rsid w:val="00AC58C9"/>
    <w:rsid w:val="00AC58CF"/>
    <w:rsid w:val="00AC58DF"/>
    <w:rsid w:val="00AC5972"/>
    <w:rsid w:val="00AC5A50"/>
    <w:rsid w:val="00AC5BAC"/>
    <w:rsid w:val="00AC5BF7"/>
    <w:rsid w:val="00AC5D37"/>
    <w:rsid w:val="00AC5D5A"/>
    <w:rsid w:val="00AC5F8E"/>
    <w:rsid w:val="00AC6067"/>
    <w:rsid w:val="00AC60AD"/>
    <w:rsid w:val="00AC6222"/>
    <w:rsid w:val="00AC6363"/>
    <w:rsid w:val="00AC63D4"/>
    <w:rsid w:val="00AC649F"/>
    <w:rsid w:val="00AC6502"/>
    <w:rsid w:val="00AC652E"/>
    <w:rsid w:val="00AC6562"/>
    <w:rsid w:val="00AC65BC"/>
    <w:rsid w:val="00AC664F"/>
    <w:rsid w:val="00AC674B"/>
    <w:rsid w:val="00AC6772"/>
    <w:rsid w:val="00AC67E5"/>
    <w:rsid w:val="00AC6A02"/>
    <w:rsid w:val="00AC6A59"/>
    <w:rsid w:val="00AC6AE3"/>
    <w:rsid w:val="00AC6AF1"/>
    <w:rsid w:val="00AC6B43"/>
    <w:rsid w:val="00AC6C18"/>
    <w:rsid w:val="00AC6C3A"/>
    <w:rsid w:val="00AC6D71"/>
    <w:rsid w:val="00AC6DA8"/>
    <w:rsid w:val="00AC6DAD"/>
    <w:rsid w:val="00AC6E74"/>
    <w:rsid w:val="00AC6E97"/>
    <w:rsid w:val="00AC6FC9"/>
    <w:rsid w:val="00AC7107"/>
    <w:rsid w:val="00AC7125"/>
    <w:rsid w:val="00AC7154"/>
    <w:rsid w:val="00AC7293"/>
    <w:rsid w:val="00AC7309"/>
    <w:rsid w:val="00AC7406"/>
    <w:rsid w:val="00AC7583"/>
    <w:rsid w:val="00AC7607"/>
    <w:rsid w:val="00AC766E"/>
    <w:rsid w:val="00AC78C5"/>
    <w:rsid w:val="00AC79EF"/>
    <w:rsid w:val="00AC7ADD"/>
    <w:rsid w:val="00AC7AE4"/>
    <w:rsid w:val="00AC7CBE"/>
    <w:rsid w:val="00AC7D19"/>
    <w:rsid w:val="00AC7E38"/>
    <w:rsid w:val="00AC7E85"/>
    <w:rsid w:val="00AC7F72"/>
    <w:rsid w:val="00AC7FE4"/>
    <w:rsid w:val="00ACB146"/>
    <w:rsid w:val="00AD0102"/>
    <w:rsid w:val="00AD0149"/>
    <w:rsid w:val="00AD01CB"/>
    <w:rsid w:val="00AD01EE"/>
    <w:rsid w:val="00AD029F"/>
    <w:rsid w:val="00AD02F4"/>
    <w:rsid w:val="00AD033A"/>
    <w:rsid w:val="00AD04F2"/>
    <w:rsid w:val="00AD0504"/>
    <w:rsid w:val="00AD058C"/>
    <w:rsid w:val="00AD05B3"/>
    <w:rsid w:val="00AD05C5"/>
    <w:rsid w:val="00AD05E5"/>
    <w:rsid w:val="00AD05F5"/>
    <w:rsid w:val="00AD062B"/>
    <w:rsid w:val="00AD0670"/>
    <w:rsid w:val="00AD077A"/>
    <w:rsid w:val="00AD0894"/>
    <w:rsid w:val="00AD0A8C"/>
    <w:rsid w:val="00AD0AB7"/>
    <w:rsid w:val="00AD0B22"/>
    <w:rsid w:val="00AD0B9D"/>
    <w:rsid w:val="00AD0C58"/>
    <w:rsid w:val="00AD0C7D"/>
    <w:rsid w:val="00AD0C84"/>
    <w:rsid w:val="00AD0F63"/>
    <w:rsid w:val="00AD113E"/>
    <w:rsid w:val="00AD126E"/>
    <w:rsid w:val="00AD1425"/>
    <w:rsid w:val="00AD1507"/>
    <w:rsid w:val="00AD15BE"/>
    <w:rsid w:val="00AD16B6"/>
    <w:rsid w:val="00AD1723"/>
    <w:rsid w:val="00AD1795"/>
    <w:rsid w:val="00AD17C6"/>
    <w:rsid w:val="00AD17D2"/>
    <w:rsid w:val="00AD17FC"/>
    <w:rsid w:val="00AD181C"/>
    <w:rsid w:val="00AD182F"/>
    <w:rsid w:val="00AD1B02"/>
    <w:rsid w:val="00AD1CC0"/>
    <w:rsid w:val="00AD1D64"/>
    <w:rsid w:val="00AD1F10"/>
    <w:rsid w:val="00AD1F1E"/>
    <w:rsid w:val="00AD1FBA"/>
    <w:rsid w:val="00AD1FC5"/>
    <w:rsid w:val="00AD209D"/>
    <w:rsid w:val="00AD21B1"/>
    <w:rsid w:val="00AD21E9"/>
    <w:rsid w:val="00AD2255"/>
    <w:rsid w:val="00AD2332"/>
    <w:rsid w:val="00AD239C"/>
    <w:rsid w:val="00AD2820"/>
    <w:rsid w:val="00AD283B"/>
    <w:rsid w:val="00AD2870"/>
    <w:rsid w:val="00AD2947"/>
    <w:rsid w:val="00AD29EC"/>
    <w:rsid w:val="00AD29FA"/>
    <w:rsid w:val="00AD2B31"/>
    <w:rsid w:val="00AD2B80"/>
    <w:rsid w:val="00AD2D5A"/>
    <w:rsid w:val="00AD2EA8"/>
    <w:rsid w:val="00AD3173"/>
    <w:rsid w:val="00AD3253"/>
    <w:rsid w:val="00AD32CD"/>
    <w:rsid w:val="00AD34B0"/>
    <w:rsid w:val="00AD35EB"/>
    <w:rsid w:val="00AD36EC"/>
    <w:rsid w:val="00AD384A"/>
    <w:rsid w:val="00AD3854"/>
    <w:rsid w:val="00AD3876"/>
    <w:rsid w:val="00AD38A9"/>
    <w:rsid w:val="00AD3964"/>
    <w:rsid w:val="00AD3A11"/>
    <w:rsid w:val="00AD3CD0"/>
    <w:rsid w:val="00AD3DC3"/>
    <w:rsid w:val="00AD3E80"/>
    <w:rsid w:val="00AD423C"/>
    <w:rsid w:val="00AD436E"/>
    <w:rsid w:val="00AD4527"/>
    <w:rsid w:val="00AD4724"/>
    <w:rsid w:val="00AD472F"/>
    <w:rsid w:val="00AD492D"/>
    <w:rsid w:val="00AD4A78"/>
    <w:rsid w:val="00AD4B4A"/>
    <w:rsid w:val="00AD4BD4"/>
    <w:rsid w:val="00AD4D3B"/>
    <w:rsid w:val="00AD4D7F"/>
    <w:rsid w:val="00AD4DA4"/>
    <w:rsid w:val="00AD4DC5"/>
    <w:rsid w:val="00AD4EED"/>
    <w:rsid w:val="00AD4F5A"/>
    <w:rsid w:val="00AD4F85"/>
    <w:rsid w:val="00AD4FE8"/>
    <w:rsid w:val="00AD50B4"/>
    <w:rsid w:val="00AD53EB"/>
    <w:rsid w:val="00AD543A"/>
    <w:rsid w:val="00AD54C4"/>
    <w:rsid w:val="00AD5644"/>
    <w:rsid w:val="00AD57AB"/>
    <w:rsid w:val="00AD57B6"/>
    <w:rsid w:val="00AD5882"/>
    <w:rsid w:val="00AD5A7A"/>
    <w:rsid w:val="00AD5D23"/>
    <w:rsid w:val="00AD5D44"/>
    <w:rsid w:val="00AD5EED"/>
    <w:rsid w:val="00AD5FCC"/>
    <w:rsid w:val="00AD6067"/>
    <w:rsid w:val="00AD60BC"/>
    <w:rsid w:val="00AD6139"/>
    <w:rsid w:val="00AD616F"/>
    <w:rsid w:val="00AD618B"/>
    <w:rsid w:val="00AD629A"/>
    <w:rsid w:val="00AD6431"/>
    <w:rsid w:val="00AD6436"/>
    <w:rsid w:val="00AD646D"/>
    <w:rsid w:val="00AD650C"/>
    <w:rsid w:val="00AD6559"/>
    <w:rsid w:val="00AD65AA"/>
    <w:rsid w:val="00AD669A"/>
    <w:rsid w:val="00AD684B"/>
    <w:rsid w:val="00AD686A"/>
    <w:rsid w:val="00AD6901"/>
    <w:rsid w:val="00AD6A1F"/>
    <w:rsid w:val="00AD6A4C"/>
    <w:rsid w:val="00AD6AA3"/>
    <w:rsid w:val="00AD6C4F"/>
    <w:rsid w:val="00AD6D8F"/>
    <w:rsid w:val="00AD6E79"/>
    <w:rsid w:val="00AD70B9"/>
    <w:rsid w:val="00AD7294"/>
    <w:rsid w:val="00AD7336"/>
    <w:rsid w:val="00AD7449"/>
    <w:rsid w:val="00AD7551"/>
    <w:rsid w:val="00AD771A"/>
    <w:rsid w:val="00AD7814"/>
    <w:rsid w:val="00AD7892"/>
    <w:rsid w:val="00AD7912"/>
    <w:rsid w:val="00AD7ACF"/>
    <w:rsid w:val="00AD7B25"/>
    <w:rsid w:val="00AD7B66"/>
    <w:rsid w:val="00AD7BAA"/>
    <w:rsid w:val="00AD7C78"/>
    <w:rsid w:val="00AD7D6C"/>
    <w:rsid w:val="00AD7DB6"/>
    <w:rsid w:val="00AD7DDB"/>
    <w:rsid w:val="00AD7E41"/>
    <w:rsid w:val="00AD7ED3"/>
    <w:rsid w:val="00AD7F38"/>
    <w:rsid w:val="00ADA8CD"/>
    <w:rsid w:val="00AE00B2"/>
    <w:rsid w:val="00AE0169"/>
    <w:rsid w:val="00AE0259"/>
    <w:rsid w:val="00AE02F0"/>
    <w:rsid w:val="00AE04A4"/>
    <w:rsid w:val="00AE04CE"/>
    <w:rsid w:val="00AE0554"/>
    <w:rsid w:val="00AE0586"/>
    <w:rsid w:val="00AE05A2"/>
    <w:rsid w:val="00AE0644"/>
    <w:rsid w:val="00AE0717"/>
    <w:rsid w:val="00AE076C"/>
    <w:rsid w:val="00AE0850"/>
    <w:rsid w:val="00AE092D"/>
    <w:rsid w:val="00AE0998"/>
    <w:rsid w:val="00AE0A1A"/>
    <w:rsid w:val="00AE0A6A"/>
    <w:rsid w:val="00AE0A6B"/>
    <w:rsid w:val="00AE0B89"/>
    <w:rsid w:val="00AE0BB9"/>
    <w:rsid w:val="00AE0BDE"/>
    <w:rsid w:val="00AE0EED"/>
    <w:rsid w:val="00AE0F9A"/>
    <w:rsid w:val="00AE10B2"/>
    <w:rsid w:val="00AE110E"/>
    <w:rsid w:val="00AE11DB"/>
    <w:rsid w:val="00AE1319"/>
    <w:rsid w:val="00AE13E5"/>
    <w:rsid w:val="00AE13FA"/>
    <w:rsid w:val="00AE14CE"/>
    <w:rsid w:val="00AE1530"/>
    <w:rsid w:val="00AE1548"/>
    <w:rsid w:val="00AE192D"/>
    <w:rsid w:val="00AE192E"/>
    <w:rsid w:val="00AE1988"/>
    <w:rsid w:val="00AE1A14"/>
    <w:rsid w:val="00AE1A25"/>
    <w:rsid w:val="00AE1C4B"/>
    <w:rsid w:val="00AE1E21"/>
    <w:rsid w:val="00AE1FA4"/>
    <w:rsid w:val="00AE1FFE"/>
    <w:rsid w:val="00AE2016"/>
    <w:rsid w:val="00AE214E"/>
    <w:rsid w:val="00AE2262"/>
    <w:rsid w:val="00AE234C"/>
    <w:rsid w:val="00AE23D2"/>
    <w:rsid w:val="00AE2468"/>
    <w:rsid w:val="00AE24E9"/>
    <w:rsid w:val="00AE256C"/>
    <w:rsid w:val="00AE26B9"/>
    <w:rsid w:val="00AE27EC"/>
    <w:rsid w:val="00AE289A"/>
    <w:rsid w:val="00AE28A0"/>
    <w:rsid w:val="00AE28A5"/>
    <w:rsid w:val="00AE28D0"/>
    <w:rsid w:val="00AE2A6E"/>
    <w:rsid w:val="00AE2AFF"/>
    <w:rsid w:val="00AE2B5B"/>
    <w:rsid w:val="00AE2B65"/>
    <w:rsid w:val="00AE2DF3"/>
    <w:rsid w:val="00AE2E1F"/>
    <w:rsid w:val="00AE2EDD"/>
    <w:rsid w:val="00AE2EFE"/>
    <w:rsid w:val="00AE31F3"/>
    <w:rsid w:val="00AE3640"/>
    <w:rsid w:val="00AE36A0"/>
    <w:rsid w:val="00AE36B9"/>
    <w:rsid w:val="00AE36E2"/>
    <w:rsid w:val="00AE3787"/>
    <w:rsid w:val="00AE3968"/>
    <w:rsid w:val="00AE3994"/>
    <w:rsid w:val="00AE3A56"/>
    <w:rsid w:val="00AE3A89"/>
    <w:rsid w:val="00AE3B38"/>
    <w:rsid w:val="00AE3DE0"/>
    <w:rsid w:val="00AE3DF3"/>
    <w:rsid w:val="00AE4018"/>
    <w:rsid w:val="00AE409E"/>
    <w:rsid w:val="00AE40E6"/>
    <w:rsid w:val="00AE4132"/>
    <w:rsid w:val="00AE41D5"/>
    <w:rsid w:val="00AE42AF"/>
    <w:rsid w:val="00AE4327"/>
    <w:rsid w:val="00AE4329"/>
    <w:rsid w:val="00AE44F4"/>
    <w:rsid w:val="00AE4565"/>
    <w:rsid w:val="00AE457E"/>
    <w:rsid w:val="00AE4599"/>
    <w:rsid w:val="00AE4618"/>
    <w:rsid w:val="00AE4668"/>
    <w:rsid w:val="00AE4683"/>
    <w:rsid w:val="00AE46D3"/>
    <w:rsid w:val="00AE4725"/>
    <w:rsid w:val="00AE4786"/>
    <w:rsid w:val="00AE47CD"/>
    <w:rsid w:val="00AE49A4"/>
    <w:rsid w:val="00AE4A20"/>
    <w:rsid w:val="00AE4A79"/>
    <w:rsid w:val="00AE4AAF"/>
    <w:rsid w:val="00AE4B67"/>
    <w:rsid w:val="00AE4CF5"/>
    <w:rsid w:val="00AE4D1A"/>
    <w:rsid w:val="00AE4D25"/>
    <w:rsid w:val="00AE4D38"/>
    <w:rsid w:val="00AE4D56"/>
    <w:rsid w:val="00AE4EF6"/>
    <w:rsid w:val="00AE4F68"/>
    <w:rsid w:val="00AE506F"/>
    <w:rsid w:val="00AE5094"/>
    <w:rsid w:val="00AE5101"/>
    <w:rsid w:val="00AE51D4"/>
    <w:rsid w:val="00AE5385"/>
    <w:rsid w:val="00AE53D9"/>
    <w:rsid w:val="00AE549D"/>
    <w:rsid w:val="00AE551F"/>
    <w:rsid w:val="00AE552B"/>
    <w:rsid w:val="00AE5564"/>
    <w:rsid w:val="00AE55C4"/>
    <w:rsid w:val="00AE5622"/>
    <w:rsid w:val="00AE56BC"/>
    <w:rsid w:val="00AE5746"/>
    <w:rsid w:val="00AE579D"/>
    <w:rsid w:val="00AE57A9"/>
    <w:rsid w:val="00AE5936"/>
    <w:rsid w:val="00AE598D"/>
    <w:rsid w:val="00AE59FE"/>
    <w:rsid w:val="00AE5B45"/>
    <w:rsid w:val="00AE5B64"/>
    <w:rsid w:val="00AE5C03"/>
    <w:rsid w:val="00AE5D3F"/>
    <w:rsid w:val="00AE6000"/>
    <w:rsid w:val="00AE6006"/>
    <w:rsid w:val="00AE610A"/>
    <w:rsid w:val="00AE6211"/>
    <w:rsid w:val="00AE6263"/>
    <w:rsid w:val="00AE62DB"/>
    <w:rsid w:val="00AE633A"/>
    <w:rsid w:val="00AE634A"/>
    <w:rsid w:val="00AE63F3"/>
    <w:rsid w:val="00AE64BB"/>
    <w:rsid w:val="00AE64D1"/>
    <w:rsid w:val="00AE6679"/>
    <w:rsid w:val="00AE667E"/>
    <w:rsid w:val="00AE66DC"/>
    <w:rsid w:val="00AE66E3"/>
    <w:rsid w:val="00AE68A0"/>
    <w:rsid w:val="00AE6A02"/>
    <w:rsid w:val="00AE6A6F"/>
    <w:rsid w:val="00AE6A9F"/>
    <w:rsid w:val="00AE6AA6"/>
    <w:rsid w:val="00AE6B05"/>
    <w:rsid w:val="00AE6CDC"/>
    <w:rsid w:val="00AE6D01"/>
    <w:rsid w:val="00AE6D51"/>
    <w:rsid w:val="00AE6E68"/>
    <w:rsid w:val="00AE6E7D"/>
    <w:rsid w:val="00AE6EB6"/>
    <w:rsid w:val="00AE6FDF"/>
    <w:rsid w:val="00AE7043"/>
    <w:rsid w:val="00AE70C3"/>
    <w:rsid w:val="00AE715E"/>
    <w:rsid w:val="00AE7160"/>
    <w:rsid w:val="00AE7169"/>
    <w:rsid w:val="00AE7274"/>
    <w:rsid w:val="00AE7288"/>
    <w:rsid w:val="00AE72BC"/>
    <w:rsid w:val="00AE7301"/>
    <w:rsid w:val="00AE7315"/>
    <w:rsid w:val="00AE7323"/>
    <w:rsid w:val="00AE74FC"/>
    <w:rsid w:val="00AE7656"/>
    <w:rsid w:val="00AE765F"/>
    <w:rsid w:val="00AE7689"/>
    <w:rsid w:val="00AE7694"/>
    <w:rsid w:val="00AE7880"/>
    <w:rsid w:val="00AE793B"/>
    <w:rsid w:val="00AE7947"/>
    <w:rsid w:val="00AE79B6"/>
    <w:rsid w:val="00AE79C1"/>
    <w:rsid w:val="00AE7A8D"/>
    <w:rsid w:val="00AE7C14"/>
    <w:rsid w:val="00AE7C31"/>
    <w:rsid w:val="00AE7D5D"/>
    <w:rsid w:val="00AE7DC3"/>
    <w:rsid w:val="00AF034A"/>
    <w:rsid w:val="00AF0397"/>
    <w:rsid w:val="00AF0454"/>
    <w:rsid w:val="00AF04D3"/>
    <w:rsid w:val="00AF05B0"/>
    <w:rsid w:val="00AF0636"/>
    <w:rsid w:val="00AF06A8"/>
    <w:rsid w:val="00AF06DB"/>
    <w:rsid w:val="00AF06F6"/>
    <w:rsid w:val="00AF0797"/>
    <w:rsid w:val="00AF07C3"/>
    <w:rsid w:val="00AF07E6"/>
    <w:rsid w:val="00AF084E"/>
    <w:rsid w:val="00AF0880"/>
    <w:rsid w:val="00AF08F8"/>
    <w:rsid w:val="00AF0A1E"/>
    <w:rsid w:val="00AF0ACE"/>
    <w:rsid w:val="00AF0B2D"/>
    <w:rsid w:val="00AF0B3E"/>
    <w:rsid w:val="00AF0CAA"/>
    <w:rsid w:val="00AF0CB1"/>
    <w:rsid w:val="00AF0D06"/>
    <w:rsid w:val="00AF0E28"/>
    <w:rsid w:val="00AF1015"/>
    <w:rsid w:val="00AF10D9"/>
    <w:rsid w:val="00AF11F0"/>
    <w:rsid w:val="00AF1297"/>
    <w:rsid w:val="00AF1377"/>
    <w:rsid w:val="00AF13CD"/>
    <w:rsid w:val="00AF1463"/>
    <w:rsid w:val="00AF1734"/>
    <w:rsid w:val="00AF1785"/>
    <w:rsid w:val="00AF17CD"/>
    <w:rsid w:val="00AF1851"/>
    <w:rsid w:val="00AF1A8E"/>
    <w:rsid w:val="00AF1BC0"/>
    <w:rsid w:val="00AF1FF7"/>
    <w:rsid w:val="00AF2523"/>
    <w:rsid w:val="00AF266A"/>
    <w:rsid w:val="00AF2722"/>
    <w:rsid w:val="00AF2752"/>
    <w:rsid w:val="00AF2861"/>
    <w:rsid w:val="00AF288F"/>
    <w:rsid w:val="00AF2974"/>
    <w:rsid w:val="00AF2A62"/>
    <w:rsid w:val="00AF2B17"/>
    <w:rsid w:val="00AF2C13"/>
    <w:rsid w:val="00AF2D3C"/>
    <w:rsid w:val="00AF2D89"/>
    <w:rsid w:val="00AF2DFF"/>
    <w:rsid w:val="00AF2EBF"/>
    <w:rsid w:val="00AF2F6C"/>
    <w:rsid w:val="00AF309D"/>
    <w:rsid w:val="00AF30C2"/>
    <w:rsid w:val="00AF3112"/>
    <w:rsid w:val="00AF3145"/>
    <w:rsid w:val="00AF31DF"/>
    <w:rsid w:val="00AF3211"/>
    <w:rsid w:val="00AF327B"/>
    <w:rsid w:val="00AF32AC"/>
    <w:rsid w:val="00AF35E5"/>
    <w:rsid w:val="00AF36F6"/>
    <w:rsid w:val="00AF374C"/>
    <w:rsid w:val="00AF37E7"/>
    <w:rsid w:val="00AF3813"/>
    <w:rsid w:val="00AF3AF5"/>
    <w:rsid w:val="00AF3BFE"/>
    <w:rsid w:val="00AF3C16"/>
    <w:rsid w:val="00AF3D4A"/>
    <w:rsid w:val="00AF3E38"/>
    <w:rsid w:val="00AF3E75"/>
    <w:rsid w:val="00AF3EC6"/>
    <w:rsid w:val="00AF3FA8"/>
    <w:rsid w:val="00AF412A"/>
    <w:rsid w:val="00AF41B5"/>
    <w:rsid w:val="00AF4225"/>
    <w:rsid w:val="00AF42AA"/>
    <w:rsid w:val="00AF42AF"/>
    <w:rsid w:val="00AF443E"/>
    <w:rsid w:val="00AF445F"/>
    <w:rsid w:val="00AF44B3"/>
    <w:rsid w:val="00AF4504"/>
    <w:rsid w:val="00AF4517"/>
    <w:rsid w:val="00AF455F"/>
    <w:rsid w:val="00AF461A"/>
    <w:rsid w:val="00AF464D"/>
    <w:rsid w:val="00AF4691"/>
    <w:rsid w:val="00AF4775"/>
    <w:rsid w:val="00AF489F"/>
    <w:rsid w:val="00AF4A96"/>
    <w:rsid w:val="00AF4B58"/>
    <w:rsid w:val="00AF4B90"/>
    <w:rsid w:val="00AF4C7F"/>
    <w:rsid w:val="00AF4C94"/>
    <w:rsid w:val="00AF4CE5"/>
    <w:rsid w:val="00AF4F93"/>
    <w:rsid w:val="00AF5035"/>
    <w:rsid w:val="00AF503E"/>
    <w:rsid w:val="00AF52C3"/>
    <w:rsid w:val="00AF53F7"/>
    <w:rsid w:val="00AF5402"/>
    <w:rsid w:val="00AF55F0"/>
    <w:rsid w:val="00AF55F3"/>
    <w:rsid w:val="00AF56A8"/>
    <w:rsid w:val="00AF57CC"/>
    <w:rsid w:val="00AF583D"/>
    <w:rsid w:val="00AF5A68"/>
    <w:rsid w:val="00AF5B82"/>
    <w:rsid w:val="00AF5C17"/>
    <w:rsid w:val="00AF5C87"/>
    <w:rsid w:val="00AF5DF8"/>
    <w:rsid w:val="00AF5F0D"/>
    <w:rsid w:val="00AF5F79"/>
    <w:rsid w:val="00AF5FF0"/>
    <w:rsid w:val="00AF5FF8"/>
    <w:rsid w:val="00AF606F"/>
    <w:rsid w:val="00AF60A9"/>
    <w:rsid w:val="00AF616C"/>
    <w:rsid w:val="00AF6191"/>
    <w:rsid w:val="00AF61EC"/>
    <w:rsid w:val="00AF62BA"/>
    <w:rsid w:val="00AF62F7"/>
    <w:rsid w:val="00AF650A"/>
    <w:rsid w:val="00AF655B"/>
    <w:rsid w:val="00AF6572"/>
    <w:rsid w:val="00AF65B7"/>
    <w:rsid w:val="00AF6603"/>
    <w:rsid w:val="00AF6981"/>
    <w:rsid w:val="00AF6BD5"/>
    <w:rsid w:val="00AF6C25"/>
    <w:rsid w:val="00AF6C40"/>
    <w:rsid w:val="00AF6C7E"/>
    <w:rsid w:val="00AF6D1B"/>
    <w:rsid w:val="00AF6DA9"/>
    <w:rsid w:val="00AF6E54"/>
    <w:rsid w:val="00AF6EAD"/>
    <w:rsid w:val="00AF6EFE"/>
    <w:rsid w:val="00AF6F8F"/>
    <w:rsid w:val="00AF7096"/>
    <w:rsid w:val="00AF7154"/>
    <w:rsid w:val="00AF71FD"/>
    <w:rsid w:val="00AF7242"/>
    <w:rsid w:val="00AF72D4"/>
    <w:rsid w:val="00AF740E"/>
    <w:rsid w:val="00AF7450"/>
    <w:rsid w:val="00AF74E7"/>
    <w:rsid w:val="00AF765D"/>
    <w:rsid w:val="00AF77BF"/>
    <w:rsid w:val="00AF782D"/>
    <w:rsid w:val="00AF7A9B"/>
    <w:rsid w:val="00AF7ACF"/>
    <w:rsid w:val="00AF7AF8"/>
    <w:rsid w:val="00AF7BA5"/>
    <w:rsid w:val="00AF7BBF"/>
    <w:rsid w:val="00AF7C8D"/>
    <w:rsid w:val="00AF7CBA"/>
    <w:rsid w:val="00AF7E60"/>
    <w:rsid w:val="00AF7E79"/>
    <w:rsid w:val="00AF7E9D"/>
    <w:rsid w:val="00AF7FDC"/>
    <w:rsid w:val="00AFDEB7"/>
    <w:rsid w:val="00B0027D"/>
    <w:rsid w:val="00B002CF"/>
    <w:rsid w:val="00B002F4"/>
    <w:rsid w:val="00B00342"/>
    <w:rsid w:val="00B005FA"/>
    <w:rsid w:val="00B00700"/>
    <w:rsid w:val="00B00750"/>
    <w:rsid w:val="00B007A5"/>
    <w:rsid w:val="00B007FD"/>
    <w:rsid w:val="00B0086F"/>
    <w:rsid w:val="00B00917"/>
    <w:rsid w:val="00B00998"/>
    <w:rsid w:val="00B00A34"/>
    <w:rsid w:val="00B00A7B"/>
    <w:rsid w:val="00B00AAC"/>
    <w:rsid w:val="00B00B23"/>
    <w:rsid w:val="00B00C14"/>
    <w:rsid w:val="00B00D0C"/>
    <w:rsid w:val="00B00D23"/>
    <w:rsid w:val="00B00EA4"/>
    <w:rsid w:val="00B00EB0"/>
    <w:rsid w:val="00B00F24"/>
    <w:rsid w:val="00B01032"/>
    <w:rsid w:val="00B01097"/>
    <w:rsid w:val="00B0109E"/>
    <w:rsid w:val="00B010D0"/>
    <w:rsid w:val="00B011E9"/>
    <w:rsid w:val="00B01407"/>
    <w:rsid w:val="00B0140E"/>
    <w:rsid w:val="00B0146C"/>
    <w:rsid w:val="00B014DF"/>
    <w:rsid w:val="00B01527"/>
    <w:rsid w:val="00B01542"/>
    <w:rsid w:val="00B01571"/>
    <w:rsid w:val="00B01749"/>
    <w:rsid w:val="00B01893"/>
    <w:rsid w:val="00B018DB"/>
    <w:rsid w:val="00B019F7"/>
    <w:rsid w:val="00B01AF7"/>
    <w:rsid w:val="00B01AFE"/>
    <w:rsid w:val="00B01B86"/>
    <w:rsid w:val="00B01BBF"/>
    <w:rsid w:val="00B01BF5"/>
    <w:rsid w:val="00B01C15"/>
    <w:rsid w:val="00B01C47"/>
    <w:rsid w:val="00B01C86"/>
    <w:rsid w:val="00B01D5D"/>
    <w:rsid w:val="00B01DC4"/>
    <w:rsid w:val="00B01DE3"/>
    <w:rsid w:val="00B01E9B"/>
    <w:rsid w:val="00B01F4B"/>
    <w:rsid w:val="00B01FD1"/>
    <w:rsid w:val="00B0210B"/>
    <w:rsid w:val="00B0211C"/>
    <w:rsid w:val="00B021EE"/>
    <w:rsid w:val="00B021FA"/>
    <w:rsid w:val="00B022B6"/>
    <w:rsid w:val="00B022B7"/>
    <w:rsid w:val="00B022D9"/>
    <w:rsid w:val="00B022F0"/>
    <w:rsid w:val="00B02337"/>
    <w:rsid w:val="00B023C6"/>
    <w:rsid w:val="00B0254E"/>
    <w:rsid w:val="00B02589"/>
    <w:rsid w:val="00B02621"/>
    <w:rsid w:val="00B02689"/>
    <w:rsid w:val="00B02712"/>
    <w:rsid w:val="00B02742"/>
    <w:rsid w:val="00B02773"/>
    <w:rsid w:val="00B027A3"/>
    <w:rsid w:val="00B027F6"/>
    <w:rsid w:val="00B02873"/>
    <w:rsid w:val="00B029FE"/>
    <w:rsid w:val="00B02AA9"/>
    <w:rsid w:val="00B02ABA"/>
    <w:rsid w:val="00B02B07"/>
    <w:rsid w:val="00B02B8D"/>
    <w:rsid w:val="00B02C7C"/>
    <w:rsid w:val="00B02CDC"/>
    <w:rsid w:val="00B02DA6"/>
    <w:rsid w:val="00B02DCB"/>
    <w:rsid w:val="00B02E99"/>
    <w:rsid w:val="00B02EB4"/>
    <w:rsid w:val="00B02EE1"/>
    <w:rsid w:val="00B02F50"/>
    <w:rsid w:val="00B02F6F"/>
    <w:rsid w:val="00B02F96"/>
    <w:rsid w:val="00B0317A"/>
    <w:rsid w:val="00B0323B"/>
    <w:rsid w:val="00B03314"/>
    <w:rsid w:val="00B0333B"/>
    <w:rsid w:val="00B03373"/>
    <w:rsid w:val="00B03374"/>
    <w:rsid w:val="00B0357B"/>
    <w:rsid w:val="00B0374F"/>
    <w:rsid w:val="00B037B9"/>
    <w:rsid w:val="00B03931"/>
    <w:rsid w:val="00B039DD"/>
    <w:rsid w:val="00B03AF3"/>
    <w:rsid w:val="00B03B6C"/>
    <w:rsid w:val="00B03B97"/>
    <w:rsid w:val="00B03C9E"/>
    <w:rsid w:val="00B03D49"/>
    <w:rsid w:val="00B03D5B"/>
    <w:rsid w:val="00B04078"/>
    <w:rsid w:val="00B041CA"/>
    <w:rsid w:val="00B04226"/>
    <w:rsid w:val="00B043D8"/>
    <w:rsid w:val="00B043F2"/>
    <w:rsid w:val="00B0457A"/>
    <w:rsid w:val="00B0461D"/>
    <w:rsid w:val="00B046DA"/>
    <w:rsid w:val="00B04857"/>
    <w:rsid w:val="00B04BCD"/>
    <w:rsid w:val="00B04C5C"/>
    <w:rsid w:val="00B04D2C"/>
    <w:rsid w:val="00B04D32"/>
    <w:rsid w:val="00B04D71"/>
    <w:rsid w:val="00B04EE0"/>
    <w:rsid w:val="00B04FE9"/>
    <w:rsid w:val="00B0505C"/>
    <w:rsid w:val="00B05101"/>
    <w:rsid w:val="00B0513A"/>
    <w:rsid w:val="00B053D8"/>
    <w:rsid w:val="00B053E2"/>
    <w:rsid w:val="00B05515"/>
    <w:rsid w:val="00B0565C"/>
    <w:rsid w:val="00B05732"/>
    <w:rsid w:val="00B0585B"/>
    <w:rsid w:val="00B05976"/>
    <w:rsid w:val="00B059DD"/>
    <w:rsid w:val="00B059E5"/>
    <w:rsid w:val="00B05AE4"/>
    <w:rsid w:val="00B05BB1"/>
    <w:rsid w:val="00B05BDD"/>
    <w:rsid w:val="00B05CD0"/>
    <w:rsid w:val="00B05DFD"/>
    <w:rsid w:val="00B05FA6"/>
    <w:rsid w:val="00B05FFE"/>
    <w:rsid w:val="00B0601D"/>
    <w:rsid w:val="00B06048"/>
    <w:rsid w:val="00B060FF"/>
    <w:rsid w:val="00B063F4"/>
    <w:rsid w:val="00B064F4"/>
    <w:rsid w:val="00B066BF"/>
    <w:rsid w:val="00B067F2"/>
    <w:rsid w:val="00B06822"/>
    <w:rsid w:val="00B06871"/>
    <w:rsid w:val="00B068DF"/>
    <w:rsid w:val="00B069B0"/>
    <w:rsid w:val="00B069F8"/>
    <w:rsid w:val="00B06A02"/>
    <w:rsid w:val="00B06A38"/>
    <w:rsid w:val="00B06AE7"/>
    <w:rsid w:val="00B06B88"/>
    <w:rsid w:val="00B06B9B"/>
    <w:rsid w:val="00B06E04"/>
    <w:rsid w:val="00B06EC6"/>
    <w:rsid w:val="00B0700A"/>
    <w:rsid w:val="00B0701F"/>
    <w:rsid w:val="00B07039"/>
    <w:rsid w:val="00B0705E"/>
    <w:rsid w:val="00B07115"/>
    <w:rsid w:val="00B07128"/>
    <w:rsid w:val="00B07159"/>
    <w:rsid w:val="00B071E9"/>
    <w:rsid w:val="00B0767C"/>
    <w:rsid w:val="00B0769F"/>
    <w:rsid w:val="00B076E0"/>
    <w:rsid w:val="00B07827"/>
    <w:rsid w:val="00B078BC"/>
    <w:rsid w:val="00B07930"/>
    <w:rsid w:val="00B07958"/>
    <w:rsid w:val="00B07962"/>
    <w:rsid w:val="00B079FE"/>
    <w:rsid w:val="00B07B05"/>
    <w:rsid w:val="00B07B19"/>
    <w:rsid w:val="00B07B2B"/>
    <w:rsid w:val="00B07B56"/>
    <w:rsid w:val="00B07BB1"/>
    <w:rsid w:val="00B07BD1"/>
    <w:rsid w:val="00B07C78"/>
    <w:rsid w:val="00B07E92"/>
    <w:rsid w:val="00B07F21"/>
    <w:rsid w:val="00B07FAE"/>
    <w:rsid w:val="00B0B9CA"/>
    <w:rsid w:val="00B100F9"/>
    <w:rsid w:val="00B10116"/>
    <w:rsid w:val="00B101EE"/>
    <w:rsid w:val="00B1033B"/>
    <w:rsid w:val="00B103A8"/>
    <w:rsid w:val="00B103E4"/>
    <w:rsid w:val="00B104B2"/>
    <w:rsid w:val="00B10521"/>
    <w:rsid w:val="00B105F5"/>
    <w:rsid w:val="00B10614"/>
    <w:rsid w:val="00B10684"/>
    <w:rsid w:val="00B1070F"/>
    <w:rsid w:val="00B1075A"/>
    <w:rsid w:val="00B107B6"/>
    <w:rsid w:val="00B107CB"/>
    <w:rsid w:val="00B107E1"/>
    <w:rsid w:val="00B107E5"/>
    <w:rsid w:val="00B10883"/>
    <w:rsid w:val="00B10A99"/>
    <w:rsid w:val="00B10AC0"/>
    <w:rsid w:val="00B10AC9"/>
    <w:rsid w:val="00B10B30"/>
    <w:rsid w:val="00B10B5F"/>
    <w:rsid w:val="00B10BAD"/>
    <w:rsid w:val="00B10DB5"/>
    <w:rsid w:val="00B10EC1"/>
    <w:rsid w:val="00B10EE7"/>
    <w:rsid w:val="00B10EF1"/>
    <w:rsid w:val="00B10EF5"/>
    <w:rsid w:val="00B10FD2"/>
    <w:rsid w:val="00B111E9"/>
    <w:rsid w:val="00B113A1"/>
    <w:rsid w:val="00B11511"/>
    <w:rsid w:val="00B115AC"/>
    <w:rsid w:val="00B117E1"/>
    <w:rsid w:val="00B1182A"/>
    <w:rsid w:val="00B118B9"/>
    <w:rsid w:val="00B1196B"/>
    <w:rsid w:val="00B11A6C"/>
    <w:rsid w:val="00B11AAD"/>
    <w:rsid w:val="00B11BCD"/>
    <w:rsid w:val="00B11C60"/>
    <w:rsid w:val="00B11C7D"/>
    <w:rsid w:val="00B11D45"/>
    <w:rsid w:val="00B11D4C"/>
    <w:rsid w:val="00B11F1C"/>
    <w:rsid w:val="00B11FA4"/>
    <w:rsid w:val="00B1206F"/>
    <w:rsid w:val="00B121CE"/>
    <w:rsid w:val="00B12252"/>
    <w:rsid w:val="00B122A8"/>
    <w:rsid w:val="00B12387"/>
    <w:rsid w:val="00B123ED"/>
    <w:rsid w:val="00B12491"/>
    <w:rsid w:val="00B124B4"/>
    <w:rsid w:val="00B1273E"/>
    <w:rsid w:val="00B127CE"/>
    <w:rsid w:val="00B127F1"/>
    <w:rsid w:val="00B128EE"/>
    <w:rsid w:val="00B129B3"/>
    <w:rsid w:val="00B12A52"/>
    <w:rsid w:val="00B12AA5"/>
    <w:rsid w:val="00B12B87"/>
    <w:rsid w:val="00B12BAA"/>
    <w:rsid w:val="00B12EB3"/>
    <w:rsid w:val="00B12F38"/>
    <w:rsid w:val="00B1305D"/>
    <w:rsid w:val="00B1308A"/>
    <w:rsid w:val="00B132FA"/>
    <w:rsid w:val="00B132FF"/>
    <w:rsid w:val="00B13337"/>
    <w:rsid w:val="00B13443"/>
    <w:rsid w:val="00B1345F"/>
    <w:rsid w:val="00B13584"/>
    <w:rsid w:val="00B135D5"/>
    <w:rsid w:val="00B1367D"/>
    <w:rsid w:val="00B136EC"/>
    <w:rsid w:val="00B137A4"/>
    <w:rsid w:val="00B13815"/>
    <w:rsid w:val="00B13888"/>
    <w:rsid w:val="00B13909"/>
    <w:rsid w:val="00B13923"/>
    <w:rsid w:val="00B1396B"/>
    <w:rsid w:val="00B139A6"/>
    <w:rsid w:val="00B13BA1"/>
    <w:rsid w:val="00B13BD4"/>
    <w:rsid w:val="00B13C71"/>
    <w:rsid w:val="00B13CB9"/>
    <w:rsid w:val="00B13F4B"/>
    <w:rsid w:val="00B14010"/>
    <w:rsid w:val="00B14057"/>
    <w:rsid w:val="00B142C6"/>
    <w:rsid w:val="00B14364"/>
    <w:rsid w:val="00B1445B"/>
    <w:rsid w:val="00B145BD"/>
    <w:rsid w:val="00B145FB"/>
    <w:rsid w:val="00B1461F"/>
    <w:rsid w:val="00B14641"/>
    <w:rsid w:val="00B146AC"/>
    <w:rsid w:val="00B14A47"/>
    <w:rsid w:val="00B14A82"/>
    <w:rsid w:val="00B14BAC"/>
    <w:rsid w:val="00B14C02"/>
    <w:rsid w:val="00B14C3F"/>
    <w:rsid w:val="00B14D73"/>
    <w:rsid w:val="00B15133"/>
    <w:rsid w:val="00B1514F"/>
    <w:rsid w:val="00B151A7"/>
    <w:rsid w:val="00B151D3"/>
    <w:rsid w:val="00B151E4"/>
    <w:rsid w:val="00B151FD"/>
    <w:rsid w:val="00B15279"/>
    <w:rsid w:val="00B152AE"/>
    <w:rsid w:val="00B152B0"/>
    <w:rsid w:val="00B152B9"/>
    <w:rsid w:val="00B15384"/>
    <w:rsid w:val="00B154F7"/>
    <w:rsid w:val="00B1557B"/>
    <w:rsid w:val="00B15584"/>
    <w:rsid w:val="00B155BF"/>
    <w:rsid w:val="00B15744"/>
    <w:rsid w:val="00B15792"/>
    <w:rsid w:val="00B1582E"/>
    <w:rsid w:val="00B158B0"/>
    <w:rsid w:val="00B15A99"/>
    <w:rsid w:val="00B15BAB"/>
    <w:rsid w:val="00B15BC3"/>
    <w:rsid w:val="00B16019"/>
    <w:rsid w:val="00B160C4"/>
    <w:rsid w:val="00B160D5"/>
    <w:rsid w:val="00B16471"/>
    <w:rsid w:val="00B164DB"/>
    <w:rsid w:val="00B165DA"/>
    <w:rsid w:val="00B16631"/>
    <w:rsid w:val="00B1668D"/>
    <w:rsid w:val="00B167E0"/>
    <w:rsid w:val="00B1697D"/>
    <w:rsid w:val="00B1699E"/>
    <w:rsid w:val="00B16A1E"/>
    <w:rsid w:val="00B16AF7"/>
    <w:rsid w:val="00B16B16"/>
    <w:rsid w:val="00B16B17"/>
    <w:rsid w:val="00B16B78"/>
    <w:rsid w:val="00B16DAA"/>
    <w:rsid w:val="00B16DDD"/>
    <w:rsid w:val="00B16E2A"/>
    <w:rsid w:val="00B16FB3"/>
    <w:rsid w:val="00B16FF5"/>
    <w:rsid w:val="00B17066"/>
    <w:rsid w:val="00B17185"/>
    <w:rsid w:val="00B171D4"/>
    <w:rsid w:val="00B17252"/>
    <w:rsid w:val="00B17369"/>
    <w:rsid w:val="00B17374"/>
    <w:rsid w:val="00B17376"/>
    <w:rsid w:val="00B1747B"/>
    <w:rsid w:val="00B174D6"/>
    <w:rsid w:val="00B175C7"/>
    <w:rsid w:val="00B1767C"/>
    <w:rsid w:val="00B17777"/>
    <w:rsid w:val="00B177FD"/>
    <w:rsid w:val="00B17975"/>
    <w:rsid w:val="00B17A7F"/>
    <w:rsid w:val="00B17BB6"/>
    <w:rsid w:val="00B17C02"/>
    <w:rsid w:val="00B17D34"/>
    <w:rsid w:val="00B17DC5"/>
    <w:rsid w:val="00B17DF5"/>
    <w:rsid w:val="00B17E44"/>
    <w:rsid w:val="00B17EC4"/>
    <w:rsid w:val="00B2009E"/>
    <w:rsid w:val="00B20108"/>
    <w:rsid w:val="00B20139"/>
    <w:rsid w:val="00B201F0"/>
    <w:rsid w:val="00B20399"/>
    <w:rsid w:val="00B2054A"/>
    <w:rsid w:val="00B2060B"/>
    <w:rsid w:val="00B206AA"/>
    <w:rsid w:val="00B2076E"/>
    <w:rsid w:val="00B20847"/>
    <w:rsid w:val="00B209A3"/>
    <w:rsid w:val="00B20A23"/>
    <w:rsid w:val="00B20B0D"/>
    <w:rsid w:val="00B20BCE"/>
    <w:rsid w:val="00B20BD1"/>
    <w:rsid w:val="00B20BE8"/>
    <w:rsid w:val="00B20D6C"/>
    <w:rsid w:val="00B20D70"/>
    <w:rsid w:val="00B20E3C"/>
    <w:rsid w:val="00B21109"/>
    <w:rsid w:val="00B21111"/>
    <w:rsid w:val="00B21118"/>
    <w:rsid w:val="00B2113B"/>
    <w:rsid w:val="00B212B2"/>
    <w:rsid w:val="00B214FA"/>
    <w:rsid w:val="00B21529"/>
    <w:rsid w:val="00B21596"/>
    <w:rsid w:val="00B21717"/>
    <w:rsid w:val="00B2174C"/>
    <w:rsid w:val="00B21949"/>
    <w:rsid w:val="00B21966"/>
    <w:rsid w:val="00B21ADF"/>
    <w:rsid w:val="00B21AE4"/>
    <w:rsid w:val="00B21AF8"/>
    <w:rsid w:val="00B21BA3"/>
    <w:rsid w:val="00B21BE6"/>
    <w:rsid w:val="00B21C79"/>
    <w:rsid w:val="00B21C7B"/>
    <w:rsid w:val="00B21CD5"/>
    <w:rsid w:val="00B21CDB"/>
    <w:rsid w:val="00B21D69"/>
    <w:rsid w:val="00B21E9F"/>
    <w:rsid w:val="00B21F97"/>
    <w:rsid w:val="00B2207D"/>
    <w:rsid w:val="00B2214E"/>
    <w:rsid w:val="00B22181"/>
    <w:rsid w:val="00B221DC"/>
    <w:rsid w:val="00B22377"/>
    <w:rsid w:val="00B22427"/>
    <w:rsid w:val="00B224ED"/>
    <w:rsid w:val="00B224F3"/>
    <w:rsid w:val="00B22733"/>
    <w:rsid w:val="00B2274F"/>
    <w:rsid w:val="00B22897"/>
    <w:rsid w:val="00B22980"/>
    <w:rsid w:val="00B22ADE"/>
    <w:rsid w:val="00B22AEC"/>
    <w:rsid w:val="00B22B0C"/>
    <w:rsid w:val="00B22C06"/>
    <w:rsid w:val="00B22CF1"/>
    <w:rsid w:val="00B22D2A"/>
    <w:rsid w:val="00B22D76"/>
    <w:rsid w:val="00B22DD5"/>
    <w:rsid w:val="00B22FC4"/>
    <w:rsid w:val="00B230A4"/>
    <w:rsid w:val="00B230E5"/>
    <w:rsid w:val="00B2321E"/>
    <w:rsid w:val="00B2324F"/>
    <w:rsid w:val="00B232F8"/>
    <w:rsid w:val="00B23364"/>
    <w:rsid w:val="00B233B4"/>
    <w:rsid w:val="00B2354D"/>
    <w:rsid w:val="00B23558"/>
    <w:rsid w:val="00B23577"/>
    <w:rsid w:val="00B2359D"/>
    <w:rsid w:val="00B23660"/>
    <w:rsid w:val="00B23880"/>
    <w:rsid w:val="00B239A1"/>
    <w:rsid w:val="00B23B12"/>
    <w:rsid w:val="00B23B3C"/>
    <w:rsid w:val="00B23D69"/>
    <w:rsid w:val="00B23D9A"/>
    <w:rsid w:val="00B23E53"/>
    <w:rsid w:val="00B23EFD"/>
    <w:rsid w:val="00B24049"/>
    <w:rsid w:val="00B24061"/>
    <w:rsid w:val="00B24084"/>
    <w:rsid w:val="00B241D8"/>
    <w:rsid w:val="00B24261"/>
    <w:rsid w:val="00B2428A"/>
    <w:rsid w:val="00B24320"/>
    <w:rsid w:val="00B2472D"/>
    <w:rsid w:val="00B247E4"/>
    <w:rsid w:val="00B24A99"/>
    <w:rsid w:val="00B24CB4"/>
    <w:rsid w:val="00B24D1F"/>
    <w:rsid w:val="00B24D2B"/>
    <w:rsid w:val="00B24DED"/>
    <w:rsid w:val="00B24F0C"/>
    <w:rsid w:val="00B24F97"/>
    <w:rsid w:val="00B24FCB"/>
    <w:rsid w:val="00B24FCE"/>
    <w:rsid w:val="00B2510C"/>
    <w:rsid w:val="00B25588"/>
    <w:rsid w:val="00B257B9"/>
    <w:rsid w:val="00B258EB"/>
    <w:rsid w:val="00B25907"/>
    <w:rsid w:val="00B2591B"/>
    <w:rsid w:val="00B25955"/>
    <w:rsid w:val="00B259D3"/>
    <w:rsid w:val="00B25A91"/>
    <w:rsid w:val="00B25AAC"/>
    <w:rsid w:val="00B25AD6"/>
    <w:rsid w:val="00B25BDB"/>
    <w:rsid w:val="00B25CCA"/>
    <w:rsid w:val="00B25D32"/>
    <w:rsid w:val="00B25E12"/>
    <w:rsid w:val="00B26171"/>
    <w:rsid w:val="00B261CB"/>
    <w:rsid w:val="00B2632B"/>
    <w:rsid w:val="00B2671B"/>
    <w:rsid w:val="00B2678F"/>
    <w:rsid w:val="00B26840"/>
    <w:rsid w:val="00B2685A"/>
    <w:rsid w:val="00B26927"/>
    <w:rsid w:val="00B2693F"/>
    <w:rsid w:val="00B269B3"/>
    <w:rsid w:val="00B269D1"/>
    <w:rsid w:val="00B26A35"/>
    <w:rsid w:val="00B26ABF"/>
    <w:rsid w:val="00B26BE8"/>
    <w:rsid w:val="00B26D75"/>
    <w:rsid w:val="00B26E5D"/>
    <w:rsid w:val="00B26FF2"/>
    <w:rsid w:val="00B27067"/>
    <w:rsid w:val="00B2710A"/>
    <w:rsid w:val="00B271C8"/>
    <w:rsid w:val="00B272EE"/>
    <w:rsid w:val="00B2734A"/>
    <w:rsid w:val="00B274A9"/>
    <w:rsid w:val="00B275B4"/>
    <w:rsid w:val="00B275BB"/>
    <w:rsid w:val="00B2771D"/>
    <w:rsid w:val="00B27799"/>
    <w:rsid w:val="00B27868"/>
    <w:rsid w:val="00B278F9"/>
    <w:rsid w:val="00B27922"/>
    <w:rsid w:val="00B27A2C"/>
    <w:rsid w:val="00B27A68"/>
    <w:rsid w:val="00B27AD4"/>
    <w:rsid w:val="00B27B2A"/>
    <w:rsid w:val="00B27B3F"/>
    <w:rsid w:val="00B27C08"/>
    <w:rsid w:val="00B27CD9"/>
    <w:rsid w:val="00B27E27"/>
    <w:rsid w:val="00B300F3"/>
    <w:rsid w:val="00B30134"/>
    <w:rsid w:val="00B30191"/>
    <w:rsid w:val="00B301E0"/>
    <w:rsid w:val="00B304AE"/>
    <w:rsid w:val="00B3072E"/>
    <w:rsid w:val="00B3086F"/>
    <w:rsid w:val="00B30900"/>
    <w:rsid w:val="00B30951"/>
    <w:rsid w:val="00B30A5E"/>
    <w:rsid w:val="00B30B5C"/>
    <w:rsid w:val="00B30BED"/>
    <w:rsid w:val="00B30CB2"/>
    <w:rsid w:val="00B30D44"/>
    <w:rsid w:val="00B30FAE"/>
    <w:rsid w:val="00B30FF6"/>
    <w:rsid w:val="00B31105"/>
    <w:rsid w:val="00B31149"/>
    <w:rsid w:val="00B311B5"/>
    <w:rsid w:val="00B311C2"/>
    <w:rsid w:val="00B311F8"/>
    <w:rsid w:val="00B31203"/>
    <w:rsid w:val="00B3125A"/>
    <w:rsid w:val="00B312F1"/>
    <w:rsid w:val="00B31318"/>
    <w:rsid w:val="00B31421"/>
    <w:rsid w:val="00B31449"/>
    <w:rsid w:val="00B314C1"/>
    <w:rsid w:val="00B314F8"/>
    <w:rsid w:val="00B315CA"/>
    <w:rsid w:val="00B315F5"/>
    <w:rsid w:val="00B31922"/>
    <w:rsid w:val="00B31966"/>
    <w:rsid w:val="00B31C20"/>
    <w:rsid w:val="00B31DEB"/>
    <w:rsid w:val="00B31E24"/>
    <w:rsid w:val="00B31EB5"/>
    <w:rsid w:val="00B32004"/>
    <w:rsid w:val="00B320A8"/>
    <w:rsid w:val="00B32145"/>
    <w:rsid w:val="00B3231A"/>
    <w:rsid w:val="00B325BD"/>
    <w:rsid w:val="00B3265B"/>
    <w:rsid w:val="00B3265F"/>
    <w:rsid w:val="00B326B7"/>
    <w:rsid w:val="00B326EE"/>
    <w:rsid w:val="00B32731"/>
    <w:rsid w:val="00B327E2"/>
    <w:rsid w:val="00B32967"/>
    <w:rsid w:val="00B32A06"/>
    <w:rsid w:val="00B32A7F"/>
    <w:rsid w:val="00B32A8C"/>
    <w:rsid w:val="00B32C22"/>
    <w:rsid w:val="00B32C3C"/>
    <w:rsid w:val="00B32DCE"/>
    <w:rsid w:val="00B32DE1"/>
    <w:rsid w:val="00B32DEF"/>
    <w:rsid w:val="00B32E13"/>
    <w:rsid w:val="00B33004"/>
    <w:rsid w:val="00B3317C"/>
    <w:rsid w:val="00B331AF"/>
    <w:rsid w:val="00B331EA"/>
    <w:rsid w:val="00B332F1"/>
    <w:rsid w:val="00B333E5"/>
    <w:rsid w:val="00B3353D"/>
    <w:rsid w:val="00B336F7"/>
    <w:rsid w:val="00B3373F"/>
    <w:rsid w:val="00B33792"/>
    <w:rsid w:val="00B3380B"/>
    <w:rsid w:val="00B33A41"/>
    <w:rsid w:val="00B33ADF"/>
    <w:rsid w:val="00B3420E"/>
    <w:rsid w:val="00B34399"/>
    <w:rsid w:val="00B343BA"/>
    <w:rsid w:val="00B345C8"/>
    <w:rsid w:val="00B345DA"/>
    <w:rsid w:val="00B346F2"/>
    <w:rsid w:val="00B347F6"/>
    <w:rsid w:val="00B34897"/>
    <w:rsid w:val="00B34ABE"/>
    <w:rsid w:val="00B34DEC"/>
    <w:rsid w:val="00B34E37"/>
    <w:rsid w:val="00B3546E"/>
    <w:rsid w:val="00B35597"/>
    <w:rsid w:val="00B3572B"/>
    <w:rsid w:val="00B357DD"/>
    <w:rsid w:val="00B3581E"/>
    <w:rsid w:val="00B3586F"/>
    <w:rsid w:val="00B358D0"/>
    <w:rsid w:val="00B358E2"/>
    <w:rsid w:val="00B359E0"/>
    <w:rsid w:val="00B35A2E"/>
    <w:rsid w:val="00B35A77"/>
    <w:rsid w:val="00B35B17"/>
    <w:rsid w:val="00B35B66"/>
    <w:rsid w:val="00B35B98"/>
    <w:rsid w:val="00B35C2B"/>
    <w:rsid w:val="00B35EA8"/>
    <w:rsid w:val="00B35FA7"/>
    <w:rsid w:val="00B3603E"/>
    <w:rsid w:val="00B36063"/>
    <w:rsid w:val="00B3614E"/>
    <w:rsid w:val="00B361B8"/>
    <w:rsid w:val="00B36326"/>
    <w:rsid w:val="00B36335"/>
    <w:rsid w:val="00B364F9"/>
    <w:rsid w:val="00B3654C"/>
    <w:rsid w:val="00B366AF"/>
    <w:rsid w:val="00B368AA"/>
    <w:rsid w:val="00B36940"/>
    <w:rsid w:val="00B369D7"/>
    <w:rsid w:val="00B36AE1"/>
    <w:rsid w:val="00B36C88"/>
    <w:rsid w:val="00B36D3C"/>
    <w:rsid w:val="00B36D4D"/>
    <w:rsid w:val="00B36E51"/>
    <w:rsid w:val="00B36F52"/>
    <w:rsid w:val="00B3706B"/>
    <w:rsid w:val="00B3716B"/>
    <w:rsid w:val="00B37249"/>
    <w:rsid w:val="00B372F9"/>
    <w:rsid w:val="00B37382"/>
    <w:rsid w:val="00B37487"/>
    <w:rsid w:val="00B37521"/>
    <w:rsid w:val="00B3761B"/>
    <w:rsid w:val="00B376EB"/>
    <w:rsid w:val="00B3787F"/>
    <w:rsid w:val="00B37AA6"/>
    <w:rsid w:val="00B37BAF"/>
    <w:rsid w:val="00B37BD6"/>
    <w:rsid w:val="00B37BE1"/>
    <w:rsid w:val="00B37E10"/>
    <w:rsid w:val="00B37E20"/>
    <w:rsid w:val="00B37E2E"/>
    <w:rsid w:val="00B37F6E"/>
    <w:rsid w:val="00B37FF8"/>
    <w:rsid w:val="00B40023"/>
    <w:rsid w:val="00B40071"/>
    <w:rsid w:val="00B40121"/>
    <w:rsid w:val="00B4013B"/>
    <w:rsid w:val="00B4040C"/>
    <w:rsid w:val="00B4048D"/>
    <w:rsid w:val="00B4052B"/>
    <w:rsid w:val="00B40590"/>
    <w:rsid w:val="00B40591"/>
    <w:rsid w:val="00B405E4"/>
    <w:rsid w:val="00B40616"/>
    <w:rsid w:val="00B40617"/>
    <w:rsid w:val="00B40776"/>
    <w:rsid w:val="00B4086F"/>
    <w:rsid w:val="00B40898"/>
    <w:rsid w:val="00B40959"/>
    <w:rsid w:val="00B40AA2"/>
    <w:rsid w:val="00B40B82"/>
    <w:rsid w:val="00B40BFD"/>
    <w:rsid w:val="00B40C4D"/>
    <w:rsid w:val="00B40C67"/>
    <w:rsid w:val="00B40D21"/>
    <w:rsid w:val="00B40D35"/>
    <w:rsid w:val="00B40D6E"/>
    <w:rsid w:val="00B40ECC"/>
    <w:rsid w:val="00B40EEF"/>
    <w:rsid w:val="00B40F98"/>
    <w:rsid w:val="00B40FB5"/>
    <w:rsid w:val="00B410B1"/>
    <w:rsid w:val="00B4119F"/>
    <w:rsid w:val="00B411BD"/>
    <w:rsid w:val="00B41298"/>
    <w:rsid w:val="00B412A9"/>
    <w:rsid w:val="00B412E5"/>
    <w:rsid w:val="00B41426"/>
    <w:rsid w:val="00B41511"/>
    <w:rsid w:val="00B41593"/>
    <w:rsid w:val="00B41642"/>
    <w:rsid w:val="00B4169B"/>
    <w:rsid w:val="00B41933"/>
    <w:rsid w:val="00B41945"/>
    <w:rsid w:val="00B419D1"/>
    <w:rsid w:val="00B41A0E"/>
    <w:rsid w:val="00B41A3D"/>
    <w:rsid w:val="00B41E9A"/>
    <w:rsid w:val="00B420DB"/>
    <w:rsid w:val="00B42119"/>
    <w:rsid w:val="00B42232"/>
    <w:rsid w:val="00B422C3"/>
    <w:rsid w:val="00B42371"/>
    <w:rsid w:val="00B423FD"/>
    <w:rsid w:val="00B4250A"/>
    <w:rsid w:val="00B4250D"/>
    <w:rsid w:val="00B42632"/>
    <w:rsid w:val="00B42743"/>
    <w:rsid w:val="00B42753"/>
    <w:rsid w:val="00B42BB7"/>
    <w:rsid w:val="00B42C81"/>
    <w:rsid w:val="00B42D00"/>
    <w:rsid w:val="00B42D4F"/>
    <w:rsid w:val="00B42E0F"/>
    <w:rsid w:val="00B42EEE"/>
    <w:rsid w:val="00B42F67"/>
    <w:rsid w:val="00B43139"/>
    <w:rsid w:val="00B43155"/>
    <w:rsid w:val="00B43181"/>
    <w:rsid w:val="00B431E8"/>
    <w:rsid w:val="00B43201"/>
    <w:rsid w:val="00B43204"/>
    <w:rsid w:val="00B43248"/>
    <w:rsid w:val="00B43367"/>
    <w:rsid w:val="00B43583"/>
    <w:rsid w:val="00B43591"/>
    <w:rsid w:val="00B43617"/>
    <w:rsid w:val="00B436BE"/>
    <w:rsid w:val="00B4370A"/>
    <w:rsid w:val="00B4371E"/>
    <w:rsid w:val="00B43A45"/>
    <w:rsid w:val="00B43C3B"/>
    <w:rsid w:val="00B43C64"/>
    <w:rsid w:val="00B43C7C"/>
    <w:rsid w:val="00B43D84"/>
    <w:rsid w:val="00B43EC1"/>
    <w:rsid w:val="00B44002"/>
    <w:rsid w:val="00B44040"/>
    <w:rsid w:val="00B44178"/>
    <w:rsid w:val="00B44265"/>
    <w:rsid w:val="00B44314"/>
    <w:rsid w:val="00B44389"/>
    <w:rsid w:val="00B443AF"/>
    <w:rsid w:val="00B44587"/>
    <w:rsid w:val="00B445A7"/>
    <w:rsid w:val="00B445B3"/>
    <w:rsid w:val="00B445E8"/>
    <w:rsid w:val="00B4468F"/>
    <w:rsid w:val="00B446A1"/>
    <w:rsid w:val="00B448A0"/>
    <w:rsid w:val="00B448EE"/>
    <w:rsid w:val="00B44A31"/>
    <w:rsid w:val="00B44A71"/>
    <w:rsid w:val="00B44BA5"/>
    <w:rsid w:val="00B44C7B"/>
    <w:rsid w:val="00B44C89"/>
    <w:rsid w:val="00B44CB0"/>
    <w:rsid w:val="00B44CB2"/>
    <w:rsid w:val="00B44D4B"/>
    <w:rsid w:val="00B44DFE"/>
    <w:rsid w:val="00B44E2F"/>
    <w:rsid w:val="00B44FA7"/>
    <w:rsid w:val="00B44FC2"/>
    <w:rsid w:val="00B44FC8"/>
    <w:rsid w:val="00B45076"/>
    <w:rsid w:val="00B450AC"/>
    <w:rsid w:val="00B452FA"/>
    <w:rsid w:val="00B45395"/>
    <w:rsid w:val="00B45609"/>
    <w:rsid w:val="00B45647"/>
    <w:rsid w:val="00B4567F"/>
    <w:rsid w:val="00B45766"/>
    <w:rsid w:val="00B45860"/>
    <w:rsid w:val="00B458E1"/>
    <w:rsid w:val="00B45D64"/>
    <w:rsid w:val="00B45DBD"/>
    <w:rsid w:val="00B45E4C"/>
    <w:rsid w:val="00B45E75"/>
    <w:rsid w:val="00B45EC0"/>
    <w:rsid w:val="00B45EF9"/>
    <w:rsid w:val="00B45F52"/>
    <w:rsid w:val="00B45FFE"/>
    <w:rsid w:val="00B46018"/>
    <w:rsid w:val="00B46059"/>
    <w:rsid w:val="00B46152"/>
    <w:rsid w:val="00B46175"/>
    <w:rsid w:val="00B462BC"/>
    <w:rsid w:val="00B463C0"/>
    <w:rsid w:val="00B463EF"/>
    <w:rsid w:val="00B4645F"/>
    <w:rsid w:val="00B4649A"/>
    <w:rsid w:val="00B4667C"/>
    <w:rsid w:val="00B46687"/>
    <w:rsid w:val="00B466DB"/>
    <w:rsid w:val="00B466EA"/>
    <w:rsid w:val="00B467A9"/>
    <w:rsid w:val="00B469C0"/>
    <w:rsid w:val="00B46AC2"/>
    <w:rsid w:val="00B46B86"/>
    <w:rsid w:val="00B46B9F"/>
    <w:rsid w:val="00B46C5F"/>
    <w:rsid w:val="00B46CB7"/>
    <w:rsid w:val="00B46CBF"/>
    <w:rsid w:val="00B46DDD"/>
    <w:rsid w:val="00B46E36"/>
    <w:rsid w:val="00B470C3"/>
    <w:rsid w:val="00B4712D"/>
    <w:rsid w:val="00B47142"/>
    <w:rsid w:val="00B47147"/>
    <w:rsid w:val="00B472EC"/>
    <w:rsid w:val="00B4748D"/>
    <w:rsid w:val="00B47494"/>
    <w:rsid w:val="00B478C7"/>
    <w:rsid w:val="00B47A09"/>
    <w:rsid w:val="00B47AAB"/>
    <w:rsid w:val="00B47AE0"/>
    <w:rsid w:val="00B47BCA"/>
    <w:rsid w:val="00B47DAE"/>
    <w:rsid w:val="00B47E8B"/>
    <w:rsid w:val="00B47EF7"/>
    <w:rsid w:val="00B5000D"/>
    <w:rsid w:val="00B500C0"/>
    <w:rsid w:val="00B5011C"/>
    <w:rsid w:val="00B502B5"/>
    <w:rsid w:val="00B502D0"/>
    <w:rsid w:val="00B502F3"/>
    <w:rsid w:val="00B5032C"/>
    <w:rsid w:val="00B503BF"/>
    <w:rsid w:val="00B50426"/>
    <w:rsid w:val="00B50512"/>
    <w:rsid w:val="00B50564"/>
    <w:rsid w:val="00B50602"/>
    <w:rsid w:val="00B50651"/>
    <w:rsid w:val="00B5077F"/>
    <w:rsid w:val="00B507B2"/>
    <w:rsid w:val="00B507D8"/>
    <w:rsid w:val="00B50AB9"/>
    <w:rsid w:val="00B50BC1"/>
    <w:rsid w:val="00B50D8A"/>
    <w:rsid w:val="00B50EE8"/>
    <w:rsid w:val="00B51012"/>
    <w:rsid w:val="00B5109B"/>
    <w:rsid w:val="00B510B3"/>
    <w:rsid w:val="00B51150"/>
    <w:rsid w:val="00B51389"/>
    <w:rsid w:val="00B513AD"/>
    <w:rsid w:val="00B5145A"/>
    <w:rsid w:val="00B51510"/>
    <w:rsid w:val="00B51592"/>
    <w:rsid w:val="00B5159B"/>
    <w:rsid w:val="00B516A2"/>
    <w:rsid w:val="00B51749"/>
    <w:rsid w:val="00B517C5"/>
    <w:rsid w:val="00B517D1"/>
    <w:rsid w:val="00B5182B"/>
    <w:rsid w:val="00B51995"/>
    <w:rsid w:val="00B519BC"/>
    <w:rsid w:val="00B51A8D"/>
    <w:rsid w:val="00B51B10"/>
    <w:rsid w:val="00B51C98"/>
    <w:rsid w:val="00B51D35"/>
    <w:rsid w:val="00B520CF"/>
    <w:rsid w:val="00B520F0"/>
    <w:rsid w:val="00B52185"/>
    <w:rsid w:val="00B521BD"/>
    <w:rsid w:val="00B521D9"/>
    <w:rsid w:val="00B522E4"/>
    <w:rsid w:val="00B52626"/>
    <w:rsid w:val="00B526B8"/>
    <w:rsid w:val="00B5280E"/>
    <w:rsid w:val="00B52810"/>
    <w:rsid w:val="00B52B25"/>
    <w:rsid w:val="00B52B62"/>
    <w:rsid w:val="00B52BDB"/>
    <w:rsid w:val="00B52C6A"/>
    <w:rsid w:val="00B52CF8"/>
    <w:rsid w:val="00B52D44"/>
    <w:rsid w:val="00B52D77"/>
    <w:rsid w:val="00B5305E"/>
    <w:rsid w:val="00B53063"/>
    <w:rsid w:val="00B5306C"/>
    <w:rsid w:val="00B530FE"/>
    <w:rsid w:val="00B5311B"/>
    <w:rsid w:val="00B53126"/>
    <w:rsid w:val="00B5324E"/>
    <w:rsid w:val="00B53350"/>
    <w:rsid w:val="00B53498"/>
    <w:rsid w:val="00B53663"/>
    <w:rsid w:val="00B536BB"/>
    <w:rsid w:val="00B536C1"/>
    <w:rsid w:val="00B53751"/>
    <w:rsid w:val="00B537C4"/>
    <w:rsid w:val="00B53950"/>
    <w:rsid w:val="00B53A02"/>
    <w:rsid w:val="00B53AA2"/>
    <w:rsid w:val="00B53C66"/>
    <w:rsid w:val="00B53C96"/>
    <w:rsid w:val="00B53CCB"/>
    <w:rsid w:val="00B53E57"/>
    <w:rsid w:val="00B53EEF"/>
    <w:rsid w:val="00B53F33"/>
    <w:rsid w:val="00B53F89"/>
    <w:rsid w:val="00B54010"/>
    <w:rsid w:val="00B54148"/>
    <w:rsid w:val="00B54207"/>
    <w:rsid w:val="00B54365"/>
    <w:rsid w:val="00B5443D"/>
    <w:rsid w:val="00B544C1"/>
    <w:rsid w:val="00B544C7"/>
    <w:rsid w:val="00B544F6"/>
    <w:rsid w:val="00B5450B"/>
    <w:rsid w:val="00B545ED"/>
    <w:rsid w:val="00B54655"/>
    <w:rsid w:val="00B54A2A"/>
    <w:rsid w:val="00B54D18"/>
    <w:rsid w:val="00B54D56"/>
    <w:rsid w:val="00B54DE6"/>
    <w:rsid w:val="00B54EFB"/>
    <w:rsid w:val="00B54F95"/>
    <w:rsid w:val="00B54FD4"/>
    <w:rsid w:val="00B54FFE"/>
    <w:rsid w:val="00B550DD"/>
    <w:rsid w:val="00B55149"/>
    <w:rsid w:val="00B5514C"/>
    <w:rsid w:val="00B551D8"/>
    <w:rsid w:val="00B5525C"/>
    <w:rsid w:val="00B552C4"/>
    <w:rsid w:val="00B55310"/>
    <w:rsid w:val="00B554BC"/>
    <w:rsid w:val="00B555AA"/>
    <w:rsid w:val="00B55776"/>
    <w:rsid w:val="00B559BD"/>
    <w:rsid w:val="00B55A64"/>
    <w:rsid w:val="00B55B1E"/>
    <w:rsid w:val="00B55B78"/>
    <w:rsid w:val="00B55C08"/>
    <w:rsid w:val="00B55D7A"/>
    <w:rsid w:val="00B55EBB"/>
    <w:rsid w:val="00B55F9D"/>
    <w:rsid w:val="00B5605E"/>
    <w:rsid w:val="00B56082"/>
    <w:rsid w:val="00B56138"/>
    <w:rsid w:val="00B561D7"/>
    <w:rsid w:val="00B563BA"/>
    <w:rsid w:val="00B564F0"/>
    <w:rsid w:val="00B5650E"/>
    <w:rsid w:val="00B5652D"/>
    <w:rsid w:val="00B5653F"/>
    <w:rsid w:val="00B5654D"/>
    <w:rsid w:val="00B566B3"/>
    <w:rsid w:val="00B56788"/>
    <w:rsid w:val="00B56819"/>
    <w:rsid w:val="00B568F0"/>
    <w:rsid w:val="00B569C0"/>
    <w:rsid w:val="00B56A0F"/>
    <w:rsid w:val="00B56B90"/>
    <w:rsid w:val="00B56BDA"/>
    <w:rsid w:val="00B56BE2"/>
    <w:rsid w:val="00B56C8A"/>
    <w:rsid w:val="00B56CAA"/>
    <w:rsid w:val="00B56CE9"/>
    <w:rsid w:val="00B56D13"/>
    <w:rsid w:val="00B56D9A"/>
    <w:rsid w:val="00B56DAC"/>
    <w:rsid w:val="00B56DB4"/>
    <w:rsid w:val="00B56E01"/>
    <w:rsid w:val="00B56E02"/>
    <w:rsid w:val="00B56E18"/>
    <w:rsid w:val="00B56EFC"/>
    <w:rsid w:val="00B56F2F"/>
    <w:rsid w:val="00B56F98"/>
    <w:rsid w:val="00B56FBD"/>
    <w:rsid w:val="00B56FC9"/>
    <w:rsid w:val="00B57004"/>
    <w:rsid w:val="00B5710D"/>
    <w:rsid w:val="00B5711C"/>
    <w:rsid w:val="00B5712B"/>
    <w:rsid w:val="00B57189"/>
    <w:rsid w:val="00B5723A"/>
    <w:rsid w:val="00B57405"/>
    <w:rsid w:val="00B57544"/>
    <w:rsid w:val="00B575DB"/>
    <w:rsid w:val="00B575F7"/>
    <w:rsid w:val="00B57645"/>
    <w:rsid w:val="00B57759"/>
    <w:rsid w:val="00B5777C"/>
    <w:rsid w:val="00B57847"/>
    <w:rsid w:val="00B578CF"/>
    <w:rsid w:val="00B578D0"/>
    <w:rsid w:val="00B57962"/>
    <w:rsid w:val="00B57B1C"/>
    <w:rsid w:val="00B57C49"/>
    <w:rsid w:val="00B57CB4"/>
    <w:rsid w:val="00B57D35"/>
    <w:rsid w:val="00B57D67"/>
    <w:rsid w:val="00B57DA2"/>
    <w:rsid w:val="00B57DE6"/>
    <w:rsid w:val="00B57E2C"/>
    <w:rsid w:val="00B57F17"/>
    <w:rsid w:val="00B57FC1"/>
    <w:rsid w:val="00B5A469"/>
    <w:rsid w:val="00B5C025"/>
    <w:rsid w:val="00B60045"/>
    <w:rsid w:val="00B60070"/>
    <w:rsid w:val="00B60122"/>
    <w:rsid w:val="00B60166"/>
    <w:rsid w:val="00B60167"/>
    <w:rsid w:val="00B601F7"/>
    <w:rsid w:val="00B6023F"/>
    <w:rsid w:val="00B6032D"/>
    <w:rsid w:val="00B60466"/>
    <w:rsid w:val="00B60526"/>
    <w:rsid w:val="00B60618"/>
    <w:rsid w:val="00B60688"/>
    <w:rsid w:val="00B60727"/>
    <w:rsid w:val="00B6075E"/>
    <w:rsid w:val="00B60779"/>
    <w:rsid w:val="00B6078C"/>
    <w:rsid w:val="00B60951"/>
    <w:rsid w:val="00B60A41"/>
    <w:rsid w:val="00B60C89"/>
    <w:rsid w:val="00B60CD3"/>
    <w:rsid w:val="00B60E25"/>
    <w:rsid w:val="00B60FFC"/>
    <w:rsid w:val="00B610E1"/>
    <w:rsid w:val="00B616D1"/>
    <w:rsid w:val="00B6186C"/>
    <w:rsid w:val="00B61959"/>
    <w:rsid w:val="00B61B86"/>
    <w:rsid w:val="00B61B90"/>
    <w:rsid w:val="00B61BB9"/>
    <w:rsid w:val="00B61BEE"/>
    <w:rsid w:val="00B61C4E"/>
    <w:rsid w:val="00B61D51"/>
    <w:rsid w:val="00B61D9F"/>
    <w:rsid w:val="00B61ED0"/>
    <w:rsid w:val="00B61F4B"/>
    <w:rsid w:val="00B61FC2"/>
    <w:rsid w:val="00B61FF8"/>
    <w:rsid w:val="00B62079"/>
    <w:rsid w:val="00B620F4"/>
    <w:rsid w:val="00B622F3"/>
    <w:rsid w:val="00B623B7"/>
    <w:rsid w:val="00B6249E"/>
    <w:rsid w:val="00B624A5"/>
    <w:rsid w:val="00B625EE"/>
    <w:rsid w:val="00B62AE7"/>
    <w:rsid w:val="00B62B97"/>
    <w:rsid w:val="00B62C0F"/>
    <w:rsid w:val="00B62CD2"/>
    <w:rsid w:val="00B62CF2"/>
    <w:rsid w:val="00B62E01"/>
    <w:rsid w:val="00B62E4E"/>
    <w:rsid w:val="00B6313A"/>
    <w:rsid w:val="00B63146"/>
    <w:rsid w:val="00B631C6"/>
    <w:rsid w:val="00B631D0"/>
    <w:rsid w:val="00B63214"/>
    <w:rsid w:val="00B632FF"/>
    <w:rsid w:val="00B63454"/>
    <w:rsid w:val="00B63458"/>
    <w:rsid w:val="00B6345E"/>
    <w:rsid w:val="00B6348D"/>
    <w:rsid w:val="00B634A1"/>
    <w:rsid w:val="00B6357B"/>
    <w:rsid w:val="00B6380F"/>
    <w:rsid w:val="00B6394D"/>
    <w:rsid w:val="00B63BCC"/>
    <w:rsid w:val="00B63CFC"/>
    <w:rsid w:val="00B63D03"/>
    <w:rsid w:val="00B63D51"/>
    <w:rsid w:val="00B63E41"/>
    <w:rsid w:val="00B63F6D"/>
    <w:rsid w:val="00B643EA"/>
    <w:rsid w:val="00B6447C"/>
    <w:rsid w:val="00B64546"/>
    <w:rsid w:val="00B645D2"/>
    <w:rsid w:val="00B6468C"/>
    <w:rsid w:val="00B64747"/>
    <w:rsid w:val="00B64902"/>
    <w:rsid w:val="00B64978"/>
    <w:rsid w:val="00B6499F"/>
    <w:rsid w:val="00B64A0B"/>
    <w:rsid w:val="00B64A2B"/>
    <w:rsid w:val="00B64B2B"/>
    <w:rsid w:val="00B64B72"/>
    <w:rsid w:val="00B64CEA"/>
    <w:rsid w:val="00B64E62"/>
    <w:rsid w:val="00B650AA"/>
    <w:rsid w:val="00B650AF"/>
    <w:rsid w:val="00B6520A"/>
    <w:rsid w:val="00B65248"/>
    <w:rsid w:val="00B6535A"/>
    <w:rsid w:val="00B653A0"/>
    <w:rsid w:val="00B653BC"/>
    <w:rsid w:val="00B653BD"/>
    <w:rsid w:val="00B6546A"/>
    <w:rsid w:val="00B6555D"/>
    <w:rsid w:val="00B65609"/>
    <w:rsid w:val="00B6588B"/>
    <w:rsid w:val="00B65892"/>
    <w:rsid w:val="00B659BC"/>
    <w:rsid w:val="00B65A58"/>
    <w:rsid w:val="00B65B4B"/>
    <w:rsid w:val="00B65B6C"/>
    <w:rsid w:val="00B65C54"/>
    <w:rsid w:val="00B65D04"/>
    <w:rsid w:val="00B65D25"/>
    <w:rsid w:val="00B65D9A"/>
    <w:rsid w:val="00B65F72"/>
    <w:rsid w:val="00B65F7F"/>
    <w:rsid w:val="00B65FCF"/>
    <w:rsid w:val="00B65FFD"/>
    <w:rsid w:val="00B66091"/>
    <w:rsid w:val="00B6626C"/>
    <w:rsid w:val="00B663C9"/>
    <w:rsid w:val="00B66402"/>
    <w:rsid w:val="00B66426"/>
    <w:rsid w:val="00B6647C"/>
    <w:rsid w:val="00B664AA"/>
    <w:rsid w:val="00B664BA"/>
    <w:rsid w:val="00B665BF"/>
    <w:rsid w:val="00B66624"/>
    <w:rsid w:val="00B668BE"/>
    <w:rsid w:val="00B66922"/>
    <w:rsid w:val="00B6699A"/>
    <w:rsid w:val="00B66AFA"/>
    <w:rsid w:val="00B66B26"/>
    <w:rsid w:val="00B66BC3"/>
    <w:rsid w:val="00B66BD5"/>
    <w:rsid w:val="00B66CDF"/>
    <w:rsid w:val="00B66D1C"/>
    <w:rsid w:val="00B66D87"/>
    <w:rsid w:val="00B66FD9"/>
    <w:rsid w:val="00B6715C"/>
    <w:rsid w:val="00B67214"/>
    <w:rsid w:val="00B67229"/>
    <w:rsid w:val="00B672B9"/>
    <w:rsid w:val="00B67328"/>
    <w:rsid w:val="00B673A0"/>
    <w:rsid w:val="00B673FF"/>
    <w:rsid w:val="00B674EE"/>
    <w:rsid w:val="00B67598"/>
    <w:rsid w:val="00B675D8"/>
    <w:rsid w:val="00B6767F"/>
    <w:rsid w:val="00B676F6"/>
    <w:rsid w:val="00B676F9"/>
    <w:rsid w:val="00B677CE"/>
    <w:rsid w:val="00B67834"/>
    <w:rsid w:val="00B6786D"/>
    <w:rsid w:val="00B678BB"/>
    <w:rsid w:val="00B679CC"/>
    <w:rsid w:val="00B67CFE"/>
    <w:rsid w:val="00B67EE1"/>
    <w:rsid w:val="00B67F99"/>
    <w:rsid w:val="00B700E8"/>
    <w:rsid w:val="00B7029F"/>
    <w:rsid w:val="00B702D8"/>
    <w:rsid w:val="00B70316"/>
    <w:rsid w:val="00B70361"/>
    <w:rsid w:val="00B70431"/>
    <w:rsid w:val="00B7043A"/>
    <w:rsid w:val="00B704AC"/>
    <w:rsid w:val="00B704FB"/>
    <w:rsid w:val="00B7056C"/>
    <w:rsid w:val="00B705D9"/>
    <w:rsid w:val="00B70712"/>
    <w:rsid w:val="00B707EB"/>
    <w:rsid w:val="00B708BE"/>
    <w:rsid w:val="00B709B7"/>
    <w:rsid w:val="00B70A9E"/>
    <w:rsid w:val="00B70ABF"/>
    <w:rsid w:val="00B70B6D"/>
    <w:rsid w:val="00B70B7A"/>
    <w:rsid w:val="00B70B80"/>
    <w:rsid w:val="00B70C17"/>
    <w:rsid w:val="00B70C28"/>
    <w:rsid w:val="00B70C9A"/>
    <w:rsid w:val="00B70D3C"/>
    <w:rsid w:val="00B70E78"/>
    <w:rsid w:val="00B70F2C"/>
    <w:rsid w:val="00B71027"/>
    <w:rsid w:val="00B71204"/>
    <w:rsid w:val="00B71211"/>
    <w:rsid w:val="00B71246"/>
    <w:rsid w:val="00B71318"/>
    <w:rsid w:val="00B71335"/>
    <w:rsid w:val="00B713AC"/>
    <w:rsid w:val="00B71426"/>
    <w:rsid w:val="00B71522"/>
    <w:rsid w:val="00B71819"/>
    <w:rsid w:val="00B7199D"/>
    <w:rsid w:val="00B719F2"/>
    <w:rsid w:val="00B71A62"/>
    <w:rsid w:val="00B71AC8"/>
    <w:rsid w:val="00B71AD9"/>
    <w:rsid w:val="00B71BE7"/>
    <w:rsid w:val="00B71D7B"/>
    <w:rsid w:val="00B71DC8"/>
    <w:rsid w:val="00B71E8E"/>
    <w:rsid w:val="00B71EA6"/>
    <w:rsid w:val="00B71FAE"/>
    <w:rsid w:val="00B72003"/>
    <w:rsid w:val="00B72292"/>
    <w:rsid w:val="00B72679"/>
    <w:rsid w:val="00B726BE"/>
    <w:rsid w:val="00B7282C"/>
    <w:rsid w:val="00B72840"/>
    <w:rsid w:val="00B72960"/>
    <w:rsid w:val="00B72A6B"/>
    <w:rsid w:val="00B72ABA"/>
    <w:rsid w:val="00B72C7A"/>
    <w:rsid w:val="00B72D9B"/>
    <w:rsid w:val="00B72EBE"/>
    <w:rsid w:val="00B72F0C"/>
    <w:rsid w:val="00B72F57"/>
    <w:rsid w:val="00B73115"/>
    <w:rsid w:val="00B73126"/>
    <w:rsid w:val="00B7324B"/>
    <w:rsid w:val="00B7324F"/>
    <w:rsid w:val="00B732C1"/>
    <w:rsid w:val="00B732CD"/>
    <w:rsid w:val="00B73329"/>
    <w:rsid w:val="00B73360"/>
    <w:rsid w:val="00B733BB"/>
    <w:rsid w:val="00B73458"/>
    <w:rsid w:val="00B7359D"/>
    <w:rsid w:val="00B73790"/>
    <w:rsid w:val="00B737A5"/>
    <w:rsid w:val="00B73848"/>
    <w:rsid w:val="00B738E6"/>
    <w:rsid w:val="00B73925"/>
    <w:rsid w:val="00B73BF1"/>
    <w:rsid w:val="00B73C33"/>
    <w:rsid w:val="00B73C6E"/>
    <w:rsid w:val="00B73D74"/>
    <w:rsid w:val="00B73DF3"/>
    <w:rsid w:val="00B73E7A"/>
    <w:rsid w:val="00B74351"/>
    <w:rsid w:val="00B743C1"/>
    <w:rsid w:val="00B7441A"/>
    <w:rsid w:val="00B7446F"/>
    <w:rsid w:val="00B745C9"/>
    <w:rsid w:val="00B74743"/>
    <w:rsid w:val="00B7474C"/>
    <w:rsid w:val="00B7497F"/>
    <w:rsid w:val="00B74B41"/>
    <w:rsid w:val="00B74B95"/>
    <w:rsid w:val="00B74CA7"/>
    <w:rsid w:val="00B74CF7"/>
    <w:rsid w:val="00B74D18"/>
    <w:rsid w:val="00B74D1C"/>
    <w:rsid w:val="00B74DF7"/>
    <w:rsid w:val="00B74F2B"/>
    <w:rsid w:val="00B74F30"/>
    <w:rsid w:val="00B7500D"/>
    <w:rsid w:val="00B751B7"/>
    <w:rsid w:val="00B751CD"/>
    <w:rsid w:val="00B751EF"/>
    <w:rsid w:val="00B753FA"/>
    <w:rsid w:val="00B7543C"/>
    <w:rsid w:val="00B75719"/>
    <w:rsid w:val="00B758B5"/>
    <w:rsid w:val="00B758EF"/>
    <w:rsid w:val="00B7596F"/>
    <w:rsid w:val="00B759B0"/>
    <w:rsid w:val="00B759C8"/>
    <w:rsid w:val="00B75A0F"/>
    <w:rsid w:val="00B75A8B"/>
    <w:rsid w:val="00B75D1B"/>
    <w:rsid w:val="00B75D4B"/>
    <w:rsid w:val="00B75E86"/>
    <w:rsid w:val="00B76079"/>
    <w:rsid w:val="00B76245"/>
    <w:rsid w:val="00B7633F"/>
    <w:rsid w:val="00B764A5"/>
    <w:rsid w:val="00B7654C"/>
    <w:rsid w:val="00B76582"/>
    <w:rsid w:val="00B767D4"/>
    <w:rsid w:val="00B7682C"/>
    <w:rsid w:val="00B76854"/>
    <w:rsid w:val="00B768E9"/>
    <w:rsid w:val="00B76AA3"/>
    <w:rsid w:val="00B76B54"/>
    <w:rsid w:val="00B76B7C"/>
    <w:rsid w:val="00B76CF1"/>
    <w:rsid w:val="00B76D20"/>
    <w:rsid w:val="00B76D2C"/>
    <w:rsid w:val="00B76D92"/>
    <w:rsid w:val="00B76E29"/>
    <w:rsid w:val="00B76EA6"/>
    <w:rsid w:val="00B76F72"/>
    <w:rsid w:val="00B76FD5"/>
    <w:rsid w:val="00B7709C"/>
    <w:rsid w:val="00B770D7"/>
    <w:rsid w:val="00B7720B"/>
    <w:rsid w:val="00B77235"/>
    <w:rsid w:val="00B77282"/>
    <w:rsid w:val="00B772D1"/>
    <w:rsid w:val="00B773AE"/>
    <w:rsid w:val="00B7746C"/>
    <w:rsid w:val="00B7755D"/>
    <w:rsid w:val="00B7756B"/>
    <w:rsid w:val="00B7759F"/>
    <w:rsid w:val="00B77652"/>
    <w:rsid w:val="00B776EA"/>
    <w:rsid w:val="00B77703"/>
    <w:rsid w:val="00B777DC"/>
    <w:rsid w:val="00B77929"/>
    <w:rsid w:val="00B779E7"/>
    <w:rsid w:val="00B77AFB"/>
    <w:rsid w:val="00B77B09"/>
    <w:rsid w:val="00B77BE4"/>
    <w:rsid w:val="00B77BF8"/>
    <w:rsid w:val="00B77BFC"/>
    <w:rsid w:val="00B77C58"/>
    <w:rsid w:val="00B77CF7"/>
    <w:rsid w:val="00B77D9B"/>
    <w:rsid w:val="00B77F3B"/>
    <w:rsid w:val="00B80031"/>
    <w:rsid w:val="00B8015A"/>
    <w:rsid w:val="00B8015C"/>
    <w:rsid w:val="00B80192"/>
    <w:rsid w:val="00B801B2"/>
    <w:rsid w:val="00B8065B"/>
    <w:rsid w:val="00B8096A"/>
    <w:rsid w:val="00B80A02"/>
    <w:rsid w:val="00B80A06"/>
    <w:rsid w:val="00B80AF8"/>
    <w:rsid w:val="00B80B37"/>
    <w:rsid w:val="00B80BA8"/>
    <w:rsid w:val="00B80BE9"/>
    <w:rsid w:val="00B80C47"/>
    <w:rsid w:val="00B80C8A"/>
    <w:rsid w:val="00B80F35"/>
    <w:rsid w:val="00B80F91"/>
    <w:rsid w:val="00B80FCA"/>
    <w:rsid w:val="00B80FE9"/>
    <w:rsid w:val="00B810B9"/>
    <w:rsid w:val="00B810E8"/>
    <w:rsid w:val="00B81144"/>
    <w:rsid w:val="00B81166"/>
    <w:rsid w:val="00B8119E"/>
    <w:rsid w:val="00B81212"/>
    <w:rsid w:val="00B812D6"/>
    <w:rsid w:val="00B8147F"/>
    <w:rsid w:val="00B818C3"/>
    <w:rsid w:val="00B8197E"/>
    <w:rsid w:val="00B81B04"/>
    <w:rsid w:val="00B81B60"/>
    <w:rsid w:val="00B81CB7"/>
    <w:rsid w:val="00B81CCE"/>
    <w:rsid w:val="00B81FBD"/>
    <w:rsid w:val="00B8205E"/>
    <w:rsid w:val="00B822A3"/>
    <w:rsid w:val="00B82313"/>
    <w:rsid w:val="00B823D1"/>
    <w:rsid w:val="00B823E7"/>
    <w:rsid w:val="00B82458"/>
    <w:rsid w:val="00B82661"/>
    <w:rsid w:val="00B82688"/>
    <w:rsid w:val="00B826A5"/>
    <w:rsid w:val="00B82741"/>
    <w:rsid w:val="00B82887"/>
    <w:rsid w:val="00B828C4"/>
    <w:rsid w:val="00B82A91"/>
    <w:rsid w:val="00B82B1D"/>
    <w:rsid w:val="00B82B46"/>
    <w:rsid w:val="00B82BAB"/>
    <w:rsid w:val="00B82BD4"/>
    <w:rsid w:val="00B82C6F"/>
    <w:rsid w:val="00B82CA0"/>
    <w:rsid w:val="00B82D7A"/>
    <w:rsid w:val="00B82DE5"/>
    <w:rsid w:val="00B82E59"/>
    <w:rsid w:val="00B82F73"/>
    <w:rsid w:val="00B83004"/>
    <w:rsid w:val="00B830BD"/>
    <w:rsid w:val="00B830CC"/>
    <w:rsid w:val="00B83297"/>
    <w:rsid w:val="00B832A6"/>
    <w:rsid w:val="00B83302"/>
    <w:rsid w:val="00B8340B"/>
    <w:rsid w:val="00B83424"/>
    <w:rsid w:val="00B834DB"/>
    <w:rsid w:val="00B83572"/>
    <w:rsid w:val="00B835C7"/>
    <w:rsid w:val="00B83614"/>
    <w:rsid w:val="00B8387E"/>
    <w:rsid w:val="00B838F7"/>
    <w:rsid w:val="00B8391C"/>
    <w:rsid w:val="00B83928"/>
    <w:rsid w:val="00B83AA3"/>
    <w:rsid w:val="00B83AFD"/>
    <w:rsid w:val="00B83C2B"/>
    <w:rsid w:val="00B83D5D"/>
    <w:rsid w:val="00B83DED"/>
    <w:rsid w:val="00B83E17"/>
    <w:rsid w:val="00B83E89"/>
    <w:rsid w:val="00B84137"/>
    <w:rsid w:val="00B8418E"/>
    <w:rsid w:val="00B84239"/>
    <w:rsid w:val="00B84343"/>
    <w:rsid w:val="00B843CE"/>
    <w:rsid w:val="00B84432"/>
    <w:rsid w:val="00B84619"/>
    <w:rsid w:val="00B84A0D"/>
    <w:rsid w:val="00B84A40"/>
    <w:rsid w:val="00B84B10"/>
    <w:rsid w:val="00B84B54"/>
    <w:rsid w:val="00B84BFB"/>
    <w:rsid w:val="00B84D30"/>
    <w:rsid w:val="00B84D39"/>
    <w:rsid w:val="00B84F1A"/>
    <w:rsid w:val="00B84F35"/>
    <w:rsid w:val="00B8505C"/>
    <w:rsid w:val="00B8509F"/>
    <w:rsid w:val="00B85146"/>
    <w:rsid w:val="00B851AB"/>
    <w:rsid w:val="00B852E5"/>
    <w:rsid w:val="00B85455"/>
    <w:rsid w:val="00B855FB"/>
    <w:rsid w:val="00B856DA"/>
    <w:rsid w:val="00B85718"/>
    <w:rsid w:val="00B85A82"/>
    <w:rsid w:val="00B85AE4"/>
    <w:rsid w:val="00B85C15"/>
    <w:rsid w:val="00B85D15"/>
    <w:rsid w:val="00B85F7B"/>
    <w:rsid w:val="00B85FE2"/>
    <w:rsid w:val="00B86032"/>
    <w:rsid w:val="00B860B9"/>
    <w:rsid w:val="00B860BA"/>
    <w:rsid w:val="00B860C9"/>
    <w:rsid w:val="00B860FB"/>
    <w:rsid w:val="00B861B2"/>
    <w:rsid w:val="00B862FA"/>
    <w:rsid w:val="00B863B2"/>
    <w:rsid w:val="00B8641A"/>
    <w:rsid w:val="00B86472"/>
    <w:rsid w:val="00B8655E"/>
    <w:rsid w:val="00B8662B"/>
    <w:rsid w:val="00B86809"/>
    <w:rsid w:val="00B868CC"/>
    <w:rsid w:val="00B86A82"/>
    <w:rsid w:val="00B86A90"/>
    <w:rsid w:val="00B86C03"/>
    <w:rsid w:val="00B86C6F"/>
    <w:rsid w:val="00B86C90"/>
    <w:rsid w:val="00B86CF3"/>
    <w:rsid w:val="00B86D3E"/>
    <w:rsid w:val="00B86D7D"/>
    <w:rsid w:val="00B86F02"/>
    <w:rsid w:val="00B86F8E"/>
    <w:rsid w:val="00B8700D"/>
    <w:rsid w:val="00B87187"/>
    <w:rsid w:val="00B872AC"/>
    <w:rsid w:val="00B87327"/>
    <w:rsid w:val="00B87334"/>
    <w:rsid w:val="00B873E7"/>
    <w:rsid w:val="00B8747C"/>
    <w:rsid w:val="00B875C5"/>
    <w:rsid w:val="00B87818"/>
    <w:rsid w:val="00B87872"/>
    <w:rsid w:val="00B878A1"/>
    <w:rsid w:val="00B879DC"/>
    <w:rsid w:val="00B87A67"/>
    <w:rsid w:val="00B87B69"/>
    <w:rsid w:val="00B87BFC"/>
    <w:rsid w:val="00B87CE7"/>
    <w:rsid w:val="00B87D1E"/>
    <w:rsid w:val="00B87E77"/>
    <w:rsid w:val="00B87EB6"/>
    <w:rsid w:val="00B87ECC"/>
    <w:rsid w:val="00B87EF2"/>
    <w:rsid w:val="00B902AA"/>
    <w:rsid w:val="00B902ED"/>
    <w:rsid w:val="00B903B0"/>
    <w:rsid w:val="00B9049A"/>
    <w:rsid w:val="00B90645"/>
    <w:rsid w:val="00B906D7"/>
    <w:rsid w:val="00B90752"/>
    <w:rsid w:val="00B90792"/>
    <w:rsid w:val="00B907E1"/>
    <w:rsid w:val="00B90977"/>
    <w:rsid w:val="00B90AB3"/>
    <w:rsid w:val="00B90B3F"/>
    <w:rsid w:val="00B90BA7"/>
    <w:rsid w:val="00B90D2E"/>
    <w:rsid w:val="00B90E54"/>
    <w:rsid w:val="00B90E94"/>
    <w:rsid w:val="00B91057"/>
    <w:rsid w:val="00B9108B"/>
    <w:rsid w:val="00B911B5"/>
    <w:rsid w:val="00B911C9"/>
    <w:rsid w:val="00B91202"/>
    <w:rsid w:val="00B91214"/>
    <w:rsid w:val="00B913B1"/>
    <w:rsid w:val="00B91416"/>
    <w:rsid w:val="00B914C4"/>
    <w:rsid w:val="00B914F0"/>
    <w:rsid w:val="00B91716"/>
    <w:rsid w:val="00B918E6"/>
    <w:rsid w:val="00B9190B"/>
    <w:rsid w:val="00B91B3B"/>
    <w:rsid w:val="00B91B3F"/>
    <w:rsid w:val="00B91BA2"/>
    <w:rsid w:val="00B91DF3"/>
    <w:rsid w:val="00B91E5C"/>
    <w:rsid w:val="00B92055"/>
    <w:rsid w:val="00B9212B"/>
    <w:rsid w:val="00B921E0"/>
    <w:rsid w:val="00B92284"/>
    <w:rsid w:val="00B9229D"/>
    <w:rsid w:val="00B923B9"/>
    <w:rsid w:val="00B923BD"/>
    <w:rsid w:val="00B923EA"/>
    <w:rsid w:val="00B924DB"/>
    <w:rsid w:val="00B925F9"/>
    <w:rsid w:val="00B92871"/>
    <w:rsid w:val="00B929BD"/>
    <w:rsid w:val="00B92A84"/>
    <w:rsid w:val="00B92AE2"/>
    <w:rsid w:val="00B92B4B"/>
    <w:rsid w:val="00B92C97"/>
    <w:rsid w:val="00B92D78"/>
    <w:rsid w:val="00B92DA6"/>
    <w:rsid w:val="00B930F0"/>
    <w:rsid w:val="00B93132"/>
    <w:rsid w:val="00B93161"/>
    <w:rsid w:val="00B93173"/>
    <w:rsid w:val="00B93354"/>
    <w:rsid w:val="00B933AC"/>
    <w:rsid w:val="00B934A8"/>
    <w:rsid w:val="00B9359A"/>
    <w:rsid w:val="00B9361E"/>
    <w:rsid w:val="00B936AA"/>
    <w:rsid w:val="00B937D4"/>
    <w:rsid w:val="00B93854"/>
    <w:rsid w:val="00B938BF"/>
    <w:rsid w:val="00B938F5"/>
    <w:rsid w:val="00B93B23"/>
    <w:rsid w:val="00B93BBA"/>
    <w:rsid w:val="00B93C81"/>
    <w:rsid w:val="00B93CB6"/>
    <w:rsid w:val="00B93DCB"/>
    <w:rsid w:val="00B93DE4"/>
    <w:rsid w:val="00B93DED"/>
    <w:rsid w:val="00B93E96"/>
    <w:rsid w:val="00B93F72"/>
    <w:rsid w:val="00B93FC3"/>
    <w:rsid w:val="00B9408F"/>
    <w:rsid w:val="00B941EE"/>
    <w:rsid w:val="00B94247"/>
    <w:rsid w:val="00B94258"/>
    <w:rsid w:val="00B9428B"/>
    <w:rsid w:val="00B9436D"/>
    <w:rsid w:val="00B943F8"/>
    <w:rsid w:val="00B94404"/>
    <w:rsid w:val="00B94521"/>
    <w:rsid w:val="00B94786"/>
    <w:rsid w:val="00B947E5"/>
    <w:rsid w:val="00B947F5"/>
    <w:rsid w:val="00B94873"/>
    <w:rsid w:val="00B948A9"/>
    <w:rsid w:val="00B94945"/>
    <w:rsid w:val="00B94955"/>
    <w:rsid w:val="00B94A05"/>
    <w:rsid w:val="00B94A80"/>
    <w:rsid w:val="00B94B5D"/>
    <w:rsid w:val="00B94BC1"/>
    <w:rsid w:val="00B94CAD"/>
    <w:rsid w:val="00B94CDC"/>
    <w:rsid w:val="00B94DB6"/>
    <w:rsid w:val="00B94E8F"/>
    <w:rsid w:val="00B94FB0"/>
    <w:rsid w:val="00B950E7"/>
    <w:rsid w:val="00B95199"/>
    <w:rsid w:val="00B95223"/>
    <w:rsid w:val="00B95391"/>
    <w:rsid w:val="00B95497"/>
    <w:rsid w:val="00B955F3"/>
    <w:rsid w:val="00B956E8"/>
    <w:rsid w:val="00B957A3"/>
    <w:rsid w:val="00B957B1"/>
    <w:rsid w:val="00B957DB"/>
    <w:rsid w:val="00B9597F"/>
    <w:rsid w:val="00B95A4E"/>
    <w:rsid w:val="00B95BC6"/>
    <w:rsid w:val="00B95CA6"/>
    <w:rsid w:val="00B95DF6"/>
    <w:rsid w:val="00B95E04"/>
    <w:rsid w:val="00B96106"/>
    <w:rsid w:val="00B961A0"/>
    <w:rsid w:val="00B962AE"/>
    <w:rsid w:val="00B964FD"/>
    <w:rsid w:val="00B96644"/>
    <w:rsid w:val="00B967DD"/>
    <w:rsid w:val="00B96BE7"/>
    <w:rsid w:val="00B96E13"/>
    <w:rsid w:val="00B96EBD"/>
    <w:rsid w:val="00B96ECD"/>
    <w:rsid w:val="00B96F4B"/>
    <w:rsid w:val="00B96F55"/>
    <w:rsid w:val="00B96F9B"/>
    <w:rsid w:val="00B9718A"/>
    <w:rsid w:val="00B97352"/>
    <w:rsid w:val="00B97380"/>
    <w:rsid w:val="00B9748A"/>
    <w:rsid w:val="00B97547"/>
    <w:rsid w:val="00B97AD7"/>
    <w:rsid w:val="00B97BB9"/>
    <w:rsid w:val="00B97D14"/>
    <w:rsid w:val="00B97DBE"/>
    <w:rsid w:val="00B97F18"/>
    <w:rsid w:val="00B99268"/>
    <w:rsid w:val="00BA003B"/>
    <w:rsid w:val="00BA0223"/>
    <w:rsid w:val="00BA0504"/>
    <w:rsid w:val="00BA055F"/>
    <w:rsid w:val="00BA059E"/>
    <w:rsid w:val="00BA0704"/>
    <w:rsid w:val="00BA0755"/>
    <w:rsid w:val="00BA099D"/>
    <w:rsid w:val="00BA09C7"/>
    <w:rsid w:val="00BA0A50"/>
    <w:rsid w:val="00BA0AA1"/>
    <w:rsid w:val="00BA0B07"/>
    <w:rsid w:val="00BA0B3E"/>
    <w:rsid w:val="00BA0B65"/>
    <w:rsid w:val="00BA0B85"/>
    <w:rsid w:val="00BA0DF2"/>
    <w:rsid w:val="00BA1045"/>
    <w:rsid w:val="00BA11BA"/>
    <w:rsid w:val="00BA11C6"/>
    <w:rsid w:val="00BA11CD"/>
    <w:rsid w:val="00BA11F7"/>
    <w:rsid w:val="00BA1209"/>
    <w:rsid w:val="00BA1265"/>
    <w:rsid w:val="00BA1277"/>
    <w:rsid w:val="00BA12DD"/>
    <w:rsid w:val="00BA14BD"/>
    <w:rsid w:val="00BA14F3"/>
    <w:rsid w:val="00BA163D"/>
    <w:rsid w:val="00BA1668"/>
    <w:rsid w:val="00BA1858"/>
    <w:rsid w:val="00BA1C06"/>
    <w:rsid w:val="00BA1CF4"/>
    <w:rsid w:val="00BA1D1B"/>
    <w:rsid w:val="00BA1E14"/>
    <w:rsid w:val="00BA1E35"/>
    <w:rsid w:val="00BA1F7D"/>
    <w:rsid w:val="00BA1FB2"/>
    <w:rsid w:val="00BA1FF0"/>
    <w:rsid w:val="00BA2254"/>
    <w:rsid w:val="00BA2285"/>
    <w:rsid w:val="00BA2331"/>
    <w:rsid w:val="00BA2373"/>
    <w:rsid w:val="00BA23E5"/>
    <w:rsid w:val="00BA27AF"/>
    <w:rsid w:val="00BA296C"/>
    <w:rsid w:val="00BA2B21"/>
    <w:rsid w:val="00BA2B5B"/>
    <w:rsid w:val="00BA2BA9"/>
    <w:rsid w:val="00BA2C08"/>
    <w:rsid w:val="00BA2C47"/>
    <w:rsid w:val="00BA2EDA"/>
    <w:rsid w:val="00BA2EFF"/>
    <w:rsid w:val="00BA2FC7"/>
    <w:rsid w:val="00BA304D"/>
    <w:rsid w:val="00BA3081"/>
    <w:rsid w:val="00BA30A1"/>
    <w:rsid w:val="00BA3170"/>
    <w:rsid w:val="00BA32A2"/>
    <w:rsid w:val="00BA34DA"/>
    <w:rsid w:val="00BA358C"/>
    <w:rsid w:val="00BA35A8"/>
    <w:rsid w:val="00BA35AD"/>
    <w:rsid w:val="00BA35C8"/>
    <w:rsid w:val="00BA36E9"/>
    <w:rsid w:val="00BA3701"/>
    <w:rsid w:val="00BA3713"/>
    <w:rsid w:val="00BA381E"/>
    <w:rsid w:val="00BA390E"/>
    <w:rsid w:val="00BA39F7"/>
    <w:rsid w:val="00BA3AC3"/>
    <w:rsid w:val="00BA3B62"/>
    <w:rsid w:val="00BA3CF9"/>
    <w:rsid w:val="00BA3DED"/>
    <w:rsid w:val="00BA3E28"/>
    <w:rsid w:val="00BA3EF2"/>
    <w:rsid w:val="00BA4073"/>
    <w:rsid w:val="00BA4095"/>
    <w:rsid w:val="00BA4249"/>
    <w:rsid w:val="00BA438E"/>
    <w:rsid w:val="00BA456C"/>
    <w:rsid w:val="00BA4582"/>
    <w:rsid w:val="00BA45DC"/>
    <w:rsid w:val="00BA461B"/>
    <w:rsid w:val="00BA48A5"/>
    <w:rsid w:val="00BA48E2"/>
    <w:rsid w:val="00BA4A09"/>
    <w:rsid w:val="00BA4A31"/>
    <w:rsid w:val="00BA4C9F"/>
    <w:rsid w:val="00BA4D8C"/>
    <w:rsid w:val="00BA4DB6"/>
    <w:rsid w:val="00BA4E1A"/>
    <w:rsid w:val="00BA4E8C"/>
    <w:rsid w:val="00BA50FA"/>
    <w:rsid w:val="00BA51D5"/>
    <w:rsid w:val="00BA51D8"/>
    <w:rsid w:val="00BA51E4"/>
    <w:rsid w:val="00BA528E"/>
    <w:rsid w:val="00BA5329"/>
    <w:rsid w:val="00BA545D"/>
    <w:rsid w:val="00BA5590"/>
    <w:rsid w:val="00BA5597"/>
    <w:rsid w:val="00BA55A8"/>
    <w:rsid w:val="00BA5702"/>
    <w:rsid w:val="00BA5765"/>
    <w:rsid w:val="00BA5884"/>
    <w:rsid w:val="00BA58B3"/>
    <w:rsid w:val="00BA5A05"/>
    <w:rsid w:val="00BA5AAF"/>
    <w:rsid w:val="00BA5B4B"/>
    <w:rsid w:val="00BA5C0B"/>
    <w:rsid w:val="00BA5FA4"/>
    <w:rsid w:val="00BA6024"/>
    <w:rsid w:val="00BA603B"/>
    <w:rsid w:val="00BA60D2"/>
    <w:rsid w:val="00BA610E"/>
    <w:rsid w:val="00BA613B"/>
    <w:rsid w:val="00BA613C"/>
    <w:rsid w:val="00BA61C5"/>
    <w:rsid w:val="00BA61E1"/>
    <w:rsid w:val="00BA62CB"/>
    <w:rsid w:val="00BA65C8"/>
    <w:rsid w:val="00BA6615"/>
    <w:rsid w:val="00BA66C8"/>
    <w:rsid w:val="00BA683F"/>
    <w:rsid w:val="00BA6902"/>
    <w:rsid w:val="00BA699E"/>
    <w:rsid w:val="00BA6A2B"/>
    <w:rsid w:val="00BA6A63"/>
    <w:rsid w:val="00BA6F68"/>
    <w:rsid w:val="00BA73FA"/>
    <w:rsid w:val="00BA74DD"/>
    <w:rsid w:val="00BA7536"/>
    <w:rsid w:val="00BA7646"/>
    <w:rsid w:val="00BA76D8"/>
    <w:rsid w:val="00BA76EB"/>
    <w:rsid w:val="00BA778F"/>
    <w:rsid w:val="00BA77E5"/>
    <w:rsid w:val="00BA7852"/>
    <w:rsid w:val="00BA788A"/>
    <w:rsid w:val="00BA790A"/>
    <w:rsid w:val="00BA797B"/>
    <w:rsid w:val="00BA798A"/>
    <w:rsid w:val="00BA79E5"/>
    <w:rsid w:val="00BA7A5F"/>
    <w:rsid w:val="00BA7B1B"/>
    <w:rsid w:val="00BA7B76"/>
    <w:rsid w:val="00BA7C20"/>
    <w:rsid w:val="00BA7C64"/>
    <w:rsid w:val="00BA7D0D"/>
    <w:rsid w:val="00BA7D6E"/>
    <w:rsid w:val="00BA7E49"/>
    <w:rsid w:val="00BA7E76"/>
    <w:rsid w:val="00BB0027"/>
    <w:rsid w:val="00BB002E"/>
    <w:rsid w:val="00BB013E"/>
    <w:rsid w:val="00BB028F"/>
    <w:rsid w:val="00BB02AB"/>
    <w:rsid w:val="00BB02DB"/>
    <w:rsid w:val="00BB0345"/>
    <w:rsid w:val="00BB0356"/>
    <w:rsid w:val="00BB03C0"/>
    <w:rsid w:val="00BB0423"/>
    <w:rsid w:val="00BB04A7"/>
    <w:rsid w:val="00BB06DF"/>
    <w:rsid w:val="00BB076D"/>
    <w:rsid w:val="00BB080C"/>
    <w:rsid w:val="00BB08C5"/>
    <w:rsid w:val="00BB08C8"/>
    <w:rsid w:val="00BB0A50"/>
    <w:rsid w:val="00BB0B46"/>
    <w:rsid w:val="00BB0B89"/>
    <w:rsid w:val="00BB0DBC"/>
    <w:rsid w:val="00BB0E03"/>
    <w:rsid w:val="00BB0E30"/>
    <w:rsid w:val="00BB0F47"/>
    <w:rsid w:val="00BB1022"/>
    <w:rsid w:val="00BB109E"/>
    <w:rsid w:val="00BB10A2"/>
    <w:rsid w:val="00BB1149"/>
    <w:rsid w:val="00BB119C"/>
    <w:rsid w:val="00BB123A"/>
    <w:rsid w:val="00BB1589"/>
    <w:rsid w:val="00BB16CA"/>
    <w:rsid w:val="00BB1812"/>
    <w:rsid w:val="00BB1852"/>
    <w:rsid w:val="00BB1895"/>
    <w:rsid w:val="00BB18FB"/>
    <w:rsid w:val="00BB1D35"/>
    <w:rsid w:val="00BB1D54"/>
    <w:rsid w:val="00BB1E2B"/>
    <w:rsid w:val="00BB1F11"/>
    <w:rsid w:val="00BB1FA8"/>
    <w:rsid w:val="00BB22B5"/>
    <w:rsid w:val="00BB235D"/>
    <w:rsid w:val="00BB23FB"/>
    <w:rsid w:val="00BB2415"/>
    <w:rsid w:val="00BB24DD"/>
    <w:rsid w:val="00BB2647"/>
    <w:rsid w:val="00BB26C4"/>
    <w:rsid w:val="00BB2733"/>
    <w:rsid w:val="00BB2767"/>
    <w:rsid w:val="00BB29F2"/>
    <w:rsid w:val="00BB2AA1"/>
    <w:rsid w:val="00BB2AA6"/>
    <w:rsid w:val="00BB2B13"/>
    <w:rsid w:val="00BB2D03"/>
    <w:rsid w:val="00BB2D57"/>
    <w:rsid w:val="00BB2E04"/>
    <w:rsid w:val="00BB2F47"/>
    <w:rsid w:val="00BB300E"/>
    <w:rsid w:val="00BB313D"/>
    <w:rsid w:val="00BB3221"/>
    <w:rsid w:val="00BB3297"/>
    <w:rsid w:val="00BB3421"/>
    <w:rsid w:val="00BB368A"/>
    <w:rsid w:val="00BB36B0"/>
    <w:rsid w:val="00BB37F6"/>
    <w:rsid w:val="00BB38F3"/>
    <w:rsid w:val="00BB3B0D"/>
    <w:rsid w:val="00BB3B65"/>
    <w:rsid w:val="00BB3C1B"/>
    <w:rsid w:val="00BB3CC8"/>
    <w:rsid w:val="00BB3E5C"/>
    <w:rsid w:val="00BB3F36"/>
    <w:rsid w:val="00BB3F8E"/>
    <w:rsid w:val="00BB4443"/>
    <w:rsid w:val="00BB44D4"/>
    <w:rsid w:val="00BB4507"/>
    <w:rsid w:val="00BB4579"/>
    <w:rsid w:val="00BB458A"/>
    <w:rsid w:val="00BB45AB"/>
    <w:rsid w:val="00BB46C3"/>
    <w:rsid w:val="00BB4710"/>
    <w:rsid w:val="00BB4761"/>
    <w:rsid w:val="00BB4765"/>
    <w:rsid w:val="00BB47B1"/>
    <w:rsid w:val="00BB49A7"/>
    <w:rsid w:val="00BB4A2C"/>
    <w:rsid w:val="00BB4AAD"/>
    <w:rsid w:val="00BB4D8F"/>
    <w:rsid w:val="00BB4DC8"/>
    <w:rsid w:val="00BB4E10"/>
    <w:rsid w:val="00BB4E4D"/>
    <w:rsid w:val="00BB4F18"/>
    <w:rsid w:val="00BB4FF4"/>
    <w:rsid w:val="00BB5062"/>
    <w:rsid w:val="00BB5157"/>
    <w:rsid w:val="00BB539D"/>
    <w:rsid w:val="00BB575F"/>
    <w:rsid w:val="00BB5825"/>
    <w:rsid w:val="00BB5A1E"/>
    <w:rsid w:val="00BB5B56"/>
    <w:rsid w:val="00BB5C0E"/>
    <w:rsid w:val="00BB5E06"/>
    <w:rsid w:val="00BB5E0A"/>
    <w:rsid w:val="00BB5E30"/>
    <w:rsid w:val="00BB5EBC"/>
    <w:rsid w:val="00BB5F2D"/>
    <w:rsid w:val="00BB5F5E"/>
    <w:rsid w:val="00BB5F64"/>
    <w:rsid w:val="00BB5F84"/>
    <w:rsid w:val="00BB60A3"/>
    <w:rsid w:val="00BB612D"/>
    <w:rsid w:val="00BB61FF"/>
    <w:rsid w:val="00BB62D6"/>
    <w:rsid w:val="00BB6553"/>
    <w:rsid w:val="00BB6564"/>
    <w:rsid w:val="00BB66E5"/>
    <w:rsid w:val="00BB691F"/>
    <w:rsid w:val="00BB6954"/>
    <w:rsid w:val="00BB696A"/>
    <w:rsid w:val="00BB6A2F"/>
    <w:rsid w:val="00BB6B29"/>
    <w:rsid w:val="00BB6BB4"/>
    <w:rsid w:val="00BB6CD3"/>
    <w:rsid w:val="00BB6D19"/>
    <w:rsid w:val="00BB6D94"/>
    <w:rsid w:val="00BB6E22"/>
    <w:rsid w:val="00BB6EAD"/>
    <w:rsid w:val="00BB6FBB"/>
    <w:rsid w:val="00BB6FE9"/>
    <w:rsid w:val="00BB702D"/>
    <w:rsid w:val="00BB704A"/>
    <w:rsid w:val="00BB717C"/>
    <w:rsid w:val="00BB71CA"/>
    <w:rsid w:val="00BB7492"/>
    <w:rsid w:val="00BB75CB"/>
    <w:rsid w:val="00BB76A9"/>
    <w:rsid w:val="00BB76C4"/>
    <w:rsid w:val="00BB788C"/>
    <w:rsid w:val="00BB78C6"/>
    <w:rsid w:val="00BB7AA4"/>
    <w:rsid w:val="00BB7B16"/>
    <w:rsid w:val="00BB7C31"/>
    <w:rsid w:val="00BB7D26"/>
    <w:rsid w:val="00BB7DED"/>
    <w:rsid w:val="00BB7E67"/>
    <w:rsid w:val="00BB7F72"/>
    <w:rsid w:val="00BB7FE8"/>
    <w:rsid w:val="00BC00E5"/>
    <w:rsid w:val="00BC01A2"/>
    <w:rsid w:val="00BC01E9"/>
    <w:rsid w:val="00BC0282"/>
    <w:rsid w:val="00BC0287"/>
    <w:rsid w:val="00BC0496"/>
    <w:rsid w:val="00BC0564"/>
    <w:rsid w:val="00BC0631"/>
    <w:rsid w:val="00BC06C6"/>
    <w:rsid w:val="00BC0718"/>
    <w:rsid w:val="00BC0729"/>
    <w:rsid w:val="00BC08D7"/>
    <w:rsid w:val="00BC08F6"/>
    <w:rsid w:val="00BC0AED"/>
    <w:rsid w:val="00BC0B17"/>
    <w:rsid w:val="00BC0B56"/>
    <w:rsid w:val="00BC0BB5"/>
    <w:rsid w:val="00BC0BB8"/>
    <w:rsid w:val="00BC0C5F"/>
    <w:rsid w:val="00BC0C63"/>
    <w:rsid w:val="00BC0CE9"/>
    <w:rsid w:val="00BC0CEE"/>
    <w:rsid w:val="00BC0D94"/>
    <w:rsid w:val="00BC0E47"/>
    <w:rsid w:val="00BC0FC5"/>
    <w:rsid w:val="00BC0FF1"/>
    <w:rsid w:val="00BC1092"/>
    <w:rsid w:val="00BC10BD"/>
    <w:rsid w:val="00BC10E6"/>
    <w:rsid w:val="00BC1120"/>
    <w:rsid w:val="00BC11FB"/>
    <w:rsid w:val="00BC12B4"/>
    <w:rsid w:val="00BC12BC"/>
    <w:rsid w:val="00BC13B6"/>
    <w:rsid w:val="00BC1490"/>
    <w:rsid w:val="00BC1588"/>
    <w:rsid w:val="00BC16FC"/>
    <w:rsid w:val="00BC1705"/>
    <w:rsid w:val="00BC178E"/>
    <w:rsid w:val="00BC17FF"/>
    <w:rsid w:val="00BC19A3"/>
    <w:rsid w:val="00BC19DA"/>
    <w:rsid w:val="00BC1B5E"/>
    <w:rsid w:val="00BC1C12"/>
    <w:rsid w:val="00BC1C2F"/>
    <w:rsid w:val="00BC1D2C"/>
    <w:rsid w:val="00BC1DDA"/>
    <w:rsid w:val="00BC1E1C"/>
    <w:rsid w:val="00BC2028"/>
    <w:rsid w:val="00BC216B"/>
    <w:rsid w:val="00BC219E"/>
    <w:rsid w:val="00BC2274"/>
    <w:rsid w:val="00BC24CE"/>
    <w:rsid w:val="00BC25CE"/>
    <w:rsid w:val="00BC2746"/>
    <w:rsid w:val="00BC278E"/>
    <w:rsid w:val="00BC27D1"/>
    <w:rsid w:val="00BC27FF"/>
    <w:rsid w:val="00BC280F"/>
    <w:rsid w:val="00BC2830"/>
    <w:rsid w:val="00BC2A5E"/>
    <w:rsid w:val="00BC2B52"/>
    <w:rsid w:val="00BC2BF6"/>
    <w:rsid w:val="00BC2C14"/>
    <w:rsid w:val="00BC2D3D"/>
    <w:rsid w:val="00BC2DB5"/>
    <w:rsid w:val="00BC2E12"/>
    <w:rsid w:val="00BC2E97"/>
    <w:rsid w:val="00BC2F87"/>
    <w:rsid w:val="00BC2FA2"/>
    <w:rsid w:val="00BC3030"/>
    <w:rsid w:val="00BC3110"/>
    <w:rsid w:val="00BC3166"/>
    <w:rsid w:val="00BC319E"/>
    <w:rsid w:val="00BC31F3"/>
    <w:rsid w:val="00BC34C8"/>
    <w:rsid w:val="00BC34E5"/>
    <w:rsid w:val="00BC36AC"/>
    <w:rsid w:val="00BC37D8"/>
    <w:rsid w:val="00BC38AD"/>
    <w:rsid w:val="00BC3959"/>
    <w:rsid w:val="00BC3A91"/>
    <w:rsid w:val="00BC3ABB"/>
    <w:rsid w:val="00BC3AC9"/>
    <w:rsid w:val="00BC3BE6"/>
    <w:rsid w:val="00BC3D35"/>
    <w:rsid w:val="00BC3D67"/>
    <w:rsid w:val="00BC3D69"/>
    <w:rsid w:val="00BC3E35"/>
    <w:rsid w:val="00BC3E39"/>
    <w:rsid w:val="00BC3E64"/>
    <w:rsid w:val="00BC4117"/>
    <w:rsid w:val="00BC413B"/>
    <w:rsid w:val="00BC4253"/>
    <w:rsid w:val="00BC4269"/>
    <w:rsid w:val="00BC436A"/>
    <w:rsid w:val="00BC4374"/>
    <w:rsid w:val="00BC4457"/>
    <w:rsid w:val="00BC44BC"/>
    <w:rsid w:val="00BC4802"/>
    <w:rsid w:val="00BC485F"/>
    <w:rsid w:val="00BC49B5"/>
    <w:rsid w:val="00BC4A51"/>
    <w:rsid w:val="00BC4BBB"/>
    <w:rsid w:val="00BC4DE5"/>
    <w:rsid w:val="00BC4ED6"/>
    <w:rsid w:val="00BC4FC6"/>
    <w:rsid w:val="00BC500A"/>
    <w:rsid w:val="00BC50AE"/>
    <w:rsid w:val="00BC5165"/>
    <w:rsid w:val="00BC52B8"/>
    <w:rsid w:val="00BC5345"/>
    <w:rsid w:val="00BC5392"/>
    <w:rsid w:val="00BC53F3"/>
    <w:rsid w:val="00BC551C"/>
    <w:rsid w:val="00BC5592"/>
    <w:rsid w:val="00BC5664"/>
    <w:rsid w:val="00BC5778"/>
    <w:rsid w:val="00BC57A5"/>
    <w:rsid w:val="00BC5876"/>
    <w:rsid w:val="00BC58F3"/>
    <w:rsid w:val="00BC59B4"/>
    <w:rsid w:val="00BC5B6E"/>
    <w:rsid w:val="00BC5B76"/>
    <w:rsid w:val="00BC5F77"/>
    <w:rsid w:val="00BC5F85"/>
    <w:rsid w:val="00BC5FF9"/>
    <w:rsid w:val="00BC6208"/>
    <w:rsid w:val="00BC62F2"/>
    <w:rsid w:val="00BC65FD"/>
    <w:rsid w:val="00BC66DC"/>
    <w:rsid w:val="00BC670C"/>
    <w:rsid w:val="00BC676C"/>
    <w:rsid w:val="00BC681E"/>
    <w:rsid w:val="00BC6834"/>
    <w:rsid w:val="00BC6971"/>
    <w:rsid w:val="00BC69FF"/>
    <w:rsid w:val="00BC6A7A"/>
    <w:rsid w:val="00BC6B11"/>
    <w:rsid w:val="00BC6B13"/>
    <w:rsid w:val="00BC6B34"/>
    <w:rsid w:val="00BC6BC7"/>
    <w:rsid w:val="00BC6C05"/>
    <w:rsid w:val="00BC6CCD"/>
    <w:rsid w:val="00BC6E2F"/>
    <w:rsid w:val="00BC6F29"/>
    <w:rsid w:val="00BC6F4C"/>
    <w:rsid w:val="00BC6FCB"/>
    <w:rsid w:val="00BC709F"/>
    <w:rsid w:val="00BC70AD"/>
    <w:rsid w:val="00BC715F"/>
    <w:rsid w:val="00BC71DC"/>
    <w:rsid w:val="00BC73C0"/>
    <w:rsid w:val="00BC74C2"/>
    <w:rsid w:val="00BC773C"/>
    <w:rsid w:val="00BC7927"/>
    <w:rsid w:val="00BC7A71"/>
    <w:rsid w:val="00BC7BF8"/>
    <w:rsid w:val="00BC7C1B"/>
    <w:rsid w:val="00BC7D04"/>
    <w:rsid w:val="00BC7D46"/>
    <w:rsid w:val="00BC7ED6"/>
    <w:rsid w:val="00BC7F9E"/>
    <w:rsid w:val="00BC8DE8"/>
    <w:rsid w:val="00BCF772"/>
    <w:rsid w:val="00BD0036"/>
    <w:rsid w:val="00BD00C1"/>
    <w:rsid w:val="00BD015C"/>
    <w:rsid w:val="00BD0285"/>
    <w:rsid w:val="00BD04E8"/>
    <w:rsid w:val="00BD0570"/>
    <w:rsid w:val="00BD06A7"/>
    <w:rsid w:val="00BD074A"/>
    <w:rsid w:val="00BD08EF"/>
    <w:rsid w:val="00BD095F"/>
    <w:rsid w:val="00BD0B8F"/>
    <w:rsid w:val="00BD0B90"/>
    <w:rsid w:val="00BD0C62"/>
    <w:rsid w:val="00BD0DA5"/>
    <w:rsid w:val="00BD0DE1"/>
    <w:rsid w:val="00BD0EE1"/>
    <w:rsid w:val="00BD10CA"/>
    <w:rsid w:val="00BD10EF"/>
    <w:rsid w:val="00BD119D"/>
    <w:rsid w:val="00BD11B5"/>
    <w:rsid w:val="00BD133A"/>
    <w:rsid w:val="00BD13B2"/>
    <w:rsid w:val="00BD1434"/>
    <w:rsid w:val="00BD14E9"/>
    <w:rsid w:val="00BD1634"/>
    <w:rsid w:val="00BD17D0"/>
    <w:rsid w:val="00BD187F"/>
    <w:rsid w:val="00BD1994"/>
    <w:rsid w:val="00BD19B6"/>
    <w:rsid w:val="00BD1CE0"/>
    <w:rsid w:val="00BD1DB5"/>
    <w:rsid w:val="00BD1E18"/>
    <w:rsid w:val="00BD1E75"/>
    <w:rsid w:val="00BD1FE2"/>
    <w:rsid w:val="00BD21FD"/>
    <w:rsid w:val="00BD220B"/>
    <w:rsid w:val="00BD225A"/>
    <w:rsid w:val="00BD23C4"/>
    <w:rsid w:val="00BD23FB"/>
    <w:rsid w:val="00BD2563"/>
    <w:rsid w:val="00BD2757"/>
    <w:rsid w:val="00BD283E"/>
    <w:rsid w:val="00BD2845"/>
    <w:rsid w:val="00BD2900"/>
    <w:rsid w:val="00BD2A34"/>
    <w:rsid w:val="00BD2AE6"/>
    <w:rsid w:val="00BD2BB8"/>
    <w:rsid w:val="00BD2C8D"/>
    <w:rsid w:val="00BD2DEF"/>
    <w:rsid w:val="00BD2E9F"/>
    <w:rsid w:val="00BD2EA6"/>
    <w:rsid w:val="00BD30B7"/>
    <w:rsid w:val="00BD30C6"/>
    <w:rsid w:val="00BD3204"/>
    <w:rsid w:val="00BD3254"/>
    <w:rsid w:val="00BD332D"/>
    <w:rsid w:val="00BD338C"/>
    <w:rsid w:val="00BD34D7"/>
    <w:rsid w:val="00BD358C"/>
    <w:rsid w:val="00BD3663"/>
    <w:rsid w:val="00BD366C"/>
    <w:rsid w:val="00BD3680"/>
    <w:rsid w:val="00BD36F6"/>
    <w:rsid w:val="00BD384E"/>
    <w:rsid w:val="00BD3867"/>
    <w:rsid w:val="00BD3A39"/>
    <w:rsid w:val="00BD3A42"/>
    <w:rsid w:val="00BD3A4D"/>
    <w:rsid w:val="00BD3A52"/>
    <w:rsid w:val="00BD3A7F"/>
    <w:rsid w:val="00BD3AA6"/>
    <w:rsid w:val="00BD3AC8"/>
    <w:rsid w:val="00BD3B07"/>
    <w:rsid w:val="00BD3B22"/>
    <w:rsid w:val="00BD3C5D"/>
    <w:rsid w:val="00BD3CDD"/>
    <w:rsid w:val="00BD3D3D"/>
    <w:rsid w:val="00BD3DA1"/>
    <w:rsid w:val="00BD417D"/>
    <w:rsid w:val="00BD43E7"/>
    <w:rsid w:val="00BD4414"/>
    <w:rsid w:val="00BD465A"/>
    <w:rsid w:val="00BD4A9A"/>
    <w:rsid w:val="00BD4C0B"/>
    <w:rsid w:val="00BD4DA9"/>
    <w:rsid w:val="00BD4E28"/>
    <w:rsid w:val="00BD4FF4"/>
    <w:rsid w:val="00BD5065"/>
    <w:rsid w:val="00BD5096"/>
    <w:rsid w:val="00BD5183"/>
    <w:rsid w:val="00BD531B"/>
    <w:rsid w:val="00BD5338"/>
    <w:rsid w:val="00BD53C6"/>
    <w:rsid w:val="00BD542E"/>
    <w:rsid w:val="00BD555D"/>
    <w:rsid w:val="00BD55C4"/>
    <w:rsid w:val="00BD55E4"/>
    <w:rsid w:val="00BD58A4"/>
    <w:rsid w:val="00BD5AB0"/>
    <w:rsid w:val="00BD5AD7"/>
    <w:rsid w:val="00BD5BEE"/>
    <w:rsid w:val="00BD5CE2"/>
    <w:rsid w:val="00BD5D3E"/>
    <w:rsid w:val="00BD60A4"/>
    <w:rsid w:val="00BD610A"/>
    <w:rsid w:val="00BD62E3"/>
    <w:rsid w:val="00BD638B"/>
    <w:rsid w:val="00BD63A7"/>
    <w:rsid w:val="00BD6534"/>
    <w:rsid w:val="00BD659D"/>
    <w:rsid w:val="00BD6693"/>
    <w:rsid w:val="00BD67C7"/>
    <w:rsid w:val="00BD6869"/>
    <w:rsid w:val="00BD68A6"/>
    <w:rsid w:val="00BD6986"/>
    <w:rsid w:val="00BD69CB"/>
    <w:rsid w:val="00BD6C7F"/>
    <w:rsid w:val="00BD6C85"/>
    <w:rsid w:val="00BD6CCE"/>
    <w:rsid w:val="00BD6D77"/>
    <w:rsid w:val="00BD6FE1"/>
    <w:rsid w:val="00BD7119"/>
    <w:rsid w:val="00BD7172"/>
    <w:rsid w:val="00BD719A"/>
    <w:rsid w:val="00BD71B6"/>
    <w:rsid w:val="00BD7259"/>
    <w:rsid w:val="00BD7387"/>
    <w:rsid w:val="00BD73FB"/>
    <w:rsid w:val="00BD749F"/>
    <w:rsid w:val="00BD759C"/>
    <w:rsid w:val="00BD7648"/>
    <w:rsid w:val="00BD7746"/>
    <w:rsid w:val="00BD7780"/>
    <w:rsid w:val="00BD7781"/>
    <w:rsid w:val="00BD77BF"/>
    <w:rsid w:val="00BD7813"/>
    <w:rsid w:val="00BD7903"/>
    <w:rsid w:val="00BD797F"/>
    <w:rsid w:val="00BD79FA"/>
    <w:rsid w:val="00BD7AAE"/>
    <w:rsid w:val="00BD7BC3"/>
    <w:rsid w:val="00BD7CC4"/>
    <w:rsid w:val="00BD7D49"/>
    <w:rsid w:val="00BD7F42"/>
    <w:rsid w:val="00BD9281"/>
    <w:rsid w:val="00BE0299"/>
    <w:rsid w:val="00BE0308"/>
    <w:rsid w:val="00BE03EF"/>
    <w:rsid w:val="00BE03F7"/>
    <w:rsid w:val="00BE055F"/>
    <w:rsid w:val="00BE0642"/>
    <w:rsid w:val="00BE0689"/>
    <w:rsid w:val="00BE0731"/>
    <w:rsid w:val="00BE074B"/>
    <w:rsid w:val="00BE0829"/>
    <w:rsid w:val="00BE086F"/>
    <w:rsid w:val="00BE09A1"/>
    <w:rsid w:val="00BE0A70"/>
    <w:rsid w:val="00BE0AE2"/>
    <w:rsid w:val="00BE0C09"/>
    <w:rsid w:val="00BE0D39"/>
    <w:rsid w:val="00BE0E07"/>
    <w:rsid w:val="00BE0F10"/>
    <w:rsid w:val="00BE0F28"/>
    <w:rsid w:val="00BE0F92"/>
    <w:rsid w:val="00BE1089"/>
    <w:rsid w:val="00BE10F7"/>
    <w:rsid w:val="00BE111D"/>
    <w:rsid w:val="00BE1157"/>
    <w:rsid w:val="00BE11C4"/>
    <w:rsid w:val="00BE12A5"/>
    <w:rsid w:val="00BE12B8"/>
    <w:rsid w:val="00BE12CE"/>
    <w:rsid w:val="00BE13C6"/>
    <w:rsid w:val="00BE1429"/>
    <w:rsid w:val="00BE1499"/>
    <w:rsid w:val="00BE14FC"/>
    <w:rsid w:val="00BE1548"/>
    <w:rsid w:val="00BE157E"/>
    <w:rsid w:val="00BE16DB"/>
    <w:rsid w:val="00BE1746"/>
    <w:rsid w:val="00BE1838"/>
    <w:rsid w:val="00BE18B5"/>
    <w:rsid w:val="00BE18D0"/>
    <w:rsid w:val="00BE1AA7"/>
    <w:rsid w:val="00BE1B97"/>
    <w:rsid w:val="00BE1BA2"/>
    <w:rsid w:val="00BE1C2F"/>
    <w:rsid w:val="00BE1D5E"/>
    <w:rsid w:val="00BE1E78"/>
    <w:rsid w:val="00BE1EAC"/>
    <w:rsid w:val="00BE1EB5"/>
    <w:rsid w:val="00BE1FDC"/>
    <w:rsid w:val="00BE2016"/>
    <w:rsid w:val="00BE20FE"/>
    <w:rsid w:val="00BE2170"/>
    <w:rsid w:val="00BE21AC"/>
    <w:rsid w:val="00BE2231"/>
    <w:rsid w:val="00BE2431"/>
    <w:rsid w:val="00BE243A"/>
    <w:rsid w:val="00BE243F"/>
    <w:rsid w:val="00BE2509"/>
    <w:rsid w:val="00BE25DD"/>
    <w:rsid w:val="00BE25F5"/>
    <w:rsid w:val="00BE2608"/>
    <w:rsid w:val="00BE266A"/>
    <w:rsid w:val="00BE26CE"/>
    <w:rsid w:val="00BE272F"/>
    <w:rsid w:val="00BE27B3"/>
    <w:rsid w:val="00BE29B3"/>
    <w:rsid w:val="00BE2AD9"/>
    <w:rsid w:val="00BE2B90"/>
    <w:rsid w:val="00BE2CCB"/>
    <w:rsid w:val="00BE2D75"/>
    <w:rsid w:val="00BE2E5E"/>
    <w:rsid w:val="00BE2FCA"/>
    <w:rsid w:val="00BE3087"/>
    <w:rsid w:val="00BE30F6"/>
    <w:rsid w:val="00BE33E3"/>
    <w:rsid w:val="00BE3481"/>
    <w:rsid w:val="00BE35C1"/>
    <w:rsid w:val="00BE35D4"/>
    <w:rsid w:val="00BE36C2"/>
    <w:rsid w:val="00BE376E"/>
    <w:rsid w:val="00BE388C"/>
    <w:rsid w:val="00BE3A7E"/>
    <w:rsid w:val="00BE3D1A"/>
    <w:rsid w:val="00BE3D6B"/>
    <w:rsid w:val="00BE3DBE"/>
    <w:rsid w:val="00BE3DC3"/>
    <w:rsid w:val="00BE3E5A"/>
    <w:rsid w:val="00BE3FDE"/>
    <w:rsid w:val="00BE4100"/>
    <w:rsid w:val="00BE42A9"/>
    <w:rsid w:val="00BE42BC"/>
    <w:rsid w:val="00BE43EB"/>
    <w:rsid w:val="00BE4468"/>
    <w:rsid w:val="00BE44C5"/>
    <w:rsid w:val="00BE4502"/>
    <w:rsid w:val="00BE458E"/>
    <w:rsid w:val="00BE4645"/>
    <w:rsid w:val="00BE4649"/>
    <w:rsid w:val="00BE469C"/>
    <w:rsid w:val="00BE4749"/>
    <w:rsid w:val="00BE4768"/>
    <w:rsid w:val="00BE48C5"/>
    <w:rsid w:val="00BE49B8"/>
    <w:rsid w:val="00BE49FA"/>
    <w:rsid w:val="00BE4A01"/>
    <w:rsid w:val="00BE4A19"/>
    <w:rsid w:val="00BE4A65"/>
    <w:rsid w:val="00BE4B10"/>
    <w:rsid w:val="00BE4B18"/>
    <w:rsid w:val="00BE4C68"/>
    <w:rsid w:val="00BE4C87"/>
    <w:rsid w:val="00BE4E86"/>
    <w:rsid w:val="00BE4F77"/>
    <w:rsid w:val="00BE4F89"/>
    <w:rsid w:val="00BE4FE1"/>
    <w:rsid w:val="00BE517D"/>
    <w:rsid w:val="00BE51F2"/>
    <w:rsid w:val="00BE51FD"/>
    <w:rsid w:val="00BE53A6"/>
    <w:rsid w:val="00BE5521"/>
    <w:rsid w:val="00BE55F9"/>
    <w:rsid w:val="00BE5648"/>
    <w:rsid w:val="00BE5651"/>
    <w:rsid w:val="00BE56F1"/>
    <w:rsid w:val="00BE57B9"/>
    <w:rsid w:val="00BE584D"/>
    <w:rsid w:val="00BE5921"/>
    <w:rsid w:val="00BE5974"/>
    <w:rsid w:val="00BE59A9"/>
    <w:rsid w:val="00BE5A99"/>
    <w:rsid w:val="00BE5BA8"/>
    <w:rsid w:val="00BE5CAD"/>
    <w:rsid w:val="00BE5DAE"/>
    <w:rsid w:val="00BE5DE9"/>
    <w:rsid w:val="00BE5EAD"/>
    <w:rsid w:val="00BE5F86"/>
    <w:rsid w:val="00BE5FDB"/>
    <w:rsid w:val="00BE6004"/>
    <w:rsid w:val="00BE6020"/>
    <w:rsid w:val="00BE605B"/>
    <w:rsid w:val="00BE60E3"/>
    <w:rsid w:val="00BE6176"/>
    <w:rsid w:val="00BE61B3"/>
    <w:rsid w:val="00BE62CE"/>
    <w:rsid w:val="00BE63F7"/>
    <w:rsid w:val="00BE642F"/>
    <w:rsid w:val="00BE6477"/>
    <w:rsid w:val="00BE64F5"/>
    <w:rsid w:val="00BE6711"/>
    <w:rsid w:val="00BE6718"/>
    <w:rsid w:val="00BE6873"/>
    <w:rsid w:val="00BE68EC"/>
    <w:rsid w:val="00BE69BF"/>
    <w:rsid w:val="00BE69D3"/>
    <w:rsid w:val="00BE69E9"/>
    <w:rsid w:val="00BE6B89"/>
    <w:rsid w:val="00BE6B95"/>
    <w:rsid w:val="00BE6C2A"/>
    <w:rsid w:val="00BE6C3E"/>
    <w:rsid w:val="00BE6D01"/>
    <w:rsid w:val="00BE6D9A"/>
    <w:rsid w:val="00BE6EA7"/>
    <w:rsid w:val="00BE6F02"/>
    <w:rsid w:val="00BE6F29"/>
    <w:rsid w:val="00BE6F3E"/>
    <w:rsid w:val="00BE7045"/>
    <w:rsid w:val="00BE709C"/>
    <w:rsid w:val="00BE71E6"/>
    <w:rsid w:val="00BE7298"/>
    <w:rsid w:val="00BE73B8"/>
    <w:rsid w:val="00BE747C"/>
    <w:rsid w:val="00BE7663"/>
    <w:rsid w:val="00BE766C"/>
    <w:rsid w:val="00BE773B"/>
    <w:rsid w:val="00BE773D"/>
    <w:rsid w:val="00BE778D"/>
    <w:rsid w:val="00BE789B"/>
    <w:rsid w:val="00BE79BA"/>
    <w:rsid w:val="00BE7A2A"/>
    <w:rsid w:val="00BE7BD7"/>
    <w:rsid w:val="00BE7C35"/>
    <w:rsid w:val="00BE7C8F"/>
    <w:rsid w:val="00BE7CA0"/>
    <w:rsid w:val="00BE7CCA"/>
    <w:rsid w:val="00BE7D84"/>
    <w:rsid w:val="00BE7E06"/>
    <w:rsid w:val="00BE7EDB"/>
    <w:rsid w:val="00BE7F69"/>
    <w:rsid w:val="00BE7FA6"/>
    <w:rsid w:val="00BE7FB2"/>
    <w:rsid w:val="00BF00F4"/>
    <w:rsid w:val="00BF00F6"/>
    <w:rsid w:val="00BF01EE"/>
    <w:rsid w:val="00BF0378"/>
    <w:rsid w:val="00BF06E7"/>
    <w:rsid w:val="00BF07CD"/>
    <w:rsid w:val="00BF0888"/>
    <w:rsid w:val="00BF0902"/>
    <w:rsid w:val="00BF0A19"/>
    <w:rsid w:val="00BF0A39"/>
    <w:rsid w:val="00BF0B3A"/>
    <w:rsid w:val="00BF0B7D"/>
    <w:rsid w:val="00BF0CDB"/>
    <w:rsid w:val="00BF0D5C"/>
    <w:rsid w:val="00BF0F83"/>
    <w:rsid w:val="00BF0FF2"/>
    <w:rsid w:val="00BF114B"/>
    <w:rsid w:val="00BF124F"/>
    <w:rsid w:val="00BF12F7"/>
    <w:rsid w:val="00BF16E8"/>
    <w:rsid w:val="00BF18F6"/>
    <w:rsid w:val="00BF198E"/>
    <w:rsid w:val="00BF1A8C"/>
    <w:rsid w:val="00BF1A92"/>
    <w:rsid w:val="00BF1C26"/>
    <w:rsid w:val="00BF1C45"/>
    <w:rsid w:val="00BF1CF4"/>
    <w:rsid w:val="00BF1D18"/>
    <w:rsid w:val="00BF1DC1"/>
    <w:rsid w:val="00BF1E19"/>
    <w:rsid w:val="00BF1E54"/>
    <w:rsid w:val="00BF1F1D"/>
    <w:rsid w:val="00BF1F49"/>
    <w:rsid w:val="00BF1F54"/>
    <w:rsid w:val="00BF20E2"/>
    <w:rsid w:val="00BF2273"/>
    <w:rsid w:val="00BF2295"/>
    <w:rsid w:val="00BF238D"/>
    <w:rsid w:val="00BF2403"/>
    <w:rsid w:val="00BF2439"/>
    <w:rsid w:val="00BF244C"/>
    <w:rsid w:val="00BF24D9"/>
    <w:rsid w:val="00BF26AC"/>
    <w:rsid w:val="00BF293E"/>
    <w:rsid w:val="00BF2A26"/>
    <w:rsid w:val="00BF2AE7"/>
    <w:rsid w:val="00BF2BAD"/>
    <w:rsid w:val="00BF2CAB"/>
    <w:rsid w:val="00BF2E5B"/>
    <w:rsid w:val="00BF2F1A"/>
    <w:rsid w:val="00BF2F4C"/>
    <w:rsid w:val="00BF3071"/>
    <w:rsid w:val="00BF3134"/>
    <w:rsid w:val="00BF3179"/>
    <w:rsid w:val="00BF3461"/>
    <w:rsid w:val="00BF35FB"/>
    <w:rsid w:val="00BF36B4"/>
    <w:rsid w:val="00BF36FC"/>
    <w:rsid w:val="00BF3783"/>
    <w:rsid w:val="00BF3795"/>
    <w:rsid w:val="00BF3A00"/>
    <w:rsid w:val="00BF3A6D"/>
    <w:rsid w:val="00BF3A99"/>
    <w:rsid w:val="00BF3B93"/>
    <w:rsid w:val="00BF3C05"/>
    <w:rsid w:val="00BF3C5B"/>
    <w:rsid w:val="00BF3CAE"/>
    <w:rsid w:val="00BF3D98"/>
    <w:rsid w:val="00BF3DAD"/>
    <w:rsid w:val="00BF3E92"/>
    <w:rsid w:val="00BF3F1C"/>
    <w:rsid w:val="00BF4010"/>
    <w:rsid w:val="00BF40F1"/>
    <w:rsid w:val="00BF4239"/>
    <w:rsid w:val="00BF4322"/>
    <w:rsid w:val="00BF4376"/>
    <w:rsid w:val="00BF43C1"/>
    <w:rsid w:val="00BF4408"/>
    <w:rsid w:val="00BF44ED"/>
    <w:rsid w:val="00BF468A"/>
    <w:rsid w:val="00BF46B5"/>
    <w:rsid w:val="00BF48B2"/>
    <w:rsid w:val="00BF49AA"/>
    <w:rsid w:val="00BF4A18"/>
    <w:rsid w:val="00BF4B19"/>
    <w:rsid w:val="00BF4B28"/>
    <w:rsid w:val="00BF4B55"/>
    <w:rsid w:val="00BF4C1E"/>
    <w:rsid w:val="00BF4C2A"/>
    <w:rsid w:val="00BF4DAA"/>
    <w:rsid w:val="00BF4E81"/>
    <w:rsid w:val="00BF4EA6"/>
    <w:rsid w:val="00BF4EA7"/>
    <w:rsid w:val="00BF4EDD"/>
    <w:rsid w:val="00BF4EFB"/>
    <w:rsid w:val="00BF4F34"/>
    <w:rsid w:val="00BF5099"/>
    <w:rsid w:val="00BF51AE"/>
    <w:rsid w:val="00BF51DF"/>
    <w:rsid w:val="00BF52D5"/>
    <w:rsid w:val="00BF543E"/>
    <w:rsid w:val="00BF5499"/>
    <w:rsid w:val="00BF549A"/>
    <w:rsid w:val="00BF54A8"/>
    <w:rsid w:val="00BF5736"/>
    <w:rsid w:val="00BF579C"/>
    <w:rsid w:val="00BF5832"/>
    <w:rsid w:val="00BF5AD4"/>
    <w:rsid w:val="00BF5B32"/>
    <w:rsid w:val="00BF5BD8"/>
    <w:rsid w:val="00BF5E2D"/>
    <w:rsid w:val="00BF5F28"/>
    <w:rsid w:val="00BF5F48"/>
    <w:rsid w:val="00BF6024"/>
    <w:rsid w:val="00BF60FF"/>
    <w:rsid w:val="00BF61F6"/>
    <w:rsid w:val="00BF646C"/>
    <w:rsid w:val="00BF651F"/>
    <w:rsid w:val="00BF6533"/>
    <w:rsid w:val="00BF66AF"/>
    <w:rsid w:val="00BF6726"/>
    <w:rsid w:val="00BF67D7"/>
    <w:rsid w:val="00BF67ED"/>
    <w:rsid w:val="00BF6832"/>
    <w:rsid w:val="00BF68D7"/>
    <w:rsid w:val="00BF6923"/>
    <w:rsid w:val="00BF6A11"/>
    <w:rsid w:val="00BF6A5E"/>
    <w:rsid w:val="00BF6D68"/>
    <w:rsid w:val="00BF6E43"/>
    <w:rsid w:val="00BF6FE3"/>
    <w:rsid w:val="00BF7028"/>
    <w:rsid w:val="00BF70DB"/>
    <w:rsid w:val="00BF7161"/>
    <w:rsid w:val="00BF71A9"/>
    <w:rsid w:val="00BF71B2"/>
    <w:rsid w:val="00BF729A"/>
    <w:rsid w:val="00BF737E"/>
    <w:rsid w:val="00BF7514"/>
    <w:rsid w:val="00BF75A9"/>
    <w:rsid w:val="00BF75BA"/>
    <w:rsid w:val="00BF77CE"/>
    <w:rsid w:val="00BF7844"/>
    <w:rsid w:val="00BF7A2C"/>
    <w:rsid w:val="00BF7BC1"/>
    <w:rsid w:val="00BF7C9D"/>
    <w:rsid w:val="00BF7CE1"/>
    <w:rsid w:val="00BF7E2D"/>
    <w:rsid w:val="00BF7E8A"/>
    <w:rsid w:val="00BF7FB9"/>
    <w:rsid w:val="00BF7FD9"/>
    <w:rsid w:val="00C00040"/>
    <w:rsid w:val="00C001D2"/>
    <w:rsid w:val="00C002B9"/>
    <w:rsid w:val="00C002FF"/>
    <w:rsid w:val="00C0030C"/>
    <w:rsid w:val="00C00397"/>
    <w:rsid w:val="00C0062D"/>
    <w:rsid w:val="00C006A7"/>
    <w:rsid w:val="00C00700"/>
    <w:rsid w:val="00C00708"/>
    <w:rsid w:val="00C0074E"/>
    <w:rsid w:val="00C0077B"/>
    <w:rsid w:val="00C00842"/>
    <w:rsid w:val="00C00A98"/>
    <w:rsid w:val="00C00AE4"/>
    <w:rsid w:val="00C00BC3"/>
    <w:rsid w:val="00C00D08"/>
    <w:rsid w:val="00C00E03"/>
    <w:rsid w:val="00C01019"/>
    <w:rsid w:val="00C0119A"/>
    <w:rsid w:val="00C011C7"/>
    <w:rsid w:val="00C01293"/>
    <w:rsid w:val="00C0150F"/>
    <w:rsid w:val="00C0156A"/>
    <w:rsid w:val="00C01637"/>
    <w:rsid w:val="00C01663"/>
    <w:rsid w:val="00C01937"/>
    <w:rsid w:val="00C01939"/>
    <w:rsid w:val="00C01946"/>
    <w:rsid w:val="00C0198B"/>
    <w:rsid w:val="00C01AAF"/>
    <w:rsid w:val="00C01B7A"/>
    <w:rsid w:val="00C01BD9"/>
    <w:rsid w:val="00C01BDC"/>
    <w:rsid w:val="00C01C37"/>
    <w:rsid w:val="00C01C52"/>
    <w:rsid w:val="00C01DD9"/>
    <w:rsid w:val="00C01E41"/>
    <w:rsid w:val="00C01E8F"/>
    <w:rsid w:val="00C01ED4"/>
    <w:rsid w:val="00C01F44"/>
    <w:rsid w:val="00C01FA0"/>
    <w:rsid w:val="00C02055"/>
    <w:rsid w:val="00C0211F"/>
    <w:rsid w:val="00C0213E"/>
    <w:rsid w:val="00C0218A"/>
    <w:rsid w:val="00C0220A"/>
    <w:rsid w:val="00C022E8"/>
    <w:rsid w:val="00C02302"/>
    <w:rsid w:val="00C02350"/>
    <w:rsid w:val="00C02454"/>
    <w:rsid w:val="00C02524"/>
    <w:rsid w:val="00C02B42"/>
    <w:rsid w:val="00C02CF1"/>
    <w:rsid w:val="00C02DC0"/>
    <w:rsid w:val="00C03048"/>
    <w:rsid w:val="00C032B7"/>
    <w:rsid w:val="00C033A6"/>
    <w:rsid w:val="00C033BE"/>
    <w:rsid w:val="00C03519"/>
    <w:rsid w:val="00C0353E"/>
    <w:rsid w:val="00C0372A"/>
    <w:rsid w:val="00C03814"/>
    <w:rsid w:val="00C038CB"/>
    <w:rsid w:val="00C03ABD"/>
    <w:rsid w:val="00C03B4D"/>
    <w:rsid w:val="00C03CD0"/>
    <w:rsid w:val="00C03DC2"/>
    <w:rsid w:val="00C03F73"/>
    <w:rsid w:val="00C03FFB"/>
    <w:rsid w:val="00C0400C"/>
    <w:rsid w:val="00C04144"/>
    <w:rsid w:val="00C04262"/>
    <w:rsid w:val="00C042F1"/>
    <w:rsid w:val="00C0431B"/>
    <w:rsid w:val="00C043A3"/>
    <w:rsid w:val="00C0446E"/>
    <w:rsid w:val="00C04495"/>
    <w:rsid w:val="00C044D9"/>
    <w:rsid w:val="00C047F2"/>
    <w:rsid w:val="00C04823"/>
    <w:rsid w:val="00C04917"/>
    <w:rsid w:val="00C04971"/>
    <w:rsid w:val="00C04AAD"/>
    <w:rsid w:val="00C04B03"/>
    <w:rsid w:val="00C04BFC"/>
    <w:rsid w:val="00C04F2C"/>
    <w:rsid w:val="00C04F6E"/>
    <w:rsid w:val="00C05115"/>
    <w:rsid w:val="00C051C4"/>
    <w:rsid w:val="00C05253"/>
    <w:rsid w:val="00C05277"/>
    <w:rsid w:val="00C0547A"/>
    <w:rsid w:val="00C054F8"/>
    <w:rsid w:val="00C056E2"/>
    <w:rsid w:val="00C0578C"/>
    <w:rsid w:val="00C05816"/>
    <w:rsid w:val="00C05894"/>
    <w:rsid w:val="00C0590D"/>
    <w:rsid w:val="00C0590E"/>
    <w:rsid w:val="00C05AB9"/>
    <w:rsid w:val="00C05D55"/>
    <w:rsid w:val="00C05E23"/>
    <w:rsid w:val="00C05E81"/>
    <w:rsid w:val="00C05F81"/>
    <w:rsid w:val="00C062CA"/>
    <w:rsid w:val="00C06390"/>
    <w:rsid w:val="00C063CB"/>
    <w:rsid w:val="00C064D7"/>
    <w:rsid w:val="00C0655E"/>
    <w:rsid w:val="00C06586"/>
    <w:rsid w:val="00C0672C"/>
    <w:rsid w:val="00C06851"/>
    <w:rsid w:val="00C06939"/>
    <w:rsid w:val="00C06993"/>
    <w:rsid w:val="00C069A0"/>
    <w:rsid w:val="00C06AF4"/>
    <w:rsid w:val="00C06BCA"/>
    <w:rsid w:val="00C06DC7"/>
    <w:rsid w:val="00C06E21"/>
    <w:rsid w:val="00C06E31"/>
    <w:rsid w:val="00C06E4E"/>
    <w:rsid w:val="00C07134"/>
    <w:rsid w:val="00C07175"/>
    <w:rsid w:val="00C0718F"/>
    <w:rsid w:val="00C0732F"/>
    <w:rsid w:val="00C07466"/>
    <w:rsid w:val="00C076FD"/>
    <w:rsid w:val="00C078E5"/>
    <w:rsid w:val="00C07936"/>
    <w:rsid w:val="00C079B4"/>
    <w:rsid w:val="00C07AC9"/>
    <w:rsid w:val="00C07CD2"/>
    <w:rsid w:val="00C07DC3"/>
    <w:rsid w:val="00C1001F"/>
    <w:rsid w:val="00C1006D"/>
    <w:rsid w:val="00C101A9"/>
    <w:rsid w:val="00C101B5"/>
    <w:rsid w:val="00C102B1"/>
    <w:rsid w:val="00C1041F"/>
    <w:rsid w:val="00C1042C"/>
    <w:rsid w:val="00C105E2"/>
    <w:rsid w:val="00C106AB"/>
    <w:rsid w:val="00C10712"/>
    <w:rsid w:val="00C10723"/>
    <w:rsid w:val="00C107F3"/>
    <w:rsid w:val="00C1096F"/>
    <w:rsid w:val="00C109FF"/>
    <w:rsid w:val="00C10A6F"/>
    <w:rsid w:val="00C10B0F"/>
    <w:rsid w:val="00C10BEB"/>
    <w:rsid w:val="00C10CAB"/>
    <w:rsid w:val="00C10ECC"/>
    <w:rsid w:val="00C1100F"/>
    <w:rsid w:val="00C11241"/>
    <w:rsid w:val="00C112BA"/>
    <w:rsid w:val="00C112E8"/>
    <w:rsid w:val="00C11316"/>
    <w:rsid w:val="00C11334"/>
    <w:rsid w:val="00C113D3"/>
    <w:rsid w:val="00C114A0"/>
    <w:rsid w:val="00C114A9"/>
    <w:rsid w:val="00C114DB"/>
    <w:rsid w:val="00C11535"/>
    <w:rsid w:val="00C115D2"/>
    <w:rsid w:val="00C11694"/>
    <w:rsid w:val="00C1199C"/>
    <w:rsid w:val="00C119A9"/>
    <w:rsid w:val="00C11BB7"/>
    <w:rsid w:val="00C11BD7"/>
    <w:rsid w:val="00C11D5E"/>
    <w:rsid w:val="00C11E5A"/>
    <w:rsid w:val="00C11EC1"/>
    <w:rsid w:val="00C11FC3"/>
    <w:rsid w:val="00C11FE8"/>
    <w:rsid w:val="00C12087"/>
    <w:rsid w:val="00C12194"/>
    <w:rsid w:val="00C1246F"/>
    <w:rsid w:val="00C12592"/>
    <w:rsid w:val="00C125D8"/>
    <w:rsid w:val="00C12760"/>
    <w:rsid w:val="00C128D1"/>
    <w:rsid w:val="00C12924"/>
    <w:rsid w:val="00C12942"/>
    <w:rsid w:val="00C1294E"/>
    <w:rsid w:val="00C129B3"/>
    <w:rsid w:val="00C12A0B"/>
    <w:rsid w:val="00C12A82"/>
    <w:rsid w:val="00C12BD7"/>
    <w:rsid w:val="00C12BE5"/>
    <w:rsid w:val="00C12BEB"/>
    <w:rsid w:val="00C12CEA"/>
    <w:rsid w:val="00C12DF0"/>
    <w:rsid w:val="00C12DF4"/>
    <w:rsid w:val="00C12E47"/>
    <w:rsid w:val="00C12E61"/>
    <w:rsid w:val="00C12F9B"/>
    <w:rsid w:val="00C12FFA"/>
    <w:rsid w:val="00C1303D"/>
    <w:rsid w:val="00C130FD"/>
    <w:rsid w:val="00C1320B"/>
    <w:rsid w:val="00C13259"/>
    <w:rsid w:val="00C132EC"/>
    <w:rsid w:val="00C1337E"/>
    <w:rsid w:val="00C13383"/>
    <w:rsid w:val="00C1357D"/>
    <w:rsid w:val="00C136D6"/>
    <w:rsid w:val="00C137F9"/>
    <w:rsid w:val="00C138F7"/>
    <w:rsid w:val="00C13B68"/>
    <w:rsid w:val="00C13BC3"/>
    <w:rsid w:val="00C13BCC"/>
    <w:rsid w:val="00C13C5B"/>
    <w:rsid w:val="00C13D37"/>
    <w:rsid w:val="00C13FC9"/>
    <w:rsid w:val="00C13FEC"/>
    <w:rsid w:val="00C14012"/>
    <w:rsid w:val="00C141C6"/>
    <w:rsid w:val="00C143B7"/>
    <w:rsid w:val="00C14487"/>
    <w:rsid w:val="00C148BE"/>
    <w:rsid w:val="00C148FB"/>
    <w:rsid w:val="00C14B26"/>
    <w:rsid w:val="00C14BCF"/>
    <w:rsid w:val="00C14C97"/>
    <w:rsid w:val="00C14E0F"/>
    <w:rsid w:val="00C14E54"/>
    <w:rsid w:val="00C14E9F"/>
    <w:rsid w:val="00C150A9"/>
    <w:rsid w:val="00C150B0"/>
    <w:rsid w:val="00C151F6"/>
    <w:rsid w:val="00C15282"/>
    <w:rsid w:val="00C15355"/>
    <w:rsid w:val="00C1539E"/>
    <w:rsid w:val="00C154F7"/>
    <w:rsid w:val="00C154FD"/>
    <w:rsid w:val="00C15572"/>
    <w:rsid w:val="00C15573"/>
    <w:rsid w:val="00C15660"/>
    <w:rsid w:val="00C15662"/>
    <w:rsid w:val="00C156F4"/>
    <w:rsid w:val="00C15718"/>
    <w:rsid w:val="00C1580D"/>
    <w:rsid w:val="00C1590D"/>
    <w:rsid w:val="00C159ED"/>
    <w:rsid w:val="00C15AD0"/>
    <w:rsid w:val="00C15BBE"/>
    <w:rsid w:val="00C15C06"/>
    <w:rsid w:val="00C15C4F"/>
    <w:rsid w:val="00C15D0A"/>
    <w:rsid w:val="00C15D6A"/>
    <w:rsid w:val="00C15E5A"/>
    <w:rsid w:val="00C15EDD"/>
    <w:rsid w:val="00C15F49"/>
    <w:rsid w:val="00C16119"/>
    <w:rsid w:val="00C16267"/>
    <w:rsid w:val="00C16324"/>
    <w:rsid w:val="00C1661D"/>
    <w:rsid w:val="00C166B5"/>
    <w:rsid w:val="00C16776"/>
    <w:rsid w:val="00C167E5"/>
    <w:rsid w:val="00C16959"/>
    <w:rsid w:val="00C169BD"/>
    <w:rsid w:val="00C16B05"/>
    <w:rsid w:val="00C16C8A"/>
    <w:rsid w:val="00C16E63"/>
    <w:rsid w:val="00C16F1E"/>
    <w:rsid w:val="00C16FA5"/>
    <w:rsid w:val="00C1714C"/>
    <w:rsid w:val="00C171D6"/>
    <w:rsid w:val="00C172A0"/>
    <w:rsid w:val="00C17484"/>
    <w:rsid w:val="00C17492"/>
    <w:rsid w:val="00C174D8"/>
    <w:rsid w:val="00C175A0"/>
    <w:rsid w:val="00C17730"/>
    <w:rsid w:val="00C1784B"/>
    <w:rsid w:val="00C17960"/>
    <w:rsid w:val="00C17A24"/>
    <w:rsid w:val="00C17A6C"/>
    <w:rsid w:val="00C17A95"/>
    <w:rsid w:val="00C17B99"/>
    <w:rsid w:val="00C17E83"/>
    <w:rsid w:val="00C17EFA"/>
    <w:rsid w:val="00C17F00"/>
    <w:rsid w:val="00C17F4A"/>
    <w:rsid w:val="00C17F6B"/>
    <w:rsid w:val="00C17F74"/>
    <w:rsid w:val="00C17FB4"/>
    <w:rsid w:val="00C17FFC"/>
    <w:rsid w:val="00C200C6"/>
    <w:rsid w:val="00C2014B"/>
    <w:rsid w:val="00C2025B"/>
    <w:rsid w:val="00C202F0"/>
    <w:rsid w:val="00C203E6"/>
    <w:rsid w:val="00C2045D"/>
    <w:rsid w:val="00C204CB"/>
    <w:rsid w:val="00C206A3"/>
    <w:rsid w:val="00C206BF"/>
    <w:rsid w:val="00C20847"/>
    <w:rsid w:val="00C209EF"/>
    <w:rsid w:val="00C20A8C"/>
    <w:rsid w:val="00C20B60"/>
    <w:rsid w:val="00C20F0D"/>
    <w:rsid w:val="00C20F45"/>
    <w:rsid w:val="00C20F80"/>
    <w:rsid w:val="00C20FA0"/>
    <w:rsid w:val="00C21004"/>
    <w:rsid w:val="00C2102B"/>
    <w:rsid w:val="00C21129"/>
    <w:rsid w:val="00C2127F"/>
    <w:rsid w:val="00C212A4"/>
    <w:rsid w:val="00C214B8"/>
    <w:rsid w:val="00C215BB"/>
    <w:rsid w:val="00C21631"/>
    <w:rsid w:val="00C217EF"/>
    <w:rsid w:val="00C21910"/>
    <w:rsid w:val="00C219BB"/>
    <w:rsid w:val="00C21CD8"/>
    <w:rsid w:val="00C21D47"/>
    <w:rsid w:val="00C21E5B"/>
    <w:rsid w:val="00C21E96"/>
    <w:rsid w:val="00C21F17"/>
    <w:rsid w:val="00C21FBA"/>
    <w:rsid w:val="00C21FD1"/>
    <w:rsid w:val="00C2205B"/>
    <w:rsid w:val="00C2213B"/>
    <w:rsid w:val="00C2224B"/>
    <w:rsid w:val="00C222DA"/>
    <w:rsid w:val="00C224AB"/>
    <w:rsid w:val="00C224E8"/>
    <w:rsid w:val="00C224EA"/>
    <w:rsid w:val="00C22515"/>
    <w:rsid w:val="00C22544"/>
    <w:rsid w:val="00C22592"/>
    <w:rsid w:val="00C225F4"/>
    <w:rsid w:val="00C22651"/>
    <w:rsid w:val="00C2298B"/>
    <w:rsid w:val="00C229E6"/>
    <w:rsid w:val="00C22AFE"/>
    <w:rsid w:val="00C22B86"/>
    <w:rsid w:val="00C22C98"/>
    <w:rsid w:val="00C22CF2"/>
    <w:rsid w:val="00C22CF6"/>
    <w:rsid w:val="00C22D1B"/>
    <w:rsid w:val="00C22D8B"/>
    <w:rsid w:val="00C22D90"/>
    <w:rsid w:val="00C22E28"/>
    <w:rsid w:val="00C22E93"/>
    <w:rsid w:val="00C22ED4"/>
    <w:rsid w:val="00C22F6A"/>
    <w:rsid w:val="00C231EA"/>
    <w:rsid w:val="00C231F3"/>
    <w:rsid w:val="00C23237"/>
    <w:rsid w:val="00C232FA"/>
    <w:rsid w:val="00C2332C"/>
    <w:rsid w:val="00C2334C"/>
    <w:rsid w:val="00C23351"/>
    <w:rsid w:val="00C23423"/>
    <w:rsid w:val="00C2342F"/>
    <w:rsid w:val="00C23495"/>
    <w:rsid w:val="00C235EE"/>
    <w:rsid w:val="00C23603"/>
    <w:rsid w:val="00C23665"/>
    <w:rsid w:val="00C2367D"/>
    <w:rsid w:val="00C237C1"/>
    <w:rsid w:val="00C2386B"/>
    <w:rsid w:val="00C239DE"/>
    <w:rsid w:val="00C239EA"/>
    <w:rsid w:val="00C23B3C"/>
    <w:rsid w:val="00C23B90"/>
    <w:rsid w:val="00C23C20"/>
    <w:rsid w:val="00C23D2A"/>
    <w:rsid w:val="00C23DC0"/>
    <w:rsid w:val="00C23F29"/>
    <w:rsid w:val="00C2406D"/>
    <w:rsid w:val="00C24091"/>
    <w:rsid w:val="00C240AF"/>
    <w:rsid w:val="00C2442B"/>
    <w:rsid w:val="00C24468"/>
    <w:rsid w:val="00C244BE"/>
    <w:rsid w:val="00C24641"/>
    <w:rsid w:val="00C2474B"/>
    <w:rsid w:val="00C24758"/>
    <w:rsid w:val="00C2475E"/>
    <w:rsid w:val="00C24788"/>
    <w:rsid w:val="00C24791"/>
    <w:rsid w:val="00C2487B"/>
    <w:rsid w:val="00C248C9"/>
    <w:rsid w:val="00C249B0"/>
    <w:rsid w:val="00C24BC1"/>
    <w:rsid w:val="00C24D92"/>
    <w:rsid w:val="00C24EAE"/>
    <w:rsid w:val="00C24F35"/>
    <w:rsid w:val="00C24FB5"/>
    <w:rsid w:val="00C24FCD"/>
    <w:rsid w:val="00C25142"/>
    <w:rsid w:val="00C251F1"/>
    <w:rsid w:val="00C2522D"/>
    <w:rsid w:val="00C25241"/>
    <w:rsid w:val="00C25469"/>
    <w:rsid w:val="00C255F2"/>
    <w:rsid w:val="00C25623"/>
    <w:rsid w:val="00C25764"/>
    <w:rsid w:val="00C2581F"/>
    <w:rsid w:val="00C2584F"/>
    <w:rsid w:val="00C25876"/>
    <w:rsid w:val="00C259D7"/>
    <w:rsid w:val="00C25BB8"/>
    <w:rsid w:val="00C25C02"/>
    <w:rsid w:val="00C25D95"/>
    <w:rsid w:val="00C25E08"/>
    <w:rsid w:val="00C25E09"/>
    <w:rsid w:val="00C25EC7"/>
    <w:rsid w:val="00C260BD"/>
    <w:rsid w:val="00C26116"/>
    <w:rsid w:val="00C26263"/>
    <w:rsid w:val="00C2652F"/>
    <w:rsid w:val="00C2658F"/>
    <w:rsid w:val="00C26735"/>
    <w:rsid w:val="00C268F5"/>
    <w:rsid w:val="00C269A7"/>
    <w:rsid w:val="00C26A13"/>
    <w:rsid w:val="00C26A48"/>
    <w:rsid w:val="00C26A70"/>
    <w:rsid w:val="00C26AF9"/>
    <w:rsid w:val="00C26BA0"/>
    <w:rsid w:val="00C26BA5"/>
    <w:rsid w:val="00C26DA7"/>
    <w:rsid w:val="00C26DB8"/>
    <w:rsid w:val="00C26E55"/>
    <w:rsid w:val="00C26F8E"/>
    <w:rsid w:val="00C27072"/>
    <w:rsid w:val="00C2717C"/>
    <w:rsid w:val="00C27233"/>
    <w:rsid w:val="00C27315"/>
    <w:rsid w:val="00C27546"/>
    <w:rsid w:val="00C2759C"/>
    <w:rsid w:val="00C275E9"/>
    <w:rsid w:val="00C27684"/>
    <w:rsid w:val="00C277E2"/>
    <w:rsid w:val="00C2783D"/>
    <w:rsid w:val="00C27853"/>
    <w:rsid w:val="00C27858"/>
    <w:rsid w:val="00C27877"/>
    <w:rsid w:val="00C278F4"/>
    <w:rsid w:val="00C2790F"/>
    <w:rsid w:val="00C27AF4"/>
    <w:rsid w:val="00C27B98"/>
    <w:rsid w:val="00C27C53"/>
    <w:rsid w:val="00C27C65"/>
    <w:rsid w:val="00C27E08"/>
    <w:rsid w:val="00C27E68"/>
    <w:rsid w:val="00C27E76"/>
    <w:rsid w:val="00C27EA2"/>
    <w:rsid w:val="00C27EB3"/>
    <w:rsid w:val="00C27F7E"/>
    <w:rsid w:val="00C27FEE"/>
    <w:rsid w:val="00C305DF"/>
    <w:rsid w:val="00C305E0"/>
    <w:rsid w:val="00C30779"/>
    <w:rsid w:val="00C307D2"/>
    <w:rsid w:val="00C30833"/>
    <w:rsid w:val="00C30859"/>
    <w:rsid w:val="00C3088A"/>
    <w:rsid w:val="00C308D2"/>
    <w:rsid w:val="00C30955"/>
    <w:rsid w:val="00C30A15"/>
    <w:rsid w:val="00C30C44"/>
    <w:rsid w:val="00C30C56"/>
    <w:rsid w:val="00C30C8D"/>
    <w:rsid w:val="00C30E59"/>
    <w:rsid w:val="00C3102F"/>
    <w:rsid w:val="00C3104A"/>
    <w:rsid w:val="00C31119"/>
    <w:rsid w:val="00C3113E"/>
    <w:rsid w:val="00C31175"/>
    <w:rsid w:val="00C31525"/>
    <w:rsid w:val="00C31688"/>
    <w:rsid w:val="00C31888"/>
    <w:rsid w:val="00C318AC"/>
    <w:rsid w:val="00C3197E"/>
    <w:rsid w:val="00C31D55"/>
    <w:rsid w:val="00C31DE7"/>
    <w:rsid w:val="00C31F33"/>
    <w:rsid w:val="00C31F47"/>
    <w:rsid w:val="00C31F4D"/>
    <w:rsid w:val="00C31FD2"/>
    <w:rsid w:val="00C3218A"/>
    <w:rsid w:val="00C3219A"/>
    <w:rsid w:val="00C3223F"/>
    <w:rsid w:val="00C32248"/>
    <w:rsid w:val="00C32271"/>
    <w:rsid w:val="00C323F5"/>
    <w:rsid w:val="00C32429"/>
    <w:rsid w:val="00C324F5"/>
    <w:rsid w:val="00C32504"/>
    <w:rsid w:val="00C3254C"/>
    <w:rsid w:val="00C32653"/>
    <w:rsid w:val="00C326CC"/>
    <w:rsid w:val="00C329FC"/>
    <w:rsid w:val="00C32A80"/>
    <w:rsid w:val="00C32B6A"/>
    <w:rsid w:val="00C32B7E"/>
    <w:rsid w:val="00C32CDE"/>
    <w:rsid w:val="00C32D18"/>
    <w:rsid w:val="00C32D19"/>
    <w:rsid w:val="00C32DC9"/>
    <w:rsid w:val="00C32DD5"/>
    <w:rsid w:val="00C32E2B"/>
    <w:rsid w:val="00C32E5A"/>
    <w:rsid w:val="00C32F97"/>
    <w:rsid w:val="00C33098"/>
    <w:rsid w:val="00C330BC"/>
    <w:rsid w:val="00C330DC"/>
    <w:rsid w:val="00C33199"/>
    <w:rsid w:val="00C33242"/>
    <w:rsid w:val="00C332A4"/>
    <w:rsid w:val="00C333CB"/>
    <w:rsid w:val="00C335EA"/>
    <w:rsid w:val="00C33713"/>
    <w:rsid w:val="00C3371D"/>
    <w:rsid w:val="00C3374C"/>
    <w:rsid w:val="00C338D4"/>
    <w:rsid w:val="00C338FF"/>
    <w:rsid w:val="00C339AA"/>
    <w:rsid w:val="00C339D2"/>
    <w:rsid w:val="00C33A28"/>
    <w:rsid w:val="00C33D9F"/>
    <w:rsid w:val="00C33FB3"/>
    <w:rsid w:val="00C33FE7"/>
    <w:rsid w:val="00C34276"/>
    <w:rsid w:val="00C3434C"/>
    <w:rsid w:val="00C34475"/>
    <w:rsid w:val="00C3454E"/>
    <w:rsid w:val="00C3467F"/>
    <w:rsid w:val="00C346B7"/>
    <w:rsid w:val="00C346EB"/>
    <w:rsid w:val="00C34751"/>
    <w:rsid w:val="00C347B6"/>
    <w:rsid w:val="00C34896"/>
    <w:rsid w:val="00C348C0"/>
    <w:rsid w:val="00C348D8"/>
    <w:rsid w:val="00C3496E"/>
    <w:rsid w:val="00C349F0"/>
    <w:rsid w:val="00C34B51"/>
    <w:rsid w:val="00C34C06"/>
    <w:rsid w:val="00C34D72"/>
    <w:rsid w:val="00C34EDC"/>
    <w:rsid w:val="00C351C5"/>
    <w:rsid w:val="00C351CE"/>
    <w:rsid w:val="00C35284"/>
    <w:rsid w:val="00C353B8"/>
    <w:rsid w:val="00C353C5"/>
    <w:rsid w:val="00C3545E"/>
    <w:rsid w:val="00C354DA"/>
    <w:rsid w:val="00C355C7"/>
    <w:rsid w:val="00C35704"/>
    <w:rsid w:val="00C3571C"/>
    <w:rsid w:val="00C357DC"/>
    <w:rsid w:val="00C35820"/>
    <w:rsid w:val="00C35877"/>
    <w:rsid w:val="00C35887"/>
    <w:rsid w:val="00C3596E"/>
    <w:rsid w:val="00C35B00"/>
    <w:rsid w:val="00C35C32"/>
    <w:rsid w:val="00C35C51"/>
    <w:rsid w:val="00C35CA7"/>
    <w:rsid w:val="00C36035"/>
    <w:rsid w:val="00C3608D"/>
    <w:rsid w:val="00C36098"/>
    <w:rsid w:val="00C360E6"/>
    <w:rsid w:val="00C362A3"/>
    <w:rsid w:val="00C36326"/>
    <w:rsid w:val="00C366FB"/>
    <w:rsid w:val="00C36718"/>
    <w:rsid w:val="00C367F5"/>
    <w:rsid w:val="00C3680A"/>
    <w:rsid w:val="00C3695E"/>
    <w:rsid w:val="00C36B9B"/>
    <w:rsid w:val="00C36BB0"/>
    <w:rsid w:val="00C37050"/>
    <w:rsid w:val="00C3714D"/>
    <w:rsid w:val="00C37155"/>
    <w:rsid w:val="00C3715C"/>
    <w:rsid w:val="00C37179"/>
    <w:rsid w:val="00C37180"/>
    <w:rsid w:val="00C371E6"/>
    <w:rsid w:val="00C372AF"/>
    <w:rsid w:val="00C372B1"/>
    <w:rsid w:val="00C3730C"/>
    <w:rsid w:val="00C3738E"/>
    <w:rsid w:val="00C37403"/>
    <w:rsid w:val="00C3765B"/>
    <w:rsid w:val="00C37691"/>
    <w:rsid w:val="00C37803"/>
    <w:rsid w:val="00C3786B"/>
    <w:rsid w:val="00C378D2"/>
    <w:rsid w:val="00C37AD4"/>
    <w:rsid w:val="00C37D92"/>
    <w:rsid w:val="00C37FC5"/>
    <w:rsid w:val="00C40012"/>
    <w:rsid w:val="00C4009D"/>
    <w:rsid w:val="00C400F9"/>
    <w:rsid w:val="00C4032F"/>
    <w:rsid w:val="00C4036F"/>
    <w:rsid w:val="00C40384"/>
    <w:rsid w:val="00C40437"/>
    <w:rsid w:val="00C40555"/>
    <w:rsid w:val="00C40572"/>
    <w:rsid w:val="00C406B1"/>
    <w:rsid w:val="00C407BB"/>
    <w:rsid w:val="00C40AE3"/>
    <w:rsid w:val="00C40BF3"/>
    <w:rsid w:val="00C40C62"/>
    <w:rsid w:val="00C40D27"/>
    <w:rsid w:val="00C40D97"/>
    <w:rsid w:val="00C40DDA"/>
    <w:rsid w:val="00C40EB0"/>
    <w:rsid w:val="00C40F4E"/>
    <w:rsid w:val="00C40FD6"/>
    <w:rsid w:val="00C41083"/>
    <w:rsid w:val="00C41093"/>
    <w:rsid w:val="00C410E7"/>
    <w:rsid w:val="00C410FA"/>
    <w:rsid w:val="00C41108"/>
    <w:rsid w:val="00C411BF"/>
    <w:rsid w:val="00C411CF"/>
    <w:rsid w:val="00C411E5"/>
    <w:rsid w:val="00C4131B"/>
    <w:rsid w:val="00C41330"/>
    <w:rsid w:val="00C41362"/>
    <w:rsid w:val="00C4167F"/>
    <w:rsid w:val="00C41776"/>
    <w:rsid w:val="00C417A7"/>
    <w:rsid w:val="00C418F8"/>
    <w:rsid w:val="00C41A8F"/>
    <w:rsid w:val="00C41C55"/>
    <w:rsid w:val="00C41C65"/>
    <w:rsid w:val="00C41EEF"/>
    <w:rsid w:val="00C41F2D"/>
    <w:rsid w:val="00C41F32"/>
    <w:rsid w:val="00C41F8F"/>
    <w:rsid w:val="00C4203D"/>
    <w:rsid w:val="00C421C9"/>
    <w:rsid w:val="00C421D5"/>
    <w:rsid w:val="00C421E2"/>
    <w:rsid w:val="00C422B2"/>
    <w:rsid w:val="00C42327"/>
    <w:rsid w:val="00C4251B"/>
    <w:rsid w:val="00C42654"/>
    <w:rsid w:val="00C4265F"/>
    <w:rsid w:val="00C4268A"/>
    <w:rsid w:val="00C42765"/>
    <w:rsid w:val="00C428F7"/>
    <w:rsid w:val="00C4298A"/>
    <w:rsid w:val="00C42B4A"/>
    <w:rsid w:val="00C42C13"/>
    <w:rsid w:val="00C42C2D"/>
    <w:rsid w:val="00C42D5E"/>
    <w:rsid w:val="00C42DAA"/>
    <w:rsid w:val="00C42EB7"/>
    <w:rsid w:val="00C42F0A"/>
    <w:rsid w:val="00C42FAA"/>
    <w:rsid w:val="00C42FF0"/>
    <w:rsid w:val="00C43118"/>
    <w:rsid w:val="00C43161"/>
    <w:rsid w:val="00C431EB"/>
    <w:rsid w:val="00C43245"/>
    <w:rsid w:val="00C432D2"/>
    <w:rsid w:val="00C433CF"/>
    <w:rsid w:val="00C433E1"/>
    <w:rsid w:val="00C43485"/>
    <w:rsid w:val="00C4355E"/>
    <w:rsid w:val="00C435F3"/>
    <w:rsid w:val="00C43614"/>
    <w:rsid w:val="00C43683"/>
    <w:rsid w:val="00C436F2"/>
    <w:rsid w:val="00C43920"/>
    <w:rsid w:val="00C43A5E"/>
    <w:rsid w:val="00C43AA2"/>
    <w:rsid w:val="00C43B6F"/>
    <w:rsid w:val="00C43BD0"/>
    <w:rsid w:val="00C43CBC"/>
    <w:rsid w:val="00C43F23"/>
    <w:rsid w:val="00C43FE6"/>
    <w:rsid w:val="00C44204"/>
    <w:rsid w:val="00C44257"/>
    <w:rsid w:val="00C444AD"/>
    <w:rsid w:val="00C444F4"/>
    <w:rsid w:val="00C445FC"/>
    <w:rsid w:val="00C4460E"/>
    <w:rsid w:val="00C44681"/>
    <w:rsid w:val="00C448F6"/>
    <w:rsid w:val="00C44BC3"/>
    <w:rsid w:val="00C44E4B"/>
    <w:rsid w:val="00C44E8C"/>
    <w:rsid w:val="00C45027"/>
    <w:rsid w:val="00C450B9"/>
    <w:rsid w:val="00C450DD"/>
    <w:rsid w:val="00C45148"/>
    <w:rsid w:val="00C45370"/>
    <w:rsid w:val="00C4543F"/>
    <w:rsid w:val="00C45497"/>
    <w:rsid w:val="00C45573"/>
    <w:rsid w:val="00C456B8"/>
    <w:rsid w:val="00C45759"/>
    <w:rsid w:val="00C4575D"/>
    <w:rsid w:val="00C45822"/>
    <w:rsid w:val="00C45828"/>
    <w:rsid w:val="00C459A9"/>
    <w:rsid w:val="00C45A64"/>
    <w:rsid w:val="00C45B53"/>
    <w:rsid w:val="00C45D88"/>
    <w:rsid w:val="00C45F38"/>
    <w:rsid w:val="00C45F83"/>
    <w:rsid w:val="00C45FD8"/>
    <w:rsid w:val="00C45FD9"/>
    <w:rsid w:val="00C46056"/>
    <w:rsid w:val="00C4614E"/>
    <w:rsid w:val="00C4629C"/>
    <w:rsid w:val="00C46304"/>
    <w:rsid w:val="00C46308"/>
    <w:rsid w:val="00C463DF"/>
    <w:rsid w:val="00C46430"/>
    <w:rsid w:val="00C4652C"/>
    <w:rsid w:val="00C4657C"/>
    <w:rsid w:val="00C465AC"/>
    <w:rsid w:val="00C465B7"/>
    <w:rsid w:val="00C4662A"/>
    <w:rsid w:val="00C46661"/>
    <w:rsid w:val="00C466C3"/>
    <w:rsid w:val="00C467C1"/>
    <w:rsid w:val="00C467F4"/>
    <w:rsid w:val="00C46997"/>
    <w:rsid w:val="00C469D9"/>
    <w:rsid w:val="00C46AC5"/>
    <w:rsid w:val="00C46BD8"/>
    <w:rsid w:val="00C46D96"/>
    <w:rsid w:val="00C46D9E"/>
    <w:rsid w:val="00C46E45"/>
    <w:rsid w:val="00C4705F"/>
    <w:rsid w:val="00C47085"/>
    <w:rsid w:val="00C4715F"/>
    <w:rsid w:val="00C4725E"/>
    <w:rsid w:val="00C477FD"/>
    <w:rsid w:val="00C4781B"/>
    <w:rsid w:val="00C47992"/>
    <w:rsid w:val="00C47AC8"/>
    <w:rsid w:val="00C47B3B"/>
    <w:rsid w:val="00C47B92"/>
    <w:rsid w:val="00C47D4C"/>
    <w:rsid w:val="00C47D9F"/>
    <w:rsid w:val="00C47DBC"/>
    <w:rsid w:val="00C47E18"/>
    <w:rsid w:val="00C5007D"/>
    <w:rsid w:val="00C50137"/>
    <w:rsid w:val="00C501F5"/>
    <w:rsid w:val="00C50281"/>
    <w:rsid w:val="00C502AA"/>
    <w:rsid w:val="00C50444"/>
    <w:rsid w:val="00C5045A"/>
    <w:rsid w:val="00C5051D"/>
    <w:rsid w:val="00C505A0"/>
    <w:rsid w:val="00C506E6"/>
    <w:rsid w:val="00C507D6"/>
    <w:rsid w:val="00C50819"/>
    <w:rsid w:val="00C5089A"/>
    <w:rsid w:val="00C5092E"/>
    <w:rsid w:val="00C50A7C"/>
    <w:rsid w:val="00C50AB1"/>
    <w:rsid w:val="00C50B13"/>
    <w:rsid w:val="00C50BFF"/>
    <w:rsid w:val="00C50C28"/>
    <w:rsid w:val="00C50C58"/>
    <w:rsid w:val="00C50CAC"/>
    <w:rsid w:val="00C50CDD"/>
    <w:rsid w:val="00C50D73"/>
    <w:rsid w:val="00C50EF9"/>
    <w:rsid w:val="00C50F97"/>
    <w:rsid w:val="00C510B1"/>
    <w:rsid w:val="00C51147"/>
    <w:rsid w:val="00C51260"/>
    <w:rsid w:val="00C5133C"/>
    <w:rsid w:val="00C513CC"/>
    <w:rsid w:val="00C51445"/>
    <w:rsid w:val="00C5149F"/>
    <w:rsid w:val="00C515C1"/>
    <w:rsid w:val="00C51759"/>
    <w:rsid w:val="00C5177E"/>
    <w:rsid w:val="00C51859"/>
    <w:rsid w:val="00C51956"/>
    <w:rsid w:val="00C51B82"/>
    <w:rsid w:val="00C51D85"/>
    <w:rsid w:val="00C51D94"/>
    <w:rsid w:val="00C51DA5"/>
    <w:rsid w:val="00C51DD9"/>
    <w:rsid w:val="00C51DF6"/>
    <w:rsid w:val="00C51EA1"/>
    <w:rsid w:val="00C51ECA"/>
    <w:rsid w:val="00C51EEA"/>
    <w:rsid w:val="00C51F6C"/>
    <w:rsid w:val="00C52037"/>
    <w:rsid w:val="00C5214C"/>
    <w:rsid w:val="00C5223D"/>
    <w:rsid w:val="00C523D2"/>
    <w:rsid w:val="00C5252E"/>
    <w:rsid w:val="00C52577"/>
    <w:rsid w:val="00C5287B"/>
    <w:rsid w:val="00C52C50"/>
    <w:rsid w:val="00C52D6B"/>
    <w:rsid w:val="00C5300E"/>
    <w:rsid w:val="00C53105"/>
    <w:rsid w:val="00C5326D"/>
    <w:rsid w:val="00C532C0"/>
    <w:rsid w:val="00C532D7"/>
    <w:rsid w:val="00C5334A"/>
    <w:rsid w:val="00C53462"/>
    <w:rsid w:val="00C534B7"/>
    <w:rsid w:val="00C535F5"/>
    <w:rsid w:val="00C53602"/>
    <w:rsid w:val="00C5361A"/>
    <w:rsid w:val="00C536E5"/>
    <w:rsid w:val="00C536F3"/>
    <w:rsid w:val="00C536FE"/>
    <w:rsid w:val="00C537D2"/>
    <w:rsid w:val="00C537F3"/>
    <w:rsid w:val="00C53813"/>
    <w:rsid w:val="00C53AF8"/>
    <w:rsid w:val="00C53C00"/>
    <w:rsid w:val="00C53C19"/>
    <w:rsid w:val="00C53C38"/>
    <w:rsid w:val="00C53CE3"/>
    <w:rsid w:val="00C53CE9"/>
    <w:rsid w:val="00C53D10"/>
    <w:rsid w:val="00C53D68"/>
    <w:rsid w:val="00C53D96"/>
    <w:rsid w:val="00C53E29"/>
    <w:rsid w:val="00C53EB4"/>
    <w:rsid w:val="00C53F38"/>
    <w:rsid w:val="00C54055"/>
    <w:rsid w:val="00C540D5"/>
    <w:rsid w:val="00C5415C"/>
    <w:rsid w:val="00C54523"/>
    <w:rsid w:val="00C54593"/>
    <w:rsid w:val="00C54638"/>
    <w:rsid w:val="00C54731"/>
    <w:rsid w:val="00C5482E"/>
    <w:rsid w:val="00C54935"/>
    <w:rsid w:val="00C5499E"/>
    <w:rsid w:val="00C54A1E"/>
    <w:rsid w:val="00C54B00"/>
    <w:rsid w:val="00C54C24"/>
    <w:rsid w:val="00C54E77"/>
    <w:rsid w:val="00C54F23"/>
    <w:rsid w:val="00C54F75"/>
    <w:rsid w:val="00C54F9E"/>
    <w:rsid w:val="00C54FC5"/>
    <w:rsid w:val="00C54FD1"/>
    <w:rsid w:val="00C550D3"/>
    <w:rsid w:val="00C55272"/>
    <w:rsid w:val="00C55346"/>
    <w:rsid w:val="00C5550F"/>
    <w:rsid w:val="00C55560"/>
    <w:rsid w:val="00C557DC"/>
    <w:rsid w:val="00C557EA"/>
    <w:rsid w:val="00C55897"/>
    <w:rsid w:val="00C558A3"/>
    <w:rsid w:val="00C558F6"/>
    <w:rsid w:val="00C55ABC"/>
    <w:rsid w:val="00C55AD8"/>
    <w:rsid w:val="00C55BDB"/>
    <w:rsid w:val="00C55C32"/>
    <w:rsid w:val="00C55C35"/>
    <w:rsid w:val="00C55CA9"/>
    <w:rsid w:val="00C55ECF"/>
    <w:rsid w:val="00C55EFD"/>
    <w:rsid w:val="00C5604D"/>
    <w:rsid w:val="00C56105"/>
    <w:rsid w:val="00C56146"/>
    <w:rsid w:val="00C5627D"/>
    <w:rsid w:val="00C562D8"/>
    <w:rsid w:val="00C56356"/>
    <w:rsid w:val="00C56504"/>
    <w:rsid w:val="00C56506"/>
    <w:rsid w:val="00C565D8"/>
    <w:rsid w:val="00C56663"/>
    <w:rsid w:val="00C56800"/>
    <w:rsid w:val="00C56A19"/>
    <w:rsid w:val="00C56AA2"/>
    <w:rsid w:val="00C56D8C"/>
    <w:rsid w:val="00C56E02"/>
    <w:rsid w:val="00C570EF"/>
    <w:rsid w:val="00C571F0"/>
    <w:rsid w:val="00C57233"/>
    <w:rsid w:val="00C57316"/>
    <w:rsid w:val="00C5733F"/>
    <w:rsid w:val="00C57359"/>
    <w:rsid w:val="00C57378"/>
    <w:rsid w:val="00C573B4"/>
    <w:rsid w:val="00C57555"/>
    <w:rsid w:val="00C5766F"/>
    <w:rsid w:val="00C576AF"/>
    <w:rsid w:val="00C578FD"/>
    <w:rsid w:val="00C57945"/>
    <w:rsid w:val="00C579BA"/>
    <w:rsid w:val="00C57B43"/>
    <w:rsid w:val="00C57B5D"/>
    <w:rsid w:val="00C57BC4"/>
    <w:rsid w:val="00C57CDA"/>
    <w:rsid w:val="00C57CF6"/>
    <w:rsid w:val="00C57D58"/>
    <w:rsid w:val="00C57DC2"/>
    <w:rsid w:val="00C57DD3"/>
    <w:rsid w:val="00C57F68"/>
    <w:rsid w:val="00C5D458"/>
    <w:rsid w:val="00C6007D"/>
    <w:rsid w:val="00C60097"/>
    <w:rsid w:val="00C600AB"/>
    <w:rsid w:val="00C60167"/>
    <w:rsid w:val="00C601B0"/>
    <w:rsid w:val="00C601C8"/>
    <w:rsid w:val="00C602FA"/>
    <w:rsid w:val="00C6036E"/>
    <w:rsid w:val="00C603A2"/>
    <w:rsid w:val="00C604B1"/>
    <w:rsid w:val="00C604D2"/>
    <w:rsid w:val="00C60590"/>
    <w:rsid w:val="00C605C0"/>
    <w:rsid w:val="00C607BD"/>
    <w:rsid w:val="00C60911"/>
    <w:rsid w:val="00C60BE5"/>
    <w:rsid w:val="00C60C4B"/>
    <w:rsid w:val="00C60C5F"/>
    <w:rsid w:val="00C60CB4"/>
    <w:rsid w:val="00C60F60"/>
    <w:rsid w:val="00C60FA4"/>
    <w:rsid w:val="00C60FCE"/>
    <w:rsid w:val="00C61143"/>
    <w:rsid w:val="00C61280"/>
    <w:rsid w:val="00C61370"/>
    <w:rsid w:val="00C6138B"/>
    <w:rsid w:val="00C6144B"/>
    <w:rsid w:val="00C61603"/>
    <w:rsid w:val="00C616C3"/>
    <w:rsid w:val="00C6183D"/>
    <w:rsid w:val="00C6187B"/>
    <w:rsid w:val="00C618D7"/>
    <w:rsid w:val="00C618D9"/>
    <w:rsid w:val="00C6192A"/>
    <w:rsid w:val="00C61950"/>
    <w:rsid w:val="00C61A09"/>
    <w:rsid w:val="00C61ADB"/>
    <w:rsid w:val="00C61B00"/>
    <w:rsid w:val="00C61D88"/>
    <w:rsid w:val="00C61DC9"/>
    <w:rsid w:val="00C61ED8"/>
    <w:rsid w:val="00C621B5"/>
    <w:rsid w:val="00C621E8"/>
    <w:rsid w:val="00C6229B"/>
    <w:rsid w:val="00C6233E"/>
    <w:rsid w:val="00C62665"/>
    <w:rsid w:val="00C6274E"/>
    <w:rsid w:val="00C627C6"/>
    <w:rsid w:val="00C628D5"/>
    <w:rsid w:val="00C62919"/>
    <w:rsid w:val="00C6298A"/>
    <w:rsid w:val="00C62CA6"/>
    <w:rsid w:val="00C62D67"/>
    <w:rsid w:val="00C6306D"/>
    <w:rsid w:val="00C63208"/>
    <w:rsid w:val="00C6320C"/>
    <w:rsid w:val="00C632E3"/>
    <w:rsid w:val="00C63326"/>
    <w:rsid w:val="00C6338E"/>
    <w:rsid w:val="00C63436"/>
    <w:rsid w:val="00C6343A"/>
    <w:rsid w:val="00C63509"/>
    <w:rsid w:val="00C635A2"/>
    <w:rsid w:val="00C635DB"/>
    <w:rsid w:val="00C63730"/>
    <w:rsid w:val="00C6373E"/>
    <w:rsid w:val="00C6376A"/>
    <w:rsid w:val="00C6382A"/>
    <w:rsid w:val="00C6391F"/>
    <w:rsid w:val="00C63950"/>
    <w:rsid w:val="00C63959"/>
    <w:rsid w:val="00C639C0"/>
    <w:rsid w:val="00C63A20"/>
    <w:rsid w:val="00C63A2E"/>
    <w:rsid w:val="00C63BBF"/>
    <w:rsid w:val="00C63C18"/>
    <w:rsid w:val="00C63CD9"/>
    <w:rsid w:val="00C63E27"/>
    <w:rsid w:val="00C63EC3"/>
    <w:rsid w:val="00C640C4"/>
    <w:rsid w:val="00C640E6"/>
    <w:rsid w:val="00C64308"/>
    <w:rsid w:val="00C64331"/>
    <w:rsid w:val="00C64342"/>
    <w:rsid w:val="00C64344"/>
    <w:rsid w:val="00C643C0"/>
    <w:rsid w:val="00C643EB"/>
    <w:rsid w:val="00C643EE"/>
    <w:rsid w:val="00C6465E"/>
    <w:rsid w:val="00C6476A"/>
    <w:rsid w:val="00C647C7"/>
    <w:rsid w:val="00C647CE"/>
    <w:rsid w:val="00C64902"/>
    <w:rsid w:val="00C64A2E"/>
    <w:rsid w:val="00C64CEA"/>
    <w:rsid w:val="00C64E5F"/>
    <w:rsid w:val="00C64F9F"/>
    <w:rsid w:val="00C6528A"/>
    <w:rsid w:val="00C652CD"/>
    <w:rsid w:val="00C652D1"/>
    <w:rsid w:val="00C65353"/>
    <w:rsid w:val="00C653CE"/>
    <w:rsid w:val="00C65472"/>
    <w:rsid w:val="00C654F5"/>
    <w:rsid w:val="00C6550D"/>
    <w:rsid w:val="00C65642"/>
    <w:rsid w:val="00C656CA"/>
    <w:rsid w:val="00C656D9"/>
    <w:rsid w:val="00C657CF"/>
    <w:rsid w:val="00C6599F"/>
    <w:rsid w:val="00C659F4"/>
    <w:rsid w:val="00C65A02"/>
    <w:rsid w:val="00C65A2A"/>
    <w:rsid w:val="00C65A65"/>
    <w:rsid w:val="00C65ADB"/>
    <w:rsid w:val="00C65AF4"/>
    <w:rsid w:val="00C65B1B"/>
    <w:rsid w:val="00C65B8B"/>
    <w:rsid w:val="00C65D4D"/>
    <w:rsid w:val="00C65DA3"/>
    <w:rsid w:val="00C65E78"/>
    <w:rsid w:val="00C65EF7"/>
    <w:rsid w:val="00C65F15"/>
    <w:rsid w:val="00C65FF1"/>
    <w:rsid w:val="00C661D5"/>
    <w:rsid w:val="00C6627D"/>
    <w:rsid w:val="00C662A7"/>
    <w:rsid w:val="00C66406"/>
    <w:rsid w:val="00C6642A"/>
    <w:rsid w:val="00C664BB"/>
    <w:rsid w:val="00C664D5"/>
    <w:rsid w:val="00C66532"/>
    <w:rsid w:val="00C6664B"/>
    <w:rsid w:val="00C66772"/>
    <w:rsid w:val="00C6679F"/>
    <w:rsid w:val="00C66894"/>
    <w:rsid w:val="00C6689D"/>
    <w:rsid w:val="00C668F0"/>
    <w:rsid w:val="00C669FE"/>
    <w:rsid w:val="00C66A4C"/>
    <w:rsid w:val="00C66B2C"/>
    <w:rsid w:val="00C66B52"/>
    <w:rsid w:val="00C66C67"/>
    <w:rsid w:val="00C66DDF"/>
    <w:rsid w:val="00C66E13"/>
    <w:rsid w:val="00C66F52"/>
    <w:rsid w:val="00C66FB5"/>
    <w:rsid w:val="00C67083"/>
    <w:rsid w:val="00C670F2"/>
    <w:rsid w:val="00C67109"/>
    <w:rsid w:val="00C67303"/>
    <w:rsid w:val="00C674EF"/>
    <w:rsid w:val="00C6757D"/>
    <w:rsid w:val="00C675C1"/>
    <w:rsid w:val="00C67641"/>
    <w:rsid w:val="00C6789C"/>
    <w:rsid w:val="00C67B4C"/>
    <w:rsid w:val="00C67DB6"/>
    <w:rsid w:val="00C67EA6"/>
    <w:rsid w:val="00C67F4B"/>
    <w:rsid w:val="00C67F92"/>
    <w:rsid w:val="00C69C13"/>
    <w:rsid w:val="00C70228"/>
    <w:rsid w:val="00C702BA"/>
    <w:rsid w:val="00C702CF"/>
    <w:rsid w:val="00C7035B"/>
    <w:rsid w:val="00C70448"/>
    <w:rsid w:val="00C705A9"/>
    <w:rsid w:val="00C70615"/>
    <w:rsid w:val="00C7064A"/>
    <w:rsid w:val="00C70718"/>
    <w:rsid w:val="00C707BC"/>
    <w:rsid w:val="00C70831"/>
    <w:rsid w:val="00C708B0"/>
    <w:rsid w:val="00C708C7"/>
    <w:rsid w:val="00C708FB"/>
    <w:rsid w:val="00C70929"/>
    <w:rsid w:val="00C70A6C"/>
    <w:rsid w:val="00C70AC7"/>
    <w:rsid w:val="00C70B33"/>
    <w:rsid w:val="00C70B46"/>
    <w:rsid w:val="00C70CAE"/>
    <w:rsid w:val="00C70D69"/>
    <w:rsid w:val="00C70DB3"/>
    <w:rsid w:val="00C70EFB"/>
    <w:rsid w:val="00C71295"/>
    <w:rsid w:val="00C71357"/>
    <w:rsid w:val="00C7135E"/>
    <w:rsid w:val="00C71494"/>
    <w:rsid w:val="00C717DA"/>
    <w:rsid w:val="00C718BB"/>
    <w:rsid w:val="00C71932"/>
    <w:rsid w:val="00C71AFB"/>
    <w:rsid w:val="00C71EFC"/>
    <w:rsid w:val="00C71F06"/>
    <w:rsid w:val="00C71FB2"/>
    <w:rsid w:val="00C71FEE"/>
    <w:rsid w:val="00C72015"/>
    <w:rsid w:val="00C7223E"/>
    <w:rsid w:val="00C722B8"/>
    <w:rsid w:val="00C722BA"/>
    <w:rsid w:val="00C72326"/>
    <w:rsid w:val="00C7239E"/>
    <w:rsid w:val="00C72422"/>
    <w:rsid w:val="00C72512"/>
    <w:rsid w:val="00C72695"/>
    <w:rsid w:val="00C727D7"/>
    <w:rsid w:val="00C7284F"/>
    <w:rsid w:val="00C7290B"/>
    <w:rsid w:val="00C72B1F"/>
    <w:rsid w:val="00C72B67"/>
    <w:rsid w:val="00C72B91"/>
    <w:rsid w:val="00C72DA6"/>
    <w:rsid w:val="00C72DE3"/>
    <w:rsid w:val="00C72E2A"/>
    <w:rsid w:val="00C72EF1"/>
    <w:rsid w:val="00C72FC6"/>
    <w:rsid w:val="00C72FDF"/>
    <w:rsid w:val="00C73024"/>
    <w:rsid w:val="00C730AF"/>
    <w:rsid w:val="00C73118"/>
    <w:rsid w:val="00C731A2"/>
    <w:rsid w:val="00C73413"/>
    <w:rsid w:val="00C7349A"/>
    <w:rsid w:val="00C734BC"/>
    <w:rsid w:val="00C7356C"/>
    <w:rsid w:val="00C7366A"/>
    <w:rsid w:val="00C736B2"/>
    <w:rsid w:val="00C73721"/>
    <w:rsid w:val="00C73848"/>
    <w:rsid w:val="00C73BA9"/>
    <w:rsid w:val="00C73C9E"/>
    <w:rsid w:val="00C73D42"/>
    <w:rsid w:val="00C73ED1"/>
    <w:rsid w:val="00C73FE7"/>
    <w:rsid w:val="00C740DB"/>
    <w:rsid w:val="00C741F5"/>
    <w:rsid w:val="00C7429C"/>
    <w:rsid w:val="00C745A4"/>
    <w:rsid w:val="00C746B3"/>
    <w:rsid w:val="00C74705"/>
    <w:rsid w:val="00C7489C"/>
    <w:rsid w:val="00C7496F"/>
    <w:rsid w:val="00C74ACA"/>
    <w:rsid w:val="00C74B36"/>
    <w:rsid w:val="00C74ED3"/>
    <w:rsid w:val="00C74F94"/>
    <w:rsid w:val="00C750B3"/>
    <w:rsid w:val="00C7513A"/>
    <w:rsid w:val="00C752CD"/>
    <w:rsid w:val="00C75399"/>
    <w:rsid w:val="00C7551B"/>
    <w:rsid w:val="00C75637"/>
    <w:rsid w:val="00C756E3"/>
    <w:rsid w:val="00C7575B"/>
    <w:rsid w:val="00C7579B"/>
    <w:rsid w:val="00C7586A"/>
    <w:rsid w:val="00C75966"/>
    <w:rsid w:val="00C75A32"/>
    <w:rsid w:val="00C75A34"/>
    <w:rsid w:val="00C75A62"/>
    <w:rsid w:val="00C75B91"/>
    <w:rsid w:val="00C75BAB"/>
    <w:rsid w:val="00C75BE0"/>
    <w:rsid w:val="00C75C40"/>
    <w:rsid w:val="00C75D5C"/>
    <w:rsid w:val="00C75D8F"/>
    <w:rsid w:val="00C75ECA"/>
    <w:rsid w:val="00C75F42"/>
    <w:rsid w:val="00C75F99"/>
    <w:rsid w:val="00C76023"/>
    <w:rsid w:val="00C7604E"/>
    <w:rsid w:val="00C7618E"/>
    <w:rsid w:val="00C76261"/>
    <w:rsid w:val="00C7628C"/>
    <w:rsid w:val="00C76298"/>
    <w:rsid w:val="00C762B3"/>
    <w:rsid w:val="00C76458"/>
    <w:rsid w:val="00C76648"/>
    <w:rsid w:val="00C76679"/>
    <w:rsid w:val="00C7668F"/>
    <w:rsid w:val="00C76783"/>
    <w:rsid w:val="00C767B5"/>
    <w:rsid w:val="00C767F7"/>
    <w:rsid w:val="00C767FB"/>
    <w:rsid w:val="00C7683D"/>
    <w:rsid w:val="00C768C0"/>
    <w:rsid w:val="00C76971"/>
    <w:rsid w:val="00C769AF"/>
    <w:rsid w:val="00C76AA9"/>
    <w:rsid w:val="00C76AB2"/>
    <w:rsid w:val="00C76AEC"/>
    <w:rsid w:val="00C76C25"/>
    <w:rsid w:val="00C76C49"/>
    <w:rsid w:val="00C76C8D"/>
    <w:rsid w:val="00C76D37"/>
    <w:rsid w:val="00C76D8D"/>
    <w:rsid w:val="00C76F13"/>
    <w:rsid w:val="00C76FA5"/>
    <w:rsid w:val="00C76FCF"/>
    <w:rsid w:val="00C76FF8"/>
    <w:rsid w:val="00C7708B"/>
    <w:rsid w:val="00C770BA"/>
    <w:rsid w:val="00C77117"/>
    <w:rsid w:val="00C772E7"/>
    <w:rsid w:val="00C773A7"/>
    <w:rsid w:val="00C773ED"/>
    <w:rsid w:val="00C774A5"/>
    <w:rsid w:val="00C77578"/>
    <w:rsid w:val="00C77595"/>
    <w:rsid w:val="00C775BF"/>
    <w:rsid w:val="00C775E4"/>
    <w:rsid w:val="00C77736"/>
    <w:rsid w:val="00C77818"/>
    <w:rsid w:val="00C779C8"/>
    <w:rsid w:val="00C77A00"/>
    <w:rsid w:val="00C77A2A"/>
    <w:rsid w:val="00C77AC7"/>
    <w:rsid w:val="00C77B07"/>
    <w:rsid w:val="00C77B0A"/>
    <w:rsid w:val="00C77B7D"/>
    <w:rsid w:val="00C77B81"/>
    <w:rsid w:val="00C77BAB"/>
    <w:rsid w:val="00C77CBE"/>
    <w:rsid w:val="00C77FD0"/>
    <w:rsid w:val="00C80026"/>
    <w:rsid w:val="00C80037"/>
    <w:rsid w:val="00C800B0"/>
    <w:rsid w:val="00C80285"/>
    <w:rsid w:val="00C80475"/>
    <w:rsid w:val="00C804A8"/>
    <w:rsid w:val="00C805C4"/>
    <w:rsid w:val="00C80639"/>
    <w:rsid w:val="00C80726"/>
    <w:rsid w:val="00C80A19"/>
    <w:rsid w:val="00C80ACC"/>
    <w:rsid w:val="00C80BE0"/>
    <w:rsid w:val="00C80CF2"/>
    <w:rsid w:val="00C80F48"/>
    <w:rsid w:val="00C80F93"/>
    <w:rsid w:val="00C8106F"/>
    <w:rsid w:val="00C81080"/>
    <w:rsid w:val="00C811EF"/>
    <w:rsid w:val="00C81229"/>
    <w:rsid w:val="00C812A5"/>
    <w:rsid w:val="00C81323"/>
    <w:rsid w:val="00C8138A"/>
    <w:rsid w:val="00C813D2"/>
    <w:rsid w:val="00C813FD"/>
    <w:rsid w:val="00C8143E"/>
    <w:rsid w:val="00C814F3"/>
    <w:rsid w:val="00C8150F"/>
    <w:rsid w:val="00C81538"/>
    <w:rsid w:val="00C81545"/>
    <w:rsid w:val="00C815DD"/>
    <w:rsid w:val="00C815F5"/>
    <w:rsid w:val="00C817B8"/>
    <w:rsid w:val="00C817D9"/>
    <w:rsid w:val="00C81816"/>
    <w:rsid w:val="00C8190E"/>
    <w:rsid w:val="00C81AEB"/>
    <w:rsid w:val="00C81B33"/>
    <w:rsid w:val="00C81CA6"/>
    <w:rsid w:val="00C81EBB"/>
    <w:rsid w:val="00C81F95"/>
    <w:rsid w:val="00C82037"/>
    <w:rsid w:val="00C820CE"/>
    <w:rsid w:val="00C82395"/>
    <w:rsid w:val="00C823C6"/>
    <w:rsid w:val="00C8255D"/>
    <w:rsid w:val="00C827CA"/>
    <w:rsid w:val="00C827E7"/>
    <w:rsid w:val="00C82806"/>
    <w:rsid w:val="00C82B30"/>
    <w:rsid w:val="00C82C01"/>
    <w:rsid w:val="00C82C32"/>
    <w:rsid w:val="00C82C8A"/>
    <w:rsid w:val="00C82DAC"/>
    <w:rsid w:val="00C82E43"/>
    <w:rsid w:val="00C82FEF"/>
    <w:rsid w:val="00C830CD"/>
    <w:rsid w:val="00C830FC"/>
    <w:rsid w:val="00C832F3"/>
    <w:rsid w:val="00C83322"/>
    <w:rsid w:val="00C83517"/>
    <w:rsid w:val="00C83895"/>
    <w:rsid w:val="00C838A7"/>
    <w:rsid w:val="00C838CF"/>
    <w:rsid w:val="00C838FA"/>
    <w:rsid w:val="00C8396D"/>
    <w:rsid w:val="00C83998"/>
    <w:rsid w:val="00C83AE6"/>
    <w:rsid w:val="00C83AFA"/>
    <w:rsid w:val="00C83CFC"/>
    <w:rsid w:val="00C83D71"/>
    <w:rsid w:val="00C83EC9"/>
    <w:rsid w:val="00C84077"/>
    <w:rsid w:val="00C841EF"/>
    <w:rsid w:val="00C841FF"/>
    <w:rsid w:val="00C8425A"/>
    <w:rsid w:val="00C84476"/>
    <w:rsid w:val="00C84486"/>
    <w:rsid w:val="00C844F6"/>
    <w:rsid w:val="00C845E6"/>
    <w:rsid w:val="00C846C4"/>
    <w:rsid w:val="00C84928"/>
    <w:rsid w:val="00C84976"/>
    <w:rsid w:val="00C84C00"/>
    <w:rsid w:val="00C84CBD"/>
    <w:rsid w:val="00C84CCF"/>
    <w:rsid w:val="00C84D38"/>
    <w:rsid w:val="00C85033"/>
    <w:rsid w:val="00C85084"/>
    <w:rsid w:val="00C8515F"/>
    <w:rsid w:val="00C8531A"/>
    <w:rsid w:val="00C85351"/>
    <w:rsid w:val="00C85392"/>
    <w:rsid w:val="00C85481"/>
    <w:rsid w:val="00C85511"/>
    <w:rsid w:val="00C8557D"/>
    <w:rsid w:val="00C8559D"/>
    <w:rsid w:val="00C85665"/>
    <w:rsid w:val="00C857AF"/>
    <w:rsid w:val="00C857CA"/>
    <w:rsid w:val="00C858F5"/>
    <w:rsid w:val="00C85954"/>
    <w:rsid w:val="00C859DB"/>
    <w:rsid w:val="00C85B00"/>
    <w:rsid w:val="00C85BC4"/>
    <w:rsid w:val="00C85D97"/>
    <w:rsid w:val="00C85E10"/>
    <w:rsid w:val="00C8608F"/>
    <w:rsid w:val="00C861A8"/>
    <w:rsid w:val="00C8621A"/>
    <w:rsid w:val="00C86304"/>
    <w:rsid w:val="00C86389"/>
    <w:rsid w:val="00C863CB"/>
    <w:rsid w:val="00C86472"/>
    <w:rsid w:val="00C8648E"/>
    <w:rsid w:val="00C86630"/>
    <w:rsid w:val="00C8666D"/>
    <w:rsid w:val="00C86684"/>
    <w:rsid w:val="00C86719"/>
    <w:rsid w:val="00C8679D"/>
    <w:rsid w:val="00C867AD"/>
    <w:rsid w:val="00C86804"/>
    <w:rsid w:val="00C8685D"/>
    <w:rsid w:val="00C8688A"/>
    <w:rsid w:val="00C869EF"/>
    <w:rsid w:val="00C86A3E"/>
    <w:rsid w:val="00C86A8F"/>
    <w:rsid w:val="00C86B06"/>
    <w:rsid w:val="00C86D9A"/>
    <w:rsid w:val="00C86EB2"/>
    <w:rsid w:val="00C86FB2"/>
    <w:rsid w:val="00C8711D"/>
    <w:rsid w:val="00C8721F"/>
    <w:rsid w:val="00C87265"/>
    <w:rsid w:val="00C872A3"/>
    <w:rsid w:val="00C872C3"/>
    <w:rsid w:val="00C87379"/>
    <w:rsid w:val="00C873EB"/>
    <w:rsid w:val="00C8773C"/>
    <w:rsid w:val="00C8775C"/>
    <w:rsid w:val="00C878D6"/>
    <w:rsid w:val="00C8799A"/>
    <w:rsid w:val="00C87A1C"/>
    <w:rsid w:val="00C87A34"/>
    <w:rsid w:val="00C87B6C"/>
    <w:rsid w:val="00C87BC0"/>
    <w:rsid w:val="00C87CB2"/>
    <w:rsid w:val="00C87D43"/>
    <w:rsid w:val="00C87EA8"/>
    <w:rsid w:val="00C87F1D"/>
    <w:rsid w:val="00C87FF2"/>
    <w:rsid w:val="00C900C5"/>
    <w:rsid w:val="00C90512"/>
    <w:rsid w:val="00C906E8"/>
    <w:rsid w:val="00C90764"/>
    <w:rsid w:val="00C9080B"/>
    <w:rsid w:val="00C909E3"/>
    <w:rsid w:val="00C90B65"/>
    <w:rsid w:val="00C90B8B"/>
    <w:rsid w:val="00C90BC4"/>
    <w:rsid w:val="00C90BE1"/>
    <w:rsid w:val="00C90C59"/>
    <w:rsid w:val="00C90D75"/>
    <w:rsid w:val="00C90F76"/>
    <w:rsid w:val="00C910F0"/>
    <w:rsid w:val="00C911F8"/>
    <w:rsid w:val="00C91222"/>
    <w:rsid w:val="00C91299"/>
    <w:rsid w:val="00C9134C"/>
    <w:rsid w:val="00C9164C"/>
    <w:rsid w:val="00C91761"/>
    <w:rsid w:val="00C917D0"/>
    <w:rsid w:val="00C918D1"/>
    <w:rsid w:val="00C919AA"/>
    <w:rsid w:val="00C91A19"/>
    <w:rsid w:val="00C91AB6"/>
    <w:rsid w:val="00C91B16"/>
    <w:rsid w:val="00C91C38"/>
    <w:rsid w:val="00C91E13"/>
    <w:rsid w:val="00C91EB1"/>
    <w:rsid w:val="00C91FC3"/>
    <w:rsid w:val="00C91FD8"/>
    <w:rsid w:val="00C9204B"/>
    <w:rsid w:val="00C920D2"/>
    <w:rsid w:val="00C92275"/>
    <w:rsid w:val="00C923E9"/>
    <w:rsid w:val="00C924D4"/>
    <w:rsid w:val="00C924DF"/>
    <w:rsid w:val="00C92595"/>
    <w:rsid w:val="00C9263B"/>
    <w:rsid w:val="00C92766"/>
    <w:rsid w:val="00C92857"/>
    <w:rsid w:val="00C92865"/>
    <w:rsid w:val="00C92A4A"/>
    <w:rsid w:val="00C92B1D"/>
    <w:rsid w:val="00C92C18"/>
    <w:rsid w:val="00C92D8F"/>
    <w:rsid w:val="00C92E25"/>
    <w:rsid w:val="00C92F07"/>
    <w:rsid w:val="00C92F16"/>
    <w:rsid w:val="00C92F32"/>
    <w:rsid w:val="00C92F63"/>
    <w:rsid w:val="00C9318D"/>
    <w:rsid w:val="00C9321A"/>
    <w:rsid w:val="00C93242"/>
    <w:rsid w:val="00C93257"/>
    <w:rsid w:val="00C9326C"/>
    <w:rsid w:val="00C9327B"/>
    <w:rsid w:val="00C933F1"/>
    <w:rsid w:val="00C934B0"/>
    <w:rsid w:val="00C93660"/>
    <w:rsid w:val="00C937B4"/>
    <w:rsid w:val="00C938C9"/>
    <w:rsid w:val="00C93947"/>
    <w:rsid w:val="00C9397D"/>
    <w:rsid w:val="00C93C2F"/>
    <w:rsid w:val="00C93D81"/>
    <w:rsid w:val="00C93F13"/>
    <w:rsid w:val="00C9408B"/>
    <w:rsid w:val="00C942B8"/>
    <w:rsid w:val="00C9431F"/>
    <w:rsid w:val="00C944F9"/>
    <w:rsid w:val="00C944FB"/>
    <w:rsid w:val="00C946EA"/>
    <w:rsid w:val="00C948A0"/>
    <w:rsid w:val="00C948A3"/>
    <w:rsid w:val="00C948B1"/>
    <w:rsid w:val="00C94999"/>
    <w:rsid w:val="00C94ADC"/>
    <w:rsid w:val="00C94B18"/>
    <w:rsid w:val="00C94B55"/>
    <w:rsid w:val="00C94D04"/>
    <w:rsid w:val="00C94D3E"/>
    <w:rsid w:val="00C94D6B"/>
    <w:rsid w:val="00C94EC9"/>
    <w:rsid w:val="00C950C6"/>
    <w:rsid w:val="00C95165"/>
    <w:rsid w:val="00C95189"/>
    <w:rsid w:val="00C95274"/>
    <w:rsid w:val="00C9527D"/>
    <w:rsid w:val="00C9529A"/>
    <w:rsid w:val="00C953B3"/>
    <w:rsid w:val="00C95501"/>
    <w:rsid w:val="00C9579A"/>
    <w:rsid w:val="00C957A5"/>
    <w:rsid w:val="00C95983"/>
    <w:rsid w:val="00C95A0F"/>
    <w:rsid w:val="00C95A24"/>
    <w:rsid w:val="00C95A93"/>
    <w:rsid w:val="00C95B11"/>
    <w:rsid w:val="00C95C94"/>
    <w:rsid w:val="00C95CEA"/>
    <w:rsid w:val="00C95D20"/>
    <w:rsid w:val="00C95F9A"/>
    <w:rsid w:val="00C960A6"/>
    <w:rsid w:val="00C960EC"/>
    <w:rsid w:val="00C960FC"/>
    <w:rsid w:val="00C961DE"/>
    <w:rsid w:val="00C962AA"/>
    <w:rsid w:val="00C962DB"/>
    <w:rsid w:val="00C9638D"/>
    <w:rsid w:val="00C96551"/>
    <w:rsid w:val="00C9656E"/>
    <w:rsid w:val="00C96658"/>
    <w:rsid w:val="00C96737"/>
    <w:rsid w:val="00C969C6"/>
    <w:rsid w:val="00C96AE7"/>
    <w:rsid w:val="00C96AEE"/>
    <w:rsid w:val="00C96B13"/>
    <w:rsid w:val="00C96B61"/>
    <w:rsid w:val="00C96BC3"/>
    <w:rsid w:val="00C96CBD"/>
    <w:rsid w:val="00C96CCF"/>
    <w:rsid w:val="00C96CD9"/>
    <w:rsid w:val="00C96D75"/>
    <w:rsid w:val="00C96DD1"/>
    <w:rsid w:val="00C96E2D"/>
    <w:rsid w:val="00C96F0F"/>
    <w:rsid w:val="00C96F3E"/>
    <w:rsid w:val="00C96F86"/>
    <w:rsid w:val="00C96FB4"/>
    <w:rsid w:val="00C96FDD"/>
    <w:rsid w:val="00C971AB"/>
    <w:rsid w:val="00C97222"/>
    <w:rsid w:val="00C97249"/>
    <w:rsid w:val="00C97284"/>
    <w:rsid w:val="00C972A6"/>
    <w:rsid w:val="00C972FE"/>
    <w:rsid w:val="00C9732E"/>
    <w:rsid w:val="00C973EC"/>
    <w:rsid w:val="00C975D7"/>
    <w:rsid w:val="00C9769A"/>
    <w:rsid w:val="00C976AC"/>
    <w:rsid w:val="00C978B3"/>
    <w:rsid w:val="00C9798E"/>
    <w:rsid w:val="00C97A2D"/>
    <w:rsid w:val="00C97A40"/>
    <w:rsid w:val="00C97B05"/>
    <w:rsid w:val="00C97B78"/>
    <w:rsid w:val="00C97C35"/>
    <w:rsid w:val="00C97D5E"/>
    <w:rsid w:val="00C97E0C"/>
    <w:rsid w:val="00C97EB0"/>
    <w:rsid w:val="00C97EEA"/>
    <w:rsid w:val="00C97FB7"/>
    <w:rsid w:val="00CA0075"/>
    <w:rsid w:val="00CA0118"/>
    <w:rsid w:val="00CA017E"/>
    <w:rsid w:val="00CA0195"/>
    <w:rsid w:val="00CA034F"/>
    <w:rsid w:val="00CA047B"/>
    <w:rsid w:val="00CA049B"/>
    <w:rsid w:val="00CA0518"/>
    <w:rsid w:val="00CA0559"/>
    <w:rsid w:val="00CA060E"/>
    <w:rsid w:val="00CA0854"/>
    <w:rsid w:val="00CA0867"/>
    <w:rsid w:val="00CA0904"/>
    <w:rsid w:val="00CA0AE5"/>
    <w:rsid w:val="00CA0B12"/>
    <w:rsid w:val="00CA0B89"/>
    <w:rsid w:val="00CA0D04"/>
    <w:rsid w:val="00CA0D61"/>
    <w:rsid w:val="00CA0DA5"/>
    <w:rsid w:val="00CA0FE3"/>
    <w:rsid w:val="00CA103F"/>
    <w:rsid w:val="00CA129F"/>
    <w:rsid w:val="00CA13D9"/>
    <w:rsid w:val="00CA1433"/>
    <w:rsid w:val="00CA1450"/>
    <w:rsid w:val="00CA16AB"/>
    <w:rsid w:val="00CA16F8"/>
    <w:rsid w:val="00CA17CC"/>
    <w:rsid w:val="00CA1822"/>
    <w:rsid w:val="00CA1842"/>
    <w:rsid w:val="00CA1845"/>
    <w:rsid w:val="00CA1854"/>
    <w:rsid w:val="00CA185E"/>
    <w:rsid w:val="00CA1990"/>
    <w:rsid w:val="00CA1A9D"/>
    <w:rsid w:val="00CA1AAB"/>
    <w:rsid w:val="00CA1AD1"/>
    <w:rsid w:val="00CA1B20"/>
    <w:rsid w:val="00CA1B48"/>
    <w:rsid w:val="00CA1BCD"/>
    <w:rsid w:val="00CA1BCF"/>
    <w:rsid w:val="00CA1C8F"/>
    <w:rsid w:val="00CA1CB8"/>
    <w:rsid w:val="00CA1D1C"/>
    <w:rsid w:val="00CA1D1E"/>
    <w:rsid w:val="00CA1D86"/>
    <w:rsid w:val="00CA1E57"/>
    <w:rsid w:val="00CA1EAE"/>
    <w:rsid w:val="00CA1EE6"/>
    <w:rsid w:val="00CA1FC9"/>
    <w:rsid w:val="00CA2005"/>
    <w:rsid w:val="00CA2163"/>
    <w:rsid w:val="00CA2221"/>
    <w:rsid w:val="00CA22A0"/>
    <w:rsid w:val="00CA22F3"/>
    <w:rsid w:val="00CA238E"/>
    <w:rsid w:val="00CA239A"/>
    <w:rsid w:val="00CA23AC"/>
    <w:rsid w:val="00CA24CD"/>
    <w:rsid w:val="00CA254D"/>
    <w:rsid w:val="00CA2571"/>
    <w:rsid w:val="00CA25FE"/>
    <w:rsid w:val="00CA26CC"/>
    <w:rsid w:val="00CA27EE"/>
    <w:rsid w:val="00CA2810"/>
    <w:rsid w:val="00CA2839"/>
    <w:rsid w:val="00CA29AD"/>
    <w:rsid w:val="00CA2CDC"/>
    <w:rsid w:val="00CA2CFF"/>
    <w:rsid w:val="00CA2DC2"/>
    <w:rsid w:val="00CA2E2C"/>
    <w:rsid w:val="00CA2ED9"/>
    <w:rsid w:val="00CA2F79"/>
    <w:rsid w:val="00CA315B"/>
    <w:rsid w:val="00CA31C5"/>
    <w:rsid w:val="00CA3326"/>
    <w:rsid w:val="00CA332A"/>
    <w:rsid w:val="00CA33BC"/>
    <w:rsid w:val="00CA3433"/>
    <w:rsid w:val="00CA3497"/>
    <w:rsid w:val="00CA351E"/>
    <w:rsid w:val="00CA356F"/>
    <w:rsid w:val="00CA35AA"/>
    <w:rsid w:val="00CA3606"/>
    <w:rsid w:val="00CA36B9"/>
    <w:rsid w:val="00CA37A5"/>
    <w:rsid w:val="00CA37C1"/>
    <w:rsid w:val="00CA390D"/>
    <w:rsid w:val="00CA3CA7"/>
    <w:rsid w:val="00CA3EA7"/>
    <w:rsid w:val="00CA4111"/>
    <w:rsid w:val="00CA41F4"/>
    <w:rsid w:val="00CA420A"/>
    <w:rsid w:val="00CA4344"/>
    <w:rsid w:val="00CA4353"/>
    <w:rsid w:val="00CA4363"/>
    <w:rsid w:val="00CA44BA"/>
    <w:rsid w:val="00CA44BF"/>
    <w:rsid w:val="00CA4592"/>
    <w:rsid w:val="00CA45B2"/>
    <w:rsid w:val="00CA4676"/>
    <w:rsid w:val="00CA47A2"/>
    <w:rsid w:val="00CA48D1"/>
    <w:rsid w:val="00CA4A29"/>
    <w:rsid w:val="00CA4B95"/>
    <w:rsid w:val="00CA4C36"/>
    <w:rsid w:val="00CA4C5E"/>
    <w:rsid w:val="00CA4D2E"/>
    <w:rsid w:val="00CA4EF9"/>
    <w:rsid w:val="00CA4FED"/>
    <w:rsid w:val="00CA5013"/>
    <w:rsid w:val="00CA502B"/>
    <w:rsid w:val="00CA5102"/>
    <w:rsid w:val="00CA523A"/>
    <w:rsid w:val="00CA52DD"/>
    <w:rsid w:val="00CA53DD"/>
    <w:rsid w:val="00CA5418"/>
    <w:rsid w:val="00CA544F"/>
    <w:rsid w:val="00CA54A6"/>
    <w:rsid w:val="00CA54A8"/>
    <w:rsid w:val="00CA54E1"/>
    <w:rsid w:val="00CA54F4"/>
    <w:rsid w:val="00CA55F7"/>
    <w:rsid w:val="00CA566A"/>
    <w:rsid w:val="00CA56A7"/>
    <w:rsid w:val="00CA577A"/>
    <w:rsid w:val="00CA577E"/>
    <w:rsid w:val="00CA57C2"/>
    <w:rsid w:val="00CA58A6"/>
    <w:rsid w:val="00CA58EB"/>
    <w:rsid w:val="00CA5954"/>
    <w:rsid w:val="00CA59C0"/>
    <w:rsid w:val="00CA59D3"/>
    <w:rsid w:val="00CA5AAA"/>
    <w:rsid w:val="00CA5B61"/>
    <w:rsid w:val="00CA5C02"/>
    <w:rsid w:val="00CA5C56"/>
    <w:rsid w:val="00CA5C83"/>
    <w:rsid w:val="00CA5E47"/>
    <w:rsid w:val="00CA5EF4"/>
    <w:rsid w:val="00CA5F34"/>
    <w:rsid w:val="00CA5FBF"/>
    <w:rsid w:val="00CA5FD4"/>
    <w:rsid w:val="00CA603A"/>
    <w:rsid w:val="00CA6185"/>
    <w:rsid w:val="00CA6291"/>
    <w:rsid w:val="00CA62DD"/>
    <w:rsid w:val="00CA62DF"/>
    <w:rsid w:val="00CA62E4"/>
    <w:rsid w:val="00CA635B"/>
    <w:rsid w:val="00CA63B7"/>
    <w:rsid w:val="00CA63D7"/>
    <w:rsid w:val="00CA6417"/>
    <w:rsid w:val="00CA659B"/>
    <w:rsid w:val="00CA6624"/>
    <w:rsid w:val="00CA6669"/>
    <w:rsid w:val="00CA67E0"/>
    <w:rsid w:val="00CA689A"/>
    <w:rsid w:val="00CA68A7"/>
    <w:rsid w:val="00CA6A0A"/>
    <w:rsid w:val="00CA6A20"/>
    <w:rsid w:val="00CA6ABF"/>
    <w:rsid w:val="00CA6D77"/>
    <w:rsid w:val="00CA6D7E"/>
    <w:rsid w:val="00CA6E77"/>
    <w:rsid w:val="00CA6F3E"/>
    <w:rsid w:val="00CA6FA8"/>
    <w:rsid w:val="00CA700B"/>
    <w:rsid w:val="00CA7010"/>
    <w:rsid w:val="00CA7033"/>
    <w:rsid w:val="00CA715C"/>
    <w:rsid w:val="00CA7208"/>
    <w:rsid w:val="00CA72AE"/>
    <w:rsid w:val="00CA72E6"/>
    <w:rsid w:val="00CA72FD"/>
    <w:rsid w:val="00CA73AF"/>
    <w:rsid w:val="00CA7405"/>
    <w:rsid w:val="00CA745E"/>
    <w:rsid w:val="00CA7489"/>
    <w:rsid w:val="00CA75D3"/>
    <w:rsid w:val="00CA7639"/>
    <w:rsid w:val="00CA77C4"/>
    <w:rsid w:val="00CA7817"/>
    <w:rsid w:val="00CA7874"/>
    <w:rsid w:val="00CA7914"/>
    <w:rsid w:val="00CA7A87"/>
    <w:rsid w:val="00CA7BF9"/>
    <w:rsid w:val="00CA7DDB"/>
    <w:rsid w:val="00CA7FA5"/>
    <w:rsid w:val="00CA7FD5"/>
    <w:rsid w:val="00CA82D0"/>
    <w:rsid w:val="00CB0244"/>
    <w:rsid w:val="00CB02F4"/>
    <w:rsid w:val="00CB05BB"/>
    <w:rsid w:val="00CB05CE"/>
    <w:rsid w:val="00CB067F"/>
    <w:rsid w:val="00CB0680"/>
    <w:rsid w:val="00CB0724"/>
    <w:rsid w:val="00CB076B"/>
    <w:rsid w:val="00CB0777"/>
    <w:rsid w:val="00CB093E"/>
    <w:rsid w:val="00CB0D65"/>
    <w:rsid w:val="00CB0E5D"/>
    <w:rsid w:val="00CB0FB9"/>
    <w:rsid w:val="00CB14DB"/>
    <w:rsid w:val="00CB153C"/>
    <w:rsid w:val="00CB15F5"/>
    <w:rsid w:val="00CB1612"/>
    <w:rsid w:val="00CB16F1"/>
    <w:rsid w:val="00CB1738"/>
    <w:rsid w:val="00CB1770"/>
    <w:rsid w:val="00CB17E5"/>
    <w:rsid w:val="00CB1A0B"/>
    <w:rsid w:val="00CB1A29"/>
    <w:rsid w:val="00CB1A3F"/>
    <w:rsid w:val="00CB1B26"/>
    <w:rsid w:val="00CB1B41"/>
    <w:rsid w:val="00CB1C3D"/>
    <w:rsid w:val="00CB1C63"/>
    <w:rsid w:val="00CB1C65"/>
    <w:rsid w:val="00CB1C75"/>
    <w:rsid w:val="00CB1D29"/>
    <w:rsid w:val="00CB1EA9"/>
    <w:rsid w:val="00CB1EAB"/>
    <w:rsid w:val="00CB2017"/>
    <w:rsid w:val="00CB205B"/>
    <w:rsid w:val="00CB2182"/>
    <w:rsid w:val="00CB2217"/>
    <w:rsid w:val="00CB2250"/>
    <w:rsid w:val="00CB22FA"/>
    <w:rsid w:val="00CB238E"/>
    <w:rsid w:val="00CB23C0"/>
    <w:rsid w:val="00CB242C"/>
    <w:rsid w:val="00CB2452"/>
    <w:rsid w:val="00CB2468"/>
    <w:rsid w:val="00CB251B"/>
    <w:rsid w:val="00CB25B2"/>
    <w:rsid w:val="00CB25B6"/>
    <w:rsid w:val="00CB26CD"/>
    <w:rsid w:val="00CB2890"/>
    <w:rsid w:val="00CB2969"/>
    <w:rsid w:val="00CB2A0F"/>
    <w:rsid w:val="00CB2A20"/>
    <w:rsid w:val="00CB2B3D"/>
    <w:rsid w:val="00CB2B5D"/>
    <w:rsid w:val="00CB2B77"/>
    <w:rsid w:val="00CB2B79"/>
    <w:rsid w:val="00CB2B9E"/>
    <w:rsid w:val="00CB2C37"/>
    <w:rsid w:val="00CB2CAE"/>
    <w:rsid w:val="00CB2DB0"/>
    <w:rsid w:val="00CB2E94"/>
    <w:rsid w:val="00CB2F0F"/>
    <w:rsid w:val="00CB3076"/>
    <w:rsid w:val="00CB30FE"/>
    <w:rsid w:val="00CB31F7"/>
    <w:rsid w:val="00CB3228"/>
    <w:rsid w:val="00CB326D"/>
    <w:rsid w:val="00CB32E5"/>
    <w:rsid w:val="00CB3397"/>
    <w:rsid w:val="00CB33B0"/>
    <w:rsid w:val="00CB33C5"/>
    <w:rsid w:val="00CB3495"/>
    <w:rsid w:val="00CB34FD"/>
    <w:rsid w:val="00CB367D"/>
    <w:rsid w:val="00CB378F"/>
    <w:rsid w:val="00CB3812"/>
    <w:rsid w:val="00CB3910"/>
    <w:rsid w:val="00CB3927"/>
    <w:rsid w:val="00CB39C9"/>
    <w:rsid w:val="00CB39E4"/>
    <w:rsid w:val="00CB3A64"/>
    <w:rsid w:val="00CB3A85"/>
    <w:rsid w:val="00CB3AE7"/>
    <w:rsid w:val="00CB3B88"/>
    <w:rsid w:val="00CB3BAC"/>
    <w:rsid w:val="00CB3BD5"/>
    <w:rsid w:val="00CB3D6E"/>
    <w:rsid w:val="00CB3E8F"/>
    <w:rsid w:val="00CB3F7F"/>
    <w:rsid w:val="00CB405E"/>
    <w:rsid w:val="00CB406E"/>
    <w:rsid w:val="00CB4080"/>
    <w:rsid w:val="00CB424B"/>
    <w:rsid w:val="00CB4537"/>
    <w:rsid w:val="00CB4838"/>
    <w:rsid w:val="00CB494C"/>
    <w:rsid w:val="00CB49AB"/>
    <w:rsid w:val="00CB49CC"/>
    <w:rsid w:val="00CB49D8"/>
    <w:rsid w:val="00CB49EF"/>
    <w:rsid w:val="00CB4A11"/>
    <w:rsid w:val="00CB4A5A"/>
    <w:rsid w:val="00CB4C08"/>
    <w:rsid w:val="00CB4DA8"/>
    <w:rsid w:val="00CB4DC0"/>
    <w:rsid w:val="00CB4E3B"/>
    <w:rsid w:val="00CB4E55"/>
    <w:rsid w:val="00CB4E7B"/>
    <w:rsid w:val="00CB5095"/>
    <w:rsid w:val="00CB5135"/>
    <w:rsid w:val="00CB5238"/>
    <w:rsid w:val="00CB52E3"/>
    <w:rsid w:val="00CB5385"/>
    <w:rsid w:val="00CB553A"/>
    <w:rsid w:val="00CB55F8"/>
    <w:rsid w:val="00CB5623"/>
    <w:rsid w:val="00CB5719"/>
    <w:rsid w:val="00CB571C"/>
    <w:rsid w:val="00CB594E"/>
    <w:rsid w:val="00CB5A4F"/>
    <w:rsid w:val="00CB5ABB"/>
    <w:rsid w:val="00CB5B6B"/>
    <w:rsid w:val="00CB5CC9"/>
    <w:rsid w:val="00CB5DCB"/>
    <w:rsid w:val="00CB5EF7"/>
    <w:rsid w:val="00CB5F5E"/>
    <w:rsid w:val="00CB5F70"/>
    <w:rsid w:val="00CB609B"/>
    <w:rsid w:val="00CB60D9"/>
    <w:rsid w:val="00CB6132"/>
    <w:rsid w:val="00CB61C6"/>
    <w:rsid w:val="00CB62F2"/>
    <w:rsid w:val="00CB630A"/>
    <w:rsid w:val="00CB6339"/>
    <w:rsid w:val="00CB6575"/>
    <w:rsid w:val="00CB6589"/>
    <w:rsid w:val="00CB67CD"/>
    <w:rsid w:val="00CB681D"/>
    <w:rsid w:val="00CB686E"/>
    <w:rsid w:val="00CB6891"/>
    <w:rsid w:val="00CB699E"/>
    <w:rsid w:val="00CB6CE2"/>
    <w:rsid w:val="00CB6D77"/>
    <w:rsid w:val="00CB7143"/>
    <w:rsid w:val="00CB7148"/>
    <w:rsid w:val="00CB7156"/>
    <w:rsid w:val="00CB724E"/>
    <w:rsid w:val="00CB7332"/>
    <w:rsid w:val="00CB734B"/>
    <w:rsid w:val="00CB73AD"/>
    <w:rsid w:val="00CB73D0"/>
    <w:rsid w:val="00CB73D1"/>
    <w:rsid w:val="00CB7485"/>
    <w:rsid w:val="00CB74AC"/>
    <w:rsid w:val="00CB74E4"/>
    <w:rsid w:val="00CB75AF"/>
    <w:rsid w:val="00CB7655"/>
    <w:rsid w:val="00CB76CB"/>
    <w:rsid w:val="00CB76F8"/>
    <w:rsid w:val="00CB78B7"/>
    <w:rsid w:val="00CB7914"/>
    <w:rsid w:val="00CB7983"/>
    <w:rsid w:val="00CB7B1B"/>
    <w:rsid w:val="00CB7CC7"/>
    <w:rsid w:val="00CB7D9B"/>
    <w:rsid w:val="00CB7E42"/>
    <w:rsid w:val="00CB7E7A"/>
    <w:rsid w:val="00CB7E96"/>
    <w:rsid w:val="00CB7EBB"/>
    <w:rsid w:val="00CC0116"/>
    <w:rsid w:val="00CC0175"/>
    <w:rsid w:val="00CC0314"/>
    <w:rsid w:val="00CC041A"/>
    <w:rsid w:val="00CC04C3"/>
    <w:rsid w:val="00CC069B"/>
    <w:rsid w:val="00CC06BF"/>
    <w:rsid w:val="00CC07B5"/>
    <w:rsid w:val="00CC07CD"/>
    <w:rsid w:val="00CC08A4"/>
    <w:rsid w:val="00CC0A8B"/>
    <w:rsid w:val="00CC0B3C"/>
    <w:rsid w:val="00CC0BC7"/>
    <w:rsid w:val="00CC0C81"/>
    <w:rsid w:val="00CC0C90"/>
    <w:rsid w:val="00CC0D4A"/>
    <w:rsid w:val="00CC0E0F"/>
    <w:rsid w:val="00CC0FC4"/>
    <w:rsid w:val="00CC10F9"/>
    <w:rsid w:val="00CC10FF"/>
    <w:rsid w:val="00CC1157"/>
    <w:rsid w:val="00CC1216"/>
    <w:rsid w:val="00CC1223"/>
    <w:rsid w:val="00CC1393"/>
    <w:rsid w:val="00CC15F3"/>
    <w:rsid w:val="00CC172A"/>
    <w:rsid w:val="00CC1824"/>
    <w:rsid w:val="00CC1A74"/>
    <w:rsid w:val="00CC1B9B"/>
    <w:rsid w:val="00CC1C69"/>
    <w:rsid w:val="00CC1CAC"/>
    <w:rsid w:val="00CC1E73"/>
    <w:rsid w:val="00CC1EA1"/>
    <w:rsid w:val="00CC1F03"/>
    <w:rsid w:val="00CC1F16"/>
    <w:rsid w:val="00CC2060"/>
    <w:rsid w:val="00CC206E"/>
    <w:rsid w:val="00CC2121"/>
    <w:rsid w:val="00CC2283"/>
    <w:rsid w:val="00CC22EC"/>
    <w:rsid w:val="00CC246D"/>
    <w:rsid w:val="00CC2583"/>
    <w:rsid w:val="00CC263D"/>
    <w:rsid w:val="00CC2712"/>
    <w:rsid w:val="00CC2762"/>
    <w:rsid w:val="00CC2966"/>
    <w:rsid w:val="00CC2C38"/>
    <w:rsid w:val="00CC2C41"/>
    <w:rsid w:val="00CC304D"/>
    <w:rsid w:val="00CC317A"/>
    <w:rsid w:val="00CC317F"/>
    <w:rsid w:val="00CC32EF"/>
    <w:rsid w:val="00CC3361"/>
    <w:rsid w:val="00CC337F"/>
    <w:rsid w:val="00CC3468"/>
    <w:rsid w:val="00CC3496"/>
    <w:rsid w:val="00CC34F2"/>
    <w:rsid w:val="00CC3579"/>
    <w:rsid w:val="00CC383C"/>
    <w:rsid w:val="00CC38C2"/>
    <w:rsid w:val="00CC3A65"/>
    <w:rsid w:val="00CC3A81"/>
    <w:rsid w:val="00CC3BB0"/>
    <w:rsid w:val="00CC3D7A"/>
    <w:rsid w:val="00CC3E81"/>
    <w:rsid w:val="00CC3F40"/>
    <w:rsid w:val="00CC3FA0"/>
    <w:rsid w:val="00CC40EE"/>
    <w:rsid w:val="00CC40FA"/>
    <w:rsid w:val="00CC4102"/>
    <w:rsid w:val="00CC42EE"/>
    <w:rsid w:val="00CC4304"/>
    <w:rsid w:val="00CC4363"/>
    <w:rsid w:val="00CC43C2"/>
    <w:rsid w:val="00CC43C3"/>
    <w:rsid w:val="00CC4402"/>
    <w:rsid w:val="00CC467A"/>
    <w:rsid w:val="00CC46A9"/>
    <w:rsid w:val="00CC4705"/>
    <w:rsid w:val="00CC47A6"/>
    <w:rsid w:val="00CC47DB"/>
    <w:rsid w:val="00CC490C"/>
    <w:rsid w:val="00CC4948"/>
    <w:rsid w:val="00CC4A55"/>
    <w:rsid w:val="00CC4A7F"/>
    <w:rsid w:val="00CC4AD0"/>
    <w:rsid w:val="00CC4BAF"/>
    <w:rsid w:val="00CC4BF3"/>
    <w:rsid w:val="00CC4C23"/>
    <w:rsid w:val="00CC4E3C"/>
    <w:rsid w:val="00CC4E51"/>
    <w:rsid w:val="00CC4EAF"/>
    <w:rsid w:val="00CC4FDA"/>
    <w:rsid w:val="00CC502D"/>
    <w:rsid w:val="00CC504E"/>
    <w:rsid w:val="00CC506C"/>
    <w:rsid w:val="00CC509E"/>
    <w:rsid w:val="00CC5147"/>
    <w:rsid w:val="00CC5193"/>
    <w:rsid w:val="00CC5215"/>
    <w:rsid w:val="00CC52B0"/>
    <w:rsid w:val="00CC5330"/>
    <w:rsid w:val="00CC53AE"/>
    <w:rsid w:val="00CC541A"/>
    <w:rsid w:val="00CC554C"/>
    <w:rsid w:val="00CC55A2"/>
    <w:rsid w:val="00CC5776"/>
    <w:rsid w:val="00CC5906"/>
    <w:rsid w:val="00CC5948"/>
    <w:rsid w:val="00CC59B4"/>
    <w:rsid w:val="00CC5CDB"/>
    <w:rsid w:val="00CC5D70"/>
    <w:rsid w:val="00CC5F25"/>
    <w:rsid w:val="00CC5F9A"/>
    <w:rsid w:val="00CC6014"/>
    <w:rsid w:val="00CC60B4"/>
    <w:rsid w:val="00CC62B9"/>
    <w:rsid w:val="00CC63C1"/>
    <w:rsid w:val="00CC6523"/>
    <w:rsid w:val="00CC66CB"/>
    <w:rsid w:val="00CC67AF"/>
    <w:rsid w:val="00CC680E"/>
    <w:rsid w:val="00CC6876"/>
    <w:rsid w:val="00CC692E"/>
    <w:rsid w:val="00CC6E0D"/>
    <w:rsid w:val="00CC6E76"/>
    <w:rsid w:val="00CC70E6"/>
    <w:rsid w:val="00CC7154"/>
    <w:rsid w:val="00CC71F3"/>
    <w:rsid w:val="00CC724D"/>
    <w:rsid w:val="00CC73BD"/>
    <w:rsid w:val="00CC73F0"/>
    <w:rsid w:val="00CC74C4"/>
    <w:rsid w:val="00CC76DC"/>
    <w:rsid w:val="00CC79C6"/>
    <w:rsid w:val="00CC7A2E"/>
    <w:rsid w:val="00CC7AED"/>
    <w:rsid w:val="00CC7B27"/>
    <w:rsid w:val="00CC7BC3"/>
    <w:rsid w:val="00CC7C10"/>
    <w:rsid w:val="00CC7E35"/>
    <w:rsid w:val="00CC7E3A"/>
    <w:rsid w:val="00CC7F26"/>
    <w:rsid w:val="00CC7FFE"/>
    <w:rsid w:val="00CD001D"/>
    <w:rsid w:val="00CD01E5"/>
    <w:rsid w:val="00CD02F8"/>
    <w:rsid w:val="00CD0359"/>
    <w:rsid w:val="00CD039B"/>
    <w:rsid w:val="00CD03F0"/>
    <w:rsid w:val="00CD043C"/>
    <w:rsid w:val="00CD04F9"/>
    <w:rsid w:val="00CD0599"/>
    <w:rsid w:val="00CD05A9"/>
    <w:rsid w:val="00CD05C8"/>
    <w:rsid w:val="00CD05C9"/>
    <w:rsid w:val="00CD061C"/>
    <w:rsid w:val="00CD07DE"/>
    <w:rsid w:val="00CD08EC"/>
    <w:rsid w:val="00CD0942"/>
    <w:rsid w:val="00CD09D0"/>
    <w:rsid w:val="00CD0BB2"/>
    <w:rsid w:val="00CD0BF5"/>
    <w:rsid w:val="00CD0C3D"/>
    <w:rsid w:val="00CD0DE0"/>
    <w:rsid w:val="00CD0E03"/>
    <w:rsid w:val="00CD0ECE"/>
    <w:rsid w:val="00CD0F82"/>
    <w:rsid w:val="00CD114E"/>
    <w:rsid w:val="00CD12FF"/>
    <w:rsid w:val="00CD18AC"/>
    <w:rsid w:val="00CD1982"/>
    <w:rsid w:val="00CD1A20"/>
    <w:rsid w:val="00CD1A64"/>
    <w:rsid w:val="00CD1B8A"/>
    <w:rsid w:val="00CD1CD6"/>
    <w:rsid w:val="00CD1D1F"/>
    <w:rsid w:val="00CD1DD7"/>
    <w:rsid w:val="00CD1EAE"/>
    <w:rsid w:val="00CD1F3F"/>
    <w:rsid w:val="00CD20BA"/>
    <w:rsid w:val="00CD2196"/>
    <w:rsid w:val="00CD2663"/>
    <w:rsid w:val="00CD26FD"/>
    <w:rsid w:val="00CD271D"/>
    <w:rsid w:val="00CD27CB"/>
    <w:rsid w:val="00CD2A9C"/>
    <w:rsid w:val="00CD2AA9"/>
    <w:rsid w:val="00CD2B56"/>
    <w:rsid w:val="00CD2B83"/>
    <w:rsid w:val="00CD2C03"/>
    <w:rsid w:val="00CD2C25"/>
    <w:rsid w:val="00CD2C50"/>
    <w:rsid w:val="00CD2C51"/>
    <w:rsid w:val="00CD2C7D"/>
    <w:rsid w:val="00CD2CBB"/>
    <w:rsid w:val="00CD2F6C"/>
    <w:rsid w:val="00CD2F8E"/>
    <w:rsid w:val="00CD2FBA"/>
    <w:rsid w:val="00CD300D"/>
    <w:rsid w:val="00CD3092"/>
    <w:rsid w:val="00CD30A0"/>
    <w:rsid w:val="00CD3107"/>
    <w:rsid w:val="00CD31CE"/>
    <w:rsid w:val="00CD3290"/>
    <w:rsid w:val="00CD32D4"/>
    <w:rsid w:val="00CD3353"/>
    <w:rsid w:val="00CD33B9"/>
    <w:rsid w:val="00CD33EC"/>
    <w:rsid w:val="00CD34D3"/>
    <w:rsid w:val="00CD3587"/>
    <w:rsid w:val="00CD36A0"/>
    <w:rsid w:val="00CD3718"/>
    <w:rsid w:val="00CD3838"/>
    <w:rsid w:val="00CD3977"/>
    <w:rsid w:val="00CD39C4"/>
    <w:rsid w:val="00CD3AF5"/>
    <w:rsid w:val="00CD3BC9"/>
    <w:rsid w:val="00CD3CFC"/>
    <w:rsid w:val="00CD3D73"/>
    <w:rsid w:val="00CD3DB8"/>
    <w:rsid w:val="00CD3F72"/>
    <w:rsid w:val="00CD4036"/>
    <w:rsid w:val="00CD4240"/>
    <w:rsid w:val="00CD43B5"/>
    <w:rsid w:val="00CD441F"/>
    <w:rsid w:val="00CD447C"/>
    <w:rsid w:val="00CD448D"/>
    <w:rsid w:val="00CD454A"/>
    <w:rsid w:val="00CD4596"/>
    <w:rsid w:val="00CD4720"/>
    <w:rsid w:val="00CD4753"/>
    <w:rsid w:val="00CD491E"/>
    <w:rsid w:val="00CD4A4C"/>
    <w:rsid w:val="00CD4AE9"/>
    <w:rsid w:val="00CD4B39"/>
    <w:rsid w:val="00CD4BF1"/>
    <w:rsid w:val="00CD4CED"/>
    <w:rsid w:val="00CD4CFD"/>
    <w:rsid w:val="00CD4EA5"/>
    <w:rsid w:val="00CD4EB0"/>
    <w:rsid w:val="00CD5373"/>
    <w:rsid w:val="00CD546F"/>
    <w:rsid w:val="00CD5484"/>
    <w:rsid w:val="00CD548E"/>
    <w:rsid w:val="00CD5AED"/>
    <w:rsid w:val="00CD5B36"/>
    <w:rsid w:val="00CD5C40"/>
    <w:rsid w:val="00CD5E37"/>
    <w:rsid w:val="00CD5F22"/>
    <w:rsid w:val="00CD600F"/>
    <w:rsid w:val="00CD60D9"/>
    <w:rsid w:val="00CD6189"/>
    <w:rsid w:val="00CD61B7"/>
    <w:rsid w:val="00CD6239"/>
    <w:rsid w:val="00CD627B"/>
    <w:rsid w:val="00CD6316"/>
    <w:rsid w:val="00CD634A"/>
    <w:rsid w:val="00CD650F"/>
    <w:rsid w:val="00CD6708"/>
    <w:rsid w:val="00CD671F"/>
    <w:rsid w:val="00CD6BAC"/>
    <w:rsid w:val="00CD6BBD"/>
    <w:rsid w:val="00CD6CD3"/>
    <w:rsid w:val="00CD6D4D"/>
    <w:rsid w:val="00CD6DA2"/>
    <w:rsid w:val="00CD6DC4"/>
    <w:rsid w:val="00CD6E6B"/>
    <w:rsid w:val="00CD6F2F"/>
    <w:rsid w:val="00CD6FB6"/>
    <w:rsid w:val="00CD7170"/>
    <w:rsid w:val="00CD7300"/>
    <w:rsid w:val="00CD73BD"/>
    <w:rsid w:val="00CD7595"/>
    <w:rsid w:val="00CD75DB"/>
    <w:rsid w:val="00CD7607"/>
    <w:rsid w:val="00CD7754"/>
    <w:rsid w:val="00CD7932"/>
    <w:rsid w:val="00CD7944"/>
    <w:rsid w:val="00CD7B18"/>
    <w:rsid w:val="00CD7BE2"/>
    <w:rsid w:val="00CD7C76"/>
    <w:rsid w:val="00CD7CC9"/>
    <w:rsid w:val="00CD7F51"/>
    <w:rsid w:val="00CE00CE"/>
    <w:rsid w:val="00CE036D"/>
    <w:rsid w:val="00CE0420"/>
    <w:rsid w:val="00CE0453"/>
    <w:rsid w:val="00CE062C"/>
    <w:rsid w:val="00CE066A"/>
    <w:rsid w:val="00CE07CE"/>
    <w:rsid w:val="00CE07FA"/>
    <w:rsid w:val="00CE09A8"/>
    <w:rsid w:val="00CE0B33"/>
    <w:rsid w:val="00CE0D45"/>
    <w:rsid w:val="00CE0E1A"/>
    <w:rsid w:val="00CE0E77"/>
    <w:rsid w:val="00CE0E7E"/>
    <w:rsid w:val="00CE0EA2"/>
    <w:rsid w:val="00CE0FEF"/>
    <w:rsid w:val="00CE1004"/>
    <w:rsid w:val="00CE1075"/>
    <w:rsid w:val="00CE10E5"/>
    <w:rsid w:val="00CE1162"/>
    <w:rsid w:val="00CE1212"/>
    <w:rsid w:val="00CE12B7"/>
    <w:rsid w:val="00CE1473"/>
    <w:rsid w:val="00CE162E"/>
    <w:rsid w:val="00CE16FB"/>
    <w:rsid w:val="00CE17B3"/>
    <w:rsid w:val="00CE17ED"/>
    <w:rsid w:val="00CE17F4"/>
    <w:rsid w:val="00CE19CE"/>
    <w:rsid w:val="00CE1A51"/>
    <w:rsid w:val="00CE1BC2"/>
    <w:rsid w:val="00CE1C02"/>
    <w:rsid w:val="00CE1C13"/>
    <w:rsid w:val="00CE1C77"/>
    <w:rsid w:val="00CE1D1A"/>
    <w:rsid w:val="00CE1E68"/>
    <w:rsid w:val="00CE1F27"/>
    <w:rsid w:val="00CE1FF6"/>
    <w:rsid w:val="00CE2052"/>
    <w:rsid w:val="00CE2087"/>
    <w:rsid w:val="00CE20B5"/>
    <w:rsid w:val="00CE20F0"/>
    <w:rsid w:val="00CE2287"/>
    <w:rsid w:val="00CE22E5"/>
    <w:rsid w:val="00CE24A0"/>
    <w:rsid w:val="00CE24A1"/>
    <w:rsid w:val="00CE24D3"/>
    <w:rsid w:val="00CE2568"/>
    <w:rsid w:val="00CE2592"/>
    <w:rsid w:val="00CE2600"/>
    <w:rsid w:val="00CE2615"/>
    <w:rsid w:val="00CE2639"/>
    <w:rsid w:val="00CE264C"/>
    <w:rsid w:val="00CE2654"/>
    <w:rsid w:val="00CE269B"/>
    <w:rsid w:val="00CE26E4"/>
    <w:rsid w:val="00CE27AD"/>
    <w:rsid w:val="00CE27C0"/>
    <w:rsid w:val="00CE2A90"/>
    <w:rsid w:val="00CE2AD0"/>
    <w:rsid w:val="00CE2C26"/>
    <w:rsid w:val="00CE2D2B"/>
    <w:rsid w:val="00CE2D33"/>
    <w:rsid w:val="00CE2FC6"/>
    <w:rsid w:val="00CE3078"/>
    <w:rsid w:val="00CE314B"/>
    <w:rsid w:val="00CE3202"/>
    <w:rsid w:val="00CE324F"/>
    <w:rsid w:val="00CE329C"/>
    <w:rsid w:val="00CE32CE"/>
    <w:rsid w:val="00CE33A4"/>
    <w:rsid w:val="00CE341E"/>
    <w:rsid w:val="00CE3572"/>
    <w:rsid w:val="00CE357C"/>
    <w:rsid w:val="00CE3915"/>
    <w:rsid w:val="00CE3AF4"/>
    <w:rsid w:val="00CE3B30"/>
    <w:rsid w:val="00CE3B31"/>
    <w:rsid w:val="00CE3B82"/>
    <w:rsid w:val="00CE3BB1"/>
    <w:rsid w:val="00CE3BCA"/>
    <w:rsid w:val="00CE3CF4"/>
    <w:rsid w:val="00CE3E05"/>
    <w:rsid w:val="00CE3E06"/>
    <w:rsid w:val="00CE3E76"/>
    <w:rsid w:val="00CE40C5"/>
    <w:rsid w:val="00CE41D2"/>
    <w:rsid w:val="00CE420D"/>
    <w:rsid w:val="00CE4345"/>
    <w:rsid w:val="00CE4466"/>
    <w:rsid w:val="00CE45EB"/>
    <w:rsid w:val="00CE45EC"/>
    <w:rsid w:val="00CE467D"/>
    <w:rsid w:val="00CE46DA"/>
    <w:rsid w:val="00CE4A06"/>
    <w:rsid w:val="00CE4B28"/>
    <w:rsid w:val="00CE4B56"/>
    <w:rsid w:val="00CE4C70"/>
    <w:rsid w:val="00CE4D51"/>
    <w:rsid w:val="00CE4D5B"/>
    <w:rsid w:val="00CE4E5B"/>
    <w:rsid w:val="00CE4E7C"/>
    <w:rsid w:val="00CE4F0A"/>
    <w:rsid w:val="00CE4F33"/>
    <w:rsid w:val="00CE4FCE"/>
    <w:rsid w:val="00CE5024"/>
    <w:rsid w:val="00CE502F"/>
    <w:rsid w:val="00CE525B"/>
    <w:rsid w:val="00CE5298"/>
    <w:rsid w:val="00CE56E5"/>
    <w:rsid w:val="00CE5788"/>
    <w:rsid w:val="00CE58B4"/>
    <w:rsid w:val="00CE5924"/>
    <w:rsid w:val="00CE5A47"/>
    <w:rsid w:val="00CE5ACA"/>
    <w:rsid w:val="00CE5B5D"/>
    <w:rsid w:val="00CE5BB9"/>
    <w:rsid w:val="00CE5C0D"/>
    <w:rsid w:val="00CE5E58"/>
    <w:rsid w:val="00CE5E5B"/>
    <w:rsid w:val="00CE5EF1"/>
    <w:rsid w:val="00CE6279"/>
    <w:rsid w:val="00CE6423"/>
    <w:rsid w:val="00CE6579"/>
    <w:rsid w:val="00CE65B8"/>
    <w:rsid w:val="00CE6726"/>
    <w:rsid w:val="00CE673E"/>
    <w:rsid w:val="00CE681E"/>
    <w:rsid w:val="00CE68F0"/>
    <w:rsid w:val="00CE696D"/>
    <w:rsid w:val="00CE6972"/>
    <w:rsid w:val="00CE6A05"/>
    <w:rsid w:val="00CE6AB2"/>
    <w:rsid w:val="00CE6E69"/>
    <w:rsid w:val="00CE6E93"/>
    <w:rsid w:val="00CE6EFD"/>
    <w:rsid w:val="00CE6FBC"/>
    <w:rsid w:val="00CE6FBD"/>
    <w:rsid w:val="00CE71E8"/>
    <w:rsid w:val="00CE7215"/>
    <w:rsid w:val="00CE725A"/>
    <w:rsid w:val="00CE73B5"/>
    <w:rsid w:val="00CE7433"/>
    <w:rsid w:val="00CE7442"/>
    <w:rsid w:val="00CE75BA"/>
    <w:rsid w:val="00CE7638"/>
    <w:rsid w:val="00CE7662"/>
    <w:rsid w:val="00CE78EC"/>
    <w:rsid w:val="00CE78FD"/>
    <w:rsid w:val="00CE790D"/>
    <w:rsid w:val="00CE791A"/>
    <w:rsid w:val="00CE7AE6"/>
    <w:rsid w:val="00CE7B0B"/>
    <w:rsid w:val="00CE7BB1"/>
    <w:rsid w:val="00CE7D44"/>
    <w:rsid w:val="00CE7D73"/>
    <w:rsid w:val="00CE7D9C"/>
    <w:rsid w:val="00CE7F9A"/>
    <w:rsid w:val="00CF002F"/>
    <w:rsid w:val="00CF00DA"/>
    <w:rsid w:val="00CF00F6"/>
    <w:rsid w:val="00CF010D"/>
    <w:rsid w:val="00CF0142"/>
    <w:rsid w:val="00CF0147"/>
    <w:rsid w:val="00CF01D7"/>
    <w:rsid w:val="00CF0266"/>
    <w:rsid w:val="00CF0274"/>
    <w:rsid w:val="00CF02E9"/>
    <w:rsid w:val="00CF0322"/>
    <w:rsid w:val="00CF0349"/>
    <w:rsid w:val="00CF0442"/>
    <w:rsid w:val="00CF048A"/>
    <w:rsid w:val="00CF06F6"/>
    <w:rsid w:val="00CF0878"/>
    <w:rsid w:val="00CF0A5B"/>
    <w:rsid w:val="00CF0C32"/>
    <w:rsid w:val="00CF0C98"/>
    <w:rsid w:val="00CF0D53"/>
    <w:rsid w:val="00CF0F27"/>
    <w:rsid w:val="00CF156F"/>
    <w:rsid w:val="00CF15BF"/>
    <w:rsid w:val="00CF170B"/>
    <w:rsid w:val="00CF1810"/>
    <w:rsid w:val="00CF18F4"/>
    <w:rsid w:val="00CF19E7"/>
    <w:rsid w:val="00CF1A45"/>
    <w:rsid w:val="00CF1A53"/>
    <w:rsid w:val="00CF1ACF"/>
    <w:rsid w:val="00CF1B53"/>
    <w:rsid w:val="00CF1C53"/>
    <w:rsid w:val="00CF1DB2"/>
    <w:rsid w:val="00CF1DC8"/>
    <w:rsid w:val="00CF1DE1"/>
    <w:rsid w:val="00CF1DFC"/>
    <w:rsid w:val="00CF1E18"/>
    <w:rsid w:val="00CF1FC1"/>
    <w:rsid w:val="00CF1FF6"/>
    <w:rsid w:val="00CF21BE"/>
    <w:rsid w:val="00CF21D5"/>
    <w:rsid w:val="00CF23C2"/>
    <w:rsid w:val="00CF244C"/>
    <w:rsid w:val="00CF25F3"/>
    <w:rsid w:val="00CF2793"/>
    <w:rsid w:val="00CF2819"/>
    <w:rsid w:val="00CF2823"/>
    <w:rsid w:val="00CF2939"/>
    <w:rsid w:val="00CF2A22"/>
    <w:rsid w:val="00CF2A32"/>
    <w:rsid w:val="00CF2A60"/>
    <w:rsid w:val="00CF2A78"/>
    <w:rsid w:val="00CF2AD6"/>
    <w:rsid w:val="00CF2FFA"/>
    <w:rsid w:val="00CF301D"/>
    <w:rsid w:val="00CF301F"/>
    <w:rsid w:val="00CF3031"/>
    <w:rsid w:val="00CF308B"/>
    <w:rsid w:val="00CF31B7"/>
    <w:rsid w:val="00CF32F1"/>
    <w:rsid w:val="00CF32F5"/>
    <w:rsid w:val="00CF3457"/>
    <w:rsid w:val="00CF353F"/>
    <w:rsid w:val="00CF35FE"/>
    <w:rsid w:val="00CF36BB"/>
    <w:rsid w:val="00CF37F9"/>
    <w:rsid w:val="00CF383A"/>
    <w:rsid w:val="00CF3AEE"/>
    <w:rsid w:val="00CF3B3D"/>
    <w:rsid w:val="00CF3B94"/>
    <w:rsid w:val="00CF3BB4"/>
    <w:rsid w:val="00CF3C8A"/>
    <w:rsid w:val="00CF3CD2"/>
    <w:rsid w:val="00CF4254"/>
    <w:rsid w:val="00CF42F3"/>
    <w:rsid w:val="00CF435A"/>
    <w:rsid w:val="00CF43A1"/>
    <w:rsid w:val="00CF458F"/>
    <w:rsid w:val="00CF459E"/>
    <w:rsid w:val="00CF469A"/>
    <w:rsid w:val="00CF4758"/>
    <w:rsid w:val="00CF4794"/>
    <w:rsid w:val="00CF484F"/>
    <w:rsid w:val="00CF4929"/>
    <w:rsid w:val="00CF494A"/>
    <w:rsid w:val="00CF4BDB"/>
    <w:rsid w:val="00CF4D6B"/>
    <w:rsid w:val="00CF4F14"/>
    <w:rsid w:val="00CF5007"/>
    <w:rsid w:val="00CF50E5"/>
    <w:rsid w:val="00CF524F"/>
    <w:rsid w:val="00CF52DA"/>
    <w:rsid w:val="00CF52E5"/>
    <w:rsid w:val="00CF5384"/>
    <w:rsid w:val="00CF553C"/>
    <w:rsid w:val="00CF55B2"/>
    <w:rsid w:val="00CF57F0"/>
    <w:rsid w:val="00CF57F1"/>
    <w:rsid w:val="00CF586B"/>
    <w:rsid w:val="00CF593A"/>
    <w:rsid w:val="00CF5977"/>
    <w:rsid w:val="00CF5978"/>
    <w:rsid w:val="00CF5B34"/>
    <w:rsid w:val="00CF5B72"/>
    <w:rsid w:val="00CF5CFE"/>
    <w:rsid w:val="00CF5DF8"/>
    <w:rsid w:val="00CF5FEC"/>
    <w:rsid w:val="00CF60B3"/>
    <w:rsid w:val="00CF6371"/>
    <w:rsid w:val="00CF6477"/>
    <w:rsid w:val="00CF6576"/>
    <w:rsid w:val="00CF660E"/>
    <w:rsid w:val="00CF663C"/>
    <w:rsid w:val="00CF6643"/>
    <w:rsid w:val="00CF669A"/>
    <w:rsid w:val="00CF66B5"/>
    <w:rsid w:val="00CF6735"/>
    <w:rsid w:val="00CF6821"/>
    <w:rsid w:val="00CF697C"/>
    <w:rsid w:val="00CF6DD5"/>
    <w:rsid w:val="00CF6DE9"/>
    <w:rsid w:val="00CF6DF3"/>
    <w:rsid w:val="00CF6E92"/>
    <w:rsid w:val="00CF6F25"/>
    <w:rsid w:val="00CF6F96"/>
    <w:rsid w:val="00CF6F99"/>
    <w:rsid w:val="00CF70E8"/>
    <w:rsid w:val="00CF738B"/>
    <w:rsid w:val="00CF73C7"/>
    <w:rsid w:val="00CF73DC"/>
    <w:rsid w:val="00CF7412"/>
    <w:rsid w:val="00CF74D2"/>
    <w:rsid w:val="00CF75B5"/>
    <w:rsid w:val="00CF76E1"/>
    <w:rsid w:val="00CF76F5"/>
    <w:rsid w:val="00CF774C"/>
    <w:rsid w:val="00CF77D4"/>
    <w:rsid w:val="00CF784B"/>
    <w:rsid w:val="00CF78DF"/>
    <w:rsid w:val="00CF7910"/>
    <w:rsid w:val="00CF79E8"/>
    <w:rsid w:val="00CF79F1"/>
    <w:rsid w:val="00CF7AEF"/>
    <w:rsid w:val="00CF7B5D"/>
    <w:rsid w:val="00CF7E20"/>
    <w:rsid w:val="00CF7E89"/>
    <w:rsid w:val="00CF7ECC"/>
    <w:rsid w:val="00CF7ED2"/>
    <w:rsid w:val="00CF7F6F"/>
    <w:rsid w:val="00D0004A"/>
    <w:rsid w:val="00D000CE"/>
    <w:rsid w:val="00D0010A"/>
    <w:rsid w:val="00D0014E"/>
    <w:rsid w:val="00D001F5"/>
    <w:rsid w:val="00D002AE"/>
    <w:rsid w:val="00D00384"/>
    <w:rsid w:val="00D0050E"/>
    <w:rsid w:val="00D0060F"/>
    <w:rsid w:val="00D00790"/>
    <w:rsid w:val="00D00931"/>
    <w:rsid w:val="00D00AB2"/>
    <w:rsid w:val="00D00AC7"/>
    <w:rsid w:val="00D00B27"/>
    <w:rsid w:val="00D00DA2"/>
    <w:rsid w:val="00D00EBD"/>
    <w:rsid w:val="00D00FCF"/>
    <w:rsid w:val="00D00FFF"/>
    <w:rsid w:val="00D0120C"/>
    <w:rsid w:val="00D01255"/>
    <w:rsid w:val="00D01384"/>
    <w:rsid w:val="00D01539"/>
    <w:rsid w:val="00D0155C"/>
    <w:rsid w:val="00D018F6"/>
    <w:rsid w:val="00D01BA2"/>
    <w:rsid w:val="00D01C10"/>
    <w:rsid w:val="00D01CF1"/>
    <w:rsid w:val="00D01DAD"/>
    <w:rsid w:val="00D01F63"/>
    <w:rsid w:val="00D02119"/>
    <w:rsid w:val="00D0211C"/>
    <w:rsid w:val="00D021BB"/>
    <w:rsid w:val="00D02214"/>
    <w:rsid w:val="00D0227B"/>
    <w:rsid w:val="00D023DB"/>
    <w:rsid w:val="00D02500"/>
    <w:rsid w:val="00D0258E"/>
    <w:rsid w:val="00D025C3"/>
    <w:rsid w:val="00D026DE"/>
    <w:rsid w:val="00D026E1"/>
    <w:rsid w:val="00D026EE"/>
    <w:rsid w:val="00D02865"/>
    <w:rsid w:val="00D0287E"/>
    <w:rsid w:val="00D028D5"/>
    <w:rsid w:val="00D028E9"/>
    <w:rsid w:val="00D02A43"/>
    <w:rsid w:val="00D02CB3"/>
    <w:rsid w:val="00D02E18"/>
    <w:rsid w:val="00D02EE1"/>
    <w:rsid w:val="00D02F54"/>
    <w:rsid w:val="00D03054"/>
    <w:rsid w:val="00D030A6"/>
    <w:rsid w:val="00D03131"/>
    <w:rsid w:val="00D03288"/>
    <w:rsid w:val="00D03393"/>
    <w:rsid w:val="00D033A1"/>
    <w:rsid w:val="00D034CD"/>
    <w:rsid w:val="00D03637"/>
    <w:rsid w:val="00D036CF"/>
    <w:rsid w:val="00D03750"/>
    <w:rsid w:val="00D0397F"/>
    <w:rsid w:val="00D03D60"/>
    <w:rsid w:val="00D03D89"/>
    <w:rsid w:val="00D03DAF"/>
    <w:rsid w:val="00D03EA2"/>
    <w:rsid w:val="00D03F96"/>
    <w:rsid w:val="00D03FDF"/>
    <w:rsid w:val="00D0419B"/>
    <w:rsid w:val="00D04292"/>
    <w:rsid w:val="00D04389"/>
    <w:rsid w:val="00D0438D"/>
    <w:rsid w:val="00D043A8"/>
    <w:rsid w:val="00D0445C"/>
    <w:rsid w:val="00D04735"/>
    <w:rsid w:val="00D048EB"/>
    <w:rsid w:val="00D0498F"/>
    <w:rsid w:val="00D04A57"/>
    <w:rsid w:val="00D04C4B"/>
    <w:rsid w:val="00D04D48"/>
    <w:rsid w:val="00D05080"/>
    <w:rsid w:val="00D050E3"/>
    <w:rsid w:val="00D0545A"/>
    <w:rsid w:val="00D054CA"/>
    <w:rsid w:val="00D055B0"/>
    <w:rsid w:val="00D057C0"/>
    <w:rsid w:val="00D05975"/>
    <w:rsid w:val="00D05B7B"/>
    <w:rsid w:val="00D05C0B"/>
    <w:rsid w:val="00D05DB3"/>
    <w:rsid w:val="00D05E6E"/>
    <w:rsid w:val="00D05E92"/>
    <w:rsid w:val="00D061E2"/>
    <w:rsid w:val="00D062DE"/>
    <w:rsid w:val="00D065BA"/>
    <w:rsid w:val="00D0672E"/>
    <w:rsid w:val="00D0672F"/>
    <w:rsid w:val="00D068FA"/>
    <w:rsid w:val="00D06956"/>
    <w:rsid w:val="00D06AEF"/>
    <w:rsid w:val="00D06B26"/>
    <w:rsid w:val="00D06BBC"/>
    <w:rsid w:val="00D06C5A"/>
    <w:rsid w:val="00D06EB3"/>
    <w:rsid w:val="00D06EE3"/>
    <w:rsid w:val="00D0708D"/>
    <w:rsid w:val="00D07121"/>
    <w:rsid w:val="00D07205"/>
    <w:rsid w:val="00D07324"/>
    <w:rsid w:val="00D074F5"/>
    <w:rsid w:val="00D075E9"/>
    <w:rsid w:val="00D075F0"/>
    <w:rsid w:val="00D07B1F"/>
    <w:rsid w:val="00D07C15"/>
    <w:rsid w:val="00D07D3F"/>
    <w:rsid w:val="00D07D8E"/>
    <w:rsid w:val="00D07E0F"/>
    <w:rsid w:val="00D0C770"/>
    <w:rsid w:val="00D0FAA4"/>
    <w:rsid w:val="00D10111"/>
    <w:rsid w:val="00D101AA"/>
    <w:rsid w:val="00D1026A"/>
    <w:rsid w:val="00D103BB"/>
    <w:rsid w:val="00D1045E"/>
    <w:rsid w:val="00D1051B"/>
    <w:rsid w:val="00D106BB"/>
    <w:rsid w:val="00D1074D"/>
    <w:rsid w:val="00D1075C"/>
    <w:rsid w:val="00D10798"/>
    <w:rsid w:val="00D109F5"/>
    <w:rsid w:val="00D10CE3"/>
    <w:rsid w:val="00D10DA3"/>
    <w:rsid w:val="00D10E8A"/>
    <w:rsid w:val="00D10EDC"/>
    <w:rsid w:val="00D10F00"/>
    <w:rsid w:val="00D10F14"/>
    <w:rsid w:val="00D110D8"/>
    <w:rsid w:val="00D11109"/>
    <w:rsid w:val="00D111C4"/>
    <w:rsid w:val="00D11294"/>
    <w:rsid w:val="00D114BC"/>
    <w:rsid w:val="00D1155F"/>
    <w:rsid w:val="00D116A1"/>
    <w:rsid w:val="00D117CC"/>
    <w:rsid w:val="00D11810"/>
    <w:rsid w:val="00D11A54"/>
    <w:rsid w:val="00D11B4C"/>
    <w:rsid w:val="00D11BEE"/>
    <w:rsid w:val="00D11C45"/>
    <w:rsid w:val="00D11DAE"/>
    <w:rsid w:val="00D11E0C"/>
    <w:rsid w:val="00D11E8B"/>
    <w:rsid w:val="00D11EF9"/>
    <w:rsid w:val="00D11F71"/>
    <w:rsid w:val="00D11FAC"/>
    <w:rsid w:val="00D11FBC"/>
    <w:rsid w:val="00D120DB"/>
    <w:rsid w:val="00D12157"/>
    <w:rsid w:val="00D12211"/>
    <w:rsid w:val="00D12239"/>
    <w:rsid w:val="00D122C0"/>
    <w:rsid w:val="00D12382"/>
    <w:rsid w:val="00D12493"/>
    <w:rsid w:val="00D125C5"/>
    <w:rsid w:val="00D1266D"/>
    <w:rsid w:val="00D12805"/>
    <w:rsid w:val="00D1297B"/>
    <w:rsid w:val="00D1298A"/>
    <w:rsid w:val="00D12A1A"/>
    <w:rsid w:val="00D12B0E"/>
    <w:rsid w:val="00D12B18"/>
    <w:rsid w:val="00D12BC8"/>
    <w:rsid w:val="00D12D0C"/>
    <w:rsid w:val="00D12E40"/>
    <w:rsid w:val="00D12E4A"/>
    <w:rsid w:val="00D13076"/>
    <w:rsid w:val="00D13216"/>
    <w:rsid w:val="00D1326F"/>
    <w:rsid w:val="00D133B0"/>
    <w:rsid w:val="00D134B1"/>
    <w:rsid w:val="00D134CF"/>
    <w:rsid w:val="00D13587"/>
    <w:rsid w:val="00D13635"/>
    <w:rsid w:val="00D1379B"/>
    <w:rsid w:val="00D137C9"/>
    <w:rsid w:val="00D13837"/>
    <w:rsid w:val="00D13AC3"/>
    <w:rsid w:val="00D13B29"/>
    <w:rsid w:val="00D13B3B"/>
    <w:rsid w:val="00D13E91"/>
    <w:rsid w:val="00D13F3F"/>
    <w:rsid w:val="00D14000"/>
    <w:rsid w:val="00D1402F"/>
    <w:rsid w:val="00D140F6"/>
    <w:rsid w:val="00D14170"/>
    <w:rsid w:val="00D141EF"/>
    <w:rsid w:val="00D142CA"/>
    <w:rsid w:val="00D1448E"/>
    <w:rsid w:val="00D14701"/>
    <w:rsid w:val="00D14723"/>
    <w:rsid w:val="00D147C4"/>
    <w:rsid w:val="00D14C12"/>
    <w:rsid w:val="00D14DA0"/>
    <w:rsid w:val="00D14DA7"/>
    <w:rsid w:val="00D15140"/>
    <w:rsid w:val="00D1518B"/>
    <w:rsid w:val="00D151E9"/>
    <w:rsid w:val="00D152DF"/>
    <w:rsid w:val="00D15355"/>
    <w:rsid w:val="00D15449"/>
    <w:rsid w:val="00D15490"/>
    <w:rsid w:val="00D154C0"/>
    <w:rsid w:val="00D1552B"/>
    <w:rsid w:val="00D1578A"/>
    <w:rsid w:val="00D15871"/>
    <w:rsid w:val="00D1588A"/>
    <w:rsid w:val="00D158BF"/>
    <w:rsid w:val="00D158DB"/>
    <w:rsid w:val="00D15A5F"/>
    <w:rsid w:val="00D15A60"/>
    <w:rsid w:val="00D15EFF"/>
    <w:rsid w:val="00D15FFA"/>
    <w:rsid w:val="00D1605E"/>
    <w:rsid w:val="00D16379"/>
    <w:rsid w:val="00D163B1"/>
    <w:rsid w:val="00D163D1"/>
    <w:rsid w:val="00D163F4"/>
    <w:rsid w:val="00D163F6"/>
    <w:rsid w:val="00D16576"/>
    <w:rsid w:val="00D1669D"/>
    <w:rsid w:val="00D16776"/>
    <w:rsid w:val="00D16842"/>
    <w:rsid w:val="00D16C22"/>
    <w:rsid w:val="00D16C37"/>
    <w:rsid w:val="00D16DE0"/>
    <w:rsid w:val="00D16E3A"/>
    <w:rsid w:val="00D16E7F"/>
    <w:rsid w:val="00D17088"/>
    <w:rsid w:val="00D17116"/>
    <w:rsid w:val="00D17168"/>
    <w:rsid w:val="00D171F6"/>
    <w:rsid w:val="00D17422"/>
    <w:rsid w:val="00D1745D"/>
    <w:rsid w:val="00D17536"/>
    <w:rsid w:val="00D17545"/>
    <w:rsid w:val="00D1757E"/>
    <w:rsid w:val="00D175E6"/>
    <w:rsid w:val="00D1762C"/>
    <w:rsid w:val="00D17633"/>
    <w:rsid w:val="00D17678"/>
    <w:rsid w:val="00D176E5"/>
    <w:rsid w:val="00D177F9"/>
    <w:rsid w:val="00D1789D"/>
    <w:rsid w:val="00D179E2"/>
    <w:rsid w:val="00D17A1E"/>
    <w:rsid w:val="00D17A79"/>
    <w:rsid w:val="00D17BBC"/>
    <w:rsid w:val="00D17C1A"/>
    <w:rsid w:val="00D17D47"/>
    <w:rsid w:val="00D17E39"/>
    <w:rsid w:val="00D17E64"/>
    <w:rsid w:val="00D17F5B"/>
    <w:rsid w:val="00D20088"/>
    <w:rsid w:val="00D200A5"/>
    <w:rsid w:val="00D20200"/>
    <w:rsid w:val="00D20371"/>
    <w:rsid w:val="00D203CB"/>
    <w:rsid w:val="00D2042B"/>
    <w:rsid w:val="00D20597"/>
    <w:rsid w:val="00D2067A"/>
    <w:rsid w:val="00D20689"/>
    <w:rsid w:val="00D20718"/>
    <w:rsid w:val="00D209DC"/>
    <w:rsid w:val="00D20A93"/>
    <w:rsid w:val="00D20A94"/>
    <w:rsid w:val="00D20B7B"/>
    <w:rsid w:val="00D20BC4"/>
    <w:rsid w:val="00D20BD8"/>
    <w:rsid w:val="00D20C8C"/>
    <w:rsid w:val="00D20CB8"/>
    <w:rsid w:val="00D20CF5"/>
    <w:rsid w:val="00D20EE8"/>
    <w:rsid w:val="00D210C8"/>
    <w:rsid w:val="00D21346"/>
    <w:rsid w:val="00D2143D"/>
    <w:rsid w:val="00D214A7"/>
    <w:rsid w:val="00D21624"/>
    <w:rsid w:val="00D21700"/>
    <w:rsid w:val="00D2176F"/>
    <w:rsid w:val="00D21777"/>
    <w:rsid w:val="00D21793"/>
    <w:rsid w:val="00D217BC"/>
    <w:rsid w:val="00D217D6"/>
    <w:rsid w:val="00D2187D"/>
    <w:rsid w:val="00D21881"/>
    <w:rsid w:val="00D218AD"/>
    <w:rsid w:val="00D21937"/>
    <w:rsid w:val="00D2196E"/>
    <w:rsid w:val="00D2198D"/>
    <w:rsid w:val="00D21993"/>
    <w:rsid w:val="00D21B27"/>
    <w:rsid w:val="00D21BCA"/>
    <w:rsid w:val="00D21CE9"/>
    <w:rsid w:val="00D21E71"/>
    <w:rsid w:val="00D21ED8"/>
    <w:rsid w:val="00D21F65"/>
    <w:rsid w:val="00D21F97"/>
    <w:rsid w:val="00D22009"/>
    <w:rsid w:val="00D2202F"/>
    <w:rsid w:val="00D2210B"/>
    <w:rsid w:val="00D221E5"/>
    <w:rsid w:val="00D2221A"/>
    <w:rsid w:val="00D22300"/>
    <w:rsid w:val="00D22388"/>
    <w:rsid w:val="00D22486"/>
    <w:rsid w:val="00D22518"/>
    <w:rsid w:val="00D225C4"/>
    <w:rsid w:val="00D22624"/>
    <w:rsid w:val="00D2263B"/>
    <w:rsid w:val="00D226C8"/>
    <w:rsid w:val="00D22731"/>
    <w:rsid w:val="00D22870"/>
    <w:rsid w:val="00D2287F"/>
    <w:rsid w:val="00D2292A"/>
    <w:rsid w:val="00D2299C"/>
    <w:rsid w:val="00D22E01"/>
    <w:rsid w:val="00D22F2C"/>
    <w:rsid w:val="00D22FBC"/>
    <w:rsid w:val="00D23085"/>
    <w:rsid w:val="00D23158"/>
    <w:rsid w:val="00D23383"/>
    <w:rsid w:val="00D233B6"/>
    <w:rsid w:val="00D23444"/>
    <w:rsid w:val="00D2348D"/>
    <w:rsid w:val="00D2351D"/>
    <w:rsid w:val="00D235EC"/>
    <w:rsid w:val="00D23845"/>
    <w:rsid w:val="00D23897"/>
    <w:rsid w:val="00D23A2B"/>
    <w:rsid w:val="00D23BFE"/>
    <w:rsid w:val="00D23C72"/>
    <w:rsid w:val="00D23CA4"/>
    <w:rsid w:val="00D23CE6"/>
    <w:rsid w:val="00D23E25"/>
    <w:rsid w:val="00D23E59"/>
    <w:rsid w:val="00D23F45"/>
    <w:rsid w:val="00D241E6"/>
    <w:rsid w:val="00D2423D"/>
    <w:rsid w:val="00D242C4"/>
    <w:rsid w:val="00D24403"/>
    <w:rsid w:val="00D244BF"/>
    <w:rsid w:val="00D24564"/>
    <w:rsid w:val="00D245B3"/>
    <w:rsid w:val="00D24605"/>
    <w:rsid w:val="00D2467F"/>
    <w:rsid w:val="00D2475A"/>
    <w:rsid w:val="00D2479A"/>
    <w:rsid w:val="00D248CF"/>
    <w:rsid w:val="00D249FF"/>
    <w:rsid w:val="00D24B6F"/>
    <w:rsid w:val="00D24BA3"/>
    <w:rsid w:val="00D24BF6"/>
    <w:rsid w:val="00D24C13"/>
    <w:rsid w:val="00D24DC3"/>
    <w:rsid w:val="00D24DDA"/>
    <w:rsid w:val="00D250CB"/>
    <w:rsid w:val="00D251A3"/>
    <w:rsid w:val="00D25232"/>
    <w:rsid w:val="00D25241"/>
    <w:rsid w:val="00D253A6"/>
    <w:rsid w:val="00D25506"/>
    <w:rsid w:val="00D255AB"/>
    <w:rsid w:val="00D2569B"/>
    <w:rsid w:val="00D258D1"/>
    <w:rsid w:val="00D2591A"/>
    <w:rsid w:val="00D25936"/>
    <w:rsid w:val="00D259E0"/>
    <w:rsid w:val="00D25A89"/>
    <w:rsid w:val="00D25B54"/>
    <w:rsid w:val="00D25BDB"/>
    <w:rsid w:val="00D25C17"/>
    <w:rsid w:val="00D25DA0"/>
    <w:rsid w:val="00D25DB8"/>
    <w:rsid w:val="00D25E94"/>
    <w:rsid w:val="00D25E99"/>
    <w:rsid w:val="00D26114"/>
    <w:rsid w:val="00D26312"/>
    <w:rsid w:val="00D26327"/>
    <w:rsid w:val="00D2649B"/>
    <w:rsid w:val="00D2651F"/>
    <w:rsid w:val="00D26668"/>
    <w:rsid w:val="00D2669D"/>
    <w:rsid w:val="00D266CA"/>
    <w:rsid w:val="00D2676E"/>
    <w:rsid w:val="00D26780"/>
    <w:rsid w:val="00D26829"/>
    <w:rsid w:val="00D268F4"/>
    <w:rsid w:val="00D26A29"/>
    <w:rsid w:val="00D26A8C"/>
    <w:rsid w:val="00D26AA6"/>
    <w:rsid w:val="00D26B4B"/>
    <w:rsid w:val="00D26C82"/>
    <w:rsid w:val="00D27009"/>
    <w:rsid w:val="00D270E9"/>
    <w:rsid w:val="00D27207"/>
    <w:rsid w:val="00D2721F"/>
    <w:rsid w:val="00D272C2"/>
    <w:rsid w:val="00D27313"/>
    <w:rsid w:val="00D273E6"/>
    <w:rsid w:val="00D27423"/>
    <w:rsid w:val="00D27447"/>
    <w:rsid w:val="00D2755E"/>
    <w:rsid w:val="00D275AA"/>
    <w:rsid w:val="00D2771D"/>
    <w:rsid w:val="00D278D4"/>
    <w:rsid w:val="00D278F1"/>
    <w:rsid w:val="00D27A58"/>
    <w:rsid w:val="00D27B4D"/>
    <w:rsid w:val="00D27B94"/>
    <w:rsid w:val="00D27CDF"/>
    <w:rsid w:val="00D27DB9"/>
    <w:rsid w:val="00D27E93"/>
    <w:rsid w:val="00D27F46"/>
    <w:rsid w:val="00D300ED"/>
    <w:rsid w:val="00D300F9"/>
    <w:rsid w:val="00D300FA"/>
    <w:rsid w:val="00D30211"/>
    <w:rsid w:val="00D30242"/>
    <w:rsid w:val="00D3027E"/>
    <w:rsid w:val="00D3044D"/>
    <w:rsid w:val="00D304FF"/>
    <w:rsid w:val="00D3060E"/>
    <w:rsid w:val="00D30680"/>
    <w:rsid w:val="00D3080E"/>
    <w:rsid w:val="00D308AC"/>
    <w:rsid w:val="00D3094F"/>
    <w:rsid w:val="00D30A57"/>
    <w:rsid w:val="00D30BDC"/>
    <w:rsid w:val="00D30C1A"/>
    <w:rsid w:val="00D30E19"/>
    <w:rsid w:val="00D310BD"/>
    <w:rsid w:val="00D31136"/>
    <w:rsid w:val="00D31137"/>
    <w:rsid w:val="00D31300"/>
    <w:rsid w:val="00D31398"/>
    <w:rsid w:val="00D3140F"/>
    <w:rsid w:val="00D314ED"/>
    <w:rsid w:val="00D3157C"/>
    <w:rsid w:val="00D31678"/>
    <w:rsid w:val="00D317E2"/>
    <w:rsid w:val="00D31921"/>
    <w:rsid w:val="00D31969"/>
    <w:rsid w:val="00D31CDF"/>
    <w:rsid w:val="00D31CE1"/>
    <w:rsid w:val="00D31E55"/>
    <w:rsid w:val="00D3206A"/>
    <w:rsid w:val="00D3206E"/>
    <w:rsid w:val="00D321F7"/>
    <w:rsid w:val="00D3239B"/>
    <w:rsid w:val="00D323C2"/>
    <w:rsid w:val="00D323F4"/>
    <w:rsid w:val="00D32445"/>
    <w:rsid w:val="00D32458"/>
    <w:rsid w:val="00D32476"/>
    <w:rsid w:val="00D32574"/>
    <w:rsid w:val="00D325BC"/>
    <w:rsid w:val="00D325E6"/>
    <w:rsid w:val="00D32612"/>
    <w:rsid w:val="00D326C0"/>
    <w:rsid w:val="00D32713"/>
    <w:rsid w:val="00D32769"/>
    <w:rsid w:val="00D327BB"/>
    <w:rsid w:val="00D327CC"/>
    <w:rsid w:val="00D3281E"/>
    <w:rsid w:val="00D32968"/>
    <w:rsid w:val="00D32BAE"/>
    <w:rsid w:val="00D32C91"/>
    <w:rsid w:val="00D32D60"/>
    <w:rsid w:val="00D32E43"/>
    <w:rsid w:val="00D32ED3"/>
    <w:rsid w:val="00D32F26"/>
    <w:rsid w:val="00D33087"/>
    <w:rsid w:val="00D3318B"/>
    <w:rsid w:val="00D33241"/>
    <w:rsid w:val="00D3325F"/>
    <w:rsid w:val="00D3329A"/>
    <w:rsid w:val="00D33392"/>
    <w:rsid w:val="00D33739"/>
    <w:rsid w:val="00D337A1"/>
    <w:rsid w:val="00D33803"/>
    <w:rsid w:val="00D338EA"/>
    <w:rsid w:val="00D33907"/>
    <w:rsid w:val="00D33A77"/>
    <w:rsid w:val="00D33C97"/>
    <w:rsid w:val="00D33DFC"/>
    <w:rsid w:val="00D33E14"/>
    <w:rsid w:val="00D34053"/>
    <w:rsid w:val="00D34073"/>
    <w:rsid w:val="00D342DB"/>
    <w:rsid w:val="00D343C6"/>
    <w:rsid w:val="00D3457E"/>
    <w:rsid w:val="00D347E1"/>
    <w:rsid w:val="00D34805"/>
    <w:rsid w:val="00D348E3"/>
    <w:rsid w:val="00D34990"/>
    <w:rsid w:val="00D349DA"/>
    <w:rsid w:val="00D34A15"/>
    <w:rsid w:val="00D34A59"/>
    <w:rsid w:val="00D34AE7"/>
    <w:rsid w:val="00D34C14"/>
    <w:rsid w:val="00D34C7C"/>
    <w:rsid w:val="00D34D0C"/>
    <w:rsid w:val="00D34D6C"/>
    <w:rsid w:val="00D34DCE"/>
    <w:rsid w:val="00D34E78"/>
    <w:rsid w:val="00D34F10"/>
    <w:rsid w:val="00D34F6D"/>
    <w:rsid w:val="00D34F78"/>
    <w:rsid w:val="00D3500F"/>
    <w:rsid w:val="00D3507E"/>
    <w:rsid w:val="00D35120"/>
    <w:rsid w:val="00D3514D"/>
    <w:rsid w:val="00D35198"/>
    <w:rsid w:val="00D351DF"/>
    <w:rsid w:val="00D351E5"/>
    <w:rsid w:val="00D3520D"/>
    <w:rsid w:val="00D3532F"/>
    <w:rsid w:val="00D35607"/>
    <w:rsid w:val="00D358DE"/>
    <w:rsid w:val="00D359A0"/>
    <w:rsid w:val="00D359E2"/>
    <w:rsid w:val="00D35A14"/>
    <w:rsid w:val="00D35B3E"/>
    <w:rsid w:val="00D35C1D"/>
    <w:rsid w:val="00D35E21"/>
    <w:rsid w:val="00D35EB9"/>
    <w:rsid w:val="00D361C7"/>
    <w:rsid w:val="00D362B3"/>
    <w:rsid w:val="00D362E2"/>
    <w:rsid w:val="00D36376"/>
    <w:rsid w:val="00D3639D"/>
    <w:rsid w:val="00D363E8"/>
    <w:rsid w:val="00D3646E"/>
    <w:rsid w:val="00D3652F"/>
    <w:rsid w:val="00D36579"/>
    <w:rsid w:val="00D365C8"/>
    <w:rsid w:val="00D36732"/>
    <w:rsid w:val="00D367D7"/>
    <w:rsid w:val="00D367D9"/>
    <w:rsid w:val="00D369BE"/>
    <w:rsid w:val="00D36B7F"/>
    <w:rsid w:val="00D36C6E"/>
    <w:rsid w:val="00D36EF0"/>
    <w:rsid w:val="00D373B7"/>
    <w:rsid w:val="00D373C5"/>
    <w:rsid w:val="00D3746C"/>
    <w:rsid w:val="00D375BE"/>
    <w:rsid w:val="00D37776"/>
    <w:rsid w:val="00D37860"/>
    <w:rsid w:val="00D3793F"/>
    <w:rsid w:val="00D37956"/>
    <w:rsid w:val="00D37AD9"/>
    <w:rsid w:val="00D37C97"/>
    <w:rsid w:val="00D40141"/>
    <w:rsid w:val="00D4017F"/>
    <w:rsid w:val="00D4026D"/>
    <w:rsid w:val="00D402DA"/>
    <w:rsid w:val="00D40398"/>
    <w:rsid w:val="00D404E2"/>
    <w:rsid w:val="00D40653"/>
    <w:rsid w:val="00D408B6"/>
    <w:rsid w:val="00D408F5"/>
    <w:rsid w:val="00D409FC"/>
    <w:rsid w:val="00D40B2E"/>
    <w:rsid w:val="00D40B73"/>
    <w:rsid w:val="00D40CED"/>
    <w:rsid w:val="00D40D0B"/>
    <w:rsid w:val="00D40E37"/>
    <w:rsid w:val="00D40EA3"/>
    <w:rsid w:val="00D40F13"/>
    <w:rsid w:val="00D40F69"/>
    <w:rsid w:val="00D41194"/>
    <w:rsid w:val="00D4119F"/>
    <w:rsid w:val="00D41211"/>
    <w:rsid w:val="00D4137E"/>
    <w:rsid w:val="00D41441"/>
    <w:rsid w:val="00D41520"/>
    <w:rsid w:val="00D41522"/>
    <w:rsid w:val="00D4153C"/>
    <w:rsid w:val="00D41577"/>
    <w:rsid w:val="00D415AE"/>
    <w:rsid w:val="00D415FE"/>
    <w:rsid w:val="00D4178E"/>
    <w:rsid w:val="00D417FD"/>
    <w:rsid w:val="00D4181F"/>
    <w:rsid w:val="00D41B37"/>
    <w:rsid w:val="00D41DCA"/>
    <w:rsid w:val="00D41F2F"/>
    <w:rsid w:val="00D41FCC"/>
    <w:rsid w:val="00D421C6"/>
    <w:rsid w:val="00D42208"/>
    <w:rsid w:val="00D423AC"/>
    <w:rsid w:val="00D423FD"/>
    <w:rsid w:val="00D424AF"/>
    <w:rsid w:val="00D424C3"/>
    <w:rsid w:val="00D42591"/>
    <w:rsid w:val="00D42737"/>
    <w:rsid w:val="00D42763"/>
    <w:rsid w:val="00D42781"/>
    <w:rsid w:val="00D428E1"/>
    <w:rsid w:val="00D429C5"/>
    <w:rsid w:val="00D429EC"/>
    <w:rsid w:val="00D42A80"/>
    <w:rsid w:val="00D42AA6"/>
    <w:rsid w:val="00D42B18"/>
    <w:rsid w:val="00D42BD5"/>
    <w:rsid w:val="00D42C90"/>
    <w:rsid w:val="00D42C9D"/>
    <w:rsid w:val="00D42D40"/>
    <w:rsid w:val="00D430E2"/>
    <w:rsid w:val="00D43133"/>
    <w:rsid w:val="00D43396"/>
    <w:rsid w:val="00D433CC"/>
    <w:rsid w:val="00D4349A"/>
    <w:rsid w:val="00D434A0"/>
    <w:rsid w:val="00D4358B"/>
    <w:rsid w:val="00D435D9"/>
    <w:rsid w:val="00D436EB"/>
    <w:rsid w:val="00D437E1"/>
    <w:rsid w:val="00D4382D"/>
    <w:rsid w:val="00D438FD"/>
    <w:rsid w:val="00D43948"/>
    <w:rsid w:val="00D43B0F"/>
    <w:rsid w:val="00D43B53"/>
    <w:rsid w:val="00D43B5F"/>
    <w:rsid w:val="00D43C6E"/>
    <w:rsid w:val="00D43E0F"/>
    <w:rsid w:val="00D43F5A"/>
    <w:rsid w:val="00D44154"/>
    <w:rsid w:val="00D4444A"/>
    <w:rsid w:val="00D4444B"/>
    <w:rsid w:val="00D44564"/>
    <w:rsid w:val="00D4487B"/>
    <w:rsid w:val="00D449D0"/>
    <w:rsid w:val="00D44A67"/>
    <w:rsid w:val="00D44B4D"/>
    <w:rsid w:val="00D44B64"/>
    <w:rsid w:val="00D44BBC"/>
    <w:rsid w:val="00D44C69"/>
    <w:rsid w:val="00D44CC4"/>
    <w:rsid w:val="00D44CEB"/>
    <w:rsid w:val="00D44D36"/>
    <w:rsid w:val="00D44F30"/>
    <w:rsid w:val="00D45069"/>
    <w:rsid w:val="00D451D7"/>
    <w:rsid w:val="00D45221"/>
    <w:rsid w:val="00D452A3"/>
    <w:rsid w:val="00D454CA"/>
    <w:rsid w:val="00D4551B"/>
    <w:rsid w:val="00D45584"/>
    <w:rsid w:val="00D45600"/>
    <w:rsid w:val="00D4567C"/>
    <w:rsid w:val="00D45699"/>
    <w:rsid w:val="00D45778"/>
    <w:rsid w:val="00D457F7"/>
    <w:rsid w:val="00D4587A"/>
    <w:rsid w:val="00D45946"/>
    <w:rsid w:val="00D4595B"/>
    <w:rsid w:val="00D45968"/>
    <w:rsid w:val="00D45969"/>
    <w:rsid w:val="00D45A5A"/>
    <w:rsid w:val="00D45A6B"/>
    <w:rsid w:val="00D45B11"/>
    <w:rsid w:val="00D45B70"/>
    <w:rsid w:val="00D45C80"/>
    <w:rsid w:val="00D45D7F"/>
    <w:rsid w:val="00D45DDC"/>
    <w:rsid w:val="00D45E26"/>
    <w:rsid w:val="00D45F31"/>
    <w:rsid w:val="00D46154"/>
    <w:rsid w:val="00D461D4"/>
    <w:rsid w:val="00D4622A"/>
    <w:rsid w:val="00D465A9"/>
    <w:rsid w:val="00D465BB"/>
    <w:rsid w:val="00D46608"/>
    <w:rsid w:val="00D4664C"/>
    <w:rsid w:val="00D46650"/>
    <w:rsid w:val="00D4671C"/>
    <w:rsid w:val="00D4674C"/>
    <w:rsid w:val="00D468C5"/>
    <w:rsid w:val="00D46AFA"/>
    <w:rsid w:val="00D46B38"/>
    <w:rsid w:val="00D46B98"/>
    <w:rsid w:val="00D46C40"/>
    <w:rsid w:val="00D46CF9"/>
    <w:rsid w:val="00D46E49"/>
    <w:rsid w:val="00D46E90"/>
    <w:rsid w:val="00D46EEF"/>
    <w:rsid w:val="00D46F9C"/>
    <w:rsid w:val="00D47045"/>
    <w:rsid w:val="00D47053"/>
    <w:rsid w:val="00D470AD"/>
    <w:rsid w:val="00D470F7"/>
    <w:rsid w:val="00D47300"/>
    <w:rsid w:val="00D4736E"/>
    <w:rsid w:val="00D473B2"/>
    <w:rsid w:val="00D47422"/>
    <w:rsid w:val="00D4742B"/>
    <w:rsid w:val="00D47454"/>
    <w:rsid w:val="00D474B8"/>
    <w:rsid w:val="00D4758F"/>
    <w:rsid w:val="00D475F0"/>
    <w:rsid w:val="00D47692"/>
    <w:rsid w:val="00D47753"/>
    <w:rsid w:val="00D477E2"/>
    <w:rsid w:val="00D47910"/>
    <w:rsid w:val="00D47940"/>
    <w:rsid w:val="00D47942"/>
    <w:rsid w:val="00D47949"/>
    <w:rsid w:val="00D4794B"/>
    <w:rsid w:val="00D47A00"/>
    <w:rsid w:val="00D47B7F"/>
    <w:rsid w:val="00D47B91"/>
    <w:rsid w:val="00D47C40"/>
    <w:rsid w:val="00D47CAA"/>
    <w:rsid w:val="00D47E54"/>
    <w:rsid w:val="00D47E7D"/>
    <w:rsid w:val="00D4A90B"/>
    <w:rsid w:val="00D5006A"/>
    <w:rsid w:val="00D50094"/>
    <w:rsid w:val="00D50113"/>
    <w:rsid w:val="00D50287"/>
    <w:rsid w:val="00D503A9"/>
    <w:rsid w:val="00D503AC"/>
    <w:rsid w:val="00D50493"/>
    <w:rsid w:val="00D5071E"/>
    <w:rsid w:val="00D509D0"/>
    <w:rsid w:val="00D50B75"/>
    <w:rsid w:val="00D50C81"/>
    <w:rsid w:val="00D50CA1"/>
    <w:rsid w:val="00D50D3A"/>
    <w:rsid w:val="00D50D59"/>
    <w:rsid w:val="00D50FA3"/>
    <w:rsid w:val="00D511CD"/>
    <w:rsid w:val="00D51321"/>
    <w:rsid w:val="00D51585"/>
    <w:rsid w:val="00D51622"/>
    <w:rsid w:val="00D51677"/>
    <w:rsid w:val="00D5179D"/>
    <w:rsid w:val="00D51934"/>
    <w:rsid w:val="00D51A11"/>
    <w:rsid w:val="00D51A51"/>
    <w:rsid w:val="00D51B6E"/>
    <w:rsid w:val="00D51BC6"/>
    <w:rsid w:val="00D51C75"/>
    <w:rsid w:val="00D51D2A"/>
    <w:rsid w:val="00D51E45"/>
    <w:rsid w:val="00D51E4D"/>
    <w:rsid w:val="00D51E8B"/>
    <w:rsid w:val="00D51FBB"/>
    <w:rsid w:val="00D51FD2"/>
    <w:rsid w:val="00D5204F"/>
    <w:rsid w:val="00D5207C"/>
    <w:rsid w:val="00D521D7"/>
    <w:rsid w:val="00D5245A"/>
    <w:rsid w:val="00D52583"/>
    <w:rsid w:val="00D52892"/>
    <w:rsid w:val="00D52AA2"/>
    <w:rsid w:val="00D52D01"/>
    <w:rsid w:val="00D52F15"/>
    <w:rsid w:val="00D53048"/>
    <w:rsid w:val="00D53117"/>
    <w:rsid w:val="00D531D0"/>
    <w:rsid w:val="00D532A9"/>
    <w:rsid w:val="00D533CE"/>
    <w:rsid w:val="00D53611"/>
    <w:rsid w:val="00D53679"/>
    <w:rsid w:val="00D536FC"/>
    <w:rsid w:val="00D537FC"/>
    <w:rsid w:val="00D53A7C"/>
    <w:rsid w:val="00D53AEF"/>
    <w:rsid w:val="00D53B25"/>
    <w:rsid w:val="00D53C4C"/>
    <w:rsid w:val="00D53E66"/>
    <w:rsid w:val="00D53EA2"/>
    <w:rsid w:val="00D53ECD"/>
    <w:rsid w:val="00D53EEE"/>
    <w:rsid w:val="00D54063"/>
    <w:rsid w:val="00D54106"/>
    <w:rsid w:val="00D541A8"/>
    <w:rsid w:val="00D54284"/>
    <w:rsid w:val="00D5444C"/>
    <w:rsid w:val="00D5452D"/>
    <w:rsid w:val="00D545FC"/>
    <w:rsid w:val="00D54600"/>
    <w:rsid w:val="00D54638"/>
    <w:rsid w:val="00D54667"/>
    <w:rsid w:val="00D54674"/>
    <w:rsid w:val="00D547DA"/>
    <w:rsid w:val="00D54A51"/>
    <w:rsid w:val="00D54B6B"/>
    <w:rsid w:val="00D54B85"/>
    <w:rsid w:val="00D54BD6"/>
    <w:rsid w:val="00D54F7F"/>
    <w:rsid w:val="00D54FCC"/>
    <w:rsid w:val="00D55049"/>
    <w:rsid w:val="00D550D0"/>
    <w:rsid w:val="00D550E8"/>
    <w:rsid w:val="00D5512E"/>
    <w:rsid w:val="00D5514A"/>
    <w:rsid w:val="00D55214"/>
    <w:rsid w:val="00D5521C"/>
    <w:rsid w:val="00D553A3"/>
    <w:rsid w:val="00D55627"/>
    <w:rsid w:val="00D55848"/>
    <w:rsid w:val="00D55969"/>
    <w:rsid w:val="00D559B3"/>
    <w:rsid w:val="00D55A87"/>
    <w:rsid w:val="00D55B4E"/>
    <w:rsid w:val="00D55BC8"/>
    <w:rsid w:val="00D55FA7"/>
    <w:rsid w:val="00D5603E"/>
    <w:rsid w:val="00D5607A"/>
    <w:rsid w:val="00D5610E"/>
    <w:rsid w:val="00D5614F"/>
    <w:rsid w:val="00D56190"/>
    <w:rsid w:val="00D5620B"/>
    <w:rsid w:val="00D56320"/>
    <w:rsid w:val="00D5634C"/>
    <w:rsid w:val="00D56369"/>
    <w:rsid w:val="00D5647B"/>
    <w:rsid w:val="00D564E5"/>
    <w:rsid w:val="00D56531"/>
    <w:rsid w:val="00D56684"/>
    <w:rsid w:val="00D566AE"/>
    <w:rsid w:val="00D569A9"/>
    <w:rsid w:val="00D569E1"/>
    <w:rsid w:val="00D56A8F"/>
    <w:rsid w:val="00D56B8A"/>
    <w:rsid w:val="00D56F5B"/>
    <w:rsid w:val="00D56F76"/>
    <w:rsid w:val="00D56FF9"/>
    <w:rsid w:val="00D57052"/>
    <w:rsid w:val="00D570E4"/>
    <w:rsid w:val="00D5728C"/>
    <w:rsid w:val="00D57370"/>
    <w:rsid w:val="00D573F5"/>
    <w:rsid w:val="00D57411"/>
    <w:rsid w:val="00D57466"/>
    <w:rsid w:val="00D574D7"/>
    <w:rsid w:val="00D57745"/>
    <w:rsid w:val="00D57789"/>
    <w:rsid w:val="00D578C4"/>
    <w:rsid w:val="00D578C6"/>
    <w:rsid w:val="00D57BA7"/>
    <w:rsid w:val="00D57E34"/>
    <w:rsid w:val="00D57F70"/>
    <w:rsid w:val="00D57F80"/>
    <w:rsid w:val="00D6012E"/>
    <w:rsid w:val="00D6016D"/>
    <w:rsid w:val="00D601FC"/>
    <w:rsid w:val="00D60268"/>
    <w:rsid w:val="00D6026F"/>
    <w:rsid w:val="00D603EC"/>
    <w:rsid w:val="00D60813"/>
    <w:rsid w:val="00D60829"/>
    <w:rsid w:val="00D6085A"/>
    <w:rsid w:val="00D608D2"/>
    <w:rsid w:val="00D60B48"/>
    <w:rsid w:val="00D60B4A"/>
    <w:rsid w:val="00D60CCB"/>
    <w:rsid w:val="00D60E0B"/>
    <w:rsid w:val="00D60E9F"/>
    <w:rsid w:val="00D60F81"/>
    <w:rsid w:val="00D60F9B"/>
    <w:rsid w:val="00D60FF1"/>
    <w:rsid w:val="00D610EE"/>
    <w:rsid w:val="00D6126D"/>
    <w:rsid w:val="00D613EF"/>
    <w:rsid w:val="00D61451"/>
    <w:rsid w:val="00D614D1"/>
    <w:rsid w:val="00D61600"/>
    <w:rsid w:val="00D6163A"/>
    <w:rsid w:val="00D6169B"/>
    <w:rsid w:val="00D616C6"/>
    <w:rsid w:val="00D618A0"/>
    <w:rsid w:val="00D619A6"/>
    <w:rsid w:val="00D61A1F"/>
    <w:rsid w:val="00D61B2F"/>
    <w:rsid w:val="00D61B80"/>
    <w:rsid w:val="00D61B8C"/>
    <w:rsid w:val="00D61C43"/>
    <w:rsid w:val="00D61F03"/>
    <w:rsid w:val="00D61F39"/>
    <w:rsid w:val="00D62072"/>
    <w:rsid w:val="00D62169"/>
    <w:rsid w:val="00D621DD"/>
    <w:rsid w:val="00D621DF"/>
    <w:rsid w:val="00D624D1"/>
    <w:rsid w:val="00D625EA"/>
    <w:rsid w:val="00D626B2"/>
    <w:rsid w:val="00D62746"/>
    <w:rsid w:val="00D62812"/>
    <w:rsid w:val="00D62907"/>
    <w:rsid w:val="00D62A5D"/>
    <w:rsid w:val="00D62A8A"/>
    <w:rsid w:val="00D62B5F"/>
    <w:rsid w:val="00D62C67"/>
    <w:rsid w:val="00D62D9C"/>
    <w:rsid w:val="00D62FAC"/>
    <w:rsid w:val="00D63009"/>
    <w:rsid w:val="00D63052"/>
    <w:rsid w:val="00D6306F"/>
    <w:rsid w:val="00D6309C"/>
    <w:rsid w:val="00D630F8"/>
    <w:rsid w:val="00D631E2"/>
    <w:rsid w:val="00D6333F"/>
    <w:rsid w:val="00D63426"/>
    <w:rsid w:val="00D6343C"/>
    <w:rsid w:val="00D634A8"/>
    <w:rsid w:val="00D635BB"/>
    <w:rsid w:val="00D63636"/>
    <w:rsid w:val="00D63687"/>
    <w:rsid w:val="00D637D9"/>
    <w:rsid w:val="00D638B7"/>
    <w:rsid w:val="00D639A0"/>
    <w:rsid w:val="00D63A86"/>
    <w:rsid w:val="00D63B45"/>
    <w:rsid w:val="00D63C4F"/>
    <w:rsid w:val="00D63D7C"/>
    <w:rsid w:val="00D63DB4"/>
    <w:rsid w:val="00D63EC1"/>
    <w:rsid w:val="00D63F14"/>
    <w:rsid w:val="00D6406E"/>
    <w:rsid w:val="00D64098"/>
    <w:rsid w:val="00D640B6"/>
    <w:rsid w:val="00D64199"/>
    <w:rsid w:val="00D645D6"/>
    <w:rsid w:val="00D645F9"/>
    <w:rsid w:val="00D64694"/>
    <w:rsid w:val="00D646C2"/>
    <w:rsid w:val="00D64748"/>
    <w:rsid w:val="00D64800"/>
    <w:rsid w:val="00D6480A"/>
    <w:rsid w:val="00D648E9"/>
    <w:rsid w:val="00D649BA"/>
    <w:rsid w:val="00D64A8B"/>
    <w:rsid w:val="00D64A91"/>
    <w:rsid w:val="00D64E39"/>
    <w:rsid w:val="00D64FE6"/>
    <w:rsid w:val="00D6501C"/>
    <w:rsid w:val="00D65031"/>
    <w:rsid w:val="00D652FA"/>
    <w:rsid w:val="00D6532E"/>
    <w:rsid w:val="00D65419"/>
    <w:rsid w:val="00D6544C"/>
    <w:rsid w:val="00D655D8"/>
    <w:rsid w:val="00D65716"/>
    <w:rsid w:val="00D6576E"/>
    <w:rsid w:val="00D657AA"/>
    <w:rsid w:val="00D6585D"/>
    <w:rsid w:val="00D65862"/>
    <w:rsid w:val="00D659BC"/>
    <w:rsid w:val="00D65A88"/>
    <w:rsid w:val="00D65A8A"/>
    <w:rsid w:val="00D65B52"/>
    <w:rsid w:val="00D65C11"/>
    <w:rsid w:val="00D65CB4"/>
    <w:rsid w:val="00D65CBD"/>
    <w:rsid w:val="00D65D2D"/>
    <w:rsid w:val="00D66082"/>
    <w:rsid w:val="00D66121"/>
    <w:rsid w:val="00D661BE"/>
    <w:rsid w:val="00D661E5"/>
    <w:rsid w:val="00D6627E"/>
    <w:rsid w:val="00D6629C"/>
    <w:rsid w:val="00D662B5"/>
    <w:rsid w:val="00D6632F"/>
    <w:rsid w:val="00D6641E"/>
    <w:rsid w:val="00D66454"/>
    <w:rsid w:val="00D6663B"/>
    <w:rsid w:val="00D66678"/>
    <w:rsid w:val="00D6671C"/>
    <w:rsid w:val="00D6693C"/>
    <w:rsid w:val="00D669AC"/>
    <w:rsid w:val="00D66A14"/>
    <w:rsid w:val="00D66A7A"/>
    <w:rsid w:val="00D66ADD"/>
    <w:rsid w:val="00D66BFB"/>
    <w:rsid w:val="00D66D24"/>
    <w:rsid w:val="00D66D51"/>
    <w:rsid w:val="00D66DE4"/>
    <w:rsid w:val="00D66E51"/>
    <w:rsid w:val="00D66E93"/>
    <w:rsid w:val="00D66F15"/>
    <w:rsid w:val="00D66F5C"/>
    <w:rsid w:val="00D6702E"/>
    <w:rsid w:val="00D67358"/>
    <w:rsid w:val="00D673E2"/>
    <w:rsid w:val="00D67557"/>
    <w:rsid w:val="00D675AC"/>
    <w:rsid w:val="00D676D9"/>
    <w:rsid w:val="00D67807"/>
    <w:rsid w:val="00D679A4"/>
    <w:rsid w:val="00D67CB3"/>
    <w:rsid w:val="00D67CCF"/>
    <w:rsid w:val="00D67DD8"/>
    <w:rsid w:val="00D67E75"/>
    <w:rsid w:val="00D67F54"/>
    <w:rsid w:val="00D67F57"/>
    <w:rsid w:val="00D67F87"/>
    <w:rsid w:val="00D67F9D"/>
    <w:rsid w:val="00D70113"/>
    <w:rsid w:val="00D70144"/>
    <w:rsid w:val="00D70168"/>
    <w:rsid w:val="00D70316"/>
    <w:rsid w:val="00D70412"/>
    <w:rsid w:val="00D7044D"/>
    <w:rsid w:val="00D7046F"/>
    <w:rsid w:val="00D705ED"/>
    <w:rsid w:val="00D706E7"/>
    <w:rsid w:val="00D70A29"/>
    <w:rsid w:val="00D70B8D"/>
    <w:rsid w:val="00D70CF6"/>
    <w:rsid w:val="00D70E6E"/>
    <w:rsid w:val="00D70E75"/>
    <w:rsid w:val="00D70E8B"/>
    <w:rsid w:val="00D70ECC"/>
    <w:rsid w:val="00D70F52"/>
    <w:rsid w:val="00D71005"/>
    <w:rsid w:val="00D71097"/>
    <w:rsid w:val="00D7111E"/>
    <w:rsid w:val="00D7118C"/>
    <w:rsid w:val="00D71273"/>
    <w:rsid w:val="00D71438"/>
    <w:rsid w:val="00D71441"/>
    <w:rsid w:val="00D715B6"/>
    <w:rsid w:val="00D71614"/>
    <w:rsid w:val="00D7199D"/>
    <w:rsid w:val="00D719FA"/>
    <w:rsid w:val="00D71D50"/>
    <w:rsid w:val="00D72107"/>
    <w:rsid w:val="00D7212A"/>
    <w:rsid w:val="00D721CF"/>
    <w:rsid w:val="00D721E6"/>
    <w:rsid w:val="00D7248D"/>
    <w:rsid w:val="00D724B9"/>
    <w:rsid w:val="00D72617"/>
    <w:rsid w:val="00D727C5"/>
    <w:rsid w:val="00D72862"/>
    <w:rsid w:val="00D728BC"/>
    <w:rsid w:val="00D72912"/>
    <w:rsid w:val="00D7292E"/>
    <w:rsid w:val="00D72C5A"/>
    <w:rsid w:val="00D72DD4"/>
    <w:rsid w:val="00D72E3B"/>
    <w:rsid w:val="00D72E4D"/>
    <w:rsid w:val="00D72F2F"/>
    <w:rsid w:val="00D72F78"/>
    <w:rsid w:val="00D731C5"/>
    <w:rsid w:val="00D732EC"/>
    <w:rsid w:val="00D73450"/>
    <w:rsid w:val="00D73464"/>
    <w:rsid w:val="00D734CC"/>
    <w:rsid w:val="00D735FB"/>
    <w:rsid w:val="00D7360F"/>
    <w:rsid w:val="00D73680"/>
    <w:rsid w:val="00D7383E"/>
    <w:rsid w:val="00D73875"/>
    <w:rsid w:val="00D7397F"/>
    <w:rsid w:val="00D73A05"/>
    <w:rsid w:val="00D73A07"/>
    <w:rsid w:val="00D73A0A"/>
    <w:rsid w:val="00D73A5B"/>
    <w:rsid w:val="00D73AA0"/>
    <w:rsid w:val="00D73AC1"/>
    <w:rsid w:val="00D73B88"/>
    <w:rsid w:val="00D73CD4"/>
    <w:rsid w:val="00D73CEC"/>
    <w:rsid w:val="00D73DC0"/>
    <w:rsid w:val="00D73E0E"/>
    <w:rsid w:val="00D73EF2"/>
    <w:rsid w:val="00D73F38"/>
    <w:rsid w:val="00D74009"/>
    <w:rsid w:val="00D740EA"/>
    <w:rsid w:val="00D74211"/>
    <w:rsid w:val="00D7425A"/>
    <w:rsid w:val="00D74457"/>
    <w:rsid w:val="00D7447C"/>
    <w:rsid w:val="00D744BA"/>
    <w:rsid w:val="00D7454B"/>
    <w:rsid w:val="00D746B0"/>
    <w:rsid w:val="00D746D7"/>
    <w:rsid w:val="00D746F0"/>
    <w:rsid w:val="00D74761"/>
    <w:rsid w:val="00D747BE"/>
    <w:rsid w:val="00D747C8"/>
    <w:rsid w:val="00D7487C"/>
    <w:rsid w:val="00D749FB"/>
    <w:rsid w:val="00D74A4C"/>
    <w:rsid w:val="00D74ADF"/>
    <w:rsid w:val="00D74B32"/>
    <w:rsid w:val="00D74B43"/>
    <w:rsid w:val="00D74B52"/>
    <w:rsid w:val="00D74B7D"/>
    <w:rsid w:val="00D74BA0"/>
    <w:rsid w:val="00D74C3C"/>
    <w:rsid w:val="00D74EA1"/>
    <w:rsid w:val="00D74F25"/>
    <w:rsid w:val="00D75113"/>
    <w:rsid w:val="00D75138"/>
    <w:rsid w:val="00D7518D"/>
    <w:rsid w:val="00D752D5"/>
    <w:rsid w:val="00D752E8"/>
    <w:rsid w:val="00D7552A"/>
    <w:rsid w:val="00D75770"/>
    <w:rsid w:val="00D75814"/>
    <w:rsid w:val="00D75845"/>
    <w:rsid w:val="00D75999"/>
    <w:rsid w:val="00D75A15"/>
    <w:rsid w:val="00D75B11"/>
    <w:rsid w:val="00D75BBB"/>
    <w:rsid w:val="00D75BCB"/>
    <w:rsid w:val="00D75BD7"/>
    <w:rsid w:val="00D75C37"/>
    <w:rsid w:val="00D75C3C"/>
    <w:rsid w:val="00D75C59"/>
    <w:rsid w:val="00D75F4E"/>
    <w:rsid w:val="00D75F50"/>
    <w:rsid w:val="00D76009"/>
    <w:rsid w:val="00D7605D"/>
    <w:rsid w:val="00D760A0"/>
    <w:rsid w:val="00D760DB"/>
    <w:rsid w:val="00D760E2"/>
    <w:rsid w:val="00D76119"/>
    <w:rsid w:val="00D7612D"/>
    <w:rsid w:val="00D761F1"/>
    <w:rsid w:val="00D76284"/>
    <w:rsid w:val="00D762EA"/>
    <w:rsid w:val="00D762F1"/>
    <w:rsid w:val="00D762FB"/>
    <w:rsid w:val="00D763F1"/>
    <w:rsid w:val="00D763F3"/>
    <w:rsid w:val="00D765C2"/>
    <w:rsid w:val="00D765F8"/>
    <w:rsid w:val="00D76647"/>
    <w:rsid w:val="00D76668"/>
    <w:rsid w:val="00D76746"/>
    <w:rsid w:val="00D7675F"/>
    <w:rsid w:val="00D76822"/>
    <w:rsid w:val="00D76823"/>
    <w:rsid w:val="00D76846"/>
    <w:rsid w:val="00D76939"/>
    <w:rsid w:val="00D76947"/>
    <w:rsid w:val="00D76950"/>
    <w:rsid w:val="00D76980"/>
    <w:rsid w:val="00D769EE"/>
    <w:rsid w:val="00D76CD2"/>
    <w:rsid w:val="00D76EB6"/>
    <w:rsid w:val="00D76EBB"/>
    <w:rsid w:val="00D76F4A"/>
    <w:rsid w:val="00D771B5"/>
    <w:rsid w:val="00D772BB"/>
    <w:rsid w:val="00D77391"/>
    <w:rsid w:val="00D77529"/>
    <w:rsid w:val="00D7753D"/>
    <w:rsid w:val="00D775F8"/>
    <w:rsid w:val="00D777DE"/>
    <w:rsid w:val="00D77820"/>
    <w:rsid w:val="00D778A8"/>
    <w:rsid w:val="00D77B68"/>
    <w:rsid w:val="00D77B8E"/>
    <w:rsid w:val="00D77D0D"/>
    <w:rsid w:val="00D77D62"/>
    <w:rsid w:val="00D77DDB"/>
    <w:rsid w:val="00D77DEF"/>
    <w:rsid w:val="00D8005C"/>
    <w:rsid w:val="00D80065"/>
    <w:rsid w:val="00D80225"/>
    <w:rsid w:val="00D802DE"/>
    <w:rsid w:val="00D803B8"/>
    <w:rsid w:val="00D803F9"/>
    <w:rsid w:val="00D80512"/>
    <w:rsid w:val="00D80527"/>
    <w:rsid w:val="00D80785"/>
    <w:rsid w:val="00D807F3"/>
    <w:rsid w:val="00D808C2"/>
    <w:rsid w:val="00D809B0"/>
    <w:rsid w:val="00D809DF"/>
    <w:rsid w:val="00D80A83"/>
    <w:rsid w:val="00D80AB8"/>
    <w:rsid w:val="00D80AC5"/>
    <w:rsid w:val="00D80AD0"/>
    <w:rsid w:val="00D80B41"/>
    <w:rsid w:val="00D80B9B"/>
    <w:rsid w:val="00D80C57"/>
    <w:rsid w:val="00D80CEA"/>
    <w:rsid w:val="00D80D2D"/>
    <w:rsid w:val="00D80E27"/>
    <w:rsid w:val="00D80F17"/>
    <w:rsid w:val="00D80F51"/>
    <w:rsid w:val="00D80F98"/>
    <w:rsid w:val="00D81120"/>
    <w:rsid w:val="00D812DE"/>
    <w:rsid w:val="00D81346"/>
    <w:rsid w:val="00D81381"/>
    <w:rsid w:val="00D815DF"/>
    <w:rsid w:val="00D81617"/>
    <w:rsid w:val="00D81667"/>
    <w:rsid w:val="00D816C5"/>
    <w:rsid w:val="00D816F3"/>
    <w:rsid w:val="00D816F7"/>
    <w:rsid w:val="00D817A9"/>
    <w:rsid w:val="00D81973"/>
    <w:rsid w:val="00D81A86"/>
    <w:rsid w:val="00D81AB8"/>
    <w:rsid w:val="00D81BA3"/>
    <w:rsid w:val="00D81BD4"/>
    <w:rsid w:val="00D81BE7"/>
    <w:rsid w:val="00D81DA2"/>
    <w:rsid w:val="00D81E2E"/>
    <w:rsid w:val="00D81E86"/>
    <w:rsid w:val="00D81EBC"/>
    <w:rsid w:val="00D81ED9"/>
    <w:rsid w:val="00D81F01"/>
    <w:rsid w:val="00D81F17"/>
    <w:rsid w:val="00D81FAF"/>
    <w:rsid w:val="00D82011"/>
    <w:rsid w:val="00D82016"/>
    <w:rsid w:val="00D82023"/>
    <w:rsid w:val="00D82026"/>
    <w:rsid w:val="00D82204"/>
    <w:rsid w:val="00D823C8"/>
    <w:rsid w:val="00D82444"/>
    <w:rsid w:val="00D82684"/>
    <w:rsid w:val="00D82832"/>
    <w:rsid w:val="00D82879"/>
    <w:rsid w:val="00D82932"/>
    <w:rsid w:val="00D82962"/>
    <w:rsid w:val="00D82A99"/>
    <w:rsid w:val="00D82B2B"/>
    <w:rsid w:val="00D82C4C"/>
    <w:rsid w:val="00D82D8C"/>
    <w:rsid w:val="00D82FCD"/>
    <w:rsid w:val="00D832BD"/>
    <w:rsid w:val="00D83416"/>
    <w:rsid w:val="00D8352F"/>
    <w:rsid w:val="00D835DA"/>
    <w:rsid w:val="00D83600"/>
    <w:rsid w:val="00D836C2"/>
    <w:rsid w:val="00D83774"/>
    <w:rsid w:val="00D83889"/>
    <w:rsid w:val="00D83A75"/>
    <w:rsid w:val="00D83BB8"/>
    <w:rsid w:val="00D83C3A"/>
    <w:rsid w:val="00D83CFB"/>
    <w:rsid w:val="00D83D5A"/>
    <w:rsid w:val="00D83F52"/>
    <w:rsid w:val="00D84097"/>
    <w:rsid w:val="00D841BB"/>
    <w:rsid w:val="00D842A1"/>
    <w:rsid w:val="00D8430D"/>
    <w:rsid w:val="00D8432D"/>
    <w:rsid w:val="00D848B9"/>
    <w:rsid w:val="00D849DD"/>
    <w:rsid w:val="00D849E8"/>
    <w:rsid w:val="00D84A7D"/>
    <w:rsid w:val="00D84C97"/>
    <w:rsid w:val="00D84D0C"/>
    <w:rsid w:val="00D84DBA"/>
    <w:rsid w:val="00D84DC0"/>
    <w:rsid w:val="00D84E87"/>
    <w:rsid w:val="00D84EC9"/>
    <w:rsid w:val="00D84F1C"/>
    <w:rsid w:val="00D84F24"/>
    <w:rsid w:val="00D84F2E"/>
    <w:rsid w:val="00D8505A"/>
    <w:rsid w:val="00D850C1"/>
    <w:rsid w:val="00D85203"/>
    <w:rsid w:val="00D852CA"/>
    <w:rsid w:val="00D85440"/>
    <w:rsid w:val="00D854CA"/>
    <w:rsid w:val="00D8560B"/>
    <w:rsid w:val="00D858BB"/>
    <w:rsid w:val="00D858EE"/>
    <w:rsid w:val="00D859A8"/>
    <w:rsid w:val="00D85ADE"/>
    <w:rsid w:val="00D85B50"/>
    <w:rsid w:val="00D85C8D"/>
    <w:rsid w:val="00D85D32"/>
    <w:rsid w:val="00D85DE6"/>
    <w:rsid w:val="00D85EF8"/>
    <w:rsid w:val="00D85F3F"/>
    <w:rsid w:val="00D86157"/>
    <w:rsid w:val="00D86339"/>
    <w:rsid w:val="00D8647E"/>
    <w:rsid w:val="00D864EA"/>
    <w:rsid w:val="00D866EC"/>
    <w:rsid w:val="00D867C2"/>
    <w:rsid w:val="00D867EE"/>
    <w:rsid w:val="00D867F8"/>
    <w:rsid w:val="00D86899"/>
    <w:rsid w:val="00D86914"/>
    <w:rsid w:val="00D8698A"/>
    <w:rsid w:val="00D86997"/>
    <w:rsid w:val="00D86A31"/>
    <w:rsid w:val="00D86A59"/>
    <w:rsid w:val="00D86C02"/>
    <w:rsid w:val="00D86C70"/>
    <w:rsid w:val="00D86DA2"/>
    <w:rsid w:val="00D86E43"/>
    <w:rsid w:val="00D86EA8"/>
    <w:rsid w:val="00D86FDD"/>
    <w:rsid w:val="00D87053"/>
    <w:rsid w:val="00D871AA"/>
    <w:rsid w:val="00D871E9"/>
    <w:rsid w:val="00D872B5"/>
    <w:rsid w:val="00D8730B"/>
    <w:rsid w:val="00D873E0"/>
    <w:rsid w:val="00D8740F"/>
    <w:rsid w:val="00D87422"/>
    <w:rsid w:val="00D874E2"/>
    <w:rsid w:val="00D8754F"/>
    <w:rsid w:val="00D8756A"/>
    <w:rsid w:val="00D8764D"/>
    <w:rsid w:val="00D8775C"/>
    <w:rsid w:val="00D878BC"/>
    <w:rsid w:val="00D879E7"/>
    <w:rsid w:val="00D87C57"/>
    <w:rsid w:val="00D87CAA"/>
    <w:rsid w:val="00D87CC0"/>
    <w:rsid w:val="00D87D90"/>
    <w:rsid w:val="00D87DBB"/>
    <w:rsid w:val="00D8F93A"/>
    <w:rsid w:val="00D9007B"/>
    <w:rsid w:val="00D901BE"/>
    <w:rsid w:val="00D9026B"/>
    <w:rsid w:val="00D90316"/>
    <w:rsid w:val="00D904CA"/>
    <w:rsid w:val="00D9066B"/>
    <w:rsid w:val="00D908F3"/>
    <w:rsid w:val="00D90C9E"/>
    <w:rsid w:val="00D90CAD"/>
    <w:rsid w:val="00D90CF2"/>
    <w:rsid w:val="00D90D5F"/>
    <w:rsid w:val="00D90D62"/>
    <w:rsid w:val="00D90D7D"/>
    <w:rsid w:val="00D90DD3"/>
    <w:rsid w:val="00D90EE9"/>
    <w:rsid w:val="00D90F44"/>
    <w:rsid w:val="00D91059"/>
    <w:rsid w:val="00D910B0"/>
    <w:rsid w:val="00D91105"/>
    <w:rsid w:val="00D911AC"/>
    <w:rsid w:val="00D912B4"/>
    <w:rsid w:val="00D9133D"/>
    <w:rsid w:val="00D913B2"/>
    <w:rsid w:val="00D914D3"/>
    <w:rsid w:val="00D91667"/>
    <w:rsid w:val="00D91678"/>
    <w:rsid w:val="00D916BF"/>
    <w:rsid w:val="00D916C6"/>
    <w:rsid w:val="00D91859"/>
    <w:rsid w:val="00D9187E"/>
    <w:rsid w:val="00D918E6"/>
    <w:rsid w:val="00D91A0A"/>
    <w:rsid w:val="00D91B54"/>
    <w:rsid w:val="00D91B59"/>
    <w:rsid w:val="00D91B6B"/>
    <w:rsid w:val="00D91CF7"/>
    <w:rsid w:val="00D91D12"/>
    <w:rsid w:val="00D91E0E"/>
    <w:rsid w:val="00D91E16"/>
    <w:rsid w:val="00D91FD6"/>
    <w:rsid w:val="00D91FE0"/>
    <w:rsid w:val="00D91FE4"/>
    <w:rsid w:val="00D92052"/>
    <w:rsid w:val="00D9212A"/>
    <w:rsid w:val="00D92133"/>
    <w:rsid w:val="00D9217B"/>
    <w:rsid w:val="00D921B6"/>
    <w:rsid w:val="00D92274"/>
    <w:rsid w:val="00D923D5"/>
    <w:rsid w:val="00D9242C"/>
    <w:rsid w:val="00D924DE"/>
    <w:rsid w:val="00D9253A"/>
    <w:rsid w:val="00D9277E"/>
    <w:rsid w:val="00D92894"/>
    <w:rsid w:val="00D92A04"/>
    <w:rsid w:val="00D92BC3"/>
    <w:rsid w:val="00D92BCE"/>
    <w:rsid w:val="00D92CFA"/>
    <w:rsid w:val="00D92D4E"/>
    <w:rsid w:val="00D92DC6"/>
    <w:rsid w:val="00D92E66"/>
    <w:rsid w:val="00D92F9E"/>
    <w:rsid w:val="00D9302F"/>
    <w:rsid w:val="00D9303C"/>
    <w:rsid w:val="00D93097"/>
    <w:rsid w:val="00D930A8"/>
    <w:rsid w:val="00D9312D"/>
    <w:rsid w:val="00D9324A"/>
    <w:rsid w:val="00D9326E"/>
    <w:rsid w:val="00D93387"/>
    <w:rsid w:val="00D9343C"/>
    <w:rsid w:val="00D93441"/>
    <w:rsid w:val="00D9351B"/>
    <w:rsid w:val="00D936FD"/>
    <w:rsid w:val="00D9380F"/>
    <w:rsid w:val="00D9389D"/>
    <w:rsid w:val="00D939A6"/>
    <w:rsid w:val="00D939CE"/>
    <w:rsid w:val="00D93A6F"/>
    <w:rsid w:val="00D93B6B"/>
    <w:rsid w:val="00D93C64"/>
    <w:rsid w:val="00D93E21"/>
    <w:rsid w:val="00D93E2E"/>
    <w:rsid w:val="00D93E46"/>
    <w:rsid w:val="00D93F75"/>
    <w:rsid w:val="00D9406A"/>
    <w:rsid w:val="00D940A8"/>
    <w:rsid w:val="00D941B7"/>
    <w:rsid w:val="00D9438C"/>
    <w:rsid w:val="00D94457"/>
    <w:rsid w:val="00D944DA"/>
    <w:rsid w:val="00D94512"/>
    <w:rsid w:val="00D9476F"/>
    <w:rsid w:val="00D947B4"/>
    <w:rsid w:val="00D947EE"/>
    <w:rsid w:val="00D94838"/>
    <w:rsid w:val="00D94913"/>
    <w:rsid w:val="00D9492B"/>
    <w:rsid w:val="00D94A9C"/>
    <w:rsid w:val="00D94BD9"/>
    <w:rsid w:val="00D94D22"/>
    <w:rsid w:val="00D94E5F"/>
    <w:rsid w:val="00D94EB4"/>
    <w:rsid w:val="00D94EF6"/>
    <w:rsid w:val="00D95025"/>
    <w:rsid w:val="00D950DC"/>
    <w:rsid w:val="00D95136"/>
    <w:rsid w:val="00D953B4"/>
    <w:rsid w:val="00D9542F"/>
    <w:rsid w:val="00D956BC"/>
    <w:rsid w:val="00D956DC"/>
    <w:rsid w:val="00D95745"/>
    <w:rsid w:val="00D9597E"/>
    <w:rsid w:val="00D95C6F"/>
    <w:rsid w:val="00D95D03"/>
    <w:rsid w:val="00D95DD7"/>
    <w:rsid w:val="00D95E7A"/>
    <w:rsid w:val="00D95F4C"/>
    <w:rsid w:val="00D95F5E"/>
    <w:rsid w:val="00D96051"/>
    <w:rsid w:val="00D960AC"/>
    <w:rsid w:val="00D960BC"/>
    <w:rsid w:val="00D961F3"/>
    <w:rsid w:val="00D962A6"/>
    <w:rsid w:val="00D962DE"/>
    <w:rsid w:val="00D963C1"/>
    <w:rsid w:val="00D964E6"/>
    <w:rsid w:val="00D966F3"/>
    <w:rsid w:val="00D9675C"/>
    <w:rsid w:val="00D96787"/>
    <w:rsid w:val="00D96796"/>
    <w:rsid w:val="00D96812"/>
    <w:rsid w:val="00D9681F"/>
    <w:rsid w:val="00D96871"/>
    <w:rsid w:val="00D9691A"/>
    <w:rsid w:val="00D9696B"/>
    <w:rsid w:val="00D96A62"/>
    <w:rsid w:val="00D96BCF"/>
    <w:rsid w:val="00D96C1A"/>
    <w:rsid w:val="00D96CC5"/>
    <w:rsid w:val="00D96CD2"/>
    <w:rsid w:val="00D96D40"/>
    <w:rsid w:val="00D96DBD"/>
    <w:rsid w:val="00D96E2C"/>
    <w:rsid w:val="00D96ECA"/>
    <w:rsid w:val="00D96F14"/>
    <w:rsid w:val="00D97028"/>
    <w:rsid w:val="00D9708B"/>
    <w:rsid w:val="00D97135"/>
    <w:rsid w:val="00D9715E"/>
    <w:rsid w:val="00D972E2"/>
    <w:rsid w:val="00D972F6"/>
    <w:rsid w:val="00D974C6"/>
    <w:rsid w:val="00D975DB"/>
    <w:rsid w:val="00D97668"/>
    <w:rsid w:val="00D97689"/>
    <w:rsid w:val="00D977BD"/>
    <w:rsid w:val="00D978A5"/>
    <w:rsid w:val="00D97939"/>
    <w:rsid w:val="00D97962"/>
    <w:rsid w:val="00D97A3F"/>
    <w:rsid w:val="00D97BA4"/>
    <w:rsid w:val="00D97E1F"/>
    <w:rsid w:val="00D97E30"/>
    <w:rsid w:val="00D97E81"/>
    <w:rsid w:val="00D98057"/>
    <w:rsid w:val="00DA00CC"/>
    <w:rsid w:val="00DA00D6"/>
    <w:rsid w:val="00DA0123"/>
    <w:rsid w:val="00DA0184"/>
    <w:rsid w:val="00DA02B8"/>
    <w:rsid w:val="00DA02EE"/>
    <w:rsid w:val="00DA0436"/>
    <w:rsid w:val="00DA044A"/>
    <w:rsid w:val="00DA0467"/>
    <w:rsid w:val="00DA076B"/>
    <w:rsid w:val="00DA0777"/>
    <w:rsid w:val="00DA087A"/>
    <w:rsid w:val="00DA0AE0"/>
    <w:rsid w:val="00DA0B75"/>
    <w:rsid w:val="00DA0CF3"/>
    <w:rsid w:val="00DA0D27"/>
    <w:rsid w:val="00DA0E24"/>
    <w:rsid w:val="00DA1092"/>
    <w:rsid w:val="00DA10BC"/>
    <w:rsid w:val="00DA112A"/>
    <w:rsid w:val="00DA1165"/>
    <w:rsid w:val="00DA11EC"/>
    <w:rsid w:val="00DA1245"/>
    <w:rsid w:val="00DA12FB"/>
    <w:rsid w:val="00DA1320"/>
    <w:rsid w:val="00DA154B"/>
    <w:rsid w:val="00DA162B"/>
    <w:rsid w:val="00DA1814"/>
    <w:rsid w:val="00DA185A"/>
    <w:rsid w:val="00DA1872"/>
    <w:rsid w:val="00DA18AD"/>
    <w:rsid w:val="00DA18CF"/>
    <w:rsid w:val="00DA19A8"/>
    <w:rsid w:val="00DA19D4"/>
    <w:rsid w:val="00DA1A39"/>
    <w:rsid w:val="00DA1AB2"/>
    <w:rsid w:val="00DA1D3E"/>
    <w:rsid w:val="00DA1E2E"/>
    <w:rsid w:val="00DA1F6B"/>
    <w:rsid w:val="00DA1F76"/>
    <w:rsid w:val="00DA20F4"/>
    <w:rsid w:val="00DA2171"/>
    <w:rsid w:val="00DA2299"/>
    <w:rsid w:val="00DA243B"/>
    <w:rsid w:val="00DA2474"/>
    <w:rsid w:val="00DA24CB"/>
    <w:rsid w:val="00DA24D1"/>
    <w:rsid w:val="00DA2579"/>
    <w:rsid w:val="00DA25DA"/>
    <w:rsid w:val="00DA2674"/>
    <w:rsid w:val="00DA267F"/>
    <w:rsid w:val="00DA26D0"/>
    <w:rsid w:val="00DA277E"/>
    <w:rsid w:val="00DA2797"/>
    <w:rsid w:val="00DA27BF"/>
    <w:rsid w:val="00DA28EF"/>
    <w:rsid w:val="00DA2B7A"/>
    <w:rsid w:val="00DA2BD3"/>
    <w:rsid w:val="00DA2BE3"/>
    <w:rsid w:val="00DA2E64"/>
    <w:rsid w:val="00DA2E6C"/>
    <w:rsid w:val="00DA2EEF"/>
    <w:rsid w:val="00DA2F63"/>
    <w:rsid w:val="00DA3422"/>
    <w:rsid w:val="00DA355D"/>
    <w:rsid w:val="00DA3666"/>
    <w:rsid w:val="00DA36E9"/>
    <w:rsid w:val="00DA370B"/>
    <w:rsid w:val="00DA3734"/>
    <w:rsid w:val="00DA3787"/>
    <w:rsid w:val="00DA37D4"/>
    <w:rsid w:val="00DA387B"/>
    <w:rsid w:val="00DA3979"/>
    <w:rsid w:val="00DA3A97"/>
    <w:rsid w:val="00DA3C1B"/>
    <w:rsid w:val="00DA3CEA"/>
    <w:rsid w:val="00DA3DCB"/>
    <w:rsid w:val="00DA3E06"/>
    <w:rsid w:val="00DA3E52"/>
    <w:rsid w:val="00DA3EF9"/>
    <w:rsid w:val="00DA3F1E"/>
    <w:rsid w:val="00DA3F73"/>
    <w:rsid w:val="00DA3F79"/>
    <w:rsid w:val="00DA3FB1"/>
    <w:rsid w:val="00DA3FBC"/>
    <w:rsid w:val="00DA4030"/>
    <w:rsid w:val="00DA421B"/>
    <w:rsid w:val="00DA428C"/>
    <w:rsid w:val="00DA4298"/>
    <w:rsid w:val="00DA4349"/>
    <w:rsid w:val="00DA446D"/>
    <w:rsid w:val="00DA447E"/>
    <w:rsid w:val="00DA459B"/>
    <w:rsid w:val="00DA46AC"/>
    <w:rsid w:val="00DA472A"/>
    <w:rsid w:val="00DA4766"/>
    <w:rsid w:val="00DA476B"/>
    <w:rsid w:val="00DA477E"/>
    <w:rsid w:val="00DA4896"/>
    <w:rsid w:val="00DA490A"/>
    <w:rsid w:val="00DA493A"/>
    <w:rsid w:val="00DA49CB"/>
    <w:rsid w:val="00DA4A40"/>
    <w:rsid w:val="00DA4B34"/>
    <w:rsid w:val="00DA4C31"/>
    <w:rsid w:val="00DA4C9C"/>
    <w:rsid w:val="00DA4D0E"/>
    <w:rsid w:val="00DA4E7A"/>
    <w:rsid w:val="00DA4EEA"/>
    <w:rsid w:val="00DA4FCB"/>
    <w:rsid w:val="00DA506B"/>
    <w:rsid w:val="00DA5154"/>
    <w:rsid w:val="00DA5299"/>
    <w:rsid w:val="00DA54F0"/>
    <w:rsid w:val="00DA57F6"/>
    <w:rsid w:val="00DA5856"/>
    <w:rsid w:val="00DA5A13"/>
    <w:rsid w:val="00DA5BA2"/>
    <w:rsid w:val="00DA5BE6"/>
    <w:rsid w:val="00DA5BED"/>
    <w:rsid w:val="00DA5DB0"/>
    <w:rsid w:val="00DA5E10"/>
    <w:rsid w:val="00DA5E9D"/>
    <w:rsid w:val="00DA5FDD"/>
    <w:rsid w:val="00DA60E9"/>
    <w:rsid w:val="00DA6218"/>
    <w:rsid w:val="00DA62DC"/>
    <w:rsid w:val="00DA6371"/>
    <w:rsid w:val="00DA642B"/>
    <w:rsid w:val="00DA65A0"/>
    <w:rsid w:val="00DA65A6"/>
    <w:rsid w:val="00DA65F0"/>
    <w:rsid w:val="00DA66B9"/>
    <w:rsid w:val="00DA670A"/>
    <w:rsid w:val="00DA6716"/>
    <w:rsid w:val="00DA68EE"/>
    <w:rsid w:val="00DA69CE"/>
    <w:rsid w:val="00DA6A7E"/>
    <w:rsid w:val="00DA6ACF"/>
    <w:rsid w:val="00DA6ADC"/>
    <w:rsid w:val="00DA6BB8"/>
    <w:rsid w:val="00DA6C0C"/>
    <w:rsid w:val="00DA6C11"/>
    <w:rsid w:val="00DA6C78"/>
    <w:rsid w:val="00DA6CB5"/>
    <w:rsid w:val="00DA6F88"/>
    <w:rsid w:val="00DA6FDA"/>
    <w:rsid w:val="00DA6FE4"/>
    <w:rsid w:val="00DA7060"/>
    <w:rsid w:val="00DA70CA"/>
    <w:rsid w:val="00DA70F4"/>
    <w:rsid w:val="00DA7128"/>
    <w:rsid w:val="00DA7129"/>
    <w:rsid w:val="00DA7163"/>
    <w:rsid w:val="00DA729C"/>
    <w:rsid w:val="00DA72D7"/>
    <w:rsid w:val="00DA7352"/>
    <w:rsid w:val="00DA737A"/>
    <w:rsid w:val="00DA745A"/>
    <w:rsid w:val="00DA74E3"/>
    <w:rsid w:val="00DA754B"/>
    <w:rsid w:val="00DA75D2"/>
    <w:rsid w:val="00DA7781"/>
    <w:rsid w:val="00DA782A"/>
    <w:rsid w:val="00DA7930"/>
    <w:rsid w:val="00DA79B0"/>
    <w:rsid w:val="00DA7A63"/>
    <w:rsid w:val="00DA7A7A"/>
    <w:rsid w:val="00DA7B28"/>
    <w:rsid w:val="00DA7BF7"/>
    <w:rsid w:val="00DA7D08"/>
    <w:rsid w:val="00DA7E18"/>
    <w:rsid w:val="00DA7E74"/>
    <w:rsid w:val="00DA7EE0"/>
    <w:rsid w:val="00DAD297"/>
    <w:rsid w:val="00DB01B6"/>
    <w:rsid w:val="00DB02F6"/>
    <w:rsid w:val="00DB04D4"/>
    <w:rsid w:val="00DB04F2"/>
    <w:rsid w:val="00DB055E"/>
    <w:rsid w:val="00DB05DB"/>
    <w:rsid w:val="00DB05E8"/>
    <w:rsid w:val="00DB0656"/>
    <w:rsid w:val="00DB066F"/>
    <w:rsid w:val="00DB0716"/>
    <w:rsid w:val="00DB093A"/>
    <w:rsid w:val="00DB0A76"/>
    <w:rsid w:val="00DB0B06"/>
    <w:rsid w:val="00DB0B20"/>
    <w:rsid w:val="00DB0CC1"/>
    <w:rsid w:val="00DB0D7A"/>
    <w:rsid w:val="00DB0E41"/>
    <w:rsid w:val="00DB0E87"/>
    <w:rsid w:val="00DB0EE8"/>
    <w:rsid w:val="00DB10A3"/>
    <w:rsid w:val="00DB10ED"/>
    <w:rsid w:val="00DB1157"/>
    <w:rsid w:val="00DB11FA"/>
    <w:rsid w:val="00DB1395"/>
    <w:rsid w:val="00DB13EE"/>
    <w:rsid w:val="00DB1424"/>
    <w:rsid w:val="00DB1794"/>
    <w:rsid w:val="00DB197B"/>
    <w:rsid w:val="00DB1A58"/>
    <w:rsid w:val="00DB1C2D"/>
    <w:rsid w:val="00DB1E3E"/>
    <w:rsid w:val="00DB1E97"/>
    <w:rsid w:val="00DB1FDB"/>
    <w:rsid w:val="00DB2081"/>
    <w:rsid w:val="00DB2163"/>
    <w:rsid w:val="00DB2189"/>
    <w:rsid w:val="00DB21AD"/>
    <w:rsid w:val="00DB22C1"/>
    <w:rsid w:val="00DB22E3"/>
    <w:rsid w:val="00DB23B0"/>
    <w:rsid w:val="00DB2560"/>
    <w:rsid w:val="00DB25B8"/>
    <w:rsid w:val="00DB25ED"/>
    <w:rsid w:val="00DB267C"/>
    <w:rsid w:val="00DB271E"/>
    <w:rsid w:val="00DB27BC"/>
    <w:rsid w:val="00DB2819"/>
    <w:rsid w:val="00DB281B"/>
    <w:rsid w:val="00DB2969"/>
    <w:rsid w:val="00DB299A"/>
    <w:rsid w:val="00DB2CBB"/>
    <w:rsid w:val="00DB2D7A"/>
    <w:rsid w:val="00DB2E0C"/>
    <w:rsid w:val="00DB2EC5"/>
    <w:rsid w:val="00DB2ED7"/>
    <w:rsid w:val="00DB2FF8"/>
    <w:rsid w:val="00DB3291"/>
    <w:rsid w:val="00DB3322"/>
    <w:rsid w:val="00DB348D"/>
    <w:rsid w:val="00DB3509"/>
    <w:rsid w:val="00DB3541"/>
    <w:rsid w:val="00DB35C0"/>
    <w:rsid w:val="00DB3642"/>
    <w:rsid w:val="00DB3694"/>
    <w:rsid w:val="00DB380D"/>
    <w:rsid w:val="00DB39CF"/>
    <w:rsid w:val="00DB3B41"/>
    <w:rsid w:val="00DB3BE8"/>
    <w:rsid w:val="00DB3CF4"/>
    <w:rsid w:val="00DB3D2D"/>
    <w:rsid w:val="00DB3E10"/>
    <w:rsid w:val="00DB3E55"/>
    <w:rsid w:val="00DB3E6D"/>
    <w:rsid w:val="00DB3EB6"/>
    <w:rsid w:val="00DB3FAE"/>
    <w:rsid w:val="00DB4119"/>
    <w:rsid w:val="00DB4165"/>
    <w:rsid w:val="00DB4174"/>
    <w:rsid w:val="00DB41DA"/>
    <w:rsid w:val="00DB41DB"/>
    <w:rsid w:val="00DB44DF"/>
    <w:rsid w:val="00DB4520"/>
    <w:rsid w:val="00DB454D"/>
    <w:rsid w:val="00DB4554"/>
    <w:rsid w:val="00DB476F"/>
    <w:rsid w:val="00DB4861"/>
    <w:rsid w:val="00DB48E8"/>
    <w:rsid w:val="00DB492F"/>
    <w:rsid w:val="00DB496F"/>
    <w:rsid w:val="00DB49BE"/>
    <w:rsid w:val="00DB49CE"/>
    <w:rsid w:val="00DB4A09"/>
    <w:rsid w:val="00DB4E57"/>
    <w:rsid w:val="00DB4E59"/>
    <w:rsid w:val="00DB4E7D"/>
    <w:rsid w:val="00DB4F3D"/>
    <w:rsid w:val="00DB50FB"/>
    <w:rsid w:val="00DB5298"/>
    <w:rsid w:val="00DB554D"/>
    <w:rsid w:val="00DB56E7"/>
    <w:rsid w:val="00DB5711"/>
    <w:rsid w:val="00DB57AC"/>
    <w:rsid w:val="00DB5875"/>
    <w:rsid w:val="00DB5C47"/>
    <w:rsid w:val="00DB5C79"/>
    <w:rsid w:val="00DB5CB8"/>
    <w:rsid w:val="00DB5CFF"/>
    <w:rsid w:val="00DB5E4E"/>
    <w:rsid w:val="00DB5E65"/>
    <w:rsid w:val="00DB5E8A"/>
    <w:rsid w:val="00DB5FFF"/>
    <w:rsid w:val="00DB6012"/>
    <w:rsid w:val="00DB6028"/>
    <w:rsid w:val="00DB6129"/>
    <w:rsid w:val="00DB61D7"/>
    <w:rsid w:val="00DB620C"/>
    <w:rsid w:val="00DB6332"/>
    <w:rsid w:val="00DB637A"/>
    <w:rsid w:val="00DB6501"/>
    <w:rsid w:val="00DB653D"/>
    <w:rsid w:val="00DB6648"/>
    <w:rsid w:val="00DB673D"/>
    <w:rsid w:val="00DB67CE"/>
    <w:rsid w:val="00DB67F0"/>
    <w:rsid w:val="00DB68FA"/>
    <w:rsid w:val="00DB69C5"/>
    <w:rsid w:val="00DB6A7B"/>
    <w:rsid w:val="00DB6B85"/>
    <w:rsid w:val="00DB6BFB"/>
    <w:rsid w:val="00DB6C8E"/>
    <w:rsid w:val="00DB6D37"/>
    <w:rsid w:val="00DB6ED7"/>
    <w:rsid w:val="00DB6F10"/>
    <w:rsid w:val="00DB6F13"/>
    <w:rsid w:val="00DB6FE6"/>
    <w:rsid w:val="00DB704C"/>
    <w:rsid w:val="00DB707A"/>
    <w:rsid w:val="00DB71B7"/>
    <w:rsid w:val="00DB7243"/>
    <w:rsid w:val="00DB7252"/>
    <w:rsid w:val="00DB7475"/>
    <w:rsid w:val="00DB74B0"/>
    <w:rsid w:val="00DB7573"/>
    <w:rsid w:val="00DB7728"/>
    <w:rsid w:val="00DB7754"/>
    <w:rsid w:val="00DB7793"/>
    <w:rsid w:val="00DB77FA"/>
    <w:rsid w:val="00DB7955"/>
    <w:rsid w:val="00DB7A77"/>
    <w:rsid w:val="00DB7AB3"/>
    <w:rsid w:val="00DB7AE2"/>
    <w:rsid w:val="00DB7B2E"/>
    <w:rsid w:val="00DB7B34"/>
    <w:rsid w:val="00DB7B98"/>
    <w:rsid w:val="00DB7C7B"/>
    <w:rsid w:val="00DB7DA4"/>
    <w:rsid w:val="00DB7DCF"/>
    <w:rsid w:val="00DB7E49"/>
    <w:rsid w:val="00DB7E5A"/>
    <w:rsid w:val="00DB7E5D"/>
    <w:rsid w:val="00DB7EFC"/>
    <w:rsid w:val="00DC0035"/>
    <w:rsid w:val="00DC0041"/>
    <w:rsid w:val="00DC00A8"/>
    <w:rsid w:val="00DC00AF"/>
    <w:rsid w:val="00DC0194"/>
    <w:rsid w:val="00DC01E7"/>
    <w:rsid w:val="00DC01F8"/>
    <w:rsid w:val="00DC0223"/>
    <w:rsid w:val="00DC029B"/>
    <w:rsid w:val="00DC04AF"/>
    <w:rsid w:val="00DC0565"/>
    <w:rsid w:val="00DC05C1"/>
    <w:rsid w:val="00DC05F7"/>
    <w:rsid w:val="00DC0679"/>
    <w:rsid w:val="00DC06C8"/>
    <w:rsid w:val="00DC07E6"/>
    <w:rsid w:val="00DC090B"/>
    <w:rsid w:val="00DC0A78"/>
    <w:rsid w:val="00DC0AF8"/>
    <w:rsid w:val="00DC0B87"/>
    <w:rsid w:val="00DC0C4A"/>
    <w:rsid w:val="00DC0D2A"/>
    <w:rsid w:val="00DC0ECD"/>
    <w:rsid w:val="00DC0F00"/>
    <w:rsid w:val="00DC1244"/>
    <w:rsid w:val="00DC1246"/>
    <w:rsid w:val="00DC129F"/>
    <w:rsid w:val="00DC13B3"/>
    <w:rsid w:val="00DC1670"/>
    <w:rsid w:val="00DC168B"/>
    <w:rsid w:val="00DC1738"/>
    <w:rsid w:val="00DC1811"/>
    <w:rsid w:val="00DC18F0"/>
    <w:rsid w:val="00DC1A9A"/>
    <w:rsid w:val="00DC1AD7"/>
    <w:rsid w:val="00DC1B4B"/>
    <w:rsid w:val="00DC1B5A"/>
    <w:rsid w:val="00DC1C65"/>
    <w:rsid w:val="00DC1CD7"/>
    <w:rsid w:val="00DC1CDC"/>
    <w:rsid w:val="00DC1DEC"/>
    <w:rsid w:val="00DC1EDE"/>
    <w:rsid w:val="00DC1EF8"/>
    <w:rsid w:val="00DC208B"/>
    <w:rsid w:val="00DC2157"/>
    <w:rsid w:val="00DC219F"/>
    <w:rsid w:val="00DC21A8"/>
    <w:rsid w:val="00DC21E0"/>
    <w:rsid w:val="00DC2288"/>
    <w:rsid w:val="00DC2344"/>
    <w:rsid w:val="00DC23D3"/>
    <w:rsid w:val="00DC2434"/>
    <w:rsid w:val="00DC2702"/>
    <w:rsid w:val="00DC2999"/>
    <w:rsid w:val="00DC299C"/>
    <w:rsid w:val="00DC2A8E"/>
    <w:rsid w:val="00DC2B44"/>
    <w:rsid w:val="00DC2B5D"/>
    <w:rsid w:val="00DC2BB5"/>
    <w:rsid w:val="00DC2C2D"/>
    <w:rsid w:val="00DC2C97"/>
    <w:rsid w:val="00DC2CC9"/>
    <w:rsid w:val="00DC2D77"/>
    <w:rsid w:val="00DC2D7F"/>
    <w:rsid w:val="00DC2F50"/>
    <w:rsid w:val="00DC2FC2"/>
    <w:rsid w:val="00DC30CE"/>
    <w:rsid w:val="00DC3188"/>
    <w:rsid w:val="00DC31CD"/>
    <w:rsid w:val="00DC32D1"/>
    <w:rsid w:val="00DC32D3"/>
    <w:rsid w:val="00DC3309"/>
    <w:rsid w:val="00DC34D0"/>
    <w:rsid w:val="00DC3601"/>
    <w:rsid w:val="00DC3679"/>
    <w:rsid w:val="00DC373F"/>
    <w:rsid w:val="00DC3B2D"/>
    <w:rsid w:val="00DC3C04"/>
    <w:rsid w:val="00DC3ED8"/>
    <w:rsid w:val="00DC3F37"/>
    <w:rsid w:val="00DC3F70"/>
    <w:rsid w:val="00DC3FA6"/>
    <w:rsid w:val="00DC4034"/>
    <w:rsid w:val="00DC41F5"/>
    <w:rsid w:val="00DC4203"/>
    <w:rsid w:val="00DC420A"/>
    <w:rsid w:val="00DC42AB"/>
    <w:rsid w:val="00DC4300"/>
    <w:rsid w:val="00DC43D6"/>
    <w:rsid w:val="00DC442D"/>
    <w:rsid w:val="00DC443C"/>
    <w:rsid w:val="00DC44A2"/>
    <w:rsid w:val="00DC44B4"/>
    <w:rsid w:val="00DC45CF"/>
    <w:rsid w:val="00DC4667"/>
    <w:rsid w:val="00DC489D"/>
    <w:rsid w:val="00DC4922"/>
    <w:rsid w:val="00DC4C0C"/>
    <w:rsid w:val="00DC4D46"/>
    <w:rsid w:val="00DC4D4B"/>
    <w:rsid w:val="00DC4E05"/>
    <w:rsid w:val="00DC4F31"/>
    <w:rsid w:val="00DC4FD2"/>
    <w:rsid w:val="00DC51E8"/>
    <w:rsid w:val="00DC51FE"/>
    <w:rsid w:val="00DC5312"/>
    <w:rsid w:val="00DC534E"/>
    <w:rsid w:val="00DC548F"/>
    <w:rsid w:val="00DC569E"/>
    <w:rsid w:val="00DC592C"/>
    <w:rsid w:val="00DC59A3"/>
    <w:rsid w:val="00DC5A6B"/>
    <w:rsid w:val="00DC5A70"/>
    <w:rsid w:val="00DC5A9B"/>
    <w:rsid w:val="00DC5B12"/>
    <w:rsid w:val="00DC5C51"/>
    <w:rsid w:val="00DC5D51"/>
    <w:rsid w:val="00DC5D5E"/>
    <w:rsid w:val="00DC5D66"/>
    <w:rsid w:val="00DC5EA9"/>
    <w:rsid w:val="00DC5F8D"/>
    <w:rsid w:val="00DC61F9"/>
    <w:rsid w:val="00DC630F"/>
    <w:rsid w:val="00DC6355"/>
    <w:rsid w:val="00DC63FA"/>
    <w:rsid w:val="00DC65DB"/>
    <w:rsid w:val="00DC66C2"/>
    <w:rsid w:val="00DC677F"/>
    <w:rsid w:val="00DC6795"/>
    <w:rsid w:val="00DC6798"/>
    <w:rsid w:val="00DC6811"/>
    <w:rsid w:val="00DC6926"/>
    <w:rsid w:val="00DC6996"/>
    <w:rsid w:val="00DC6C7B"/>
    <w:rsid w:val="00DC6DB6"/>
    <w:rsid w:val="00DC6DC2"/>
    <w:rsid w:val="00DC6F9A"/>
    <w:rsid w:val="00DC6FC7"/>
    <w:rsid w:val="00DC71A4"/>
    <w:rsid w:val="00DC71F3"/>
    <w:rsid w:val="00DC7261"/>
    <w:rsid w:val="00DC726B"/>
    <w:rsid w:val="00DC7358"/>
    <w:rsid w:val="00DC74AD"/>
    <w:rsid w:val="00DC74E6"/>
    <w:rsid w:val="00DC76BE"/>
    <w:rsid w:val="00DC7792"/>
    <w:rsid w:val="00DC77E7"/>
    <w:rsid w:val="00DC7988"/>
    <w:rsid w:val="00DC7A73"/>
    <w:rsid w:val="00DC7B45"/>
    <w:rsid w:val="00DC7CA0"/>
    <w:rsid w:val="00DC7CCF"/>
    <w:rsid w:val="00DC7D10"/>
    <w:rsid w:val="00DC7E6D"/>
    <w:rsid w:val="00DC7E6F"/>
    <w:rsid w:val="00DC7F2F"/>
    <w:rsid w:val="00DC7F3B"/>
    <w:rsid w:val="00DC7FC0"/>
    <w:rsid w:val="00DD000A"/>
    <w:rsid w:val="00DD032D"/>
    <w:rsid w:val="00DD03FE"/>
    <w:rsid w:val="00DD0461"/>
    <w:rsid w:val="00DD046F"/>
    <w:rsid w:val="00DD04A8"/>
    <w:rsid w:val="00DD0513"/>
    <w:rsid w:val="00DD05DF"/>
    <w:rsid w:val="00DD0641"/>
    <w:rsid w:val="00DD0645"/>
    <w:rsid w:val="00DD06CF"/>
    <w:rsid w:val="00DD07C2"/>
    <w:rsid w:val="00DD08D3"/>
    <w:rsid w:val="00DD0903"/>
    <w:rsid w:val="00DD0981"/>
    <w:rsid w:val="00DD0A69"/>
    <w:rsid w:val="00DD0B05"/>
    <w:rsid w:val="00DD0CE3"/>
    <w:rsid w:val="00DD0D03"/>
    <w:rsid w:val="00DD0D4E"/>
    <w:rsid w:val="00DD0E19"/>
    <w:rsid w:val="00DD110D"/>
    <w:rsid w:val="00DD1141"/>
    <w:rsid w:val="00DD1153"/>
    <w:rsid w:val="00DD11E4"/>
    <w:rsid w:val="00DD11FE"/>
    <w:rsid w:val="00DD121D"/>
    <w:rsid w:val="00DD13E4"/>
    <w:rsid w:val="00DD1441"/>
    <w:rsid w:val="00DD15AB"/>
    <w:rsid w:val="00DD162F"/>
    <w:rsid w:val="00DD1668"/>
    <w:rsid w:val="00DD168F"/>
    <w:rsid w:val="00DD1893"/>
    <w:rsid w:val="00DD1950"/>
    <w:rsid w:val="00DD1A76"/>
    <w:rsid w:val="00DD1B3C"/>
    <w:rsid w:val="00DD1C26"/>
    <w:rsid w:val="00DD1C54"/>
    <w:rsid w:val="00DD1D35"/>
    <w:rsid w:val="00DD1DAF"/>
    <w:rsid w:val="00DD1DDC"/>
    <w:rsid w:val="00DD1DF4"/>
    <w:rsid w:val="00DD2051"/>
    <w:rsid w:val="00DD20A9"/>
    <w:rsid w:val="00DD22ED"/>
    <w:rsid w:val="00DD22EE"/>
    <w:rsid w:val="00DD2410"/>
    <w:rsid w:val="00DD255A"/>
    <w:rsid w:val="00DD25E1"/>
    <w:rsid w:val="00DD2703"/>
    <w:rsid w:val="00DD28F9"/>
    <w:rsid w:val="00DD2904"/>
    <w:rsid w:val="00DD2A3B"/>
    <w:rsid w:val="00DD2B3A"/>
    <w:rsid w:val="00DD2B48"/>
    <w:rsid w:val="00DD2E46"/>
    <w:rsid w:val="00DD2E8E"/>
    <w:rsid w:val="00DD2EED"/>
    <w:rsid w:val="00DD2F31"/>
    <w:rsid w:val="00DD2FEA"/>
    <w:rsid w:val="00DD3074"/>
    <w:rsid w:val="00DD30B5"/>
    <w:rsid w:val="00DD31D9"/>
    <w:rsid w:val="00DD32E6"/>
    <w:rsid w:val="00DD335E"/>
    <w:rsid w:val="00DD338A"/>
    <w:rsid w:val="00DD33D8"/>
    <w:rsid w:val="00DD3414"/>
    <w:rsid w:val="00DD3539"/>
    <w:rsid w:val="00DD3593"/>
    <w:rsid w:val="00DD35F3"/>
    <w:rsid w:val="00DD3674"/>
    <w:rsid w:val="00DD3726"/>
    <w:rsid w:val="00DD3780"/>
    <w:rsid w:val="00DD38EA"/>
    <w:rsid w:val="00DD38FA"/>
    <w:rsid w:val="00DD39CC"/>
    <w:rsid w:val="00DD3B07"/>
    <w:rsid w:val="00DD3B6D"/>
    <w:rsid w:val="00DD3BA4"/>
    <w:rsid w:val="00DD3C99"/>
    <w:rsid w:val="00DD3D4C"/>
    <w:rsid w:val="00DD3E9B"/>
    <w:rsid w:val="00DD3F62"/>
    <w:rsid w:val="00DD3FAA"/>
    <w:rsid w:val="00DD4195"/>
    <w:rsid w:val="00DD4246"/>
    <w:rsid w:val="00DD42A4"/>
    <w:rsid w:val="00DD4347"/>
    <w:rsid w:val="00DD446D"/>
    <w:rsid w:val="00DD461E"/>
    <w:rsid w:val="00DD4623"/>
    <w:rsid w:val="00DD477D"/>
    <w:rsid w:val="00DD48E0"/>
    <w:rsid w:val="00DD497F"/>
    <w:rsid w:val="00DD49E8"/>
    <w:rsid w:val="00DD4AA5"/>
    <w:rsid w:val="00DD4BD7"/>
    <w:rsid w:val="00DD4C06"/>
    <w:rsid w:val="00DD4C6D"/>
    <w:rsid w:val="00DD4CAE"/>
    <w:rsid w:val="00DD4D29"/>
    <w:rsid w:val="00DD4E56"/>
    <w:rsid w:val="00DD4EC7"/>
    <w:rsid w:val="00DD4F31"/>
    <w:rsid w:val="00DD4F99"/>
    <w:rsid w:val="00DD5138"/>
    <w:rsid w:val="00DD51AD"/>
    <w:rsid w:val="00DD527C"/>
    <w:rsid w:val="00DD5351"/>
    <w:rsid w:val="00DD54C8"/>
    <w:rsid w:val="00DD5579"/>
    <w:rsid w:val="00DD559F"/>
    <w:rsid w:val="00DD55BC"/>
    <w:rsid w:val="00DD55D3"/>
    <w:rsid w:val="00DD55D4"/>
    <w:rsid w:val="00DD55FE"/>
    <w:rsid w:val="00DD588C"/>
    <w:rsid w:val="00DD5BE1"/>
    <w:rsid w:val="00DD5D31"/>
    <w:rsid w:val="00DD5E08"/>
    <w:rsid w:val="00DD5F02"/>
    <w:rsid w:val="00DD5F0E"/>
    <w:rsid w:val="00DD6012"/>
    <w:rsid w:val="00DD609E"/>
    <w:rsid w:val="00DD60C1"/>
    <w:rsid w:val="00DD62AE"/>
    <w:rsid w:val="00DD6417"/>
    <w:rsid w:val="00DD654D"/>
    <w:rsid w:val="00DD65FD"/>
    <w:rsid w:val="00DD66D4"/>
    <w:rsid w:val="00DD68ED"/>
    <w:rsid w:val="00DD6913"/>
    <w:rsid w:val="00DD6B85"/>
    <w:rsid w:val="00DD6BDC"/>
    <w:rsid w:val="00DD6C46"/>
    <w:rsid w:val="00DD6C8A"/>
    <w:rsid w:val="00DD6CED"/>
    <w:rsid w:val="00DD6D11"/>
    <w:rsid w:val="00DD6E58"/>
    <w:rsid w:val="00DD6EBA"/>
    <w:rsid w:val="00DD6F48"/>
    <w:rsid w:val="00DD6FD9"/>
    <w:rsid w:val="00DD7043"/>
    <w:rsid w:val="00DD705A"/>
    <w:rsid w:val="00DD728A"/>
    <w:rsid w:val="00DD72A4"/>
    <w:rsid w:val="00DD7304"/>
    <w:rsid w:val="00DD73CA"/>
    <w:rsid w:val="00DD740C"/>
    <w:rsid w:val="00DD75BD"/>
    <w:rsid w:val="00DD7621"/>
    <w:rsid w:val="00DD7682"/>
    <w:rsid w:val="00DD772C"/>
    <w:rsid w:val="00DD7773"/>
    <w:rsid w:val="00DD778F"/>
    <w:rsid w:val="00DD77A8"/>
    <w:rsid w:val="00DD7873"/>
    <w:rsid w:val="00DD78C8"/>
    <w:rsid w:val="00DD793B"/>
    <w:rsid w:val="00DD7B39"/>
    <w:rsid w:val="00DD7B8A"/>
    <w:rsid w:val="00DD7C47"/>
    <w:rsid w:val="00DD7D6B"/>
    <w:rsid w:val="00DD7FE6"/>
    <w:rsid w:val="00DE0164"/>
    <w:rsid w:val="00DE0404"/>
    <w:rsid w:val="00DE05D8"/>
    <w:rsid w:val="00DE069C"/>
    <w:rsid w:val="00DE0765"/>
    <w:rsid w:val="00DE0797"/>
    <w:rsid w:val="00DE07DB"/>
    <w:rsid w:val="00DE0854"/>
    <w:rsid w:val="00DE0892"/>
    <w:rsid w:val="00DE099B"/>
    <w:rsid w:val="00DE0ADA"/>
    <w:rsid w:val="00DE0C0F"/>
    <w:rsid w:val="00DE0C80"/>
    <w:rsid w:val="00DE0C95"/>
    <w:rsid w:val="00DE0FFA"/>
    <w:rsid w:val="00DE11B9"/>
    <w:rsid w:val="00DE11DD"/>
    <w:rsid w:val="00DE1216"/>
    <w:rsid w:val="00DE124C"/>
    <w:rsid w:val="00DE139A"/>
    <w:rsid w:val="00DE1555"/>
    <w:rsid w:val="00DE16C2"/>
    <w:rsid w:val="00DE17D9"/>
    <w:rsid w:val="00DE189C"/>
    <w:rsid w:val="00DE1915"/>
    <w:rsid w:val="00DE195C"/>
    <w:rsid w:val="00DE1AAA"/>
    <w:rsid w:val="00DE1DCD"/>
    <w:rsid w:val="00DE1FE9"/>
    <w:rsid w:val="00DE216D"/>
    <w:rsid w:val="00DE21B1"/>
    <w:rsid w:val="00DE21FA"/>
    <w:rsid w:val="00DE22D0"/>
    <w:rsid w:val="00DE237E"/>
    <w:rsid w:val="00DE248A"/>
    <w:rsid w:val="00DE2531"/>
    <w:rsid w:val="00DE265F"/>
    <w:rsid w:val="00DE26DD"/>
    <w:rsid w:val="00DE2731"/>
    <w:rsid w:val="00DE2767"/>
    <w:rsid w:val="00DE28EB"/>
    <w:rsid w:val="00DE28EF"/>
    <w:rsid w:val="00DE296C"/>
    <w:rsid w:val="00DE29FF"/>
    <w:rsid w:val="00DE2A2F"/>
    <w:rsid w:val="00DE2ACF"/>
    <w:rsid w:val="00DE2B63"/>
    <w:rsid w:val="00DE2EB4"/>
    <w:rsid w:val="00DE2EBC"/>
    <w:rsid w:val="00DE2EFA"/>
    <w:rsid w:val="00DE2F46"/>
    <w:rsid w:val="00DE2F76"/>
    <w:rsid w:val="00DE2F9E"/>
    <w:rsid w:val="00DE2FF8"/>
    <w:rsid w:val="00DE3378"/>
    <w:rsid w:val="00DE33A0"/>
    <w:rsid w:val="00DE33C2"/>
    <w:rsid w:val="00DE3506"/>
    <w:rsid w:val="00DE361F"/>
    <w:rsid w:val="00DE3678"/>
    <w:rsid w:val="00DE36C1"/>
    <w:rsid w:val="00DE378A"/>
    <w:rsid w:val="00DE3888"/>
    <w:rsid w:val="00DE398D"/>
    <w:rsid w:val="00DE3A0A"/>
    <w:rsid w:val="00DE3AB7"/>
    <w:rsid w:val="00DE3B20"/>
    <w:rsid w:val="00DE3B57"/>
    <w:rsid w:val="00DE3C26"/>
    <w:rsid w:val="00DE3E4D"/>
    <w:rsid w:val="00DE3F04"/>
    <w:rsid w:val="00DE4035"/>
    <w:rsid w:val="00DE4096"/>
    <w:rsid w:val="00DE4221"/>
    <w:rsid w:val="00DE4222"/>
    <w:rsid w:val="00DE4377"/>
    <w:rsid w:val="00DE4387"/>
    <w:rsid w:val="00DE44EF"/>
    <w:rsid w:val="00DE4534"/>
    <w:rsid w:val="00DE4649"/>
    <w:rsid w:val="00DE465F"/>
    <w:rsid w:val="00DE4B9D"/>
    <w:rsid w:val="00DE4C18"/>
    <w:rsid w:val="00DE4C31"/>
    <w:rsid w:val="00DE4DC9"/>
    <w:rsid w:val="00DE4DD6"/>
    <w:rsid w:val="00DE4DF4"/>
    <w:rsid w:val="00DE4EA5"/>
    <w:rsid w:val="00DE4EC6"/>
    <w:rsid w:val="00DE4F88"/>
    <w:rsid w:val="00DE4FA4"/>
    <w:rsid w:val="00DE5015"/>
    <w:rsid w:val="00DE5162"/>
    <w:rsid w:val="00DE5203"/>
    <w:rsid w:val="00DE532E"/>
    <w:rsid w:val="00DE53B9"/>
    <w:rsid w:val="00DE53CE"/>
    <w:rsid w:val="00DE54E7"/>
    <w:rsid w:val="00DE57AA"/>
    <w:rsid w:val="00DE583B"/>
    <w:rsid w:val="00DE589F"/>
    <w:rsid w:val="00DE58D7"/>
    <w:rsid w:val="00DE5951"/>
    <w:rsid w:val="00DE5955"/>
    <w:rsid w:val="00DE595E"/>
    <w:rsid w:val="00DE596E"/>
    <w:rsid w:val="00DE5990"/>
    <w:rsid w:val="00DE5B8B"/>
    <w:rsid w:val="00DE5DA6"/>
    <w:rsid w:val="00DE5F37"/>
    <w:rsid w:val="00DE5F70"/>
    <w:rsid w:val="00DE60AB"/>
    <w:rsid w:val="00DE6187"/>
    <w:rsid w:val="00DE61A0"/>
    <w:rsid w:val="00DE62A2"/>
    <w:rsid w:val="00DE64C3"/>
    <w:rsid w:val="00DE660F"/>
    <w:rsid w:val="00DE66F9"/>
    <w:rsid w:val="00DE6924"/>
    <w:rsid w:val="00DE692B"/>
    <w:rsid w:val="00DE6A1F"/>
    <w:rsid w:val="00DE6AA4"/>
    <w:rsid w:val="00DE6AFD"/>
    <w:rsid w:val="00DE6B24"/>
    <w:rsid w:val="00DE6B4B"/>
    <w:rsid w:val="00DE6C5B"/>
    <w:rsid w:val="00DE6C5D"/>
    <w:rsid w:val="00DE6D12"/>
    <w:rsid w:val="00DE6D63"/>
    <w:rsid w:val="00DE6FF6"/>
    <w:rsid w:val="00DE7057"/>
    <w:rsid w:val="00DE706B"/>
    <w:rsid w:val="00DE70C7"/>
    <w:rsid w:val="00DE7422"/>
    <w:rsid w:val="00DE74E5"/>
    <w:rsid w:val="00DE7541"/>
    <w:rsid w:val="00DE7699"/>
    <w:rsid w:val="00DE769F"/>
    <w:rsid w:val="00DE781F"/>
    <w:rsid w:val="00DE7834"/>
    <w:rsid w:val="00DE78B8"/>
    <w:rsid w:val="00DE78CF"/>
    <w:rsid w:val="00DE7A0F"/>
    <w:rsid w:val="00DE7D82"/>
    <w:rsid w:val="00DE7D84"/>
    <w:rsid w:val="00DE7E1C"/>
    <w:rsid w:val="00DE7F31"/>
    <w:rsid w:val="00DE7FB3"/>
    <w:rsid w:val="00DE80E1"/>
    <w:rsid w:val="00DF0053"/>
    <w:rsid w:val="00DF014C"/>
    <w:rsid w:val="00DF01AB"/>
    <w:rsid w:val="00DF059A"/>
    <w:rsid w:val="00DF05EB"/>
    <w:rsid w:val="00DF067B"/>
    <w:rsid w:val="00DF085A"/>
    <w:rsid w:val="00DF087F"/>
    <w:rsid w:val="00DF095B"/>
    <w:rsid w:val="00DF097C"/>
    <w:rsid w:val="00DF0C4F"/>
    <w:rsid w:val="00DF0CC1"/>
    <w:rsid w:val="00DF0DD5"/>
    <w:rsid w:val="00DF0FA5"/>
    <w:rsid w:val="00DF117D"/>
    <w:rsid w:val="00DF1276"/>
    <w:rsid w:val="00DF12D1"/>
    <w:rsid w:val="00DF147C"/>
    <w:rsid w:val="00DF158F"/>
    <w:rsid w:val="00DF15BE"/>
    <w:rsid w:val="00DF16FE"/>
    <w:rsid w:val="00DF1728"/>
    <w:rsid w:val="00DF177B"/>
    <w:rsid w:val="00DF185A"/>
    <w:rsid w:val="00DF18E5"/>
    <w:rsid w:val="00DF1922"/>
    <w:rsid w:val="00DF1A33"/>
    <w:rsid w:val="00DF1ABF"/>
    <w:rsid w:val="00DF1C2A"/>
    <w:rsid w:val="00DF1DBC"/>
    <w:rsid w:val="00DF1E40"/>
    <w:rsid w:val="00DF20A1"/>
    <w:rsid w:val="00DF20CC"/>
    <w:rsid w:val="00DF215D"/>
    <w:rsid w:val="00DF21AB"/>
    <w:rsid w:val="00DF21AD"/>
    <w:rsid w:val="00DF2206"/>
    <w:rsid w:val="00DF226D"/>
    <w:rsid w:val="00DF2334"/>
    <w:rsid w:val="00DF233E"/>
    <w:rsid w:val="00DF23B1"/>
    <w:rsid w:val="00DF288B"/>
    <w:rsid w:val="00DF28E0"/>
    <w:rsid w:val="00DF296E"/>
    <w:rsid w:val="00DF2A3A"/>
    <w:rsid w:val="00DF2B58"/>
    <w:rsid w:val="00DF2C95"/>
    <w:rsid w:val="00DF2F61"/>
    <w:rsid w:val="00DF30F4"/>
    <w:rsid w:val="00DF33D2"/>
    <w:rsid w:val="00DF35B5"/>
    <w:rsid w:val="00DF35EA"/>
    <w:rsid w:val="00DF3785"/>
    <w:rsid w:val="00DF39BC"/>
    <w:rsid w:val="00DF3A3A"/>
    <w:rsid w:val="00DF3B74"/>
    <w:rsid w:val="00DF3BD6"/>
    <w:rsid w:val="00DF3D19"/>
    <w:rsid w:val="00DF3D82"/>
    <w:rsid w:val="00DF3EB8"/>
    <w:rsid w:val="00DF3F49"/>
    <w:rsid w:val="00DF3F58"/>
    <w:rsid w:val="00DF3F70"/>
    <w:rsid w:val="00DF3FA4"/>
    <w:rsid w:val="00DF3FBF"/>
    <w:rsid w:val="00DF40E6"/>
    <w:rsid w:val="00DF411D"/>
    <w:rsid w:val="00DF418C"/>
    <w:rsid w:val="00DF43EE"/>
    <w:rsid w:val="00DF4533"/>
    <w:rsid w:val="00DF4576"/>
    <w:rsid w:val="00DF45B0"/>
    <w:rsid w:val="00DF45DB"/>
    <w:rsid w:val="00DF45EB"/>
    <w:rsid w:val="00DF48C8"/>
    <w:rsid w:val="00DF4A34"/>
    <w:rsid w:val="00DF4A76"/>
    <w:rsid w:val="00DF4AF2"/>
    <w:rsid w:val="00DF4B9C"/>
    <w:rsid w:val="00DF4BAA"/>
    <w:rsid w:val="00DF4BE9"/>
    <w:rsid w:val="00DF4C9B"/>
    <w:rsid w:val="00DF4D16"/>
    <w:rsid w:val="00DF4D2C"/>
    <w:rsid w:val="00DF4D77"/>
    <w:rsid w:val="00DF4DAC"/>
    <w:rsid w:val="00DF4FE5"/>
    <w:rsid w:val="00DF5067"/>
    <w:rsid w:val="00DF5098"/>
    <w:rsid w:val="00DF511F"/>
    <w:rsid w:val="00DF5198"/>
    <w:rsid w:val="00DF529E"/>
    <w:rsid w:val="00DF531A"/>
    <w:rsid w:val="00DF534E"/>
    <w:rsid w:val="00DF5381"/>
    <w:rsid w:val="00DF53D2"/>
    <w:rsid w:val="00DF5469"/>
    <w:rsid w:val="00DF547F"/>
    <w:rsid w:val="00DF550D"/>
    <w:rsid w:val="00DF564B"/>
    <w:rsid w:val="00DF56E2"/>
    <w:rsid w:val="00DF585E"/>
    <w:rsid w:val="00DF5926"/>
    <w:rsid w:val="00DF5928"/>
    <w:rsid w:val="00DF5ACE"/>
    <w:rsid w:val="00DF5AEB"/>
    <w:rsid w:val="00DF5B8E"/>
    <w:rsid w:val="00DF5BA3"/>
    <w:rsid w:val="00DF5CDE"/>
    <w:rsid w:val="00DF5D68"/>
    <w:rsid w:val="00DF5EA1"/>
    <w:rsid w:val="00DF5FF1"/>
    <w:rsid w:val="00DF604E"/>
    <w:rsid w:val="00DF6237"/>
    <w:rsid w:val="00DF63DC"/>
    <w:rsid w:val="00DF650C"/>
    <w:rsid w:val="00DF67CD"/>
    <w:rsid w:val="00DF6AC9"/>
    <w:rsid w:val="00DF6ACC"/>
    <w:rsid w:val="00DF6AE7"/>
    <w:rsid w:val="00DF6BAC"/>
    <w:rsid w:val="00DF6BBA"/>
    <w:rsid w:val="00DF6E1D"/>
    <w:rsid w:val="00DF6F2A"/>
    <w:rsid w:val="00DF6F5C"/>
    <w:rsid w:val="00DF7230"/>
    <w:rsid w:val="00DF731D"/>
    <w:rsid w:val="00DF73B6"/>
    <w:rsid w:val="00DF74A6"/>
    <w:rsid w:val="00DF7596"/>
    <w:rsid w:val="00DF777E"/>
    <w:rsid w:val="00DF78C0"/>
    <w:rsid w:val="00DF793A"/>
    <w:rsid w:val="00DF7AFB"/>
    <w:rsid w:val="00DF7BC4"/>
    <w:rsid w:val="00DF7CFA"/>
    <w:rsid w:val="00DF7CFF"/>
    <w:rsid w:val="00DF7DBE"/>
    <w:rsid w:val="00DF7E67"/>
    <w:rsid w:val="00DF7EC4"/>
    <w:rsid w:val="00DF7F43"/>
    <w:rsid w:val="00E0007F"/>
    <w:rsid w:val="00E0022C"/>
    <w:rsid w:val="00E00284"/>
    <w:rsid w:val="00E002C5"/>
    <w:rsid w:val="00E0045F"/>
    <w:rsid w:val="00E00491"/>
    <w:rsid w:val="00E007AF"/>
    <w:rsid w:val="00E00868"/>
    <w:rsid w:val="00E0089B"/>
    <w:rsid w:val="00E008EF"/>
    <w:rsid w:val="00E00907"/>
    <w:rsid w:val="00E009B9"/>
    <w:rsid w:val="00E00A42"/>
    <w:rsid w:val="00E00AD8"/>
    <w:rsid w:val="00E00BE1"/>
    <w:rsid w:val="00E00C15"/>
    <w:rsid w:val="00E00C8C"/>
    <w:rsid w:val="00E00D72"/>
    <w:rsid w:val="00E00D76"/>
    <w:rsid w:val="00E00DE6"/>
    <w:rsid w:val="00E00EDB"/>
    <w:rsid w:val="00E01016"/>
    <w:rsid w:val="00E0104A"/>
    <w:rsid w:val="00E01071"/>
    <w:rsid w:val="00E01170"/>
    <w:rsid w:val="00E011D4"/>
    <w:rsid w:val="00E01295"/>
    <w:rsid w:val="00E0131A"/>
    <w:rsid w:val="00E013EB"/>
    <w:rsid w:val="00E0159A"/>
    <w:rsid w:val="00E016F7"/>
    <w:rsid w:val="00E01806"/>
    <w:rsid w:val="00E01852"/>
    <w:rsid w:val="00E01B37"/>
    <w:rsid w:val="00E01D39"/>
    <w:rsid w:val="00E01D70"/>
    <w:rsid w:val="00E01DE2"/>
    <w:rsid w:val="00E01ED8"/>
    <w:rsid w:val="00E01F91"/>
    <w:rsid w:val="00E02023"/>
    <w:rsid w:val="00E020AF"/>
    <w:rsid w:val="00E02205"/>
    <w:rsid w:val="00E02354"/>
    <w:rsid w:val="00E02554"/>
    <w:rsid w:val="00E02655"/>
    <w:rsid w:val="00E026FC"/>
    <w:rsid w:val="00E027D9"/>
    <w:rsid w:val="00E028E0"/>
    <w:rsid w:val="00E029E8"/>
    <w:rsid w:val="00E02B87"/>
    <w:rsid w:val="00E02C8A"/>
    <w:rsid w:val="00E02D21"/>
    <w:rsid w:val="00E02DDC"/>
    <w:rsid w:val="00E02E38"/>
    <w:rsid w:val="00E02EE7"/>
    <w:rsid w:val="00E02F59"/>
    <w:rsid w:val="00E02FDD"/>
    <w:rsid w:val="00E0303C"/>
    <w:rsid w:val="00E03123"/>
    <w:rsid w:val="00E03126"/>
    <w:rsid w:val="00E0312C"/>
    <w:rsid w:val="00E0312F"/>
    <w:rsid w:val="00E031EA"/>
    <w:rsid w:val="00E0324F"/>
    <w:rsid w:val="00E032A3"/>
    <w:rsid w:val="00E032BF"/>
    <w:rsid w:val="00E03377"/>
    <w:rsid w:val="00E033E1"/>
    <w:rsid w:val="00E036D0"/>
    <w:rsid w:val="00E03752"/>
    <w:rsid w:val="00E0377D"/>
    <w:rsid w:val="00E03786"/>
    <w:rsid w:val="00E03838"/>
    <w:rsid w:val="00E03862"/>
    <w:rsid w:val="00E03998"/>
    <w:rsid w:val="00E039EB"/>
    <w:rsid w:val="00E03A16"/>
    <w:rsid w:val="00E03A68"/>
    <w:rsid w:val="00E03AB6"/>
    <w:rsid w:val="00E03AF0"/>
    <w:rsid w:val="00E03BA4"/>
    <w:rsid w:val="00E03C58"/>
    <w:rsid w:val="00E03C9A"/>
    <w:rsid w:val="00E03D29"/>
    <w:rsid w:val="00E03DF4"/>
    <w:rsid w:val="00E04052"/>
    <w:rsid w:val="00E040FE"/>
    <w:rsid w:val="00E041FD"/>
    <w:rsid w:val="00E042A7"/>
    <w:rsid w:val="00E0441C"/>
    <w:rsid w:val="00E04441"/>
    <w:rsid w:val="00E0467C"/>
    <w:rsid w:val="00E04700"/>
    <w:rsid w:val="00E0471E"/>
    <w:rsid w:val="00E04758"/>
    <w:rsid w:val="00E047FD"/>
    <w:rsid w:val="00E048AE"/>
    <w:rsid w:val="00E048C2"/>
    <w:rsid w:val="00E049ED"/>
    <w:rsid w:val="00E04BE1"/>
    <w:rsid w:val="00E04C47"/>
    <w:rsid w:val="00E04CC6"/>
    <w:rsid w:val="00E04DC8"/>
    <w:rsid w:val="00E04E04"/>
    <w:rsid w:val="00E04E84"/>
    <w:rsid w:val="00E04EC2"/>
    <w:rsid w:val="00E04EDF"/>
    <w:rsid w:val="00E05007"/>
    <w:rsid w:val="00E05030"/>
    <w:rsid w:val="00E05056"/>
    <w:rsid w:val="00E05378"/>
    <w:rsid w:val="00E053EC"/>
    <w:rsid w:val="00E0547E"/>
    <w:rsid w:val="00E05589"/>
    <w:rsid w:val="00E055C6"/>
    <w:rsid w:val="00E0569C"/>
    <w:rsid w:val="00E05735"/>
    <w:rsid w:val="00E05748"/>
    <w:rsid w:val="00E057BA"/>
    <w:rsid w:val="00E05A26"/>
    <w:rsid w:val="00E05A5D"/>
    <w:rsid w:val="00E05AF1"/>
    <w:rsid w:val="00E05B92"/>
    <w:rsid w:val="00E05C2D"/>
    <w:rsid w:val="00E05F76"/>
    <w:rsid w:val="00E061AA"/>
    <w:rsid w:val="00E061CD"/>
    <w:rsid w:val="00E062CE"/>
    <w:rsid w:val="00E06472"/>
    <w:rsid w:val="00E06503"/>
    <w:rsid w:val="00E0671F"/>
    <w:rsid w:val="00E0679B"/>
    <w:rsid w:val="00E06A07"/>
    <w:rsid w:val="00E06AA6"/>
    <w:rsid w:val="00E06BC7"/>
    <w:rsid w:val="00E06DD8"/>
    <w:rsid w:val="00E06EC6"/>
    <w:rsid w:val="00E06ED5"/>
    <w:rsid w:val="00E06F19"/>
    <w:rsid w:val="00E06F94"/>
    <w:rsid w:val="00E07317"/>
    <w:rsid w:val="00E073AE"/>
    <w:rsid w:val="00E07438"/>
    <w:rsid w:val="00E07469"/>
    <w:rsid w:val="00E075BA"/>
    <w:rsid w:val="00E0761E"/>
    <w:rsid w:val="00E076B9"/>
    <w:rsid w:val="00E07715"/>
    <w:rsid w:val="00E077B4"/>
    <w:rsid w:val="00E0782F"/>
    <w:rsid w:val="00E078B1"/>
    <w:rsid w:val="00E07915"/>
    <w:rsid w:val="00E0799B"/>
    <w:rsid w:val="00E07AD7"/>
    <w:rsid w:val="00E07AF6"/>
    <w:rsid w:val="00E07B62"/>
    <w:rsid w:val="00E07C4C"/>
    <w:rsid w:val="00E07C81"/>
    <w:rsid w:val="00E07C8C"/>
    <w:rsid w:val="00E07C9E"/>
    <w:rsid w:val="00E07E83"/>
    <w:rsid w:val="00E10051"/>
    <w:rsid w:val="00E101C3"/>
    <w:rsid w:val="00E1033F"/>
    <w:rsid w:val="00E10716"/>
    <w:rsid w:val="00E10740"/>
    <w:rsid w:val="00E107DB"/>
    <w:rsid w:val="00E1088C"/>
    <w:rsid w:val="00E10A68"/>
    <w:rsid w:val="00E10A9E"/>
    <w:rsid w:val="00E10B07"/>
    <w:rsid w:val="00E10BCF"/>
    <w:rsid w:val="00E10BD0"/>
    <w:rsid w:val="00E10BFD"/>
    <w:rsid w:val="00E10D21"/>
    <w:rsid w:val="00E10F07"/>
    <w:rsid w:val="00E10F19"/>
    <w:rsid w:val="00E1110C"/>
    <w:rsid w:val="00E1117A"/>
    <w:rsid w:val="00E11243"/>
    <w:rsid w:val="00E11334"/>
    <w:rsid w:val="00E11408"/>
    <w:rsid w:val="00E114C5"/>
    <w:rsid w:val="00E1151F"/>
    <w:rsid w:val="00E11841"/>
    <w:rsid w:val="00E11895"/>
    <w:rsid w:val="00E11931"/>
    <w:rsid w:val="00E11985"/>
    <w:rsid w:val="00E119D3"/>
    <w:rsid w:val="00E11BC6"/>
    <w:rsid w:val="00E11DE7"/>
    <w:rsid w:val="00E11FCA"/>
    <w:rsid w:val="00E1220E"/>
    <w:rsid w:val="00E12293"/>
    <w:rsid w:val="00E12391"/>
    <w:rsid w:val="00E12439"/>
    <w:rsid w:val="00E126D2"/>
    <w:rsid w:val="00E1273F"/>
    <w:rsid w:val="00E1299D"/>
    <w:rsid w:val="00E12C39"/>
    <w:rsid w:val="00E12CAB"/>
    <w:rsid w:val="00E12DF0"/>
    <w:rsid w:val="00E12E53"/>
    <w:rsid w:val="00E12F4E"/>
    <w:rsid w:val="00E12F4F"/>
    <w:rsid w:val="00E12F98"/>
    <w:rsid w:val="00E131E2"/>
    <w:rsid w:val="00E132FE"/>
    <w:rsid w:val="00E134CD"/>
    <w:rsid w:val="00E13510"/>
    <w:rsid w:val="00E1360D"/>
    <w:rsid w:val="00E1364F"/>
    <w:rsid w:val="00E136E3"/>
    <w:rsid w:val="00E13771"/>
    <w:rsid w:val="00E13780"/>
    <w:rsid w:val="00E1388A"/>
    <w:rsid w:val="00E1394C"/>
    <w:rsid w:val="00E13964"/>
    <w:rsid w:val="00E139EC"/>
    <w:rsid w:val="00E139EF"/>
    <w:rsid w:val="00E13BA6"/>
    <w:rsid w:val="00E13BBF"/>
    <w:rsid w:val="00E13CC7"/>
    <w:rsid w:val="00E13CDA"/>
    <w:rsid w:val="00E13D9B"/>
    <w:rsid w:val="00E13E89"/>
    <w:rsid w:val="00E13F8B"/>
    <w:rsid w:val="00E14037"/>
    <w:rsid w:val="00E141E6"/>
    <w:rsid w:val="00E1427C"/>
    <w:rsid w:val="00E14284"/>
    <w:rsid w:val="00E145DB"/>
    <w:rsid w:val="00E145F1"/>
    <w:rsid w:val="00E1467B"/>
    <w:rsid w:val="00E14691"/>
    <w:rsid w:val="00E1471B"/>
    <w:rsid w:val="00E14786"/>
    <w:rsid w:val="00E147B1"/>
    <w:rsid w:val="00E147E9"/>
    <w:rsid w:val="00E148F8"/>
    <w:rsid w:val="00E14B03"/>
    <w:rsid w:val="00E14B08"/>
    <w:rsid w:val="00E14B9D"/>
    <w:rsid w:val="00E14C4A"/>
    <w:rsid w:val="00E14D96"/>
    <w:rsid w:val="00E14E8A"/>
    <w:rsid w:val="00E14EAE"/>
    <w:rsid w:val="00E14F3E"/>
    <w:rsid w:val="00E14F5F"/>
    <w:rsid w:val="00E14F6B"/>
    <w:rsid w:val="00E1503A"/>
    <w:rsid w:val="00E150B9"/>
    <w:rsid w:val="00E15104"/>
    <w:rsid w:val="00E15111"/>
    <w:rsid w:val="00E15283"/>
    <w:rsid w:val="00E1529B"/>
    <w:rsid w:val="00E15336"/>
    <w:rsid w:val="00E153EF"/>
    <w:rsid w:val="00E1550C"/>
    <w:rsid w:val="00E15516"/>
    <w:rsid w:val="00E157E0"/>
    <w:rsid w:val="00E15914"/>
    <w:rsid w:val="00E15927"/>
    <w:rsid w:val="00E15A6D"/>
    <w:rsid w:val="00E15BD8"/>
    <w:rsid w:val="00E15CC1"/>
    <w:rsid w:val="00E15CE8"/>
    <w:rsid w:val="00E15DDE"/>
    <w:rsid w:val="00E15E54"/>
    <w:rsid w:val="00E15F9D"/>
    <w:rsid w:val="00E1612D"/>
    <w:rsid w:val="00E161A5"/>
    <w:rsid w:val="00E161C1"/>
    <w:rsid w:val="00E1656F"/>
    <w:rsid w:val="00E165BB"/>
    <w:rsid w:val="00E16667"/>
    <w:rsid w:val="00E16794"/>
    <w:rsid w:val="00E168A3"/>
    <w:rsid w:val="00E16979"/>
    <w:rsid w:val="00E169E3"/>
    <w:rsid w:val="00E16AA3"/>
    <w:rsid w:val="00E16B5A"/>
    <w:rsid w:val="00E16B87"/>
    <w:rsid w:val="00E16B8D"/>
    <w:rsid w:val="00E16BA6"/>
    <w:rsid w:val="00E16BE8"/>
    <w:rsid w:val="00E16E25"/>
    <w:rsid w:val="00E16E31"/>
    <w:rsid w:val="00E16EDE"/>
    <w:rsid w:val="00E171D6"/>
    <w:rsid w:val="00E17227"/>
    <w:rsid w:val="00E1729E"/>
    <w:rsid w:val="00E172F7"/>
    <w:rsid w:val="00E17316"/>
    <w:rsid w:val="00E17325"/>
    <w:rsid w:val="00E1737D"/>
    <w:rsid w:val="00E17547"/>
    <w:rsid w:val="00E17669"/>
    <w:rsid w:val="00E17823"/>
    <w:rsid w:val="00E17978"/>
    <w:rsid w:val="00E17A95"/>
    <w:rsid w:val="00E17C1A"/>
    <w:rsid w:val="00E17D07"/>
    <w:rsid w:val="00E17D25"/>
    <w:rsid w:val="00E17D5A"/>
    <w:rsid w:val="00E17E74"/>
    <w:rsid w:val="00E17EC3"/>
    <w:rsid w:val="00E1CA7F"/>
    <w:rsid w:val="00E20083"/>
    <w:rsid w:val="00E200B1"/>
    <w:rsid w:val="00E20210"/>
    <w:rsid w:val="00E20280"/>
    <w:rsid w:val="00E20356"/>
    <w:rsid w:val="00E20371"/>
    <w:rsid w:val="00E2038F"/>
    <w:rsid w:val="00E203BB"/>
    <w:rsid w:val="00E203C4"/>
    <w:rsid w:val="00E203D1"/>
    <w:rsid w:val="00E203FC"/>
    <w:rsid w:val="00E204CE"/>
    <w:rsid w:val="00E20537"/>
    <w:rsid w:val="00E205F0"/>
    <w:rsid w:val="00E2061F"/>
    <w:rsid w:val="00E206CA"/>
    <w:rsid w:val="00E20791"/>
    <w:rsid w:val="00E20807"/>
    <w:rsid w:val="00E20887"/>
    <w:rsid w:val="00E208F1"/>
    <w:rsid w:val="00E209B4"/>
    <w:rsid w:val="00E20A19"/>
    <w:rsid w:val="00E20AD4"/>
    <w:rsid w:val="00E20B16"/>
    <w:rsid w:val="00E20CAC"/>
    <w:rsid w:val="00E20D7A"/>
    <w:rsid w:val="00E20EA0"/>
    <w:rsid w:val="00E20FF1"/>
    <w:rsid w:val="00E2107A"/>
    <w:rsid w:val="00E21163"/>
    <w:rsid w:val="00E21224"/>
    <w:rsid w:val="00E2125E"/>
    <w:rsid w:val="00E2133A"/>
    <w:rsid w:val="00E214A4"/>
    <w:rsid w:val="00E2158E"/>
    <w:rsid w:val="00E21709"/>
    <w:rsid w:val="00E2171D"/>
    <w:rsid w:val="00E21751"/>
    <w:rsid w:val="00E2184F"/>
    <w:rsid w:val="00E21A31"/>
    <w:rsid w:val="00E21AF0"/>
    <w:rsid w:val="00E21B15"/>
    <w:rsid w:val="00E21B66"/>
    <w:rsid w:val="00E21C4E"/>
    <w:rsid w:val="00E21DC8"/>
    <w:rsid w:val="00E21F78"/>
    <w:rsid w:val="00E21FFC"/>
    <w:rsid w:val="00E220BD"/>
    <w:rsid w:val="00E22287"/>
    <w:rsid w:val="00E222AC"/>
    <w:rsid w:val="00E2233D"/>
    <w:rsid w:val="00E2238A"/>
    <w:rsid w:val="00E223AE"/>
    <w:rsid w:val="00E2244D"/>
    <w:rsid w:val="00E225B4"/>
    <w:rsid w:val="00E22612"/>
    <w:rsid w:val="00E2266C"/>
    <w:rsid w:val="00E22743"/>
    <w:rsid w:val="00E22958"/>
    <w:rsid w:val="00E2297D"/>
    <w:rsid w:val="00E22C19"/>
    <w:rsid w:val="00E22CB2"/>
    <w:rsid w:val="00E22CD2"/>
    <w:rsid w:val="00E22CFB"/>
    <w:rsid w:val="00E22D75"/>
    <w:rsid w:val="00E22DC0"/>
    <w:rsid w:val="00E22E48"/>
    <w:rsid w:val="00E22EB7"/>
    <w:rsid w:val="00E230DA"/>
    <w:rsid w:val="00E230FD"/>
    <w:rsid w:val="00E23124"/>
    <w:rsid w:val="00E23125"/>
    <w:rsid w:val="00E231AC"/>
    <w:rsid w:val="00E2323C"/>
    <w:rsid w:val="00E23423"/>
    <w:rsid w:val="00E2343E"/>
    <w:rsid w:val="00E23536"/>
    <w:rsid w:val="00E2354B"/>
    <w:rsid w:val="00E2366D"/>
    <w:rsid w:val="00E23731"/>
    <w:rsid w:val="00E2374F"/>
    <w:rsid w:val="00E23975"/>
    <w:rsid w:val="00E23BA8"/>
    <w:rsid w:val="00E23BAA"/>
    <w:rsid w:val="00E23D53"/>
    <w:rsid w:val="00E23E33"/>
    <w:rsid w:val="00E24032"/>
    <w:rsid w:val="00E240BC"/>
    <w:rsid w:val="00E240DE"/>
    <w:rsid w:val="00E24175"/>
    <w:rsid w:val="00E241C6"/>
    <w:rsid w:val="00E24322"/>
    <w:rsid w:val="00E24342"/>
    <w:rsid w:val="00E243E4"/>
    <w:rsid w:val="00E24434"/>
    <w:rsid w:val="00E244CC"/>
    <w:rsid w:val="00E24529"/>
    <w:rsid w:val="00E24581"/>
    <w:rsid w:val="00E245D2"/>
    <w:rsid w:val="00E246B7"/>
    <w:rsid w:val="00E246BA"/>
    <w:rsid w:val="00E24711"/>
    <w:rsid w:val="00E2481F"/>
    <w:rsid w:val="00E24923"/>
    <w:rsid w:val="00E2496A"/>
    <w:rsid w:val="00E24983"/>
    <w:rsid w:val="00E249C7"/>
    <w:rsid w:val="00E24A60"/>
    <w:rsid w:val="00E24A89"/>
    <w:rsid w:val="00E24B3F"/>
    <w:rsid w:val="00E24CDB"/>
    <w:rsid w:val="00E24D41"/>
    <w:rsid w:val="00E24DCD"/>
    <w:rsid w:val="00E24F4C"/>
    <w:rsid w:val="00E2500A"/>
    <w:rsid w:val="00E25090"/>
    <w:rsid w:val="00E250A7"/>
    <w:rsid w:val="00E250BE"/>
    <w:rsid w:val="00E250E5"/>
    <w:rsid w:val="00E251EF"/>
    <w:rsid w:val="00E252D1"/>
    <w:rsid w:val="00E25311"/>
    <w:rsid w:val="00E25316"/>
    <w:rsid w:val="00E25370"/>
    <w:rsid w:val="00E25417"/>
    <w:rsid w:val="00E25424"/>
    <w:rsid w:val="00E25511"/>
    <w:rsid w:val="00E25568"/>
    <w:rsid w:val="00E255A4"/>
    <w:rsid w:val="00E255A6"/>
    <w:rsid w:val="00E2563E"/>
    <w:rsid w:val="00E25645"/>
    <w:rsid w:val="00E25737"/>
    <w:rsid w:val="00E257A3"/>
    <w:rsid w:val="00E258F1"/>
    <w:rsid w:val="00E25BE8"/>
    <w:rsid w:val="00E25BEC"/>
    <w:rsid w:val="00E25BFA"/>
    <w:rsid w:val="00E25EA9"/>
    <w:rsid w:val="00E261C8"/>
    <w:rsid w:val="00E26217"/>
    <w:rsid w:val="00E266CE"/>
    <w:rsid w:val="00E26831"/>
    <w:rsid w:val="00E26846"/>
    <w:rsid w:val="00E26A47"/>
    <w:rsid w:val="00E26B46"/>
    <w:rsid w:val="00E26BA5"/>
    <w:rsid w:val="00E26C1A"/>
    <w:rsid w:val="00E26C86"/>
    <w:rsid w:val="00E26CF1"/>
    <w:rsid w:val="00E26D2D"/>
    <w:rsid w:val="00E26D47"/>
    <w:rsid w:val="00E26D97"/>
    <w:rsid w:val="00E26E8B"/>
    <w:rsid w:val="00E26FA7"/>
    <w:rsid w:val="00E27057"/>
    <w:rsid w:val="00E27169"/>
    <w:rsid w:val="00E27367"/>
    <w:rsid w:val="00E273C1"/>
    <w:rsid w:val="00E27544"/>
    <w:rsid w:val="00E2774A"/>
    <w:rsid w:val="00E27861"/>
    <w:rsid w:val="00E27923"/>
    <w:rsid w:val="00E2797A"/>
    <w:rsid w:val="00E279CF"/>
    <w:rsid w:val="00E279D1"/>
    <w:rsid w:val="00E279FE"/>
    <w:rsid w:val="00E27A36"/>
    <w:rsid w:val="00E27A3E"/>
    <w:rsid w:val="00E27B5F"/>
    <w:rsid w:val="00E27C15"/>
    <w:rsid w:val="00E27DE2"/>
    <w:rsid w:val="00E27EE0"/>
    <w:rsid w:val="00E3004D"/>
    <w:rsid w:val="00E3015F"/>
    <w:rsid w:val="00E30180"/>
    <w:rsid w:val="00E3022D"/>
    <w:rsid w:val="00E302DF"/>
    <w:rsid w:val="00E30300"/>
    <w:rsid w:val="00E303F6"/>
    <w:rsid w:val="00E304B2"/>
    <w:rsid w:val="00E3054B"/>
    <w:rsid w:val="00E30577"/>
    <w:rsid w:val="00E30698"/>
    <w:rsid w:val="00E306B4"/>
    <w:rsid w:val="00E307AD"/>
    <w:rsid w:val="00E307D0"/>
    <w:rsid w:val="00E308C5"/>
    <w:rsid w:val="00E308DC"/>
    <w:rsid w:val="00E30901"/>
    <w:rsid w:val="00E3091C"/>
    <w:rsid w:val="00E30A14"/>
    <w:rsid w:val="00E30A40"/>
    <w:rsid w:val="00E30AC1"/>
    <w:rsid w:val="00E30ADA"/>
    <w:rsid w:val="00E30C20"/>
    <w:rsid w:val="00E30D48"/>
    <w:rsid w:val="00E30E46"/>
    <w:rsid w:val="00E30FC9"/>
    <w:rsid w:val="00E31054"/>
    <w:rsid w:val="00E3109F"/>
    <w:rsid w:val="00E31136"/>
    <w:rsid w:val="00E313B7"/>
    <w:rsid w:val="00E313CA"/>
    <w:rsid w:val="00E314B9"/>
    <w:rsid w:val="00E31516"/>
    <w:rsid w:val="00E316E6"/>
    <w:rsid w:val="00E31828"/>
    <w:rsid w:val="00E31A42"/>
    <w:rsid w:val="00E31A78"/>
    <w:rsid w:val="00E31B87"/>
    <w:rsid w:val="00E31BA8"/>
    <w:rsid w:val="00E31CCC"/>
    <w:rsid w:val="00E31CD1"/>
    <w:rsid w:val="00E31D76"/>
    <w:rsid w:val="00E31D9F"/>
    <w:rsid w:val="00E31EA2"/>
    <w:rsid w:val="00E320BA"/>
    <w:rsid w:val="00E320D5"/>
    <w:rsid w:val="00E320F3"/>
    <w:rsid w:val="00E32175"/>
    <w:rsid w:val="00E322FE"/>
    <w:rsid w:val="00E324A0"/>
    <w:rsid w:val="00E324A5"/>
    <w:rsid w:val="00E325FE"/>
    <w:rsid w:val="00E32652"/>
    <w:rsid w:val="00E326A9"/>
    <w:rsid w:val="00E327DE"/>
    <w:rsid w:val="00E3281F"/>
    <w:rsid w:val="00E3286A"/>
    <w:rsid w:val="00E3288F"/>
    <w:rsid w:val="00E328AF"/>
    <w:rsid w:val="00E32A68"/>
    <w:rsid w:val="00E32B7C"/>
    <w:rsid w:val="00E32CA3"/>
    <w:rsid w:val="00E32CF7"/>
    <w:rsid w:val="00E32D0A"/>
    <w:rsid w:val="00E32E60"/>
    <w:rsid w:val="00E32F2F"/>
    <w:rsid w:val="00E32F97"/>
    <w:rsid w:val="00E33546"/>
    <w:rsid w:val="00E3354E"/>
    <w:rsid w:val="00E33592"/>
    <w:rsid w:val="00E3375D"/>
    <w:rsid w:val="00E33822"/>
    <w:rsid w:val="00E3385A"/>
    <w:rsid w:val="00E33861"/>
    <w:rsid w:val="00E338C9"/>
    <w:rsid w:val="00E33956"/>
    <w:rsid w:val="00E33A3B"/>
    <w:rsid w:val="00E33A69"/>
    <w:rsid w:val="00E33A73"/>
    <w:rsid w:val="00E33BAB"/>
    <w:rsid w:val="00E33D59"/>
    <w:rsid w:val="00E33E26"/>
    <w:rsid w:val="00E33E4A"/>
    <w:rsid w:val="00E33ED4"/>
    <w:rsid w:val="00E33EF4"/>
    <w:rsid w:val="00E33F1D"/>
    <w:rsid w:val="00E33F26"/>
    <w:rsid w:val="00E34009"/>
    <w:rsid w:val="00E340B2"/>
    <w:rsid w:val="00E341B7"/>
    <w:rsid w:val="00E34533"/>
    <w:rsid w:val="00E34655"/>
    <w:rsid w:val="00E34714"/>
    <w:rsid w:val="00E347A8"/>
    <w:rsid w:val="00E347BD"/>
    <w:rsid w:val="00E34966"/>
    <w:rsid w:val="00E34A0B"/>
    <w:rsid w:val="00E34A2E"/>
    <w:rsid w:val="00E34A99"/>
    <w:rsid w:val="00E34B67"/>
    <w:rsid w:val="00E34BC9"/>
    <w:rsid w:val="00E34BED"/>
    <w:rsid w:val="00E34CA7"/>
    <w:rsid w:val="00E34D53"/>
    <w:rsid w:val="00E34E40"/>
    <w:rsid w:val="00E34FAC"/>
    <w:rsid w:val="00E34FFF"/>
    <w:rsid w:val="00E35094"/>
    <w:rsid w:val="00E3511A"/>
    <w:rsid w:val="00E3519D"/>
    <w:rsid w:val="00E353DC"/>
    <w:rsid w:val="00E354EB"/>
    <w:rsid w:val="00E3552C"/>
    <w:rsid w:val="00E35536"/>
    <w:rsid w:val="00E356DA"/>
    <w:rsid w:val="00E35AAD"/>
    <w:rsid w:val="00E35B0B"/>
    <w:rsid w:val="00E35BCE"/>
    <w:rsid w:val="00E35C21"/>
    <w:rsid w:val="00E35C24"/>
    <w:rsid w:val="00E35C29"/>
    <w:rsid w:val="00E35D42"/>
    <w:rsid w:val="00E35D79"/>
    <w:rsid w:val="00E35F7D"/>
    <w:rsid w:val="00E35FC5"/>
    <w:rsid w:val="00E363B4"/>
    <w:rsid w:val="00E363D1"/>
    <w:rsid w:val="00E36471"/>
    <w:rsid w:val="00E364E1"/>
    <w:rsid w:val="00E3659F"/>
    <w:rsid w:val="00E36730"/>
    <w:rsid w:val="00E36828"/>
    <w:rsid w:val="00E368AB"/>
    <w:rsid w:val="00E369DF"/>
    <w:rsid w:val="00E36A91"/>
    <w:rsid w:val="00E36AF1"/>
    <w:rsid w:val="00E36BDD"/>
    <w:rsid w:val="00E36DD1"/>
    <w:rsid w:val="00E36DEC"/>
    <w:rsid w:val="00E36E2D"/>
    <w:rsid w:val="00E36FD6"/>
    <w:rsid w:val="00E370F4"/>
    <w:rsid w:val="00E37130"/>
    <w:rsid w:val="00E37178"/>
    <w:rsid w:val="00E373B3"/>
    <w:rsid w:val="00E37528"/>
    <w:rsid w:val="00E37562"/>
    <w:rsid w:val="00E37676"/>
    <w:rsid w:val="00E376EE"/>
    <w:rsid w:val="00E377C9"/>
    <w:rsid w:val="00E378F7"/>
    <w:rsid w:val="00E3791B"/>
    <w:rsid w:val="00E3794F"/>
    <w:rsid w:val="00E37A18"/>
    <w:rsid w:val="00E37BB2"/>
    <w:rsid w:val="00E37BBD"/>
    <w:rsid w:val="00E37C79"/>
    <w:rsid w:val="00E37C95"/>
    <w:rsid w:val="00E37CD9"/>
    <w:rsid w:val="00E37D8F"/>
    <w:rsid w:val="00E37DAD"/>
    <w:rsid w:val="00E37E13"/>
    <w:rsid w:val="00E37EB4"/>
    <w:rsid w:val="00E37F38"/>
    <w:rsid w:val="00E40024"/>
    <w:rsid w:val="00E400AE"/>
    <w:rsid w:val="00E40101"/>
    <w:rsid w:val="00E401E6"/>
    <w:rsid w:val="00E40219"/>
    <w:rsid w:val="00E404AE"/>
    <w:rsid w:val="00E405B7"/>
    <w:rsid w:val="00E405E4"/>
    <w:rsid w:val="00E4064B"/>
    <w:rsid w:val="00E4069C"/>
    <w:rsid w:val="00E40706"/>
    <w:rsid w:val="00E40A40"/>
    <w:rsid w:val="00E40A93"/>
    <w:rsid w:val="00E40ADB"/>
    <w:rsid w:val="00E40B57"/>
    <w:rsid w:val="00E40BAD"/>
    <w:rsid w:val="00E40C08"/>
    <w:rsid w:val="00E40D6A"/>
    <w:rsid w:val="00E40DD5"/>
    <w:rsid w:val="00E40E2F"/>
    <w:rsid w:val="00E40F76"/>
    <w:rsid w:val="00E40FF7"/>
    <w:rsid w:val="00E41010"/>
    <w:rsid w:val="00E41092"/>
    <w:rsid w:val="00E410E9"/>
    <w:rsid w:val="00E41232"/>
    <w:rsid w:val="00E4135B"/>
    <w:rsid w:val="00E413A9"/>
    <w:rsid w:val="00E413E8"/>
    <w:rsid w:val="00E41419"/>
    <w:rsid w:val="00E4153A"/>
    <w:rsid w:val="00E4156E"/>
    <w:rsid w:val="00E41615"/>
    <w:rsid w:val="00E4162A"/>
    <w:rsid w:val="00E41677"/>
    <w:rsid w:val="00E41832"/>
    <w:rsid w:val="00E418B2"/>
    <w:rsid w:val="00E4197E"/>
    <w:rsid w:val="00E41993"/>
    <w:rsid w:val="00E41999"/>
    <w:rsid w:val="00E41A39"/>
    <w:rsid w:val="00E41A9D"/>
    <w:rsid w:val="00E41BBA"/>
    <w:rsid w:val="00E41D49"/>
    <w:rsid w:val="00E41DC4"/>
    <w:rsid w:val="00E41E50"/>
    <w:rsid w:val="00E41F55"/>
    <w:rsid w:val="00E42026"/>
    <w:rsid w:val="00E42089"/>
    <w:rsid w:val="00E420AD"/>
    <w:rsid w:val="00E42153"/>
    <w:rsid w:val="00E42268"/>
    <w:rsid w:val="00E4232F"/>
    <w:rsid w:val="00E423B1"/>
    <w:rsid w:val="00E4245C"/>
    <w:rsid w:val="00E424FC"/>
    <w:rsid w:val="00E4261D"/>
    <w:rsid w:val="00E42678"/>
    <w:rsid w:val="00E42772"/>
    <w:rsid w:val="00E4281D"/>
    <w:rsid w:val="00E428BC"/>
    <w:rsid w:val="00E42A52"/>
    <w:rsid w:val="00E42A8B"/>
    <w:rsid w:val="00E42A9E"/>
    <w:rsid w:val="00E42D7B"/>
    <w:rsid w:val="00E42EDB"/>
    <w:rsid w:val="00E42FDE"/>
    <w:rsid w:val="00E43089"/>
    <w:rsid w:val="00E431AD"/>
    <w:rsid w:val="00E431BC"/>
    <w:rsid w:val="00E4327F"/>
    <w:rsid w:val="00E4329E"/>
    <w:rsid w:val="00E432F0"/>
    <w:rsid w:val="00E43425"/>
    <w:rsid w:val="00E43741"/>
    <w:rsid w:val="00E4391C"/>
    <w:rsid w:val="00E43923"/>
    <w:rsid w:val="00E4392D"/>
    <w:rsid w:val="00E439F9"/>
    <w:rsid w:val="00E43A7B"/>
    <w:rsid w:val="00E43A7D"/>
    <w:rsid w:val="00E43B41"/>
    <w:rsid w:val="00E43BDE"/>
    <w:rsid w:val="00E43BE4"/>
    <w:rsid w:val="00E43DA7"/>
    <w:rsid w:val="00E43DEF"/>
    <w:rsid w:val="00E43E0D"/>
    <w:rsid w:val="00E43E19"/>
    <w:rsid w:val="00E43E1B"/>
    <w:rsid w:val="00E43E9B"/>
    <w:rsid w:val="00E43ED3"/>
    <w:rsid w:val="00E44090"/>
    <w:rsid w:val="00E442F6"/>
    <w:rsid w:val="00E4431B"/>
    <w:rsid w:val="00E44382"/>
    <w:rsid w:val="00E443F5"/>
    <w:rsid w:val="00E445A3"/>
    <w:rsid w:val="00E445D1"/>
    <w:rsid w:val="00E44740"/>
    <w:rsid w:val="00E44916"/>
    <w:rsid w:val="00E449EE"/>
    <w:rsid w:val="00E44A86"/>
    <w:rsid w:val="00E44B51"/>
    <w:rsid w:val="00E44B9A"/>
    <w:rsid w:val="00E44BBC"/>
    <w:rsid w:val="00E44CF4"/>
    <w:rsid w:val="00E44D92"/>
    <w:rsid w:val="00E44DA1"/>
    <w:rsid w:val="00E44DFC"/>
    <w:rsid w:val="00E44F09"/>
    <w:rsid w:val="00E44F4B"/>
    <w:rsid w:val="00E44F86"/>
    <w:rsid w:val="00E45001"/>
    <w:rsid w:val="00E451CD"/>
    <w:rsid w:val="00E4521B"/>
    <w:rsid w:val="00E45293"/>
    <w:rsid w:val="00E45498"/>
    <w:rsid w:val="00E455E3"/>
    <w:rsid w:val="00E45736"/>
    <w:rsid w:val="00E45816"/>
    <w:rsid w:val="00E45A86"/>
    <w:rsid w:val="00E45AFA"/>
    <w:rsid w:val="00E45B18"/>
    <w:rsid w:val="00E45C09"/>
    <w:rsid w:val="00E45C98"/>
    <w:rsid w:val="00E45D17"/>
    <w:rsid w:val="00E45D39"/>
    <w:rsid w:val="00E45EBC"/>
    <w:rsid w:val="00E45F08"/>
    <w:rsid w:val="00E45F3A"/>
    <w:rsid w:val="00E45F9A"/>
    <w:rsid w:val="00E460C4"/>
    <w:rsid w:val="00E460D5"/>
    <w:rsid w:val="00E460E6"/>
    <w:rsid w:val="00E4618B"/>
    <w:rsid w:val="00E46259"/>
    <w:rsid w:val="00E46335"/>
    <w:rsid w:val="00E46338"/>
    <w:rsid w:val="00E46426"/>
    <w:rsid w:val="00E465E0"/>
    <w:rsid w:val="00E466C6"/>
    <w:rsid w:val="00E467DE"/>
    <w:rsid w:val="00E468A0"/>
    <w:rsid w:val="00E4692F"/>
    <w:rsid w:val="00E469D7"/>
    <w:rsid w:val="00E46BA8"/>
    <w:rsid w:val="00E46BEE"/>
    <w:rsid w:val="00E46CD4"/>
    <w:rsid w:val="00E46CEA"/>
    <w:rsid w:val="00E46E02"/>
    <w:rsid w:val="00E46F22"/>
    <w:rsid w:val="00E46F89"/>
    <w:rsid w:val="00E470A4"/>
    <w:rsid w:val="00E471B1"/>
    <w:rsid w:val="00E47376"/>
    <w:rsid w:val="00E47384"/>
    <w:rsid w:val="00E47535"/>
    <w:rsid w:val="00E47563"/>
    <w:rsid w:val="00E4759D"/>
    <w:rsid w:val="00E4760B"/>
    <w:rsid w:val="00E4761B"/>
    <w:rsid w:val="00E476DD"/>
    <w:rsid w:val="00E47776"/>
    <w:rsid w:val="00E47A1D"/>
    <w:rsid w:val="00E47B1C"/>
    <w:rsid w:val="00E47B81"/>
    <w:rsid w:val="00E47E8A"/>
    <w:rsid w:val="00E47EC2"/>
    <w:rsid w:val="00E47F97"/>
    <w:rsid w:val="00E501CE"/>
    <w:rsid w:val="00E501E6"/>
    <w:rsid w:val="00E50443"/>
    <w:rsid w:val="00E504D9"/>
    <w:rsid w:val="00E50527"/>
    <w:rsid w:val="00E50591"/>
    <w:rsid w:val="00E506B7"/>
    <w:rsid w:val="00E50714"/>
    <w:rsid w:val="00E507FF"/>
    <w:rsid w:val="00E508AB"/>
    <w:rsid w:val="00E509FD"/>
    <w:rsid w:val="00E50A14"/>
    <w:rsid w:val="00E50A4E"/>
    <w:rsid w:val="00E50BA4"/>
    <w:rsid w:val="00E50BFD"/>
    <w:rsid w:val="00E50FFA"/>
    <w:rsid w:val="00E5110E"/>
    <w:rsid w:val="00E51148"/>
    <w:rsid w:val="00E51169"/>
    <w:rsid w:val="00E51193"/>
    <w:rsid w:val="00E511AC"/>
    <w:rsid w:val="00E51253"/>
    <w:rsid w:val="00E51287"/>
    <w:rsid w:val="00E514A9"/>
    <w:rsid w:val="00E51593"/>
    <w:rsid w:val="00E515FC"/>
    <w:rsid w:val="00E51729"/>
    <w:rsid w:val="00E51A22"/>
    <w:rsid w:val="00E51AB7"/>
    <w:rsid w:val="00E51B36"/>
    <w:rsid w:val="00E51DC6"/>
    <w:rsid w:val="00E51EDB"/>
    <w:rsid w:val="00E51F0E"/>
    <w:rsid w:val="00E527B2"/>
    <w:rsid w:val="00E5289C"/>
    <w:rsid w:val="00E52929"/>
    <w:rsid w:val="00E52984"/>
    <w:rsid w:val="00E5298B"/>
    <w:rsid w:val="00E529EA"/>
    <w:rsid w:val="00E52A24"/>
    <w:rsid w:val="00E52A62"/>
    <w:rsid w:val="00E52AD6"/>
    <w:rsid w:val="00E52BA6"/>
    <w:rsid w:val="00E52C74"/>
    <w:rsid w:val="00E52D58"/>
    <w:rsid w:val="00E52D5B"/>
    <w:rsid w:val="00E52E4C"/>
    <w:rsid w:val="00E52E97"/>
    <w:rsid w:val="00E52F15"/>
    <w:rsid w:val="00E53031"/>
    <w:rsid w:val="00E5304D"/>
    <w:rsid w:val="00E530FF"/>
    <w:rsid w:val="00E53172"/>
    <w:rsid w:val="00E531CB"/>
    <w:rsid w:val="00E5321C"/>
    <w:rsid w:val="00E53240"/>
    <w:rsid w:val="00E5328E"/>
    <w:rsid w:val="00E532C9"/>
    <w:rsid w:val="00E5351B"/>
    <w:rsid w:val="00E538A3"/>
    <w:rsid w:val="00E53BAF"/>
    <w:rsid w:val="00E53D25"/>
    <w:rsid w:val="00E53DE4"/>
    <w:rsid w:val="00E53E37"/>
    <w:rsid w:val="00E53E5C"/>
    <w:rsid w:val="00E53FF6"/>
    <w:rsid w:val="00E54028"/>
    <w:rsid w:val="00E540AA"/>
    <w:rsid w:val="00E541A3"/>
    <w:rsid w:val="00E54402"/>
    <w:rsid w:val="00E54425"/>
    <w:rsid w:val="00E54434"/>
    <w:rsid w:val="00E54564"/>
    <w:rsid w:val="00E54668"/>
    <w:rsid w:val="00E5466B"/>
    <w:rsid w:val="00E5467C"/>
    <w:rsid w:val="00E546C8"/>
    <w:rsid w:val="00E546E7"/>
    <w:rsid w:val="00E54796"/>
    <w:rsid w:val="00E547F6"/>
    <w:rsid w:val="00E5498F"/>
    <w:rsid w:val="00E549F6"/>
    <w:rsid w:val="00E54A79"/>
    <w:rsid w:val="00E54AFC"/>
    <w:rsid w:val="00E54BA5"/>
    <w:rsid w:val="00E54C73"/>
    <w:rsid w:val="00E54D72"/>
    <w:rsid w:val="00E54E16"/>
    <w:rsid w:val="00E54E3F"/>
    <w:rsid w:val="00E54E88"/>
    <w:rsid w:val="00E54F24"/>
    <w:rsid w:val="00E55000"/>
    <w:rsid w:val="00E551C7"/>
    <w:rsid w:val="00E55273"/>
    <w:rsid w:val="00E55312"/>
    <w:rsid w:val="00E55467"/>
    <w:rsid w:val="00E554BA"/>
    <w:rsid w:val="00E5557B"/>
    <w:rsid w:val="00E5567A"/>
    <w:rsid w:val="00E557F4"/>
    <w:rsid w:val="00E55817"/>
    <w:rsid w:val="00E558ED"/>
    <w:rsid w:val="00E55B30"/>
    <w:rsid w:val="00E55B48"/>
    <w:rsid w:val="00E55D66"/>
    <w:rsid w:val="00E55DF5"/>
    <w:rsid w:val="00E55E55"/>
    <w:rsid w:val="00E55F27"/>
    <w:rsid w:val="00E55F36"/>
    <w:rsid w:val="00E56072"/>
    <w:rsid w:val="00E560F9"/>
    <w:rsid w:val="00E5612C"/>
    <w:rsid w:val="00E561B6"/>
    <w:rsid w:val="00E56264"/>
    <w:rsid w:val="00E56573"/>
    <w:rsid w:val="00E5663D"/>
    <w:rsid w:val="00E566C8"/>
    <w:rsid w:val="00E566EE"/>
    <w:rsid w:val="00E56701"/>
    <w:rsid w:val="00E56708"/>
    <w:rsid w:val="00E5675D"/>
    <w:rsid w:val="00E56918"/>
    <w:rsid w:val="00E5698D"/>
    <w:rsid w:val="00E56A0D"/>
    <w:rsid w:val="00E56A72"/>
    <w:rsid w:val="00E56A7D"/>
    <w:rsid w:val="00E56AA6"/>
    <w:rsid w:val="00E56AC0"/>
    <w:rsid w:val="00E56E0B"/>
    <w:rsid w:val="00E56E81"/>
    <w:rsid w:val="00E56EF4"/>
    <w:rsid w:val="00E5712D"/>
    <w:rsid w:val="00E57141"/>
    <w:rsid w:val="00E57169"/>
    <w:rsid w:val="00E5719D"/>
    <w:rsid w:val="00E571E8"/>
    <w:rsid w:val="00E57456"/>
    <w:rsid w:val="00E57746"/>
    <w:rsid w:val="00E577CB"/>
    <w:rsid w:val="00E57868"/>
    <w:rsid w:val="00E5789B"/>
    <w:rsid w:val="00E578DB"/>
    <w:rsid w:val="00E57932"/>
    <w:rsid w:val="00E57A7E"/>
    <w:rsid w:val="00E57ADB"/>
    <w:rsid w:val="00E57B2C"/>
    <w:rsid w:val="00E57B31"/>
    <w:rsid w:val="00E57C5D"/>
    <w:rsid w:val="00E57EBD"/>
    <w:rsid w:val="00E57F46"/>
    <w:rsid w:val="00E60001"/>
    <w:rsid w:val="00E600A3"/>
    <w:rsid w:val="00E600FF"/>
    <w:rsid w:val="00E602AC"/>
    <w:rsid w:val="00E604C4"/>
    <w:rsid w:val="00E604FB"/>
    <w:rsid w:val="00E6054B"/>
    <w:rsid w:val="00E605F6"/>
    <w:rsid w:val="00E606BD"/>
    <w:rsid w:val="00E606F0"/>
    <w:rsid w:val="00E608C9"/>
    <w:rsid w:val="00E609C3"/>
    <w:rsid w:val="00E60ABC"/>
    <w:rsid w:val="00E60B16"/>
    <w:rsid w:val="00E60B1E"/>
    <w:rsid w:val="00E60B57"/>
    <w:rsid w:val="00E60B6B"/>
    <w:rsid w:val="00E60D4C"/>
    <w:rsid w:val="00E60D5A"/>
    <w:rsid w:val="00E60E38"/>
    <w:rsid w:val="00E60E6E"/>
    <w:rsid w:val="00E60F8D"/>
    <w:rsid w:val="00E6107B"/>
    <w:rsid w:val="00E610E7"/>
    <w:rsid w:val="00E6113F"/>
    <w:rsid w:val="00E6139B"/>
    <w:rsid w:val="00E614B2"/>
    <w:rsid w:val="00E61510"/>
    <w:rsid w:val="00E61702"/>
    <w:rsid w:val="00E61776"/>
    <w:rsid w:val="00E61810"/>
    <w:rsid w:val="00E61A5B"/>
    <w:rsid w:val="00E61B20"/>
    <w:rsid w:val="00E61C58"/>
    <w:rsid w:val="00E61D97"/>
    <w:rsid w:val="00E61F64"/>
    <w:rsid w:val="00E61F9C"/>
    <w:rsid w:val="00E62045"/>
    <w:rsid w:val="00E6207F"/>
    <w:rsid w:val="00E620EB"/>
    <w:rsid w:val="00E62117"/>
    <w:rsid w:val="00E6213D"/>
    <w:rsid w:val="00E6215E"/>
    <w:rsid w:val="00E6231B"/>
    <w:rsid w:val="00E62356"/>
    <w:rsid w:val="00E623A6"/>
    <w:rsid w:val="00E6240A"/>
    <w:rsid w:val="00E6249C"/>
    <w:rsid w:val="00E626D4"/>
    <w:rsid w:val="00E62706"/>
    <w:rsid w:val="00E62726"/>
    <w:rsid w:val="00E62A57"/>
    <w:rsid w:val="00E62B0D"/>
    <w:rsid w:val="00E62B2D"/>
    <w:rsid w:val="00E62B43"/>
    <w:rsid w:val="00E62B86"/>
    <w:rsid w:val="00E62C6A"/>
    <w:rsid w:val="00E62CE4"/>
    <w:rsid w:val="00E62DDA"/>
    <w:rsid w:val="00E62E3A"/>
    <w:rsid w:val="00E62F84"/>
    <w:rsid w:val="00E62FE8"/>
    <w:rsid w:val="00E6309D"/>
    <w:rsid w:val="00E630DC"/>
    <w:rsid w:val="00E630FF"/>
    <w:rsid w:val="00E63113"/>
    <w:rsid w:val="00E631F6"/>
    <w:rsid w:val="00E63291"/>
    <w:rsid w:val="00E632DC"/>
    <w:rsid w:val="00E6332D"/>
    <w:rsid w:val="00E63425"/>
    <w:rsid w:val="00E63463"/>
    <w:rsid w:val="00E6347F"/>
    <w:rsid w:val="00E634D4"/>
    <w:rsid w:val="00E636DE"/>
    <w:rsid w:val="00E63809"/>
    <w:rsid w:val="00E638AE"/>
    <w:rsid w:val="00E63908"/>
    <w:rsid w:val="00E6390D"/>
    <w:rsid w:val="00E63979"/>
    <w:rsid w:val="00E63CAF"/>
    <w:rsid w:val="00E63E41"/>
    <w:rsid w:val="00E63F2B"/>
    <w:rsid w:val="00E63F7D"/>
    <w:rsid w:val="00E641BE"/>
    <w:rsid w:val="00E64211"/>
    <w:rsid w:val="00E6424F"/>
    <w:rsid w:val="00E643A5"/>
    <w:rsid w:val="00E64460"/>
    <w:rsid w:val="00E64529"/>
    <w:rsid w:val="00E64795"/>
    <w:rsid w:val="00E647BC"/>
    <w:rsid w:val="00E64A4B"/>
    <w:rsid w:val="00E64AA2"/>
    <w:rsid w:val="00E64B09"/>
    <w:rsid w:val="00E64E86"/>
    <w:rsid w:val="00E65119"/>
    <w:rsid w:val="00E6522E"/>
    <w:rsid w:val="00E65244"/>
    <w:rsid w:val="00E652B9"/>
    <w:rsid w:val="00E65355"/>
    <w:rsid w:val="00E653AC"/>
    <w:rsid w:val="00E65430"/>
    <w:rsid w:val="00E6552B"/>
    <w:rsid w:val="00E65545"/>
    <w:rsid w:val="00E65606"/>
    <w:rsid w:val="00E65628"/>
    <w:rsid w:val="00E65644"/>
    <w:rsid w:val="00E65779"/>
    <w:rsid w:val="00E657A2"/>
    <w:rsid w:val="00E658F7"/>
    <w:rsid w:val="00E659CA"/>
    <w:rsid w:val="00E65AB8"/>
    <w:rsid w:val="00E65C1A"/>
    <w:rsid w:val="00E65C20"/>
    <w:rsid w:val="00E65C51"/>
    <w:rsid w:val="00E65C87"/>
    <w:rsid w:val="00E65D1C"/>
    <w:rsid w:val="00E65E29"/>
    <w:rsid w:val="00E65EF3"/>
    <w:rsid w:val="00E65F33"/>
    <w:rsid w:val="00E65FBA"/>
    <w:rsid w:val="00E6627B"/>
    <w:rsid w:val="00E662C7"/>
    <w:rsid w:val="00E6630F"/>
    <w:rsid w:val="00E6632E"/>
    <w:rsid w:val="00E663B0"/>
    <w:rsid w:val="00E663C0"/>
    <w:rsid w:val="00E665F0"/>
    <w:rsid w:val="00E66700"/>
    <w:rsid w:val="00E6691E"/>
    <w:rsid w:val="00E66945"/>
    <w:rsid w:val="00E66951"/>
    <w:rsid w:val="00E669C8"/>
    <w:rsid w:val="00E66AED"/>
    <w:rsid w:val="00E66B77"/>
    <w:rsid w:val="00E66B7B"/>
    <w:rsid w:val="00E66BF9"/>
    <w:rsid w:val="00E66C87"/>
    <w:rsid w:val="00E66DE8"/>
    <w:rsid w:val="00E66F09"/>
    <w:rsid w:val="00E66F8F"/>
    <w:rsid w:val="00E66FF2"/>
    <w:rsid w:val="00E670CC"/>
    <w:rsid w:val="00E67338"/>
    <w:rsid w:val="00E673B7"/>
    <w:rsid w:val="00E6741B"/>
    <w:rsid w:val="00E67454"/>
    <w:rsid w:val="00E6756E"/>
    <w:rsid w:val="00E675AF"/>
    <w:rsid w:val="00E677E3"/>
    <w:rsid w:val="00E67CE5"/>
    <w:rsid w:val="00E67D2C"/>
    <w:rsid w:val="00E67D63"/>
    <w:rsid w:val="00E67FFA"/>
    <w:rsid w:val="00E700CA"/>
    <w:rsid w:val="00E700D6"/>
    <w:rsid w:val="00E70109"/>
    <w:rsid w:val="00E70155"/>
    <w:rsid w:val="00E701A2"/>
    <w:rsid w:val="00E701AD"/>
    <w:rsid w:val="00E70261"/>
    <w:rsid w:val="00E70299"/>
    <w:rsid w:val="00E7034C"/>
    <w:rsid w:val="00E7046F"/>
    <w:rsid w:val="00E7048B"/>
    <w:rsid w:val="00E704F1"/>
    <w:rsid w:val="00E7055A"/>
    <w:rsid w:val="00E70808"/>
    <w:rsid w:val="00E70ABF"/>
    <w:rsid w:val="00E70B55"/>
    <w:rsid w:val="00E70B66"/>
    <w:rsid w:val="00E70D2C"/>
    <w:rsid w:val="00E70E17"/>
    <w:rsid w:val="00E70E67"/>
    <w:rsid w:val="00E70F29"/>
    <w:rsid w:val="00E70FCB"/>
    <w:rsid w:val="00E71067"/>
    <w:rsid w:val="00E71109"/>
    <w:rsid w:val="00E71173"/>
    <w:rsid w:val="00E71205"/>
    <w:rsid w:val="00E71210"/>
    <w:rsid w:val="00E71265"/>
    <w:rsid w:val="00E71327"/>
    <w:rsid w:val="00E7140A"/>
    <w:rsid w:val="00E71499"/>
    <w:rsid w:val="00E71576"/>
    <w:rsid w:val="00E71664"/>
    <w:rsid w:val="00E717A7"/>
    <w:rsid w:val="00E71869"/>
    <w:rsid w:val="00E71878"/>
    <w:rsid w:val="00E719A0"/>
    <w:rsid w:val="00E719F8"/>
    <w:rsid w:val="00E71C24"/>
    <w:rsid w:val="00E71CC6"/>
    <w:rsid w:val="00E71D49"/>
    <w:rsid w:val="00E71E5E"/>
    <w:rsid w:val="00E71FBC"/>
    <w:rsid w:val="00E71FF3"/>
    <w:rsid w:val="00E71FFC"/>
    <w:rsid w:val="00E7217F"/>
    <w:rsid w:val="00E722BD"/>
    <w:rsid w:val="00E72430"/>
    <w:rsid w:val="00E72456"/>
    <w:rsid w:val="00E724F1"/>
    <w:rsid w:val="00E72606"/>
    <w:rsid w:val="00E72607"/>
    <w:rsid w:val="00E72669"/>
    <w:rsid w:val="00E726AA"/>
    <w:rsid w:val="00E7279B"/>
    <w:rsid w:val="00E7289B"/>
    <w:rsid w:val="00E72918"/>
    <w:rsid w:val="00E7293E"/>
    <w:rsid w:val="00E7297E"/>
    <w:rsid w:val="00E72A56"/>
    <w:rsid w:val="00E72B2D"/>
    <w:rsid w:val="00E72BD7"/>
    <w:rsid w:val="00E72C37"/>
    <w:rsid w:val="00E72F14"/>
    <w:rsid w:val="00E730A8"/>
    <w:rsid w:val="00E732E3"/>
    <w:rsid w:val="00E734F4"/>
    <w:rsid w:val="00E73513"/>
    <w:rsid w:val="00E73518"/>
    <w:rsid w:val="00E735EA"/>
    <w:rsid w:val="00E73611"/>
    <w:rsid w:val="00E73790"/>
    <w:rsid w:val="00E7399E"/>
    <w:rsid w:val="00E73A66"/>
    <w:rsid w:val="00E73A72"/>
    <w:rsid w:val="00E73AAC"/>
    <w:rsid w:val="00E73C95"/>
    <w:rsid w:val="00E73D0F"/>
    <w:rsid w:val="00E73DA0"/>
    <w:rsid w:val="00E73E29"/>
    <w:rsid w:val="00E73E74"/>
    <w:rsid w:val="00E73F0F"/>
    <w:rsid w:val="00E73F75"/>
    <w:rsid w:val="00E73F8C"/>
    <w:rsid w:val="00E74054"/>
    <w:rsid w:val="00E740EA"/>
    <w:rsid w:val="00E74121"/>
    <w:rsid w:val="00E741BA"/>
    <w:rsid w:val="00E74214"/>
    <w:rsid w:val="00E742D4"/>
    <w:rsid w:val="00E745A9"/>
    <w:rsid w:val="00E746B7"/>
    <w:rsid w:val="00E74882"/>
    <w:rsid w:val="00E748B8"/>
    <w:rsid w:val="00E74948"/>
    <w:rsid w:val="00E7497F"/>
    <w:rsid w:val="00E74A80"/>
    <w:rsid w:val="00E74A82"/>
    <w:rsid w:val="00E74AAD"/>
    <w:rsid w:val="00E74AF9"/>
    <w:rsid w:val="00E74C1F"/>
    <w:rsid w:val="00E74C95"/>
    <w:rsid w:val="00E74CBF"/>
    <w:rsid w:val="00E74CEC"/>
    <w:rsid w:val="00E74E8E"/>
    <w:rsid w:val="00E74F35"/>
    <w:rsid w:val="00E74FB0"/>
    <w:rsid w:val="00E75047"/>
    <w:rsid w:val="00E750A2"/>
    <w:rsid w:val="00E751DE"/>
    <w:rsid w:val="00E75224"/>
    <w:rsid w:val="00E75335"/>
    <w:rsid w:val="00E7534A"/>
    <w:rsid w:val="00E75535"/>
    <w:rsid w:val="00E758E6"/>
    <w:rsid w:val="00E75B2F"/>
    <w:rsid w:val="00E75C3C"/>
    <w:rsid w:val="00E75CE6"/>
    <w:rsid w:val="00E75E32"/>
    <w:rsid w:val="00E75E35"/>
    <w:rsid w:val="00E75F5D"/>
    <w:rsid w:val="00E75F6A"/>
    <w:rsid w:val="00E75F6C"/>
    <w:rsid w:val="00E75FF3"/>
    <w:rsid w:val="00E7609A"/>
    <w:rsid w:val="00E76183"/>
    <w:rsid w:val="00E761FC"/>
    <w:rsid w:val="00E762A3"/>
    <w:rsid w:val="00E7643F"/>
    <w:rsid w:val="00E76579"/>
    <w:rsid w:val="00E766D5"/>
    <w:rsid w:val="00E766E9"/>
    <w:rsid w:val="00E7671F"/>
    <w:rsid w:val="00E76879"/>
    <w:rsid w:val="00E76961"/>
    <w:rsid w:val="00E7698E"/>
    <w:rsid w:val="00E76A11"/>
    <w:rsid w:val="00E76ACC"/>
    <w:rsid w:val="00E76AE5"/>
    <w:rsid w:val="00E76B6E"/>
    <w:rsid w:val="00E76B70"/>
    <w:rsid w:val="00E76B83"/>
    <w:rsid w:val="00E76EF2"/>
    <w:rsid w:val="00E77177"/>
    <w:rsid w:val="00E77270"/>
    <w:rsid w:val="00E77274"/>
    <w:rsid w:val="00E77346"/>
    <w:rsid w:val="00E77583"/>
    <w:rsid w:val="00E77685"/>
    <w:rsid w:val="00E778BB"/>
    <w:rsid w:val="00E778BD"/>
    <w:rsid w:val="00E77996"/>
    <w:rsid w:val="00E779B1"/>
    <w:rsid w:val="00E77A80"/>
    <w:rsid w:val="00E77AE2"/>
    <w:rsid w:val="00E77BE3"/>
    <w:rsid w:val="00E77D1E"/>
    <w:rsid w:val="00E77DBE"/>
    <w:rsid w:val="00E77DF5"/>
    <w:rsid w:val="00E77EFE"/>
    <w:rsid w:val="00E77F43"/>
    <w:rsid w:val="00E77FCC"/>
    <w:rsid w:val="00E77FEC"/>
    <w:rsid w:val="00E801CF"/>
    <w:rsid w:val="00E802D2"/>
    <w:rsid w:val="00E8056B"/>
    <w:rsid w:val="00E80578"/>
    <w:rsid w:val="00E805B8"/>
    <w:rsid w:val="00E80615"/>
    <w:rsid w:val="00E806BC"/>
    <w:rsid w:val="00E806CE"/>
    <w:rsid w:val="00E807A3"/>
    <w:rsid w:val="00E80842"/>
    <w:rsid w:val="00E80A88"/>
    <w:rsid w:val="00E80B37"/>
    <w:rsid w:val="00E80B5C"/>
    <w:rsid w:val="00E80BA8"/>
    <w:rsid w:val="00E80C03"/>
    <w:rsid w:val="00E810D9"/>
    <w:rsid w:val="00E81128"/>
    <w:rsid w:val="00E811C8"/>
    <w:rsid w:val="00E81324"/>
    <w:rsid w:val="00E81425"/>
    <w:rsid w:val="00E81426"/>
    <w:rsid w:val="00E814DA"/>
    <w:rsid w:val="00E81596"/>
    <w:rsid w:val="00E8187B"/>
    <w:rsid w:val="00E8195C"/>
    <w:rsid w:val="00E81970"/>
    <w:rsid w:val="00E81A68"/>
    <w:rsid w:val="00E81ADB"/>
    <w:rsid w:val="00E81AEF"/>
    <w:rsid w:val="00E81B18"/>
    <w:rsid w:val="00E81B22"/>
    <w:rsid w:val="00E81D0F"/>
    <w:rsid w:val="00E81D55"/>
    <w:rsid w:val="00E81D92"/>
    <w:rsid w:val="00E81DD8"/>
    <w:rsid w:val="00E81E6D"/>
    <w:rsid w:val="00E81EFA"/>
    <w:rsid w:val="00E81F59"/>
    <w:rsid w:val="00E81F7F"/>
    <w:rsid w:val="00E8215D"/>
    <w:rsid w:val="00E8230E"/>
    <w:rsid w:val="00E8238B"/>
    <w:rsid w:val="00E82407"/>
    <w:rsid w:val="00E824A4"/>
    <w:rsid w:val="00E824B1"/>
    <w:rsid w:val="00E82589"/>
    <w:rsid w:val="00E826E8"/>
    <w:rsid w:val="00E828D1"/>
    <w:rsid w:val="00E82974"/>
    <w:rsid w:val="00E82A4A"/>
    <w:rsid w:val="00E82AC0"/>
    <w:rsid w:val="00E82AC4"/>
    <w:rsid w:val="00E82AD4"/>
    <w:rsid w:val="00E82B1F"/>
    <w:rsid w:val="00E82B48"/>
    <w:rsid w:val="00E82B9C"/>
    <w:rsid w:val="00E82D2D"/>
    <w:rsid w:val="00E82E27"/>
    <w:rsid w:val="00E82F95"/>
    <w:rsid w:val="00E8308A"/>
    <w:rsid w:val="00E830A7"/>
    <w:rsid w:val="00E830D4"/>
    <w:rsid w:val="00E83149"/>
    <w:rsid w:val="00E83158"/>
    <w:rsid w:val="00E831F6"/>
    <w:rsid w:val="00E83228"/>
    <w:rsid w:val="00E83278"/>
    <w:rsid w:val="00E83312"/>
    <w:rsid w:val="00E8349F"/>
    <w:rsid w:val="00E834A7"/>
    <w:rsid w:val="00E834AC"/>
    <w:rsid w:val="00E83517"/>
    <w:rsid w:val="00E8358C"/>
    <w:rsid w:val="00E838C2"/>
    <w:rsid w:val="00E83955"/>
    <w:rsid w:val="00E839F0"/>
    <w:rsid w:val="00E83AD9"/>
    <w:rsid w:val="00E83C72"/>
    <w:rsid w:val="00E83D6A"/>
    <w:rsid w:val="00E83E0B"/>
    <w:rsid w:val="00E840C5"/>
    <w:rsid w:val="00E840D9"/>
    <w:rsid w:val="00E84148"/>
    <w:rsid w:val="00E8414B"/>
    <w:rsid w:val="00E8426B"/>
    <w:rsid w:val="00E8436A"/>
    <w:rsid w:val="00E8450D"/>
    <w:rsid w:val="00E84525"/>
    <w:rsid w:val="00E84595"/>
    <w:rsid w:val="00E84652"/>
    <w:rsid w:val="00E846D3"/>
    <w:rsid w:val="00E84773"/>
    <w:rsid w:val="00E84838"/>
    <w:rsid w:val="00E84A43"/>
    <w:rsid w:val="00E84ACB"/>
    <w:rsid w:val="00E84B32"/>
    <w:rsid w:val="00E84BE0"/>
    <w:rsid w:val="00E84C3B"/>
    <w:rsid w:val="00E84D3E"/>
    <w:rsid w:val="00E84F35"/>
    <w:rsid w:val="00E84FA2"/>
    <w:rsid w:val="00E850A4"/>
    <w:rsid w:val="00E850F0"/>
    <w:rsid w:val="00E851B1"/>
    <w:rsid w:val="00E851EF"/>
    <w:rsid w:val="00E85273"/>
    <w:rsid w:val="00E853F2"/>
    <w:rsid w:val="00E85486"/>
    <w:rsid w:val="00E854AF"/>
    <w:rsid w:val="00E854B2"/>
    <w:rsid w:val="00E85502"/>
    <w:rsid w:val="00E85627"/>
    <w:rsid w:val="00E856EA"/>
    <w:rsid w:val="00E857E9"/>
    <w:rsid w:val="00E859EA"/>
    <w:rsid w:val="00E859EE"/>
    <w:rsid w:val="00E85AD6"/>
    <w:rsid w:val="00E85B8E"/>
    <w:rsid w:val="00E85C95"/>
    <w:rsid w:val="00E85D21"/>
    <w:rsid w:val="00E85DC7"/>
    <w:rsid w:val="00E85EDD"/>
    <w:rsid w:val="00E85EEA"/>
    <w:rsid w:val="00E85EF5"/>
    <w:rsid w:val="00E86041"/>
    <w:rsid w:val="00E86150"/>
    <w:rsid w:val="00E86187"/>
    <w:rsid w:val="00E86191"/>
    <w:rsid w:val="00E861F0"/>
    <w:rsid w:val="00E86310"/>
    <w:rsid w:val="00E863F1"/>
    <w:rsid w:val="00E8647B"/>
    <w:rsid w:val="00E864B3"/>
    <w:rsid w:val="00E8679C"/>
    <w:rsid w:val="00E867BA"/>
    <w:rsid w:val="00E869C8"/>
    <w:rsid w:val="00E86A5F"/>
    <w:rsid w:val="00E86AD3"/>
    <w:rsid w:val="00E86B2A"/>
    <w:rsid w:val="00E86B3A"/>
    <w:rsid w:val="00E86C39"/>
    <w:rsid w:val="00E86D33"/>
    <w:rsid w:val="00E86D4D"/>
    <w:rsid w:val="00E86DDB"/>
    <w:rsid w:val="00E86E70"/>
    <w:rsid w:val="00E86ED2"/>
    <w:rsid w:val="00E86F14"/>
    <w:rsid w:val="00E86F31"/>
    <w:rsid w:val="00E86F73"/>
    <w:rsid w:val="00E8701D"/>
    <w:rsid w:val="00E87103"/>
    <w:rsid w:val="00E871D8"/>
    <w:rsid w:val="00E87269"/>
    <w:rsid w:val="00E87381"/>
    <w:rsid w:val="00E873B6"/>
    <w:rsid w:val="00E87578"/>
    <w:rsid w:val="00E87592"/>
    <w:rsid w:val="00E875BC"/>
    <w:rsid w:val="00E875FF"/>
    <w:rsid w:val="00E876D0"/>
    <w:rsid w:val="00E8775C"/>
    <w:rsid w:val="00E8798B"/>
    <w:rsid w:val="00E87B2C"/>
    <w:rsid w:val="00E87C44"/>
    <w:rsid w:val="00E87CF0"/>
    <w:rsid w:val="00E87D77"/>
    <w:rsid w:val="00E87E0D"/>
    <w:rsid w:val="00E87E16"/>
    <w:rsid w:val="00E87F6D"/>
    <w:rsid w:val="00E87F80"/>
    <w:rsid w:val="00E87F86"/>
    <w:rsid w:val="00E90006"/>
    <w:rsid w:val="00E901DA"/>
    <w:rsid w:val="00E902BF"/>
    <w:rsid w:val="00E90343"/>
    <w:rsid w:val="00E9039C"/>
    <w:rsid w:val="00E90552"/>
    <w:rsid w:val="00E90555"/>
    <w:rsid w:val="00E905C7"/>
    <w:rsid w:val="00E90742"/>
    <w:rsid w:val="00E90772"/>
    <w:rsid w:val="00E90948"/>
    <w:rsid w:val="00E90AD5"/>
    <w:rsid w:val="00E90B63"/>
    <w:rsid w:val="00E90CB5"/>
    <w:rsid w:val="00E90E11"/>
    <w:rsid w:val="00E90F64"/>
    <w:rsid w:val="00E911D2"/>
    <w:rsid w:val="00E911F4"/>
    <w:rsid w:val="00E91203"/>
    <w:rsid w:val="00E913B6"/>
    <w:rsid w:val="00E914E2"/>
    <w:rsid w:val="00E9152E"/>
    <w:rsid w:val="00E915F4"/>
    <w:rsid w:val="00E91A30"/>
    <w:rsid w:val="00E91A6E"/>
    <w:rsid w:val="00E91D1E"/>
    <w:rsid w:val="00E91ED5"/>
    <w:rsid w:val="00E91EE1"/>
    <w:rsid w:val="00E91EFF"/>
    <w:rsid w:val="00E91FB9"/>
    <w:rsid w:val="00E920D3"/>
    <w:rsid w:val="00E92171"/>
    <w:rsid w:val="00E92289"/>
    <w:rsid w:val="00E92462"/>
    <w:rsid w:val="00E9253C"/>
    <w:rsid w:val="00E9263E"/>
    <w:rsid w:val="00E92671"/>
    <w:rsid w:val="00E92683"/>
    <w:rsid w:val="00E926D5"/>
    <w:rsid w:val="00E927E9"/>
    <w:rsid w:val="00E92831"/>
    <w:rsid w:val="00E92900"/>
    <w:rsid w:val="00E929D0"/>
    <w:rsid w:val="00E92A40"/>
    <w:rsid w:val="00E92A87"/>
    <w:rsid w:val="00E92BDB"/>
    <w:rsid w:val="00E92C4D"/>
    <w:rsid w:val="00E92CC8"/>
    <w:rsid w:val="00E92D3D"/>
    <w:rsid w:val="00E92E29"/>
    <w:rsid w:val="00E92F08"/>
    <w:rsid w:val="00E92F39"/>
    <w:rsid w:val="00E92F4E"/>
    <w:rsid w:val="00E92F5C"/>
    <w:rsid w:val="00E92FB3"/>
    <w:rsid w:val="00E92FEC"/>
    <w:rsid w:val="00E92FFE"/>
    <w:rsid w:val="00E930F2"/>
    <w:rsid w:val="00E93123"/>
    <w:rsid w:val="00E93186"/>
    <w:rsid w:val="00E931F8"/>
    <w:rsid w:val="00E934D2"/>
    <w:rsid w:val="00E935C8"/>
    <w:rsid w:val="00E935CE"/>
    <w:rsid w:val="00E936B5"/>
    <w:rsid w:val="00E93733"/>
    <w:rsid w:val="00E93740"/>
    <w:rsid w:val="00E93741"/>
    <w:rsid w:val="00E93A10"/>
    <w:rsid w:val="00E93A58"/>
    <w:rsid w:val="00E93B39"/>
    <w:rsid w:val="00E93C77"/>
    <w:rsid w:val="00E93CEB"/>
    <w:rsid w:val="00E93F89"/>
    <w:rsid w:val="00E93FD5"/>
    <w:rsid w:val="00E942C4"/>
    <w:rsid w:val="00E9432F"/>
    <w:rsid w:val="00E9438B"/>
    <w:rsid w:val="00E94517"/>
    <w:rsid w:val="00E946F1"/>
    <w:rsid w:val="00E9472D"/>
    <w:rsid w:val="00E949BE"/>
    <w:rsid w:val="00E949F2"/>
    <w:rsid w:val="00E94A69"/>
    <w:rsid w:val="00E94A88"/>
    <w:rsid w:val="00E94B86"/>
    <w:rsid w:val="00E94BFE"/>
    <w:rsid w:val="00E94C71"/>
    <w:rsid w:val="00E94D87"/>
    <w:rsid w:val="00E94E4F"/>
    <w:rsid w:val="00E95115"/>
    <w:rsid w:val="00E95300"/>
    <w:rsid w:val="00E95502"/>
    <w:rsid w:val="00E9552F"/>
    <w:rsid w:val="00E9557B"/>
    <w:rsid w:val="00E95617"/>
    <w:rsid w:val="00E956C4"/>
    <w:rsid w:val="00E956DE"/>
    <w:rsid w:val="00E9578E"/>
    <w:rsid w:val="00E957A7"/>
    <w:rsid w:val="00E957DB"/>
    <w:rsid w:val="00E95843"/>
    <w:rsid w:val="00E9588C"/>
    <w:rsid w:val="00E9594B"/>
    <w:rsid w:val="00E959F4"/>
    <w:rsid w:val="00E95A2C"/>
    <w:rsid w:val="00E95F33"/>
    <w:rsid w:val="00E95F50"/>
    <w:rsid w:val="00E95F75"/>
    <w:rsid w:val="00E95F7B"/>
    <w:rsid w:val="00E96069"/>
    <w:rsid w:val="00E96154"/>
    <w:rsid w:val="00E9618E"/>
    <w:rsid w:val="00E965A2"/>
    <w:rsid w:val="00E96918"/>
    <w:rsid w:val="00E96A53"/>
    <w:rsid w:val="00E96A79"/>
    <w:rsid w:val="00E96AAF"/>
    <w:rsid w:val="00E96B03"/>
    <w:rsid w:val="00E96B36"/>
    <w:rsid w:val="00E96CC9"/>
    <w:rsid w:val="00E96D5A"/>
    <w:rsid w:val="00E96DBB"/>
    <w:rsid w:val="00E96DE0"/>
    <w:rsid w:val="00E96ED5"/>
    <w:rsid w:val="00E96F46"/>
    <w:rsid w:val="00E97132"/>
    <w:rsid w:val="00E97162"/>
    <w:rsid w:val="00E971CD"/>
    <w:rsid w:val="00E97227"/>
    <w:rsid w:val="00E9724C"/>
    <w:rsid w:val="00E972F8"/>
    <w:rsid w:val="00E97594"/>
    <w:rsid w:val="00E97601"/>
    <w:rsid w:val="00E9766C"/>
    <w:rsid w:val="00E976EC"/>
    <w:rsid w:val="00E977D6"/>
    <w:rsid w:val="00E97800"/>
    <w:rsid w:val="00E97811"/>
    <w:rsid w:val="00E978D2"/>
    <w:rsid w:val="00E97954"/>
    <w:rsid w:val="00E97A18"/>
    <w:rsid w:val="00E97AC3"/>
    <w:rsid w:val="00E97BCE"/>
    <w:rsid w:val="00E97C36"/>
    <w:rsid w:val="00E97D69"/>
    <w:rsid w:val="00E97D7C"/>
    <w:rsid w:val="00E97D85"/>
    <w:rsid w:val="00E9F64A"/>
    <w:rsid w:val="00EA004F"/>
    <w:rsid w:val="00EA01BF"/>
    <w:rsid w:val="00EA02A5"/>
    <w:rsid w:val="00EA0312"/>
    <w:rsid w:val="00EA033F"/>
    <w:rsid w:val="00EA0377"/>
    <w:rsid w:val="00EA05FD"/>
    <w:rsid w:val="00EA0702"/>
    <w:rsid w:val="00EA076B"/>
    <w:rsid w:val="00EA0860"/>
    <w:rsid w:val="00EA0911"/>
    <w:rsid w:val="00EA09AF"/>
    <w:rsid w:val="00EA09B4"/>
    <w:rsid w:val="00EA0A0E"/>
    <w:rsid w:val="00EA0CD1"/>
    <w:rsid w:val="00EA0CE4"/>
    <w:rsid w:val="00EA0ED5"/>
    <w:rsid w:val="00EA0F30"/>
    <w:rsid w:val="00EA1154"/>
    <w:rsid w:val="00EA1310"/>
    <w:rsid w:val="00EA1372"/>
    <w:rsid w:val="00EA138B"/>
    <w:rsid w:val="00EA139B"/>
    <w:rsid w:val="00EA13F5"/>
    <w:rsid w:val="00EA14C5"/>
    <w:rsid w:val="00EA1688"/>
    <w:rsid w:val="00EA1719"/>
    <w:rsid w:val="00EA178A"/>
    <w:rsid w:val="00EA182C"/>
    <w:rsid w:val="00EA1A3C"/>
    <w:rsid w:val="00EA1B32"/>
    <w:rsid w:val="00EA1B7C"/>
    <w:rsid w:val="00EA1B91"/>
    <w:rsid w:val="00EA1BB1"/>
    <w:rsid w:val="00EA1BB7"/>
    <w:rsid w:val="00EA1BCC"/>
    <w:rsid w:val="00EA1D33"/>
    <w:rsid w:val="00EA1E42"/>
    <w:rsid w:val="00EA1E63"/>
    <w:rsid w:val="00EA1E74"/>
    <w:rsid w:val="00EA1E7E"/>
    <w:rsid w:val="00EA1F49"/>
    <w:rsid w:val="00EA20FF"/>
    <w:rsid w:val="00EA21E1"/>
    <w:rsid w:val="00EA23DE"/>
    <w:rsid w:val="00EA2576"/>
    <w:rsid w:val="00EA25D6"/>
    <w:rsid w:val="00EA269D"/>
    <w:rsid w:val="00EA284F"/>
    <w:rsid w:val="00EA2993"/>
    <w:rsid w:val="00EA2B13"/>
    <w:rsid w:val="00EA2B5A"/>
    <w:rsid w:val="00EA2CCC"/>
    <w:rsid w:val="00EA2DF3"/>
    <w:rsid w:val="00EA2E9D"/>
    <w:rsid w:val="00EA2F66"/>
    <w:rsid w:val="00EA308A"/>
    <w:rsid w:val="00EA316A"/>
    <w:rsid w:val="00EA31A0"/>
    <w:rsid w:val="00EA32BD"/>
    <w:rsid w:val="00EA33C1"/>
    <w:rsid w:val="00EA341F"/>
    <w:rsid w:val="00EA3532"/>
    <w:rsid w:val="00EA3543"/>
    <w:rsid w:val="00EA355B"/>
    <w:rsid w:val="00EA3654"/>
    <w:rsid w:val="00EA3682"/>
    <w:rsid w:val="00EA3684"/>
    <w:rsid w:val="00EA37DC"/>
    <w:rsid w:val="00EA390D"/>
    <w:rsid w:val="00EA3973"/>
    <w:rsid w:val="00EA3A60"/>
    <w:rsid w:val="00EA3BF5"/>
    <w:rsid w:val="00EA3E7C"/>
    <w:rsid w:val="00EA3FC5"/>
    <w:rsid w:val="00EA4084"/>
    <w:rsid w:val="00EA40AB"/>
    <w:rsid w:val="00EA40E5"/>
    <w:rsid w:val="00EA4243"/>
    <w:rsid w:val="00EA4268"/>
    <w:rsid w:val="00EA42C7"/>
    <w:rsid w:val="00EA433A"/>
    <w:rsid w:val="00EA4367"/>
    <w:rsid w:val="00EA4373"/>
    <w:rsid w:val="00EA4440"/>
    <w:rsid w:val="00EA444C"/>
    <w:rsid w:val="00EA4482"/>
    <w:rsid w:val="00EA461B"/>
    <w:rsid w:val="00EA46E9"/>
    <w:rsid w:val="00EA47F2"/>
    <w:rsid w:val="00EA490C"/>
    <w:rsid w:val="00EA49EC"/>
    <w:rsid w:val="00EA49F5"/>
    <w:rsid w:val="00EA4BAC"/>
    <w:rsid w:val="00EA4C3B"/>
    <w:rsid w:val="00EA4F34"/>
    <w:rsid w:val="00EA5122"/>
    <w:rsid w:val="00EA51C0"/>
    <w:rsid w:val="00EA51C1"/>
    <w:rsid w:val="00EA51D9"/>
    <w:rsid w:val="00EA5225"/>
    <w:rsid w:val="00EA52F9"/>
    <w:rsid w:val="00EA5326"/>
    <w:rsid w:val="00EA5387"/>
    <w:rsid w:val="00EA552C"/>
    <w:rsid w:val="00EA57A5"/>
    <w:rsid w:val="00EA5812"/>
    <w:rsid w:val="00EA5881"/>
    <w:rsid w:val="00EA5AB6"/>
    <w:rsid w:val="00EA5AF0"/>
    <w:rsid w:val="00EA5AF6"/>
    <w:rsid w:val="00EA5C35"/>
    <w:rsid w:val="00EA5D53"/>
    <w:rsid w:val="00EA5D6E"/>
    <w:rsid w:val="00EA5DE3"/>
    <w:rsid w:val="00EA5EE8"/>
    <w:rsid w:val="00EA5F1A"/>
    <w:rsid w:val="00EA5F77"/>
    <w:rsid w:val="00EA610F"/>
    <w:rsid w:val="00EA617C"/>
    <w:rsid w:val="00EA6185"/>
    <w:rsid w:val="00EA61DC"/>
    <w:rsid w:val="00EA61E0"/>
    <w:rsid w:val="00EA6260"/>
    <w:rsid w:val="00EA62B4"/>
    <w:rsid w:val="00EA62CA"/>
    <w:rsid w:val="00EA62E9"/>
    <w:rsid w:val="00EA63BC"/>
    <w:rsid w:val="00EA642F"/>
    <w:rsid w:val="00EA66FE"/>
    <w:rsid w:val="00EA6729"/>
    <w:rsid w:val="00EA676D"/>
    <w:rsid w:val="00EA67AB"/>
    <w:rsid w:val="00EA67B5"/>
    <w:rsid w:val="00EA685C"/>
    <w:rsid w:val="00EA68CA"/>
    <w:rsid w:val="00EA6A75"/>
    <w:rsid w:val="00EA6A9A"/>
    <w:rsid w:val="00EA6B79"/>
    <w:rsid w:val="00EA6BA9"/>
    <w:rsid w:val="00EA6BD7"/>
    <w:rsid w:val="00EA6D41"/>
    <w:rsid w:val="00EA6D80"/>
    <w:rsid w:val="00EA6E30"/>
    <w:rsid w:val="00EA6ECC"/>
    <w:rsid w:val="00EA6EE6"/>
    <w:rsid w:val="00EA6F18"/>
    <w:rsid w:val="00EA6F1A"/>
    <w:rsid w:val="00EA6FAF"/>
    <w:rsid w:val="00EA7035"/>
    <w:rsid w:val="00EA70F7"/>
    <w:rsid w:val="00EA70FE"/>
    <w:rsid w:val="00EA7144"/>
    <w:rsid w:val="00EA7170"/>
    <w:rsid w:val="00EA740F"/>
    <w:rsid w:val="00EA745C"/>
    <w:rsid w:val="00EA766D"/>
    <w:rsid w:val="00EA766E"/>
    <w:rsid w:val="00EA7688"/>
    <w:rsid w:val="00EA7703"/>
    <w:rsid w:val="00EA7865"/>
    <w:rsid w:val="00EA78C2"/>
    <w:rsid w:val="00EA79DD"/>
    <w:rsid w:val="00EA7A40"/>
    <w:rsid w:val="00EA7AA4"/>
    <w:rsid w:val="00EA7B6A"/>
    <w:rsid w:val="00EA7BA0"/>
    <w:rsid w:val="00EA7C4B"/>
    <w:rsid w:val="00EA7C5F"/>
    <w:rsid w:val="00EA7C9E"/>
    <w:rsid w:val="00EA7E76"/>
    <w:rsid w:val="00EA7E95"/>
    <w:rsid w:val="00EA7F01"/>
    <w:rsid w:val="00EB01A8"/>
    <w:rsid w:val="00EB0296"/>
    <w:rsid w:val="00EB036A"/>
    <w:rsid w:val="00EB03F0"/>
    <w:rsid w:val="00EB0531"/>
    <w:rsid w:val="00EB0632"/>
    <w:rsid w:val="00EB0A93"/>
    <w:rsid w:val="00EB0AAD"/>
    <w:rsid w:val="00EB0D2D"/>
    <w:rsid w:val="00EB0D3E"/>
    <w:rsid w:val="00EB0F18"/>
    <w:rsid w:val="00EB0F58"/>
    <w:rsid w:val="00EB105B"/>
    <w:rsid w:val="00EB109C"/>
    <w:rsid w:val="00EB10AA"/>
    <w:rsid w:val="00EB1116"/>
    <w:rsid w:val="00EB1160"/>
    <w:rsid w:val="00EB1166"/>
    <w:rsid w:val="00EB11E0"/>
    <w:rsid w:val="00EB124C"/>
    <w:rsid w:val="00EB1253"/>
    <w:rsid w:val="00EB128D"/>
    <w:rsid w:val="00EB15B1"/>
    <w:rsid w:val="00EB16CE"/>
    <w:rsid w:val="00EB1788"/>
    <w:rsid w:val="00EB1894"/>
    <w:rsid w:val="00EB18E1"/>
    <w:rsid w:val="00EB191F"/>
    <w:rsid w:val="00EB197A"/>
    <w:rsid w:val="00EB19CE"/>
    <w:rsid w:val="00EB19F7"/>
    <w:rsid w:val="00EB19FC"/>
    <w:rsid w:val="00EB1A9D"/>
    <w:rsid w:val="00EB1ABD"/>
    <w:rsid w:val="00EB1AFE"/>
    <w:rsid w:val="00EB1B82"/>
    <w:rsid w:val="00EB1BEF"/>
    <w:rsid w:val="00EB1C35"/>
    <w:rsid w:val="00EB1DFC"/>
    <w:rsid w:val="00EB201C"/>
    <w:rsid w:val="00EB2025"/>
    <w:rsid w:val="00EB2394"/>
    <w:rsid w:val="00EB2497"/>
    <w:rsid w:val="00EB25D0"/>
    <w:rsid w:val="00EB268A"/>
    <w:rsid w:val="00EB28BA"/>
    <w:rsid w:val="00EB2966"/>
    <w:rsid w:val="00EB29CC"/>
    <w:rsid w:val="00EB2A1B"/>
    <w:rsid w:val="00EB2ABD"/>
    <w:rsid w:val="00EB2B89"/>
    <w:rsid w:val="00EB2BE8"/>
    <w:rsid w:val="00EB2C1E"/>
    <w:rsid w:val="00EB2D02"/>
    <w:rsid w:val="00EB2D7D"/>
    <w:rsid w:val="00EB2DE0"/>
    <w:rsid w:val="00EB2E9F"/>
    <w:rsid w:val="00EB308E"/>
    <w:rsid w:val="00EB30BC"/>
    <w:rsid w:val="00EB314E"/>
    <w:rsid w:val="00EB3196"/>
    <w:rsid w:val="00EB33D8"/>
    <w:rsid w:val="00EB353E"/>
    <w:rsid w:val="00EB3744"/>
    <w:rsid w:val="00EB3763"/>
    <w:rsid w:val="00EB3955"/>
    <w:rsid w:val="00EB3964"/>
    <w:rsid w:val="00EB3A8F"/>
    <w:rsid w:val="00EB3AB8"/>
    <w:rsid w:val="00EB3B98"/>
    <w:rsid w:val="00EB3C4F"/>
    <w:rsid w:val="00EB3D68"/>
    <w:rsid w:val="00EB3D75"/>
    <w:rsid w:val="00EB3DDC"/>
    <w:rsid w:val="00EB3F3D"/>
    <w:rsid w:val="00EB3FE1"/>
    <w:rsid w:val="00EB4052"/>
    <w:rsid w:val="00EB408D"/>
    <w:rsid w:val="00EB4133"/>
    <w:rsid w:val="00EB41FF"/>
    <w:rsid w:val="00EB423D"/>
    <w:rsid w:val="00EB429D"/>
    <w:rsid w:val="00EB42B5"/>
    <w:rsid w:val="00EB43FD"/>
    <w:rsid w:val="00EB44DB"/>
    <w:rsid w:val="00EB454A"/>
    <w:rsid w:val="00EB4562"/>
    <w:rsid w:val="00EB4577"/>
    <w:rsid w:val="00EB45BB"/>
    <w:rsid w:val="00EB47CD"/>
    <w:rsid w:val="00EB4801"/>
    <w:rsid w:val="00EB4943"/>
    <w:rsid w:val="00EB49DC"/>
    <w:rsid w:val="00EB4AC1"/>
    <w:rsid w:val="00EB4AFA"/>
    <w:rsid w:val="00EB4B82"/>
    <w:rsid w:val="00EB4C94"/>
    <w:rsid w:val="00EB4C9A"/>
    <w:rsid w:val="00EB4D36"/>
    <w:rsid w:val="00EB4D49"/>
    <w:rsid w:val="00EB4D74"/>
    <w:rsid w:val="00EB4EF7"/>
    <w:rsid w:val="00EB5021"/>
    <w:rsid w:val="00EB52CE"/>
    <w:rsid w:val="00EB536C"/>
    <w:rsid w:val="00EB53A9"/>
    <w:rsid w:val="00EB5454"/>
    <w:rsid w:val="00EB54CA"/>
    <w:rsid w:val="00EB554A"/>
    <w:rsid w:val="00EB5551"/>
    <w:rsid w:val="00EB5673"/>
    <w:rsid w:val="00EB5695"/>
    <w:rsid w:val="00EB56A4"/>
    <w:rsid w:val="00EB56B2"/>
    <w:rsid w:val="00EB572A"/>
    <w:rsid w:val="00EB5755"/>
    <w:rsid w:val="00EB594F"/>
    <w:rsid w:val="00EB5955"/>
    <w:rsid w:val="00EB5983"/>
    <w:rsid w:val="00EB5B9B"/>
    <w:rsid w:val="00EB5C2E"/>
    <w:rsid w:val="00EB5DD4"/>
    <w:rsid w:val="00EB60DC"/>
    <w:rsid w:val="00EB6158"/>
    <w:rsid w:val="00EB626E"/>
    <w:rsid w:val="00EB62D7"/>
    <w:rsid w:val="00EB62DE"/>
    <w:rsid w:val="00EB6349"/>
    <w:rsid w:val="00EB64B4"/>
    <w:rsid w:val="00EB65C9"/>
    <w:rsid w:val="00EB6696"/>
    <w:rsid w:val="00EB66FF"/>
    <w:rsid w:val="00EB6734"/>
    <w:rsid w:val="00EB6790"/>
    <w:rsid w:val="00EB6930"/>
    <w:rsid w:val="00EB6A37"/>
    <w:rsid w:val="00EB6A8D"/>
    <w:rsid w:val="00EB6AF4"/>
    <w:rsid w:val="00EB6BDC"/>
    <w:rsid w:val="00EB6E41"/>
    <w:rsid w:val="00EB6E4D"/>
    <w:rsid w:val="00EB6E9E"/>
    <w:rsid w:val="00EB6EA0"/>
    <w:rsid w:val="00EB70F1"/>
    <w:rsid w:val="00EB7185"/>
    <w:rsid w:val="00EB7186"/>
    <w:rsid w:val="00EB71D1"/>
    <w:rsid w:val="00EB71DF"/>
    <w:rsid w:val="00EB71E7"/>
    <w:rsid w:val="00EB725B"/>
    <w:rsid w:val="00EB7373"/>
    <w:rsid w:val="00EB7505"/>
    <w:rsid w:val="00EB76F6"/>
    <w:rsid w:val="00EB77CA"/>
    <w:rsid w:val="00EB7875"/>
    <w:rsid w:val="00EB7877"/>
    <w:rsid w:val="00EB7999"/>
    <w:rsid w:val="00EB79C9"/>
    <w:rsid w:val="00EB79EC"/>
    <w:rsid w:val="00EB7B69"/>
    <w:rsid w:val="00EB7C19"/>
    <w:rsid w:val="00EB7F6A"/>
    <w:rsid w:val="00EB7F78"/>
    <w:rsid w:val="00EC001D"/>
    <w:rsid w:val="00EC029F"/>
    <w:rsid w:val="00EC0419"/>
    <w:rsid w:val="00EC047E"/>
    <w:rsid w:val="00EC058B"/>
    <w:rsid w:val="00EC05FE"/>
    <w:rsid w:val="00EC08C9"/>
    <w:rsid w:val="00EC0A70"/>
    <w:rsid w:val="00EC0AC1"/>
    <w:rsid w:val="00EC0BA3"/>
    <w:rsid w:val="00EC0BC5"/>
    <w:rsid w:val="00EC0C20"/>
    <w:rsid w:val="00EC0C56"/>
    <w:rsid w:val="00EC0D43"/>
    <w:rsid w:val="00EC0E15"/>
    <w:rsid w:val="00EC1050"/>
    <w:rsid w:val="00EC105B"/>
    <w:rsid w:val="00EC114C"/>
    <w:rsid w:val="00EC115E"/>
    <w:rsid w:val="00EC11B9"/>
    <w:rsid w:val="00EC1260"/>
    <w:rsid w:val="00EC1313"/>
    <w:rsid w:val="00EC1356"/>
    <w:rsid w:val="00EC158F"/>
    <w:rsid w:val="00EC1623"/>
    <w:rsid w:val="00EC1679"/>
    <w:rsid w:val="00EC1716"/>
    <w:rsid w:val="00EC17D3"/>
    <w:rsid w:val="00EC17F4"/>
    <w:rsid w:val="00EC1B75"/>
    <w:rsid w:val="00EC1CDF"/>
    <w:rsid w:val="00EC1D3D"/>
    <w:rsid w:val="00EC1FBC"/>
    <w:rsid w:val="00EC20EB"/>
    <w:rsid w:val="00EC2265"/>
    <w:rsid w:val="00EC2298"/>
    <w:rsid w:val="00EC22E0"/>
    <w:rsid w:val="00EC237B"/>
    <w:rsid w:val="00EC2465"/>
    <w:rsid w:val="00EC24A7"/>
    <w:rsid w:val="00EC24D0"/>
    <w:rsid w:val="00EC2598"/>
    <w:rsid w:val="00EC25C9"/>
    <w:rsid w:val="00EC277F"/>
    <w:rsid w:val="00EC2780"/>
    <w:rsid w:val="00EC27B8"/>
    <w:rsid w:val="00EC2854"/>
    <w:rsid w:val="00EC297F"/>
    <w:rsid w:val="00EC29F0"/>
    <w:rsid w:val="00EC2A84"/>
    <w:rsid w:val="00EC2C40"/>
    <w:rsid w:val="00EC2EAD"/>
    <w:rsid w:val="00EC2EB4"/>
    <w:rsid w:val="00EC303F"/>
    <w:rsid w:val="00EC3047"/>
    <w:rsid w:val="00EC30D8"/>
    <w:rsid w:val="00EC3266"/>
    <w:rsid w:val="00EC33AC"/>
    <w:rsid w:val="00EC3550"/>
    <w:rsid w:val="00EC35C8"/>
    <w:rsid w:val="00EC35D0"/>
    <w:rsid w:val="00EC35E4"/>
    <w:rsid w:val="00EC36C3"/>
    <w:rsid w:val="00EC36E5"/>
    <w:rsid w:val="00EC3802"/>
    <w:rsid w:val="00EC3A9B"/>
    <w:rsid w:val="00EC3AE5"/>
    <w:rsid w:val="00EC3C61"/>
    <w:rsid w:val="00EC3CCD"/>
    <w:rsid w:val="00EC3D67"/>
    <w:rsid w:val="00EC3DE8"/>
    <w:rsid w:val="00EC3E5A"/>
    <w:rsid w:val="00EC3EC1"/>
    <w:rsid w:val="00EC3EC4"/>
    <w:rsid w:val="00EC40A9"/>
    <w:rsid w:val="00EC40D0"/>
    <w:rsid w:val="00EC4114"/>
    <w:rsid w:val="00EC4259"/>
    <w:rsid w:val="00EC42D8"/>
    <w:rsid w:val="00EC4554"/>
    <w:rsid w:val="00EC4583"/>
    <w:rsid w:val="00EC45FC"/>
    <w:rsid w:val="00EC4618"/>
    <w:rsid w:val="00EC46B1"/>
    <w:rsid w:val="00EC48A3"/>
    <w:rsid w:val="00EC496A"/>
    <w:rsid w:val="00EC49D0"/>
    <w:rsid w:val="00EC4A28"/>
    <w:rsid w:val="00EC4AD8"/>
    <w:rsid w:val="00EC4B2A"/>
    <w:rsid w:val="00EC4B7D"/>
    <w:rsid w:val="00EC4B9C"/>
    <w:rsid w:val="00EC4BC5"/>
    <w:rsid w:val="00EC4CC9"/>
    <w:rsid w:val="00EC4CCB"/>
    <w:rsid w:val="00EC4D29"/>
    <w:rsid w:val="00EC4E03"/>
    <w:rsid w:val="00EC4E89"/>
    <w:rsid w:val="00EC4F34"/>
    <w:rsid w:val="00EC4FD2"/>
    <w:rsid w:val="00EC501C"/>
    <w:rsid w:val="00EC517C"/>
    <w:rsid w:val="00EC51B0"/>
    <w:rsid w:val="00EC51C8"/>
    <w:rsid w:val="00EC52BE"/>
    <w:rsid w:val="00EC533B"/>
    <w:rsid w:val="00EC55B1"/>
    <w:rsid w:val="00EC5769"/>
    <w:rsid w:val="00EC577A"/>
    <w:rsid w:val="00EC57EA"/>
    <w:rsid w:val="00EC5876"/>
    <w:rsid w:val="00EC58AC"/>
    <w:rsid w:val="00EC58F4"/>
    <w:rsid w:val="00EC598B"/>
    <w:rsid w:val="00EC59C4"/>
    <w:rsid w:val="00EC5A0D"/>
    <w:rsid w:val="00EC5A60"/>
    <w:rsid w:val="00EC5A91"/>
    <w:rsid w:val="00EC5C03"/>
    <w:rsid w:val="00EC5D8F"/>
    <w:rsid w:val="00EC5DC2"/>
    <w:rsid w:val="00EC5E61"/>
    <w:rsid w:val="00EC5E9E"/>
    <w:rsid w:val="00EC5FE6"/>
    <w:rsid w:val="00EC6033"/>
    <w:rsid w:val="00EC605F"/>
    <w:rsid w:val="00EC614B"/>
    <w:rsid w:val="00EC61C2"/>
    <w:rsid w:val="00EC6288"/>
    <w:rsid w:val="00EC62BF"/>
    <w:rsid w:val="00EC63F2"/>
    <w:rsid w:val="00EC650F"/>
    <w:rsid w:val="00EC66ED"/>
    <w:rsid w:val="00EC676E"/>
    <w:rsid w:val="00EC67DB"/>
    <w:rsid w:val="00EC6C57"/>
    <w:rsid w:val="00EC6CAE"/>
    <w:rsid w:val="00EC6E9F"/>
    <w:rsid w:val="00EC6EE7"/>
    <w:rsid w:val="00EC6FC2"/>
    <w:rsid w:val="00EC70A7"/>
    <w:rsid w:val="00EC715B"/>
    <w:rsid w:val="00EC727D"/>
    <w:rsid w:val="00EC737A"/>
    <w:rsid w:val="00EC737E"/>
    <w:rsid w:val="00EC7492"/>
    <w:rsid w:val="00EC7548"/>
    <w:rsid w:val="00EC7571"/>
    <w:rsid w:val="00EC757A"/>
    <w:rsid w:val="00EC76C5"/>
    <w:rsid w:val="00EC775F"/>
    <w:rsid w:val="00EC784C"/>
    <w:rsid w:val="00EC791A"/>
    <w:rsid w:val="00EC7994"/>
    <w:rsid w:val="00EC7A9F"/>
    <w:rsid w:val="00EC7AD0"/>
    <w:rsid w:val="00EC7EAA"/>
    <w:rsid w:val="00ECC41E"/>
    <w:rsid w:val="00ED006F"/>
    <w:rsid w:val="00ED00CF"/>
    <w:rsid w:val="00ED00DD"/>
    <w:rsid w:val="00ED00DE"/>
    <w:rsid w:val="00ED03B9"/>
    <w:rsid w:val="00ED04D5"/>
    <w:rsid w:val="00ED0645"/>
    <w:rsid w:val="00ED077B"/>
    <w:rsid w:val="00ED094A"/>
    <w:rsid w:val="00ED0969"/>
    <w:rsid w:val="00ED097C"/>
    <w:rsid w:val="00ED0B53"/>
    <w:rsid w:val="00ED0C20"/>
    <w:rsid w:val="00ED0C27"/>
    <w:rsid w:val="00ED0CDA"/>
    <w:rsid w:val="00ED0D6D"/>
    <w:rsid w:val="00ED0F59"/>
    <w:rsid w:val="00ED0FA5"/>
    <w:rsid w:val="00ED0FF0"/>
    <w:rsid w:val="00ED117A"/>
    <w:rsid w:val="00ED126F"/>
    <w:rsid w:val="00ED1309"/>
    <w:rsid w:val="00ED1381"/>
    <w:rsid w:val="00ED13EE"/>
    <w:rsid w:val="00ED1651"/>
    <w:rsid w:val="00ED1653"/>
    <w:rsid w:val="00ED16F3"/>
    <w:rsid w:val="00ED18A8"/>
    <w:rsid w:val="00ED19BD"/>
    <w:rsid w:val="00ED1A52"/>
    <w:rsid w:val="00ED1BF8"/>
    <w:rsid w:val="00ED1E29"/>
    <w:rsid w:val="00ED1E2D"/>
    <w:rsid w:val="00ED1EE0"/>
    <w:rsid w:val="00ED2013"/>
    <w:rsid w:val="00ED22B7"/>
    <w:rsid w:val="00ED233E"/>
    <w:rsid w:val="00ED23BA"/>
    <w:rsid w:val="00ED23EC"/>
    <w:rsid w:val="00ED2506"/>
    <w:rsid w:val="00ED25F1"/>
    <w:rsid w:val="00ED261B"/>
    <w:rsid w:val="00ED27F4"/>
    <w:rsid w:val="00ED28AC"/>
    <w:rsid w:val="00ED292A"/>
    <w:rsid w:val="00ED2C00"/>
    <w:rsid w:val="00ED2C23"/>
    <w:rsid w:val="00ED2ECE"/>
    <w:rsid w:val="00ED2FBC"/>
    <w:rsid w:val="00ED2FD5"/>
    <w:rsid w:val="00ED306B"/>
    <w:rsid w:val="00ED30CA"/>
    <w:rsid w:val="00ED30E7"/>
    <w:rsid w:val="00ED3158"/>
    <w:rsid w:val="00ED318A"/>
    <w:rsid w:val="00ED342C"/>
    <w:rsid w:val="00ED34E1"/>
    <w:rsid w:val="00ED34FA"/>
    <w:rsid w:val="00ED350A"/>
    <w:rsid w:val="00ED3513"/>
    <w:rsid w:val="00ED35D0"/>
    <w:rsid w:val="00ED36AA"/>
    <w:rsid w:val="00ED36CB"/>
    <w:rsid w:val="00ED37C4"/>
    <w:rsid w:val="00ED3909"/>
    <w:rsid w:val="00ED3A46"/>
    <w:rsid w:val="00ED3A4B"/>
    <w:rsid w:val="00ED3AE8"/>
    <w:rsid w:val="00ED3B55"/>
    <w:rsid w:val="00ED3B87"/>
    <w:rsid w:val="00ED3CB8"/>
    <w:rsid w:val="00ED3E10"/>
    <w:rsid w:val="00ED41EB"/>
    <w:rsid w:val="00ED421A"/>
    <w:rsid w:val="00ED425E"/>
    <w:rsid w:val="00ED4345"/>
    <w:rsid w:val="00ED43BC"/>
    <w:rsid w:val="00ED4458"/>
    <w:rsid w:val="00ED4498"/>
    <w:rsid w:val="00ED449C"/>
    <w:rsid w:val="00ED4542"/>
    <w:rsid w:val="00ED4561"/>
    <w:rsid w:val="00ED46F0"/>
    <w:rsid w:val="00ED4798"/>
    <w:rsid w:val="00ED47F3"/>
    <w:rsid w:val="00ED4860"/>
    <w:rsid w:val="00ED4A1F"/>
    <w:rsid w:val="00ED4CCE"/>
    <w:rsid w:val="00ED4CEB"/>
    <w:rsid w:val="00ED4D65"/>
    <w:rsid w:val="00ED4D9E"/>
    <w:rsid w:val="00ED4F0C"/>
    <w:rsid w:val="00ED4F71"/>
    <w:rsid w:val="00ED4FE0"/>
    <w:rsid w:val="00ED5052"/>
    <w:rsid w:val="00ED5098"/>
    <w:rsid w:val="00ED50A8"/>
    <w:rsid w:val="00ED51E6"/>
    <w:rsid w:val="00ED540B"/>
    <w:rsid w:val="00ED544F"/>
    <w:rsid w:val="00ED55EA"/>
    <w:rsid w:val="00ED5629"/>
    <w:rsid w:val="00ED58DE"/>
    <w:rsid w:val="00ED58FF"/>
    <w:rsid w:val="00ED5C3E"/>
    <w:rsid w:val="00ED5C5D"/>
    <w:rsid w:val="00ED5D37"/>
    <w:rsid w:val="00ED5D46"/>
    <w:rsid w:val="00ED5D5F"/>
    <w:rsid w:val="00ED5D79"/>
    <w:rsid w:val="00ED5FA6"/>
    <w:rsid w:val="00ED5FF2"/>
    <w:rsid w:val="00ED631D"/>
    <w:rsid w:val="00ED635C"/>
    <w:rsid w:val="00ED6396"/>
    <w:rsid w:val="00ED6426"/>
    <w:rsid w:val="00ED6479"/>
    <w:rsid w:val="00ED6484"/>
    <w:rsid w:val="00ED65BD"/>
    <w:rsid w:val="00ED6721"/>
    <w:rsid w:val="00ED6747"/>
    <w:rsid w:val="00ED6752"/>
    <w:rsid w:val="00ED68AF"/>
    <w:rsid w:val="00ED68E0"/>
    <w:rsid w:val="00ED6A2A"/>
    <w:rsid w:val="00ED6A76"/>
    <w:rsid w:val="00ED6ADA"/>
    <w:rsid w:val="00ED6E1F"/>
    <w:rsid w:val="00ED6F90"/>
    <w:rsid w:val="00ED7079"/>
    <w:rsid w:val="00ED7187"/>
    <w:rsid w:val="00ED71CA"/>
    <w:rsid w:val="00ED7249"/>
    <w:rsid w:val="00ED7391"/>
    <w:rsid w:val="00ED7430"/>
    <w:rsid w:val="00ED74F4"/>
    <w:rsid w:val="00ED751C"/>
    <w:rsid w:val="00ED7554"/>
    <w:rsid w:val="00ED75DE"/>
    <w:rsid w:val="00ED76F4"/>
    <w:rsid w:val="00ED770C"/>
    <w:rsid w:val="00ED7836"/>
    <w:rsid w:val="00ED784A"/>
    <w:rsid w:val="00ED78D2"/>
    <w:rsid w:val="00ED7B15"/>
    <w:rsid w:val="00ED7B1F"/>
    <w:rsid w:val="00ED7B3A"/>
    <w:rsid w:val="00ED7CC8"/>
    <w:rsid w:val="00ED7EB4"/>
    <w:rsid w:val="00EE0065"/>
    <w:rsid w:val="00EE006E"/>
    <w:rsid w:val="00EE00BF"/>
    <w:rsid w:val="00EE00E9"/>
    <w:rsid w:val="00EE0169"/>
    <w:rsid w:val="00EE0297"/>
    <w:rsid w:val="00EE03B7"/>
    <w:rsid w:val="00EE046F"/>
    <w:rsid w:val="00EE0513"/>
    <w:rsid w:val="00EE0749"/>
    <w:rsid w:val="00EE0756"/>
    <w:rsid w:val="00EE075E"/>
    <w:rsid w:val="00EE08CF"/>
    <w:rsid w:val="00EE09FD"/>
    <w:rsid w:val="00EE0A0F"/>
    <w:rsid w:val="00EE0B25"/>
    <w:rsid w:val="00EE0C84"/>
    <w:rsid w:val="00EE0CCA"/>
    <w:rsid w:val="00EE0D9D"/>
    <w:rsid w:val="00EE0DA9"/>
    <w:rsid w:val="00EE0E6A"/>
    <w:rsid w:val="00EE0F70"/>
    <w:rsid w:val="00EE0F7C"/>
    <w:rsid w:val="00EE0FA2"/>
    <w:rsid w:val="00EE1131"/>
    <w:rsid w:val="00EE114F"/>
    <w:rsid w:val="00EE1219"/>
    <w:rsid w:val="00EE125D"/>
    <w:rsid w:val="00EE1292"/>
    <w:rsid w:val="00EE12F4"/>
    <w:rsid w:val="00EE14E3"/>
    <w:rsid w:val="00EE14E4"/>
    <w:rsid w:val="00EE14F3"/>
    <w:rsid w:val="00EE1503"/>
    <w:rsid w:val="00EE1531"/>
    <w:rsid w:val="00EE167C"/>
    <w:rsid w:val="00EE170A"/>
    <w:rsid w:val="00EE1780"/>
    <w:rsid w:val="00EE18CE"/>
    <w:rsid w:val="00EE1B84"/>
    <w:rsid w:val="00EE1C2E"/>
    <w:rsid w:val="00EE1E1E"/>
    <w:rsid w:val="00EE1ED5"/>
    <w:rsid w:val="00EE20D0"/>
    <w:rsid w:val="00EE216A"/>
    <w:rsid w:val="00EE22A5"/>
    <w:rsid w:val="00EE22AF"/>
    <w:rsid w:val="00EE253E"/>
    <w:rsid w:val="00EE256A"/>
    <w:rsid w:val="00EE25A9"/>
    <w:rsid w:val="00EE2667"/>
    <w:rsid w:val="00EE274D"/>
    <w:rsid w:val="00EE27A6"/>
    <w:rsid w:val="00EE27CD"/>
    <w:rsid w:val="00EE2AAC"/>
    <w:rsid w:val="00EE2DC5"/>
    <w:rsid w:val="00EE2DD1"/>
    <w:rsid w:val="00EE2DE4"/>
    <w:rsid w:val="00EE2E5B"/>
    <w:rsid w:val="00EE2F98"/>
    <w:rsid w:val="00EE3017"/>
    <w:rsid w:val="00EE30BF"/>
    <w:rsid w:val="00EE30F5"/>
    <w:rsid w:val="00EE3134"/>
    <w:rsid w:val="00EE327F"/>
    <w:rsid w:val="00EE32E0"/>
    <w:rsid w:val="00EE333A"/>
    <w:rsid w:val="00EE3563"/>
    <w:rsid w:val="00EE360A"/>
    <w:rsid w:val="00EE36BC"/>
    <w:rsid w:val="00EE3787"/>
    <w:rsid w:val="00EE3868"/>
    <w:rsid w:val="00EE3AC9"/>
    <w:rsid w:val="00EE3B2F"/>
    <w:rsid w:val="00EE3C2B"/>
    <w:rsid w:val="00EE3C8A"/>
    <w:rsid w:val="00EE3CFC"/>
    <w:rsid w:val="00EE3D77"/>
    <w:rsid w:val="00EE3DBB"/>
    <w:rsid w:val="00EE3DC8"/>
    <w:rsid w:val="00EE3E8A"/>
    <w:rsid w:val="00EE3FDA"/>
    <w:rsid w:val="00EE405B"/>
    <w:rsid w:val="00EE4081"/>
    <w:rsid w:val="00EE40A7"/>
    <w:rsid w:val="00EE410F"/>
    <w:rsid w:val="00EE4263"/>
    <w:rsid w:val="00EE4344"/>
    <w:rsid w:val="00EE438E"/>
    <w:rsid w:val="00EE43FE"/>
    <w:rsid w:val="00EE4435"/>
    <w:rsid w:val="00EE4586"/>
    <w:rsid w:val="00EE4619"/>
    <w:rsid w:val="00EE464C"/>
    <w:rsid w:val="00EE46E8"/>
    <w:rsid w:val="00EE482F"/>
    <w:rsid w:val="00EE4838"/>
    <w:rsid w:val="00EE4990"/>
    <w:rsid w:val="00EE4ACE"/>
    <w:rsid w:val="00EE4BBD"/>
    <w:rsid w:val="00EE4C13"/>
    <w:rsid w:val="00EE4CFD"/>
    <w:rsid w:val="00EE4D4C"/>
    <w:rsid w:val="00EE4D4F"/>
    <w:rsid w:val="00EE4E61"/>
    <w:rsid w:val="00EE4E7F"/>
    <w:rsid w:val="00EE4E80"/>
    <w:rsid w:val="00EE4E89"/>
    <w:rsid w:val="00EE4ED6"/>
    <w:rsid w:val="00EE4EE6"/>
    <w:rsid w:val="00EE4F5C"/>
    <w:rsid w:val="00EE4F7D"/>
    <w:rsid w:val="00EE4F9E"/>
    <w:rsid w:val="00EE50A8"/>
    <w:rsid w:val="00EE5172"/>
    <w:rsid w:val="00EE51E7"/>
    <w:rsid w:val="00EE5553"/>
    <w:rsid w:val="00EE5646"/>
    <w:rsid w:val="00EE5656"/>
    <w:rsid w:val="00EE57E9"/>
    <w:rsid w:val="00EE5822"/>
    <w:rsid w:val="00EE5B22"/>
    <w:rsid w:val="00EE5BA9"/>
    <w:rsid w:val="00EE5E92"/>
    <w:rsid w:val="00EE5EF8"/>
    <w:rsid w:val="00EE5F20"/>
    <w:rsid w:val="00EE5FEF"/>
    <w:rsid w:val="00EE63DE"/>
    <w:rsid w:val="00EE64D1"/>
    <w:rsid w:val="00EE6627"/>
    <w:rsid w:val="00EE66F7"/>
    <w:rsid w:val="00EE6737"/>
    <w:rsid w:val="00EE69E1"/>
    <w:rsid w:val="00EE6A17"/>
    <w:rsid w:val="00EE6A8C"/>
    <w:rsid w:val="00EE6B0A"/>
    <w:rsid w:val="00EE6BCA"/>
    <w:rsid w:val="00EE6CC9"/>
    <w:rsid w:val="00EE6D4B"/>
    <w:rsid w:val="00EE6DB0"/>
    <w:rsid w:val="00EE6E10"/>
    <w:rsid w:val="00EE6E21"/>
    <w:rsid w:val="00EE6E58"/>
    <w:rsid w:val="00EE6ED2"/>
    <w:rsid w:val="00EE6FAA"/>
    <w:rsid w:val="00EE6FAE"/>
    <w:rsid w:val="00EE6FB7"/>
    <w:rsid w:val="00EE6FFA"/>
    <w:rsid w:val="00EE7027"/>
    <w:rsid w:val="00EE7123"/>
    <w:rsid w:val="00EE71AF"/>
    <w:rsid w:val="00EE7257"/>
    <w:rsid w:val="00EE72D1"/>
    <w:rsid w:val="00EE757B"/>
    <w:rsid w:val="00EE76A8"/>
    <w:rsid w:val="00EE778C"/>
    <w:rsid w:val="00EE77DC"/>
    <w:rsid w:val="00EE7803"/>
    <w:rsid w:val="00EE783C"/>
    <w:rsid w:val="00EE793D"/>
    <w:rsid w:val="00EE7A9C"/>
    <w:rsid w:val="00EE7B29"/>
    <w:rsid w:val="00EE7B78"/>
    <w:rsid w:val="00EE7BD7"/>
    <w:rsid w:val="00EE7C33"/>
    <w:rsid w:val="00EE7E86"/>
    <w:rsid w:val="00EE7F4D"/>
    <w:rsid w:val="00EF005E"/>
    <w:rsid w:val="00EF0316"/>
    <w:rsid w:val="00EF0423"/>
    <w:rsid w:val="00EF0447"/>
    <w:rsid w:val="00EF05ED"/>
    <w:rsid w:val="00EF067B"/>
    <w:rsid w:val="00EF06E4"/>
    <w:rsid w:val="00EF06EF"/>
    <w:rsid w:val="00EF0722"/>
    <w:rsid w:val="00EF078B"/>
    <w:rsid w:val="00EF092A"/>
    <w:rsid w:val="00EF0A90"/>
    <w:rsid w:val="00EF0AB3"/>
    <w:rsid w:val="00EF0AE9"/>
    <w:rsid w:val="00EF0AEB"/>
    <w:rsid w:val="00EF0C2B"/>
    <w:rsid w:val="00EF0CAF"/>
    <w:rsid w:val="00EF0CD8"/>
    <w:rsid w:val="00EF0D0D"/>
    <w:rsid w:val="00EF0EAF"/>
    <w:rsid w:val="00EF0F13"/>
    <w:rsid w:val="00EF0FAE"/>
    <w:rsid w:val="00EF0FB8"/>
    <w:rsid w:val="00EF1018"/>
    <w:rsid w:val="00EF107A"/>
    <w:rsid w:val="00EF1102"/>
    <w:rsid w:val="00EF1187"/>
    <w:rsid w:val="00EF1449"/>
    <w:rsid w:val="00EF144A"/>
    <w:rsid w:val="00EF14AC"/>
    <w:rsid w:val="00EF155D"/>
    <w:rsid w:val="00EF16AE"/>
    <w:rsid w:val="00EF16D2"/>
    <w:rsid w:val="00EF16ED"/>
    <w:rsid w:val="00EF1770"/>
    <w:rsid w:val="00EF180D"/>
    <w:rsid w:val="00EF182C"/>
    <w:rsid w:val="00EF1865"/>
    <w:rsid w:val="00EF1872"/>
    <w:rsid w:val="00EF189E"/>
    <w:rsid w:val="00EF191E"/>
    <w:rsid w:val="00EF1B20"/>
    <w:rsid w:val="00EF1D2C"/>
    <w:rsid w:val="00EF1F21"/>
    <w:rsid w:val="00EF2014"/>
    <w:rsid w:val="00EF20FA"/>
    <w:rsid w:val="00EF2151"/>
    <w:rsid w:val="00EF2230"/>
    <w:rsid w:val="00EF22F3"/>
    <w:rsid w:val="00EF2313"/>
    <w:rsid w:val="00EF23FF"/>
    <w:rsid w:val="00EF246B"/>
    <w:rsid w:val="00EF256A"/>
    <w:rsid w:val="00EF2580"/>
    <w:rsid w:val="00EF2588"/>
    <w:rsid w:val="00EF25D2"/>
    <w:rsid w:val="00EF25F7"/>
    <w:rsid w:val="00EF26AD"/>
    <w:rsid w:val="00EF2700"/>
    <w:rsid w:val="00EF292C"/>
    <w:rsid w:val="00EF29B8"/>
    <w:rsid w:val="00EF2A70"/>
    <w:rsid w:val="00EF2B95"/>
    <w:rsid w:val="00EF2BA1"/>
    <w:rsid w:val="00EF2C18"/>
    <w:rsid w:val="00EF2CD6"/>
    <w:rsid w:val="00EF2D73"/>
    <w:rsid w:val="00EF2E1C"/>
    <w:rsid w:val="00EF2EFB"/>
    <w:rsid w:val="00EF300C"/>
    <w:rsid w:val="00EF3087"/>
    <w:rsid w:val="00EF30F8"/>
    <w:rsid w:val="00EF31CF"/>
    <w:rsid w:val="00EF321D"/>
    <w:rsid w:val="00EF3224"/>
    <w:rsid w:val="00EF32A7"/>
    <w:rsid w:val="00EF3350"/>
    <w:rsid w:val="00EF3388"/>
    <w:rsid w:val="00EF3405"/>
    <w:rsid w:val="00EF37B0"/>
    <w:rsid w:val="00EF37B4"/>
    <w:rsid w:val="00EF37DB"/>
    <w:rsid w:val="00EF3834"/>
    <w:rsid w:val="00EF3884"/>
    <w:rsid w:val="00EF3887"/>
    <w:rsid w:val="00EF391F"/>
    <w:rsid w:val="00EF3C00"/>
    <w:rsid w:val="00EF3D98"/>
    <w:rsid w:val="00EF3DAC"/>
    <w:rsid w:val="00EF3F99"/>
    <w:rsid w:val="00EF3FDD"/>
    <w:rsid w:val="00EF40F4"/>
    <w:rsid w:val="00EF40F9"/>
    <w:rsid w:val="00EF41DC"/>
    <w:rsid w:val="00EF4224"/>
    <w:rsid w:val="00EF425F"/>
    <w:rsid w:val="00EF4428"/>
    <w:rsid w:val="00EF44B9"/>
    <w:rsid w:val="00EF453D"/>
    <w:rsid w:val="00EF461E"/>
    <w:rsid w:val="00EF465E"/>
    <w:rsid w:val="00EF47B8"/>
    <w:rsid w:val="00EF4B07"/>
    <w:rsid w:val="00EF4CD0"/>
    <w:rsid w:val="00EF4D6A"/>
    <w:rsid w:val="00EF4D73"/>
    <w:rsid w:val="00EF4E4B"/>
    <w:rsid w:val="00EF4F2B"/>
    <w:rsid w:val="00EF4FEF"/>
    <w:rsid w:val="00EF5064"/>
    <w:rsid w:val="00EF50DC"/>
    <w:rsid w:val="00EF510A"/>
    <w:rsid w:val="00EF5136"/>
    <w:rsid w:val="00EF514C"/>
    <w:rsid w:val="00EF51AF"/>
    <w:rsid w:val="00EF5363"/>
    <w:rsid w:val="00EF5369"/>
    <w:rsid w:val="00EF57BB"/>
    <w:rsid w:val="00EF57BD"/>
    <w:rsid w:val="00EF5878"/>
    <w:rsid w:val="00EF59BE"/>
    <w:rsid w:val="00EF5A91"/>
    <w:rsid w:val="00EF5ACC"/>
    <w:rsid w:val="00EF5AE0"/>
    <w:rsid w:val="00EF5B19"/>
    <w:rsid w:val="00EF5B41"/>
    <w:rsid w:val="00EF5C54"/>
    <w:rsid w:val="00EF5D25"/>
    <w:rsid w:val="00EF5DF6"/>
    <w:rsid w:val="00EF5E2D"/>
    <w:rsid w:val="00EF604A"/>
    <w:rsid w:val="00EF6057"/>
    <w:rsid w:val="00EF61A1"/>
    <w:rsid w:val="00EF61D5"/>
    <w:rsid w:val="00EF6415"/>
    <w:rsid w:val="00EF642E"/>
    <w:rsid w:val="00EF646B"/>
    <w:rsid w:val="00EF648B"/>
    <w:rsid w:val="00EF649E"/>
    <w:rsid w:val="00EF64ED"/>
    <w:rsid w:val="00EF65CB"/>
    <w:rsid w:val="00EF668E"/>
    <w:rsid w:val="00EF679D"/>
    <w:rsid w:val="00EF67BF"/>
    <w:rsid w:val="00EF688F"/>
    <w:rsid w:val="00EF689D"/>
    <w:rsid w:val="00EF6B38"/>
    <w:rsid w:val="00EF6C5D"/>
    <w:rsid w:val="00EF6D8A"/>
    <w:rsid w:val="00EF6E3E"/>
    <w:rsid w:val="00EF6F5A"/>
    <w:rsid w:val="00EF7014"/>
    <w:rsid w:val="00EF7023"/>
    <w:rsid w:val="00EF7096"/>
    <w:rsid w:val="00EF7329"/>
    <w:rsid w:val="00EF7336"/>
    <w:rsid w:val="00EF74D4"/>
    <w:rsid w:val="00EF74E3"/>
    <w:rsid w:val="00EF76C3"/>
    <w:rsid w:val="00EF773F"/>
    <w:rsid w:val="00EF7852"/>
    <w:rsid w:val="00EF7875"/>
    <w:rsid w:val="00EF789A"/>
    <w:rsid w:val="00EF7919"/>
    <w:rsid w:val="00EF79FB"/>
    <w:rsid w:val="00EF7B35"/>
    <w:rsid w:val="00EF7B4A"/>
    <w:rsid w:val="00EF7B6B"/>
    <w:rsid w:val="00EF7CCB"/>
    <w:rsid w:val="00EF7D0C"/>
    <w:rsid w:val="00EF7D19"/>
    <w:rsid w:val="00EF7D2D"/>
    <w:rsid w:val="00EF7DA7"/>
    <w:rsid w:val="00EF7DC0"/>
    <w:rsid w:val="00EF7E45"/>
    <w:rsid w:val="00EF7E52"/>
    <w:rsid w:val="00EF7EDF"/>
    <w:rsid w:val="00EF7F6A"/>
    <w:rsid w:val="00EFFAA6"/>
    <w:rsid w:val="00F0011A"/>
    <w:rsid w:val="00F00156"/>
    <w:rsid w:val="00F0016C"/>
    <w:rsid w:val="00F001B7"/>
    <w:rsid w:val="00F002BD"/>
    <w:rsid w:val="00F002FB"/>
    <w:rsid w:val="00F00314"/>
    <w:rsid w:val="00F003F5"/>
    <w:rsid w:val="00F0045A"/>
    <w:rsid w:val="00F0055D"/>
    <w:rsid w:val="00F00699"/>
    <w:rsid w:val="00F00720"/>
    <w:rsid w:val="00F007B3"/>
    <w:rsid w:val="00F00836"/>
    <w:rsid w:val="00F00853"/>
    <w:rsid w:val="00F00866"/>
    <w:rsid w:val="00F00886"/>
    <w:rsid w:val="00F008BD"/>
    <w:rsid w:val="00F00936"/>
    <w:rsid w:val="00F00A03"/>
    <w:rsid w:val="00F00B0F"/>
    <w:rsid w:val="00F00B43"/>
    <w:rsid w:val="00F00D29"/>
    <w:rsid w:val="00F00FD1"/>
    <w:rsid w:val="00F01090"/>
    <w:rsid w:val="00F01356"/>
    <w:rsid w:val="00F01397"/>
    <w:rsid w:val="00F0144B"/>
    <w:rsid w:val="00F0150B"/>
    <w:rsid w:val="00F01568"/>
    <w:rsid w:val="00F0163E"/>
    <w:rsid w:val="00F01686"/>
    <w:rsid w:val="00F0179E"/>
    <w:rsid w:val="00F01A18"/>
    <w:rsid w:val="00F01BA5"/>
    <w:rsid w:val="00F01C6F"/>
    <w:rsid w:val="00F01FC3"/>
    <w:rsid w:val="00F0217D"/>
    <w:rsid w:val="00F027EA"/>
    <w:rsid w:val="00F027FD"/>
    <w:rsid w:val="00F0283C"/>
    <w:rsid w:val="00F028D0"/>
    <w:rsid w:val="00F029A3"/>
    <w:rsid w:val="00F02B23"/>
    <w:rsid w:val="00F02BE1"/>
    <w:rsid w:val="00F02C0E"/>
    <w:rsid w:val="00F02C56"/>
    <w:rsid w:val="00F02D9D"/>
    <w:rsid w:val="00F02FA2"/>
    <w:rsid w:val="00F03069"/>
    <w:rsid w:val="00F031C6"/>
    <w:rsid w:val="00F032DA"/>
    <w:rsid w:val="00F0336E"/>
    <w:rsid w:val="00F033E2"/>
    <w:rsid w:val="00F036ED"/>
    <w:rsid w:val="00F0371D"/>
    <w:rsid w:val="00F037B8"/>
    <w:rsid w:val="00F0380E"/>
    <w:rsid w:val="00F03860"/>
    <w:rsid w:val="00F03926"/>
    <w:rsid w:val="00F0396C"/>
    <w:rsid w:val="00F03F4A"/>
    <w:rsid w:val="00F03FA2"/>
    <w:rsid w:val="00F0407B"/>
    <w:rsid w:val="00F04085"/>
    <w:rsid w:val="00F04150"/>
    <w:rsid w:val="00F0417F"/>
    <w:rsid w:val="00F04240"/>
    <w:rsid w:val="00F042E9"/>
    <w:rsid w:val="00F042F4"/>
    <w:rsid w:val="00F0471A"/>
    <w:rsid w:val="00F04851"/>
    <w:rsid w:val="00F04948"/>
    <w:rsid w:val="00F049D9"/>
    <w:rsid w:val="00F04AC7"/>
    <w:rsid w:val="00F04C73"/>
    <w:rsid w:val="00F04DA9"/>
    <w:rsid w:val="00F04E71"/>
    <w:rsid w:val="00F05088"/>
    <w:rsid w:val="00F051BC"/>
    <w:rsid w:val="00F051C0"/>
    <w:rsid w:val="00F05363"/>
    <w:rsid w:val="00F05408"/>
    <w:rsid w:val="00F054EC"/>
    <w:rsid w:val="00F055E1"/>
    <w:rsid w:val="00F056B6"/>
    <w:rsid w:val="00F05853"/>
    <w:rsid w:val="00F058B2"/>
    <w:rsid w:val="00F058FE"/>
    <w:rsid w:val="00F059C0"/>
    <w:rsid w:val="00F05A30"/>
    <w:rsid w:val="00F05A3E"/>
    <w:rsid w:val="00F05A83"/>
    <w:rsid w:val="00F05A8C"/>
    <w:rsid w:val="00F05B83"/>
    <w:rsid w:val="00F05D87"/>
    <w:rsid w:val="00F05DFC"/>
    <w:rsid w:val="00F05E5D"/>
    <w:rsid w:val="00F05EBC"/>
    <w:rsid w:val="00F05F3B"/>
    <w:rsid w:val="00F060D0"/>
    <w:rsid w:val="00F060EC"/>
    <w:rsid w:val="00F06188"/>
    <w:rsid w:val="00F061BE"/>
    <w:rsid w:val="00F063E3"/>
    <w:rsid w:val="00F063FD"/>
    <w:rsid w:val="00F06500"/>
    <w:rsid w:val="00F06557"/>
    <w:rsid w:val="00F065A9"/>
    <w:rsid w:val="00F06828"/>
    <w:rsid w:val="00F06894"/>
    <w:rsid w:val="00F068CD"/>
    <w:rsid w:val="00F068CF"/>
    <w:rsid w:val="00F068D2"/>
    <w:rsid w:val="00F06905"/>
    <w:rsid w:val="00F0692F"/>
    <w:rsid w:val="00F0696A"/>
    <w:rsid w:val="00F06C2B"/>
    <w:rsid w:val="00F06C88"/>
    <w:rsid w:val="00F06D32"/>
    <w:rsid w:val="00F06E01"/>
    <w:rsid w:val="00F06EE1"/>
    <w:rsid w:val="00F06F25"/>
    <w:rsid w:val="00F07289"/>
    <w:rsid w:val="00F072D3"/>
    <w:rsid w:val="00F0732B"/>
    <w:rsid w:val="00F073AA"/>
    <w:rsid w:val="00F073FB"/>
    <w:rsid w:val="00F07531"/>
    <w:rsid w:val="00F07563"/>
    <w:rsid w:val="00F075B9"/>
    <w:rsid w:val="00F07671"/>
    <w:rsid w:val="00F076EF"/>
    <w:rsid w:val="00F07739"/>
    <w:rsid w:val="00F07818"/>
    <w:rsid w:val="00F07847"/>
    <w:rsid w:val="00F078F6"/>
    <w:rsid w:val="00F07A57"/>
    <w:rsid w:val="00F07C50"/>
    <w:rsid w:val="00F07C8F"/>
    <w:rsid w:val="00F07ECE"/>
    <w:rsid w:val="00F07F59"/>
    <w:rsid w:val="00F1012B"/>
    <w:rsid w:val="00F101DA"/>
    <w:rsid w:val="00F102DC"/>
    <w:rsid w:val="00F10330"/>
    <w:rsid w:val="00F10370"/>
    <w:rsid w:val="00F10556"/>
    <w:rsid w:val="00F10564"/>
    <w:rsid w:val="00F10661"/>
    <w:rsid w:val="00F10711"/>
    <w:rsid w:val="00F1072F"/>
    <w:rsid w:val="00F1085F"/>
    <w:rsid w:val="00F108D4"/>
    <w:rsid w:val="00F10933"/>
    <w:rsid w:val="00F1099C"/>
    <w:rsid w:val="00F10B12"/>
    <w:rsid w:val="00F10E7A"/>
    <w:rsid w:val="00F10F89"/>
    <w:rsid w:val="00F11232"/>
    <w:rsid w:val="00F11280"/>
    <w:rsid w:val="00F11330"/>
    <w:rsid w:val="00F11383"/>
    <w:rsid w:val="00F113A8"/>
    <w:rsid w:val="00F113E8"/>
    <w:rsid w:val="00F1144C"/>
    <w:rsid w:val="00F115E0"/>
    <w:rsid w:val="00F1173F"/>
    <w:rsid w:val="00F11778"/>
    <w:rsid w:val="00F11983"/>
    <w:rsid w:val="00F11B3D"/>
    <w:rsid w:val="00F11BF3"/>
    <w:rsid w:val="00F11C83"/>
    <w:rsid w:val="00F11E07"/>
    <w:rsid w:val="00F12235"/>
    <w:rsid w:val="00F12575"/>
    <w:rsid w:val="00F1257B"/>
    <w:rsid w:val="00F1278B"/>
    <w:rsid w:val="00F1281B"/>
    <w:rsid w:val="00F12829"/>
    <w:rsid w:val="00F128CB"/>
    <w:rsid w:val="00F12967"/>
    <w:rsid w:val="00F129EA"/>
    <w:rsid w:val="00F12A02"/>
    <w:rsid w:val="00F12BB8"/>
    <w:rsid w:val="00F12CA3"/>
    <w:rsid w:val="00F12CD5"/>
    <w:rsid w:val="00F12E21"/>
    <w:rsid w:val="00F12EA2"/>
    <w:rsid w:val="00F12F3C"/>
    <w:rsid w:val="00F12F3D"/>
    <w:rsid w:val="00F130CC"/>
    <w:rsid w:val="00F131BA"/>
    <w:rsid w:val="00F1320B"/>
    <w:rsid w:val="00F1321A"/>
    <w:rsid w:val="00F13346"/>
    <w:rsid w:val="00F1337C"/>
    <w:rsid w:val="00F13384"/>
    <w:rsid w:val="00F133C8"/>
    <w:rsid w:val="00F133D2"/>
    <w:rsid w:val="00F13615"/>
    <w:rsid w:val="00F1363C"/>
    <w:rsid w:val="00F136F8"/>
    <w:rsid w:val="00F138AD"/>
    <w:rsid w:val="00F1398F"/>
    <w:rsid w:val="00F13AEB"/>
    <w:rsid w:val="00F13B53"/>
    <w:rsid w:val="00F13D84"/>
    <w:rsid w:val="00F13EB0"/>
    <w:rsid w:val="00F13EBE"/>
    <w:rsid w:val="00F14178"/>
    <w:rsid w:val="00F14268"/>
    <w:rsid w:val="00F143E5"/>
    <w:rsid w:val="00F14426"/>
    <w:rsid w:val="00F14494"/>
    <w:rsid w:val="00F1449C"/>
    <w:rsid w:val="00F1484B"/>
    <w:rsid w:val="00F14AC5"/>
    <w:rsid w:val="00F14B89"/>
    <w:rsid w:val="00F14B93"/>
    <w:rsid w:val="00F14E03"/>
    <w:rsid w:val="00F14EAB"/>
    <w:rsid w:val="00F14F9A"/>
    <w:rsid w:val="00F151F2"/>
    <w:rsid w:val="00F152FC"/>
    <w:rsid w:val="00F153C4"/>
    <w:rsid w:val="00F1548A"/>
    <w:rsid w:val="00F15595"/>
    <w:rsid w:val="00F155A5"/>
    <w:rsid w:val="00F15604"/>
    <w:rsid w:val="00F15697"/>
    <w:rsid w:val="00F157A5"/>
    <w:rsid w:val="00F15801"/>
    <w:rsid w:val="00F158B3"/>
    <w:rsid w:val="00F158CB"/>
    <w:rsid w:val="00F1590A"/>
    <w:rsid w:val="00F15964"/>
    <w:rsid w:val="00F15AF7"/>
    <w:rsid w:val="00F15BFD"/>
    <w:rsid w:val="00F15C6D"/>
    <w:rsid w:val="00F15C8C"/>
    <w:rsid w:val="00F15C8F"/>
    <w:rsid w:val="00F15E52"/>
    <w:rsid w:val="00F15EC6"/>
    <w:rsid w:val="00F15F06"/>
    <w:rsid w:val="00F15FE0"/>
    <w:rsid w:val="00F16157"/>
    <w:rsid w:val="00F162F1"/>
    <w:rsid w:val="00F16553"/>
    <w:rsid w:val="00F165AC"/>
    <w:rsid w:val="00F16647"/>
    <w:rsid w:val="00F167AD"/>
    <w:rsid w:val="00F167D6"/>
    <w:rsid w:val="00F168A6"/>
    <w:rsid w:val="00F168F3"/>
    <w:rsid w:val="00F16929"/>
    <w:rsid w:val="00F169D3"/>
    <w:rsid w:val="00F16B54"/>
    <w:rsid w:val="00F16C6C"/>
    <w:rsid w:val="00F16D01"/>
    <w:rsid w:val="00F16F1D"/>
    <w:rsid w:val="00F1702F"/>
    <w:rsid w:val="00F170A9"/>
    <w:rsid w:val="00F17147"/>
    <w:rsid w:val="00F17241"/>
    <w:rsid w:val="00F17334"/>
    <w:rsid w:val="00F1754D"/>
    <w:rsid w:val="00F175C0"/>
    <w:rsid w:val="00F176C8"/>
    <w:rsid w:val="00F17823"/>
    <w:rsid w:val="00F178B9"/>
    <w:rsid w:val="00F17A27"/>
    <w:rsid w:val="00F17A49"/>
    <w:rsid w:val="00F17ABD"/>
    <w:rsid w:val="00F17B5F"/>
    <w:rsid w:val="00F17C14"/>
    <w:rsid w:val="00F17DA6"/>
    <w:rsid w:val="00F17DDB"/>
    <w:rsid w:val="00F17DE7"/>
    <w:rsid w:val="00F17FA0"/>
    <w:rsid w:val="00F20063"/>
    <w:rsid w:val="00F200A9"/>
    <w:rsid w:val="00F200EA"/>
    <w:rsid w:val="00F202E9"/>
    <w:rsid w:val="00F2039E"/>
    <w:rsid w:val="00F203E9"/>
    <w:rsid w:val="00F203EB"/>
    <w:rsid w:val="00F2042F"/>
    <w:rsid w:val="00F20545"/>
    <w:rsid w:val="00F20748"/>
    <w:rsid w:val="00F207BE"/>
    <w:rsid w:val="00F207DA"/>
    <w:rsid w:val="00F20929"/>
    <w:rsid w:val="00F2095A"/>
    <w:rsid w:val="00F209D6"/>
    <w:rsid w:val="00F20B00"/>
    <w:rsid w:val="00F20B0D"/>
    <w:rsid w:val="00F20B7A"/>
    <w:rsid w:val="00F20BBC"/>
    <w:rsid w:val="00F20C03"/>
    <w:rsid w:val="00F20C2B"/>
    <w:rsid w:val="00F20D97"/>
    <w:rsid w:val="00F20E1E"/>
    <w:rsid w:val="00F20F43"/>
    <w:rsid w:val="00F21070"/>
    <w:rsid w:val="00F2113D"/>
    <w:rsid w:val="00F21240"/>
    <w:rsid w:val="00F2129A"/>
    <w:rsid w:val="00F21347"/>
    <w:rsid w:val="00F2140C"/>
    <w:rsid w:val="00F21424"/>
    <w:rsid w:val="00F2147D"/>
    <w:rsid w:val="00F214F1"/>
    <w:rsid w:val="00F21680"/>
    <w:rsid w:val="00F21777"/>
    <w:rsid w:val="00F217A5"/>
    <w:rsid w:val="00F21815"/>
    <w:rsid w:val="00F2185C"/>
    <w:rsid w:val="00F21905"/>
    <w:rsid w:val="00F21A7F"/>
    <w:rsid w:val="00F21B32"/>
    <w:rsid w:val="00F21BBA"/>
    <w:rsid w:val="00F21CA0"/>
    <w:rsid w:val="00F21E1F"/>
    <w:rsid w:val="00F21EA6"/>
    <w:rsid w:val="00F21F8E"/>
    <w:rsid w:val="00F21FBB"/>
    <w:rsid w:val="00F22022"/>
    <w:rsid w:val="00F22153"/>
    <w:rsid w:val="00F22409"/>
    <w:rsid w:val="00F22459"/>
    <w:rsid w:val="00F224AF"/>
    <w:rsid w:val="00F22588"/>
    <w:rsid w:val="00F225EF"/>
    <w:rsid w:val="00F2261F"/>
    <w:rsid w:val="00F22759"/>
    <w:rsid w:val="00F22895"/>
    <w:rsid w:val="00F22C95"/>
    <w:rsid w:val="00F22E7E"/>
    <w:rsid w:val="00F22FDB"/>
    <w:rsid w:val="00F23177"/>
    <w:rsid w:val="00F23280"/>
    <w:rsid w:val="00F23365"/>
    <w:rsid w:val="00F233DF"/>
    <w:rsid w:val="00F23467"/>
    <w:rsid w:val="00F234C9"/>
    <w:rsid w:val="00F23565"/>
    <w:rsid w:val="00F2361B"/>
    <w:rsid w:val="00F23719"/>
    <w:rsid w:val="00F2380D"/>
    <w:rsid w:val="00F23865"/>
    <w:rsid w:val="00F238D3"/>
    <w:rsid w:val="00F23A00"/>
    <w:rsid w:val="00F23A3A"/>
    <w:rsid w:val="00F23B99"/>
    <w:rsid w:val="00F23CF7"/>
    <w:rsid w:val="00F23D28"/>
    <w:rsid w:val="00F23F01"/>
    <w:rsid w:val="00F23F04"/>
    <w:rsid w:val="00F23F60"/>
    <w:rsid w:val="00F24011"/>
    <w:rsid w:val="00F2407D"/>
    <w:rsid w:val="00F24135"/>
    <w:rsid w:val="00F24156"/>
    <w:rsid w:val="00F2424F"/>
    <w:rsid w:val="00F2428D"/>
    <w:rsid w:val="00F2429E"/>
    <w:rsid w:val="00F24307"/>
    <w:rsid w:val="00F24364"/>
    <w:rsid w:val="00F24453"/>
    <w:rsid w:val="00F244C4"/>
    <w:rsid w:val="00F2461A"/>
    <w:rsid w:val="00F2464E"/>
    <w:rsid w:val="00F246DB"/>
    <w:rsid w:val="00F24853"/>
    <w:rsid w:val="00F248AD"/>
    <w:rsid w:val="00F249EC"/>
    <w:rsid w:val="00F24B1A"/>
    <w:rsid w:val="00F24B56"/>
    <w:rsid w:val="00F24B69"/>
    <w:rsid w:val="00F24BC1"/>
    <w:rsid w:val="00F24BFA"/>
    <w:rsid w:val="00F24CE6"/>
    <w:rsid w:val="00F24D2A"/>
    <w:rsid w:val="00F24F09"/>
    <w:rsid w:val="00F24F46"/>
    <w:rsid w:val="00F25156"/>
    <w:rsid w:val="00F2524C"/>
    <w:rsid w:val="00F25337"/>
    <w:rsid w:val="00F2539F"/>
    <w:rsid w:val="00F25459"/>
    <w:rsid w:val="00F2553C"/>
    <w:rsid w:val="00F25573"/>
    <w:rsid w:val="00F25738"/>
    <w:rsid w:val="00F25887"/>
    <w:rsid w:val="00F258D8"/>
    <w:rsid w:val="00F259BE"/>
    <w:rsid w:val="00F259E4"/>
    <w:rsid w:val="00F25A14"/>
    <w:rsid w:val="00F25EB8"/>
    <w:rsid w:val="00F26177"/>
    <w:rsid w:val="00F263DD"/>
    <w:rsid w:val="00F2675D"/>
    <w:rsid w:val="00F26965"/>
    <w:rsid w:val="00F26989"/>
    <w:rsid w:val="00F26D23"/>
    <w:rsid w:val="00F26E45"/>
    <w:rsid w:val="00F26E49"/>
    <w:rsid w:val="00F26E5D"/>
    <w:rsid w:val="00F26EDC"/>
    <w:rsid w:val="00F26EE2"/>
    <w:rsid w:val="00F26F0A"/>
    <w:rsid w:val="00F26F98"/>
    <w:rsid w:val="00F270CC"/>
    <w:rsid w:val="00F270EE"/>
    <w:rsid w:val="00F270FB"/>
    <w:rsid w:val="00F271B1"/>
    <w:rsid w:val="00F271C0"/>
    <w:rsid w:val="00F27231"/>
    <w:rsid w:val="00F274C0"/>
    <w:rsid w:val="00F27598"/>
    <w:rsid w:val="00F2764F"/>
    <w:rsid w:val="00F27737"/>
    <w:rsid w:val="00F2786D"/>
    <w:rsid w:val="00F279F7"/>
    <w:rsid w:val="00F27B27"/>
    <w:rsid w:val="00F27B38"/>
    <w:rsid w:val="00F27B91"/>
    <w:rsid w:val="00F27CE2"/>
    <w:rsid w:val="00F27CF1"/>
    <w:rsid w:val="00F27D2D"/>
    <w:rsid w:val="00F27E45"/>
    <w:rsid w:val="00F27E86"/>
    <w:rsid w:val="00F27EC3"/>
    <w:rsid w:val="00F27FE7"/>
    <w:rsid w:val="00F27FF0"/>
    <w:rsid w:val="00F300FB"/>
    <w:rsid w:val="00F3017E"/>
    <w:rsid w:val="00F301AB"/>
    <w:rsid w:val="00F30249"/>
    <w:rsid w:val="00F3025A"/>
    <w:rsid w:val="00F30293"/>
    <w:rsid w:val="00F30329"/>
    <w:rsid w:val="00F3036C"/>
    <w:rsid w:val="00F3055C"/>
    <w:rsid w:val="00F3056B"/>
    <w:rsid w:val="00F30906"/>
    <w:rsid w:val="00F30ADE"/>
    <w:rsid w:val="00F30C06"/>
    <w:rsid w:val="00F30C19"/>
    <w:rsid w:val="00F30E57"/>
    <w:rsid w:val="00F30FBD"/>
    <w:rsid w:val="00F310C0"/>
    <w:rsid w:val="00F310D7"/>
    <w:rsid w:val="00F3111C"/>
    <w:rsid w:val="00F311AA"/>
    <w:rsid w:val="00F31336"/>
    <w:rsid w:val="00F313C8"/>
    <w:rsid w:val="00F31444"/>
    <w:rsid w:val="00F314A7"/>
    <w:rsid w:val="00F314AA"/>
    <w:rsid w:val="00F315CE"/>
    <w:rsid w:val="00F315FB"/>
    <w:rsid w:val="00F3165B"/>
    <w:rsid w:val="00F31734"/>
    <w:rsid w:val="00F3181B"/>
    <w:rsid w:val="00F31934"/>
    <w:rsid w:val="00F31967"/>
    <w:rsid w:val="00F31A98"/>
    <w:rsid w:val="00F31AAD"/>
    <w:rsid w:val="00F31B2B"/>
    <w:rsid w:val="00F31BEE"/>
    <w:rsid w:val="00F31C60"/>
    <w:rsid w:val="00F31E10"/>
    <w:rsid w:val="00F31E91"/>
    <w:rsid w:val="00F32105"/>
    <w:rsid w:val="00F32370"/>
    <w:rsid w:val="00F326AB"/>
    <w:rsid w:val="00F3299B"/>
    <w:rsid w:val="00F329E2"/>
    <w:rsid w:val="00F32A4E"/>
    <w:rsid w:val="00F32A96"/>
    <w:rsid w:val="00F32D16"/>
    <w:rsid w:val="00F32E5A"/>
    <w:rsid w:val="00F32E6A"/>
    <w:rsid w:val="00F32F19"/>
    <w:rsid w:val="00F32FA9"/>
    <w:rsid w:val="00F33029"/>
    <w:rsid w:val="00F331CA"/>
    <w:rsid w:val="00F331D3"/>
    <w:rsid w:val="00F331E5"/>
    <w:rsid w:val="00F331F3"/>
    <w:rsid w:val="00F33247"/>
    <w:rsid w:val="00F332A9"/>
    <w:rsid w:val="00F333F4"/>
    <w:rsid w:val="00F33420"/>
    <w:rsid w:val="00F3349E"/>
    <w:rsid w:val="00F33612"/>
    <w:rsid w:val="00F336E9"/>
    <w:rsid w:val="00F33744"/>
    <w:rsid w:val="00F3386D"/>
    <w:rsid w:val="00F33913"/>
    <w:rsid w:val="00F33999"/>
    <w:rsid w:val="00F33A27"/>
    <w:rsid w:val="00F33C23"/>
    <w:rsid w:val="00F33C44"/>
    <w:rsid w:val="00F33D35"/>
    <w:rsid w:val="00F33D4D"/>
    <w:rsid w:val="00F33D4E"/>
    <w:rsid w:val="00F33DC7"/>
    <w:rsid w:val="00F33DD4"/>
    <w:rsid w:val="00F33EB2"/>
    <w:rsid w:val="00F33FC3"/>
    <w:rsid w:val="00F34013"/>
    <w:rsid w:val="00F341B4"/>
    <w:rsid w:val="00F3422E"/>
    <w:rsid w:val="00F34243"/>
    <w:rsid w:val="00F3424F"/>
    <w:rsid w:val="00F3445D"/>
    <w:rsid w:val="00F3452D"/>
    <w:rsid w:val="00F346B7"/>
    <w:rsid w:val="00F34762"/>
    <w:rsid w:val="00F34770"/>
    <w:rsid w:val="00F34808"/>
    <w:rsid w:val="00F348D0"/>
    <w:rsid w:val="00F348E0"/>
    <w:rsid w:val="00F348EC"/>
    <w:rsid w:val="00F3499D"/>
    <w:rsid w:val="00F34A0A"/>
    <w:rsid w:val="00F34AE7"/>
    <w:rsid w:val="00F34AF7"/>
    <w:rsid w:val="00F34B1E"/>
    <w:rsid w:val="00F34C6A"/>
    <w:rsid w:val="00F34CDC"/>
    <w:rsid w:val="00F34E3D"/>
    <w:rsid w:val="00F34E52"/>
    <w:rsid w:val="00F34E79"/>
    <w:rsid w:val="00F34FFE"/>
    <w:rsid w:val="00F35207"/>
    <w:rsid w:val="00F352D2"/>
    <w:rsid w:val="00F35342"/>
    <w:rsid w:val="00F35720"/>
    <w:rsid w:val="00F35815"/>
    <w:rsid w:val="00F35838"/>
    <w:rsid w:val="00F35898"/>
    <w:rsid w:val="00F35B4F"/>
    <w:rsid w:val="00F35B61"/>
    <w:rsid w:val="00F35D92"/>
    <w:rsid w:val="00F35DE3"/>
    <w:rsid w:val="00F35ED2"/>
    <w:rsid w:val="00F35F46"/>
    <w:rsid w:val="00F35F62"/>
    <w:rsid w:val="00F361C4"/>
    <w:rsid w:val="00F36223"/>
    <w:rsid w:val="00F3624E"/>
    <w:rsid w:val="00F362A4"/>
    <w:rsid w:val="00F362C4"/>
    <w:rsid w:val="00F3631B"/>
    <w:rsid w:val="00F363B0"/>
    <w:rsid w:val="00F36463"/>
    <w:rsid w:val="00F364A5"/>
    <w:rsid w:val="00F3655F"/>
    <w:rsid w:val="00F36587"/>
    <w:rsid w:val="00F365CF"/>
    <w:rsid w:val="00F36698"/>
    <w:rsid w:val="00F366BC"/>
    <w:rsid w:val="00F3695A"/>
    <w:rsid w:val="00F369CC"/>
    <w:rsid w:val="00F36AB2"/>
    <w:rsid w:val="00F36C13"/>
    <w:rsid w:val="00F36C3B"/>
    <w:rsid w:val="00F36C5B"/>
    <w:rsid w:val="00F36D4E"/>
    <w:rsid w:val="00F36F25"/>
    <w:rsid w:val="00F36F47"/>
    <w:rsid w:val="00F36F80"/>
    <w:rsid w:val="00F36F99"/>
    <w:rsid w:val="00F37132"/>
    <w:rsid w:val="00F37134"/>
    <w:rsid w:val="00F37185"/>
    <w:rsid w:val="00F3723F"/>
    <w:rsid w:val="00F37340"/>
    <w:rsid w:val="00F373E8"/>
    <w:rsid w:val="00F3743C"/>
    <w:rsid w:val="00F374C7"/>
    <w:rsid w:val="00F37549"/>
    <w:rsid w:val="00F375D0"/>
    <w:rsid w:val="00F37658"/>
    <w:rsid w:val="00F3775F"/>
    <w:rsid w:val="00F37794"/>
    <w:rsid w:val="00F377FB"/>
    <w:rsid w:val="00F3781F"/>
    <w:rsid w:val="00F3788A"/>
    <w:rsid w:val="00F378D7"/>
    <w:rsid w:val="00F3792B"/>
    <w:rsid w:val="00F379F7"/>
    <w:rsid w:val="00F37BA4"/>
    <w:rsid w:val="00F37BEC"/>
    <w:rsid w:val="00F37C48"/>
    <w:rsid w:val="00F37CB7"/>
    <w:rsid w:val="00F37DAD"/>
    <w:rsid w:val="00F37DAE"/>
    <w:rsid w:val="00F37DBF"/>
    <w:rsid w:val="00F37DCA"/>
    <w:rsid w:val="00F37DD0"/>
    <w:rsid w:val="00F37ED7"/>
    <w:rsid w:val="00F37F8B"/>
    <w:rsid w:val="00F37FDD"/>
    <w:rsid w:val="00F40317"/>
    <w:rsid w:val="00F4041E"/>
    <w:rsid w:val="00F40604"/>
    <w:rsid w:val="00F40626"/>
    <w:rsid w:val="00F4070B"/>
    <w:rsid w:val="00F40726"/>
    <w:rsid w:val="00F4084E"/>
    <w:rsid w:val="00F40862"/>
    <w:rsid w:val="00F40877"/>
    <w:rsid w:val="00F40918"/>
    <w:rsid w:val="00F40928"/>
    <w:rsid w:val="00F4097D"/>
    <w:rsid w:val="00F409D6"/>
    <w:rsid w:val="00F409E4"/>
    <w:rsid w:val="00F40A21"/>
    <w:rsid w:val="00F40A4C"/>
    <w:rsid w:val="00F40BD1"/>
    <w:rsid w:val="00F40C5B"/>
    <w:rsid w:val="00F40C93"/>
    <w:rsid w:val="00F40D02"/>
    <w:rsid w:val="00F40D38"/>
    <w:rsid w:val="00F40DF2"/>
    <w:rsid w:val="00F40E26"/>
    <w:rsid w:val="00F40ED2"/>
    <w:rsid w:val="00F40FF1"/>
    <w:rsid w:val="00F41081"/>
    <w:rsid w:val="00F41118"/>
    <w:rsid w:val="00F41179"/>
    <w:rsid w:val="00F41209"/>
    <w:rsid w:val="00F41252"/>
    <w:rsid w:val="00F412DB"/>
    <w:rsid w:val="00F41399"/>
    <w:rsid w:val="00F413B3"/>
    <w:rsid w:val="00F414DC"/>
    <w:rsid w:val="00F415A3"/>
    <w:rsid w:val="00F416D3"/>
    <w:rsid w:val="00F41864"/>
    <w:rsid w:val="00F41889"/>
    <w:rsid w:val="00F41A16"/>
    <w:rsid w:val="00F41A47"/>
    <w:rsid w:val="00F41C40"/>
    <w:rsid w:val="00F41D74"/>
    <w:rsid w:val="00F41DE6"/>
    <w:rsid w:val="00F41F55"/>
    <w:rsid w:val="00F41F69"/>
    <w:rsid w:val="00F41F96"/>
    <w:rsid w:val="00F41FA5"/>
    <w:rsid w:val="00F41FA8"/>
    <w:rsid w:val="00F41FB0"/>
    <w:rsid w:val="00F41FCC"/>
    <w:rsid w:val="00F42224"/>
    <w:rsid w:val="00F42240"/>
    <w:rsid w:val="00F422A1"/>
    <w:rsid w:val="00F4256B"/>
    <w:rsid w:val="00F42787"/>
    <w:rsid w:val="00F427A9"/>
    <w:rsid w:val="00F4287B"/>
    <w:rsid w:val="00F4288A"/>
    <w:rsid w:val="00F42A4B"/>
    <w:rsid w:val="00F42ABC"/>
    <w:rsid w:val="00F42C36"/>
    <w:rsid w:val="00F42D67"/>
    <w:rsid w:val="00F42DC2"/>
    <w:rsid w:val="00F42E2F"/>
    <w:rsid w:val="00F42E5A"/>
    <w:rsid w:val="00F4303E"/>
    <w:rsid w:val="00F4307E"/>
    <w:rsid w:val="00F43137"/>
    <w:rsid w:val="00F431AA"/>
    <w:rsid w:val="00F431D2"/>
    <w:rsid w:val="00F4327C"/>
    <w:rsid w:val="00F432AB"/>
    <w:rsid w:val="00F4344F"/>
    <w:rsid w:val="00F43484"/>
    <w:rsid w:val="00F435EE"/>
    <w:rsid w:val="00F436CD"/>
    <w:rsid w:val="00F43746"/>
    <w:rsid w:val="00F4380E"/>
    <w:rsid w:val="00F4381C"/>
    <w:rsid w:val="00F439A8"/>
    <w:rsid w:val="00F43AE1"/>
    <w:rsid w:val="00F43B13"/>
    <w:rsid w:val="00F43C0C"/>
    <w:rsid w:val="00F43CC4"/>
    <w:rsid w:val="00F43D36"/>
    <w:rsid w:val="00F43DCB"/>
    <w:rsid w:val="00F43F3B"/>
    <w:rsid w:val="00F43F9D"/>
    <w:rsid w:val="00F43FCB"/>
    <w:rsid w:val="00F4406A"/>
    <w:rsid w:val="00F440DE"/>
    <w:rsid w:val="00F4415E"/>
    <w:rsid w:val="00F4418D"/>
    <w:rsid w:val="00F441AD"/>
    <w:rsid w:val="00F44537"/>
    <w:rsid w:val="00F445C5"/>
    <w:rsid w:val="00F44733"/>
    <w:rsid w:val="00F44880"/>
    <w:rsid w:val="00F44882"/>
    <w:rsid w:val="00F449D0"/>
    <w:rsid w:val="00F449EB"/>
    <w:rsid w:val="00F44ACB"/>
    <w:rsid w:val="00F44ADB"/>
    <w:rsid w:val="00F44B14"/>
    <w:rsid w:val="00F44B49"/>
    <w:rsid w:val="00F44CA0"/>
    <w:rsid w:val="00F44E7A"/>
    <w:rsid w:val="00F44ED9"/>
    <w:rsid w:val="00F44FCF"/>
    <w:rsid w:val="00F45047"/>
    <w:rsid w:val="00F4504A"/>
    <w:rsid w:val="00F4504C"/>
    <w:rsid w:val="00F451A8"/>
    <w:rsid w:val="00F455B3"/>
    <w:rsid w:val="00F456F9"/>
    <w:rsid w:val="00F4571B"/>
    <w:rsid w:val="00F4573D"/>
    <w:rsid w:val="00F45903"/>
    <w:rsid w:val="00F4593A"/>
    <w:rsid w:val="00F459CC"/>
    <w:rsid w:val="00F45AE7"/>
    <w:rsid w:val="00F45B91"/>
    <w:rsid w:val="00F45BDF"/>
    <w:rsid w:val="00F45C06"/>
    <w:rsid w:val="00F45C47"/>
    <w:rsid w:val="00F45C80"/>
    <w:rsid w:val="00F45CB2"/>
    <w:rsid w:val="00F45D53"/>
    <w:rsid w:val="00F45EB0"/>
    <w:rsid w:val="00F45F95"/>
    <w:rsid w:val="00F45FF8"/>
    <w:rsid w:val="00F4603B"/>
    <w:rsid w:val="00F46302"/>
    <w:rsid w:val="00F4638D"/>
    <w:rsid w:val="00F463BF"/>
    <w:rsid w:val="00F46514"/>
    <w:rsid w:val="00F4652A"/>
    <w:rsid w:val="00F4687D"/>
    <w:rsid w:val="00F46B07"/>
    <w:rsid w:val="00F46B21"/>
    <w:rsid w:val="00F46FBE"/>
    <w:rsid w:val="00F47009"/>
    <w:rsid w:val="00F4701D"/>
    <w:rsid w:val="00F47235"/>
    <w:rsid w:val="00F47394"/>
    <w:rsid w:val="00F47444"/>
    <w:rsid w:val="00F47583"/>
    <w:rsid w:val="00F476B8"/>
    <w:rsid w:val="00F476CF"/>
    <w:rsid w:val="00F4774D"/>
    <w:rsid w:val="00F47756"/>
    <w:rsid w:val="00F478CF"/>
    <w:rsid w:val="00F4794C"/>
    <w:rsid w:val="00F47998"/>
    <w:rsid w:val="00F479E9"/>
    <w:rsid w:val="00F47A1B"/>
    <w:rsid w:val="00F47AE0"/>
    <w:rsid w:val="00F47CDA"/>
    <w:rsid w:val="00F47CE6"/>
    <w:rsid w:val="00F47EA9"/>
    <w:rsid w:val="00F47F8C"/>
    <w:rsid w:val="00F47F96"/>
    <w:rsid w:val="00F47FC4"/>
    <w:rsid w:val="00F4EDD5"/>
    <w:rsid w:val="00F50165"/>
    <w:rsid w:val="00F5020C"/>
    <w:rsid w:val="00F503E3"/>
    <w:rsid w:val="00F504C4"/>
    <w:rsid w:val="00F504E7"/>
    <w:rsid w:val="00F50653"/>
    <w:rsid w:val="00F50666"/>
    <w:rsid w:val="00F506EE"/>
    <w:rsid w:val="00F5072D"/>
    <w:rsid w:val="00F509E2"/>
    <w:rsid w:val="00F50A30"/>
    <w:rsid w:val="00F50A43"/>
    <w:rsid w:val="00F50C0A"/>
    <w:rsid w:val="00F50C40"/>
    <w:rsid w:val="00F50E3C"/>
    <w:rsid w:val="00F50E86"/>
    <w:rsid w:val="00F50EE4"/>
    <w:rsid w:val="00F50F58"/>
    <w:rsid w:val="00F5100D"/>
    <w:rsid w:val="00F51112"/>
    <w:rsid w:val="00F512CA"/>
    <w:rsid w:val="00F51309"/>
    <w:rsid w:val="00F5130F"/>
    <w:rsid w:val="00F51478"/>
    <w:rsid w:val="00F51616"/>
    <w:rsid w:val="00F51AFD"/>
    <w:rsid w:val="00F51B98"/>
    <w:rsid w:val="00F51C0A"/>
    <w:rsid w:val="00F51CFB"/>
    <w:rsid w:val="00F51D5F"/>
    <w:rsid w:val="00F51FEA"/>
    <w:rsid w:val="00F52097"/>
    <w:rsid w:val="00F520D7"/>
    <w:rsid w:val="00F52128"/>
    <w:rsid w:val="00F521BC"/>
    <w:rsid w:val="00F522A3"/>
    <w:rsid w:val="00F52372"/>
    <w:rsid w:val="00F523B5"/>
    <w:rsid w:val="00F52453"/>
    <w:rsid w:val="00F52464"/>
    <w:rsid w:val="00F52541"/>
    <w:rsid w:val="00F5261E"/>
    <w:rsid w:val="00F5265B"/>
    <w:rsid w:val="00F52676"/>
    <w:rsid w:val="00F527C1"/>
    <w:rsid w:val="00F52824"/>
    <w:rsid w:val="00F52877"/>
    <w:rsid w:val="00F52940"/>
    <w:rsid w:val="00F529D1"/>
    <w:rsid w:val="00F529F8"/>
    <w:rsid w:val="00F52C24"/>
    <w:rsid w:val="00F52C62"/>
    <w:rsid w:val="00F52E15"/>
    <w:rsid w:val="00F52E69"/>
    <w:rsid w:val="00F52EB8"/>
    <w:rsid w:val="00F52F39"/>
    <w:rsid w:val="00F53135"/>
    <w:rsid w:val="00F53140"/>
    <w:rsid w:val="00F53298"/>
    <w:rsid w:val="00F5347D"/>
    <w:rsid w:val="00F53511"/>
    <w:rsid w:val="00F535D0"/>
    <w:rsid w:val="00F537C9"/>
    <w:rsid w:val="00F53806"/>
    <w:rsid w:val="00F5386B"/>
    <w:rsid w:val="00F538DC"/>
    <w:rsid w:val="00F53901"/>
    <w:rsid w:val="00F53A9B"/>
    <w:rsid w:val="00F53B98"/>
    <w:rsid w:val="00F53C30"/>
    <w:rsid w:val="00F54000"/>
    <w:rsid w:val="00F54018"/>
    <w:rsid w:val="00F54150"/>
    <w:rsid w:val="00F541BF"/>
    <w:rsid w:val="00F541F1"/>
    <w:rsid w:val="00F542BC"/>
    <w:rsid w:val="00F5443A"/>
    <w:rsid w:val="00F5443F"/>
    <w:rsid w:val="00F54614"/>
    <w:rsid w:val="00F5462B"/>
    <w:rsid w:val="00F54636"/>
    <w:rsid w:val="00F546C3"/>
    <w:rsid w:val="00F54742"/>
    <w:rsid w:val="00F547E0"/>
    <w:rsid w:val="00F547E2"/>
    <w:rsid w:val="00F54A41"/>
    <w:rsid w:val="00F54A55"/>
    <w:rsid w:val="00F54AF9"/>
    <w:rsid w:val="00F54B5B"/>
    <w:rsid w:val="00F54B62"/>
    <w:rsid w:val="00F54D0E"/>
    <w:rsid w:val="00F54D5E"/>
    <w:rsid w:val="00F54D91"/>
    <w:rsid w:val="00F54DD5"/>
    <w:rsid w:val="00F54DF8"/>
    <w:rsid w:val="00F54E63"/>
    <w:rsid w:val="00F55061"/>
    <w:rsid w:val="00F550CB"/>
    <w:rsid w:val="00F5516C"/>
    <w:rsid w:val="00F5516E"/>
    <w:rsid w:val="00F552F6"/>
    <w:rsid w:val="00F55364"/>
    <w:rsid w:val="00F5540F"/>
    <w:rsid w:val="00F554BC"/>
    <w:rsid w:val="00F555B3"/>
    <w:rsid w:val="00F55648"/>
    <w:rsid w:val="00F556C3"/>
    <w:rsid w:val="00F556E1"/>
    <w:rsid w:val="00F55811"/>
    <w:rsid w:val="00F55A15"/>
    <w:rsid w:val="00F55A27"/>
    <w:rsid w:val="00F55A34"/>
    <w:rsid w:val="00F55B51"/>
    <w:rsid w:val="00F55B73"/>
    <w:rsid w:val="00F55DE0"/>
    <w:rsid w:val="00F55DEC"/>
    <w:rsid w:val="00F55E0A"/>
    <w:rsid w:val="00F55E68"/>
    <w:rsid w:val="00F55EDD"/>
    <w:rsid w:val="00F55EE4"/>
    <w:rsid w:val="00F560C6"/>
    <w:rsid w:val="00F560CD"/>
    <w:rsid w:val="00F56240"/>
    <w:rsid w:val="00F56455"/>
    <w:rsid w:val="00F5654E"/>
    <w:rsid w:val="00F56664"/>
    <w:rsid w:val="00F56720"/>
    <w:rsid w:val="00F5672D"/>
    <w:rsid w:val="00F567CF"/>
    <w:rsid w:val="00F568A2"/>
    <w:rsid w:val="00F568A6"/>
    <w:rsid w:val="00F5693D"/>
    <w:rsid w:val="00F56A18"/>
    <w:rsid w:val="00F56B3C"/>
    <w:rsid w:val="00F56B82"/>
    <w:rsid w:val="00F56C60"/>
    <w:rsid w:val="00F56D3C"/>
    <w:rsid w:val="00F56EB6"/>
    <w:rsid w:val="00F56EBD"/>
    <w:rsid w:val="00F56EE5"/>
    <w:rsid w:val="00F57039"/>
    <w:rsid w:val="00F570B0"/>
    <w:rsid w:val="00F571DE"/>
    <w:rsid w:val="00F57258"/>
    <w:rsid w:val="00F5725E"/>
    <w:rsid w:val="00F5728B"/>
    <w:rsid w:val="00F572F8"/>
    <w:rsid w:val="00F572FD"/>
    <w:rsid w:val="00F57416"/>
    <w:rsid w:val="00F57720"/>
    <w:rsid w:val="00F5783A"/>
    <w:rsid w:val="00F57857"/>
    <w:rsid w:val="00F57B2C"/>
    <w:rsid w:val="00F57B30"/>
    <w:rsid w:val="00F57BF0"/>
    <w:rsid w:val="00F57DA9"/>
    <w:rsid w:val="00F57E83"/>
    <w:rsid w:val="00F6004D"/>
    <w:rsid w:val="00F600CE"/>
    <w:rsid w:val="00F6013C"/>
    <w:rsid w:val="00F60172"/>
    <w:rsid w:val="00F60267"/>
    <w:rsid w:val="00F60285"/>
    <w:rsid w:val="00F60394"/>
    <w:rsid w:val="00F60736"/>
    <w:rsid w:val="00F6076B"/>
    <w:rsid w:val="00F60790"/>
    <w:rsid w:val="00F607A0"/>
    <w:rsid w:val="00F60807"/>
    <w:rsid w:val="00F60966"/>
    <w:rsid w:val="00F60A2A"/>
    <w:rsid w:val="00F60B3D"/>
    <w:rsid w:val="00F60C48"/>
    <w:rsid w:val="00F60D14"/>
    <w:rsid w:val="00F60D4A"/>
    <w:rsid w:val="00F60EA7"/>
    <w:rsid w:val="00F60F6A"/>
    <w:rsid w:val="00F60FB5"/>
    <w:rsid w:val="00F60FBA"/>
    <w:rsid w:val="00F6109C"/>
    <w:rsid w:val="00F6110A"/>
    <w:rsid w:val="00F61129"/>
    <w:rsid w:val="00F611B4"/>
    <w:rsid w:val="00F612A9"/>
    <w:rsid w:val="00F61325"/>
    <w:rsid w:val="00F61330"/>
    <w:rsid w:val="00F61450"/>
    <w:rsid w:val="00F614D3"/>
    <w:rsid w:val="00F614F1"/>
    <w:rsid w:val="00F6150E"/>
    <w:rsid w:val="00F6162B"/>
    <w:rsid w:val="00F61777"/>
    <w:rsid w:val="00F61883"/>
    <w:rsid w:val="00F61945"/>
    <w:rsid w:val="00F619F8"/>
    <w:rsid w:val="00F61A2E"/>
    <w:rsid w:val="00F61A89"/>
    <w:rsid w:val="00F61A93"/>
    <w:rsid w:val="00F61B6B"/>
    <w:rsid w:val="00F61B85"/>
    <w:rsid w:val="00F61BAA"/>
    <w:rsid w:val="00F61BCF"/>
    <w:rsid w:val="00F61BD6"/>
    <w:rsid w:val="00F61C7B"/>
    <w:rsid w:val="00F61C8B"/>
    <w:rsid w:val="00F61E84"/>
    <w:rsid w:val="00F62190"/>
    <w:rsid w:val="00F621FD"/>
    <w:rsid w:val="00F62245"/>
    <w:rsid w:val="00F622D4"/>
    <w:rsid w:val="00F6235F"/>
    <w:rsid w:val="00F623E9"/>
    <w:rsid w:val="00F62457"/>
    <w:rsid w:val="00F6249B"/>
    <w:rsid w:val="00F62601"/>
    <w:rsid w:val="00F6268A"/>
    <w:rsid w:val="00F6273F"/>
    <w:rsid w:val="00F6274F"/>
    <w:rsid w:val="00F6277C"/>
    <w:rsid w:val="00F62886"/>
    <w:rsid w:val="00F629B8"/>
    <w:rsid w:val="00F62B36"/>
    <w:rsid w:val="00F62BC1"/>
    <w:rsid w:val="00F62BDB"/>
    <w:rsid w:val="00F62C40"/>
    <w:rsid w:val="00F62C47"/>
    <w:rsid w:val="00F62E59"/>
    <w:rsid w:val="00F62E96"/>
    <w:rsid w:val="00F62EC9"/>
    <w:rsid w:val="00F6313F"/>
    <w:rsid w:val="00F6318D"/>
    <w:rsid w:val="00F633F1"/>
    <w:rsid w:val="00F63596"/>
    <w:rsid w:val="00F637F2"/>
    <w:rsid w:val="00F63839"/>
    <w:rsid w:val="00F63934"/>
    <w:rsid w:val="00F63A21"/>
    <w:rsid w:val="00F63B5F"/>
    <w:rsid w:val="00F63B83"/>
    <w:rsid w:val="00F63C1F"/>
    <w:rsid w:val="00F63C4C"/>
    <w:rsid w:val="00F63D2A"/>
    <w:rsid w:val="00F63D31"/>
    <w:rsid w:val="00F63DF3"/>
    <w:rsid w:val="00F63DF4"/>
    <w:rsid w:val="00F63E34"/>
    <w:rsid w:val="00F63F96"/>
    <w:rsid w:val="00F64032"/>
    <w:rsid w:val="00F64143"/>
    <w:rsid w:val="00F6421D"/>
    <w:rsid w:val="00F64267"/>
    <w:rsid w:val="00F642AA"/>
    <w:rsid w:val="00F6431B"/>
    <w:rsid w:val="00F643F1"/>
    <w:rsid w:val="00F64415"/>
    <w:rsid w:val="00F644F0"/>
    <w:rsid w:val="00F6457C"/>
    <w:rsid w:val="00F648D5"/>
    <w:rsid w:val="00F64973"/>
    <w:rsid w:val="00F64979"/>
    <w:rsid w:val="00F64A35"/>
    <w:rsid w:val="00F64CB5"/>
    <w:rsid w:val="00F64CEB"/>
    <w:rsid w:val="00F64E12"/>
    <w:rsid w:val="00F64EC1"/>
    <w:rsid w:val="00F64F22"/>
    <w:rsid w:val="00F64FF7"/>
    <w:rsid w:val="00F650AB"/>
    <w:rsid w:val="00F6510A"/>
    <w:rsid w:val="00F65122"/>
    <w:rsid w:val="00F6514E"/>
    <w:rsid w:val="00F651BA"/>
    <w:rsid w:val="00F65267"/>
    <w:rsid w:val="00F65427"/>
    <w:rsid w:val="00F65451"/>
    <w:rsid w:val="00F65565"/>
    <w:rsid w:val="00F65721"/>
    <w:rsid w:val="00F657D6"/>
    <w:rsid w:val="00F65821"/>
    <w:rsid w:val="00F659E6"/>
    <w:rsid w:val="00F65A8A"/>
    <w:rsid w:val="00F65ABE"/>
    <w:rsid w:val="00F65BB3"/>
    <w:rsid w:val="00F65C6E"/>
    <w:rsid w:val="00F65C95"/>
    <w:rsid w:val="00F65EE3"/>
    <w:rsid w:val="00F65F0E"/>
    <w:rsid w:val="00F66000"/>
    <w:rsid w:val="00F6605F"/>
    <w:rsid w:val="00F660E5"/>
    <w:rsid w:val="00F66160"/>
    <w:rsid w:val="00F6623A"/>
    <w:rsid w:val="00F662DB"/>
    <w:rsid w:val="00F66500"/>
    <w:rsid w:val="00F6665F"/>
    <w:rsid w:val="00F66669"/>
    <w:rsid w:val="00F6667F"/>
    <w:rsid w:val="00F666B8"/>
    <w:rsid w:val="00F6682A"/>
    <w:rsid w:val="00F66895"/>
    <w:rsid w:val="00F669C2"/>
    <w:rsid w:val="00F66AA9"/>
    <w:rsid w:val="00F66B61"/>
    <w:rsid w:val="00F66BA8"/>
    <w:rsid w:val="00F66F02"/>
    <w:rsid w:val="00F67131"/>
    <w:rsid w:val="00F67215"/>
    <w:rsid w:val="00F6727E"/>
    <w:rsid w:val="00F67313"/>
    <w:rsid w:val="00F675BF"/>
    <w:rsid w:val="00F6760E"/>
    <w:rsid w:val="00F677A6"/>
    <w:rsid w:val="00F6796E"/>
    <w:rsid w:val="00F67D80"/>
    <w:rsid w:val="00F67E67"/>
    <w:rsid w:val="00F67E75"/>
    <w:rsid w:val="00F67EAD"/>
    <w:rsid w:val="00F67F21"/>
    <w:rsid w:val="00F700F6"/>
    <w:rsid w:val="00F700FC"/>
    <w:rsid w:val="00F702CA"/>
    <w:rsid w:val="00F70369"/>
    <w:rsid w:val="00F703ED"/>
    <w:rsid w:val="00F70480"/>
    <w:rsid w:val="00F70576"/>
    <w:rsid w:val="00F70746"/>
    <w:rsid w:val="00F707F8"/>
    <w:rsid w:val="00F70812"/>
    <w:rsid w:val="00F70943"/>
    <w:rsid w:val="00F70A4A"/>
    <w:rsid w:val="00F70ADA"/>
    <w:rsid w:val="00F70B32"/>
    <w:rsid w:val="00F70EF7"/>
    <w:rsid w:val="00F70F28"/>
    <w:rsid w:val="00F70FA9"/>
    <w:rsid w:val="00F70FB1"/>
    <w:rsid w:val="00F71030"/>
    <w:rsid w:val="00F712A6"/>
    <w:rsid w:val="00F7132A"/>
    <w:rsid w:val="00F7154D"/>
    <w:rsid w:val="00F7155B"/>
    <w:rsid w:val="00F715DF"/>
    <w:rsid w:val="00F71614"/>
    <w:rsid w:val="00F7167A"/>
    <w:rsid w:val="00F717A5"/>
    <w:rsid w:val="00F71851"/>
    <w:rsid w:val="00F718EF"/>
    <w:rsid w:val="00F718FE"/>
    <w:rsid w:val="00F71967"/>
    <w:rsid w:val="00F7196D"/>
    <w:rsid w:val="00F71A9C"/>
    <w:rsid w:val="00F71C38"/>
    <w:rsid w:val="00F71C71"/>
    <w:rsid w:val="00F71D2B"/>
    <w:rsid w:val="00F71E41"/>
    <w:rsid w:val="00F720BD"/>
    <w:rsid w:val="00F721BE"/>
    <w:rsid w:val="00F7226A"/>
    <w:rsid w:val="00F722CC"/>
    <w:rsid w:val="00F723F0"/>
    <w:rsid w:val="00F72511"/>
    <w:rsid w:val="00F7254A"/>
    <w:rsid w:val="00F7285A"/>
    <w:rsid w:val="00F7297A"/>
    <w:rsid w:val="00F72B56"/>
    <w:rsid w:val="00F72D89"/>
    <w:rsid w:val="00F72DA4"/>
    <w:rsid w:val="00F72F93"/>
    <w:rsid w:val="00F72FBF"/>
    <w:rsid w:val="00F72FE2"/>
    <w:rsid w:val="00F73016"/>
    <w:rsid w:val="00F730A5"/>
    <w:rsid w:val="00F730C4"/>
    <w:rsid w:val="00F731F4"/>
    <w:rsid w:val="00F73344"/>
    <w:rsid w:val="00F733B5"/>
    <w:rsid w:val="00F7340F"/>
    <w:rsid w:val="00F73534"/>
    <w:rsid w:val="00F7359B"/>
    <w:rsid w:val="00F73624"/>
    <w:rsid w:val="00F73640"/>
    <w:rsid w:val="00F7370D"/>
    <w:rsid w:val="00F737C6"/>
    <w:rsid w:val="00F73861"/>
    <w:rsid w:val="00F73979"/>
    <w:rsid w:val="00F739CE"/>
    <w:rsid w:val="00F73A78"/>
    <w:rsid w:val="00F73AE0"/>
    <w:rsid w:val="00F73B66"/>
    <w:rsid w:val="00F73D00"/>
    <w:rsid w:val="00F73DAD"/>
    <w:rsid w:val="00F73E8B"/>
    <w:rsid w:val="00F7412C"/>
    <w:rsid w:val="00F741AE"/>
    <w:rsid w:val="00F741F1"/>
    <w:rsid w:val="00F74324"/>
    <w:rsid w:val="00F7448B"/>
    <w:rsid w:val="00F7482F"/>
    <w:rsid w:val="00F7488B"/>
    <w:rsid w:val="00F74896"/>
    <w:rsid w:val="00F7494B"/>
    <w:rsid w:val="00F7498C"/>
    <w:rsid w:val="00F74C37"/>
    <w:rsid w:val="00F74EA5"/>
    <w:rsid w:val="00F7511F"/>
    <w:rsid w:val="00F751C6"/>
    <w:rsid w:val="00F75232"/>
    <w:rsid w:val="00F7528A"/>
    <w:rsid w:val="00F752EC"/>
    <w:rsid w:val="00F7532C"/>
    <w:rsid w:val="00F753A6"/>
    <w:rsid w:val="00F753D0"/>
    <w:rsid w:val="00F753DC"/>
    <w:rsid w:val="00F75465"/>
    <w:rsid w:val="00F75505"/>
    <w:rsid w:val="00F75667"/>
    <w:rsid w:val="00F75866"/>
    <w:rsid w:val="00F75B01"/>
    <w:rsid w:val="00F75BF3"/>
    <w:rsid w:val="00F75C53"/>
    <w:rsid w:val="00F75C9A"/>
    <w:rsid w:val="00F75E6A"/>
    <w:rsid w:val="00F75F1B"/>
    <w:rsid w:val="00F75F87"/>
    <w:rsid w:val="00F76010"/>
    <w:rsid w:val="00F76020"/>
    <w:rsid w:val="00F7607B"/>
    <w:rsid w:val="00F76177"/>
    <w:rsid w:val="00F7619E"/>
    <w:rsid w:val="00F761A8"/>
    <w:rsid w:val="00F76229"/>
    <w:rsid w:val="00F76264"/>
    <w:rsid w:val="00F762C8"/>
    <w:rsid w:val="00F76365"/>
    <w:rsid w:val="00F76386"/>
    <w:rsid w:val="00F763A5"/>
    <w:rsid w:val="00F766F2"/>
    <w:rsid w:val="00F76854"/>
    <w:rsid w:val="00F768D1"/>
    <w:rsid w:val="00F76973"/>
    <w:rsid w:val="00F76A00"/>
    <w:rsid w:val="00F76B70"/>
    <w:rsid w:val="00F76BC9"/>
    <w:rsid w:val="00F76CD0"/>
    <w:rsid w:val="00F76D57"/>
    <w:rsid w:val="00F76D84"/>
    <w:rsid w:val="00F76E69"/>
    <w:rsid w:val="00F76F21"/>
    <w:rsid w:val="00F76FBE"/>
    <w:rsid w:val="00F77057"/>
    <w:rsid w:val="00F77114"/>
    <w:rsid w:val="00F7711F"/>
    <w:rsid w:val="00F77124"/>
    <w:rsid w:val="00F7717E"/>
    <w:rsid w:val="00F77296"/>
    <w:rsid w:val="00F772B6"/>
    <w:rsid w:val="00F77316"/>
    <w:rsid w:val="00F773FF"/>
    <w:rsid w:val="00F77545"/>
    <w:rsid w:val="00F77585"/>
    <w:rsid w:val="00F77670"/>
    <w:rsid w:val="00F7769C"/>
    <w:rsid w:val="00F778C8"/>
    <w:rsid w:val="00F77959"/>
    <w:rsid w:val="00F7796C"/>
    <w:rsid w:val="00F77A4D"/>
    <w:rsid w:val="00F77A6D"/>
    <w:rsid w:val="00F77E32"/>
    <w:rsid w:val="00F77F51"/>
    <w:rsid w:val="00F77FB4"/>
    <w:rsid w:val="00F8002A"/>
    <w:rsid w:val="00F80334"/>
    <w:rsid w:val="00F80388"/>
    <w:rsid w:val="00F80748"/>
    <w:rsid w:val="00F8074F"/>
    <w:rsid w:val="00F8094E"/>
    <w:rsid w:val="00F809BE"/>
    <w:rsid w:val="00F80AF2"/>
    <w:rsid w:val="00F80BAA"/>
    <w:rsid w:val="00F80D58"/>
    <w:rsid w:val="00F80E7E"/>
    <w:rsid w:val="00F81040"/>
    <w:rsid w:val="00F81225"/>
    <w:rsid w:val="00F812FA"/>
    <w:rsid w:val="00F81349"/>
    <w:rsid w:val="00F813B9"/>
    <w:rsid w:val="00F81443"/>
    <w:rsid w:val="00F81502"/>
    <w:rsid w:val="00F81521"/>
    <w:rsid w:val="00F81531"/>
    <w:rsid w:val="00F81573"/>
    <w:rsid w:val="00F818B7"/>
    <w:rsid w:val="00F81995"/>
    <w:rsid w:val="00F819A7"/>
    <w:rsid w:val="00F81A04"/>
    <w:rsid w:val="00F81AE2"/>
    <w:rsid w:val="00F81AFB"/>
    <w:rsid w:val="00F81B43"/>
    <w:rsid w:val="00F81D1A"/>
    <w:rsid w:val="00F81DDD"/>
    <w:rsid w:val="00F81E7A"/>
    <w:rsid w:val="00F81EF1"/>
    <w:rsid w:val="00F81F11"/>
    <w:rsid w:val="00F82029"/>
    <w:rsid w:val="00F82104"/>
    <w:rsid w:val="00F8242F"/>
    <w:rsid w:val="00F8255D"/>
    <w:rsid w:val="00F82838"/>
    <w:rsid w:val="00F82938"/>
    <w:rsid w:val="00F829EB"/>
    <w:rsid w:val="00F82AF8"/>
    <w:rsid w:val="00F82CD7"/>
    <w:rsid w:val="00F82E7B"/>
    <w:rsid w:val="00F82EB7"/>
    <w:rsid w:val="00F82EE6"/>
    <w:rsid w:val="00F83011"/>
    <w:rsid w:val="00F830FF"/>
    <w:rsid w:val="00F8339D"/>
    <w:rsid w:val="00F833C2"/>
    <w:rsid w:val="00F83420"/>
    <w:rsid w:val="00F83656"/>
    <w:rsid w:val="00F83715"/>
    <w:rsid w:val="00F8372E"/>
    <w:rsid w:val="00F838AC"/>
    <w:rsid w:val="00F83A76"/>
    <w:rsid w:val="00F83AC3"/>
    <w:rsid w:val="00F83B34"/>
    <w:rsid w:val="00F83B3D"/>
    <w:rsid w:val="00F83BDE"/>
    <w:rsid w:val="00F83C2C"/>
    <w:rsid w:val="00F83C70"/>
    <w:rsid w:val="00F83D49"/>
    <w:rsid w:val="00F83D63"/>
    <w:rsid w:val="00F83E7C"/>
    <w:rsid w:val="00F83FDE"/>
    <w:rsid w:val="00F8405B"/>
    <w:rsid w:val="00F84092"/>
    <w:rsid w:val="00F84311"/>
    <w:rsid w:val="00F844AD"/>
    <w:rsid w:val="00F84596"/>
    <w:rsid w:val="00F8459C"/>
    <w:rsid w:val="00F84911"/>
    <w:rsid w:val="00F84A48"/>
    <w:rsid w:val="00F84D13"/>
    <w:rsid w:val="00F84D80"/>
    <w:rsid w:val="00F84DED"/>
    <w:rsid w:val="00F85122"/>
    <w:rsid w:val="00F851C4"/>
    <w:rsid w:val="00F8523E"/>
    <w:rsid w:val="00F85313"/>
    <w:rsid w:val="00F85543"/>
    <w:rsid w:val="00F8555A"/>
    <w:rsid w:val="00F85660"/>
    <w:rsid w:val="00F85688"/>
    <w:rsid w:val="00F85907"/>
    <w:rsid w:val="00F85936"/>
    <w:rsid w:val="00F8598B"/>
    <w:rsid w:val="00F85A91"/>
    <w:rsid w:val="00F85B15"/>
    <w:rsid w:val="00F85B94"/>
    <w:rsid w:val="00F85C5E"/>
    <w:rsid w:val="00F85C80"/>
    <w:rsid w:val="00F85EAB"/>
    <w:rsid w:val="00F85FA6"/>
    <w:rsid w:val="00F85FEA"/>
    <w:rsid w:val="00F86020"/>
    <w:rsid w:val="00F860D8"/>
    <w:rsid w:val="00F86114"/>
    <w:rsid w:val="00F86246"/>
    <w:rsid w:val="00F8633F"/>
    <w:rsid w:val="00F86349"/>
    <w:rsid w:val="00F8636B"/>
    <w:rsid w:val="00F865AB"/>
    <w:rsid w:val="00F866AF"/>
    <w:rsid w:val="00F8675A"/>
    <w:rsid w:val="00F86780"/>
    <w:rsid w:val="00F8692C"/>
    <w:rsid w:val="00F86930"/>
    <w:rsid w:val="00F869DD"/>
    <w:rsid w:val="00F86A72"/>
    <w:rsid w:val="00F86AC8"/>
    <w:rsid w:val="00F86B01"/>
    <w:rsid w:val="00F86BF1"/>
    <w:rsid w:val="00F86D91"/>
    <w:rsid w:val="00F86E37"/>
    <w:rsid w:val="00F86F80"/>
    <w:rsid w:val="00F87227"/>
    <w:rsid w:val="00F87228"/>
    <w:rsid w:val="00F872D4"/>
    <w:rsid w:val="00F8730F"/>
    <w:rsid w:val="00F8732D"/>
    <w:rsid w:val="00F873AA"/>
    <w:rsid w:val="00F873FD"/>
    <w:rsid w:val="00F87436"/>
    <w:rsid w:val="00F874D5"/>
    <w:rsid w:val="00F874F4"/>
    <w:rsid w:val="00F87506"/>
    <w:rsid w:val="00F8762A"/>
    <w:rsid w:val="00F8795B"/>
    <w:rsid w:val="00F87AC6"/>
    <w:rsid w:val="00F87BC3"/>
    <w:rsid w:val="00F87CA5"/>
    <w:rsid w:val="00F87CF9"/>
    <w:rsid w:val="00F87D2F"/>
    <w:rsid w:val="00F87D39"/>
    <w:rsid w:val="00F87D5D"/>
    <w:rsid w:val="00F87E23"/>
    <w:rsid w:val="00F9001C"/>
    <w:rsid w:val="00F90130"/>
    <w:rsid w:val="00F901DC"/>
    <w:rsid w:val="00F9023F"/>
    <w:rsid w:val="00F90337"/>
    <w:rsid w:val="00F90493"/>
    <w:rsid w:val="00F90617"/>
    <w:rsid w:val="00F90619"/>
    <w:rsid w:val="00F90789"/>
    <w:rsid w:val="00F907B9"/>
    <w:rsid w:val="00F907FE"/>
    <w:rsid w:val="00F90807"/>
    <w:rsid w:val="00F90811"/>
    <w:rsid w:val="00F908D8"/>
    <w:rsid w:val="00F909CD"/>
    <w:rsid w:val="00F90AEE"/>
    <w:rsid w:val="00F90B06"/>
    <w:rsid w:val="00F90B36"/>
    <w:rsid w:val="00F90CC1"/>
    <w:rsid w:val="00F90D2E"/>
    <w:rsid w:val="00F90D35"/>
    <w:rsid w:val="00F90DA1"/>
    <w:rsid w:val="00F90DA5"/>
    <w:rsid w:val="00F90F3E"/>
    <w:rsid w:val="00F90FFC"/>
    <w:rsid w:val="00F9104C"/>
    <w:rsid w:val="00F9144D"/>
    <w:rsid w:val="00F91465"/>
    <w:rsid w:val="00F91566"/>
    <w:rsid w:val="00F91669"/>
    <w:rsid w:val="00F916A7"/>
    <w:rsid w:val="00F916E1"/>
    <w:rsid w:val="00F918BD"/>
    <w:rsid w:val="00F91939"/>
    <w:rsid w:val="00F91949"/>
    <w:rsid w:val="00F91985"/>
    <w:rsid w:val="00F91A33"/>
    <w:rsid w:val="00F91A81"/>
    <w:rsid w:val="00F91C74"/>
    <w:rsid w:val="00F91D11"/>
    <w:rsid w:val="00F91DAD"/>
    <w:rsid w:val="00F91E71"/>
    <w:rsid w:val="00F91FA7"/>
    <w:rsid w:val="00F9209B"/>
    <w:rsid w:val="00F92102"/>
    <w:rsid w:val="00F9212D"/>
    <w:rsid w:val="00F9213D"/>
    <w:rsid w:val="00F9216B"/>
    <w:rsid w:val="00F9224C"/>
    <w:rsid w:val="00F927AB"/>
    <w:rsid w:val="00F928BD"/>
    <w:rsid w:val="00F92A98"/>
    <w:rsid w:val="00F92B09"/>
    <w:rsid w:val="00F92E6E"/>
    <w:rsid w:val="00F92E7D"/>
    <w:rsid w:val="00F92F24"/>
    <w:rsid w:val="00F9307E"/>
    <w:rsid w:val="00F930AB"/>
    <w:rsid w:val="00F9331A"/>
    <w:rsid w:val="00F934F8"/>
    <w:rsid w:val="00F936AD"/>
    <w:rsid w:val="00F93984"/>
    <w:rsid w:val="00F93998"/>
    <w:rsid w:val="00F93A2F"/>
    <w:rsid w:val="00F93AA7"/>
    <w:rsid w:val="00F93B33"/>
    <w:rsid w:val="00F93C2F"/>
    <w:rsid w:val="00F93C9F"/>
    <w:rsid w:val="00F93CB8"/>
    <w:rsid w:val="00F93D2F"/>
    <w:rsid w:val="00F93F92"/>
    <w:rsid w:val="00F93FDE"/>
    <w:rsid w:val="00F9401D"/>
    <w:rsid w:val="00F941D3"/>
    <w:rsid w:val="00F942E1"/>
    <w:rsid w:val="00F94562"/>
    <w:rsid w:val="00F9465F"/>
    <w:rsid w:val="00F94689"/>
    <w:rsid w:val="00F947E5"/>
    <w:rsid w:val="00F948FB"/>
    <w:rsid w:val="00F9495A"/>
    <w:rsid w:val="00F949CA"/>
    <w:rsid w:val="00F94B0D"/>
    <w:rsid w:val="00F94BD0"/>
    <w:rsid w:val="00F94C64"/>
    <w:rsid w:val="00F94D00"/>
    <w:rsid w:val="00F94E11"/>
    <w:rsid w:val="00F94E85"/>
    <w:rsid w:val="00F94EA8"/>
    <w:rsid w:val="00F94F02"/>
    <w:rsid w:val="00F94F21"/>
    <w:rsid w:val="00F94F88"/>
    <w:rsid w:val="00F94FD3"/>
    <w:rsid w:val="00F95259"/>
    <w:rsid w:val="00F954A6"/>
    <w:rsid w:val="00F95665"/>
    <w:rsid w:val="00F95787"/>
    <w:rsid w:val="00F9587B"/>
    <w:rsid w:val="00F9596B"/>
    <w:rsid w:val="00F9596D"/>
    <w:rsid w:val="00F95A39"/>
    <w:rsid w:val="00F95A52"/>
    <w:rsid w:val="00F95B61"/>
    <w:rsid w:val="00F95B82"/>
    <w:rsid w:val="00F95BC9"/>
    <w:rsid w:val="00F95C75"/>
    <w:rsid w:val="00F95DC1"/>
    <w:rsid w:val="00F95E29"/>
    <w:rsid w:val="00F95F29"/>
    <w:rsid w:val="00F95F68"/>
    <w:rsid w:val="00F9615B"/>
    <w:rsid w:val="00F9634C"/>
    <w:rsid w:val="00F96458"/>
    <w:rsid w:val="00F964A9"/>
    <w:rsid w:val="00F964CD"/>
    <w:rsid w:val="00F966A0"/>
    <w:rsid w:val="00F96818"/>
    <w:rsid w:val="00F969D1"/>
    <w:rsid w:val="00F96A10"/>
    <w:rsid w:val="00F96B41"/>
    <w:rsid w:val="00F96B8B"/>
    <w:rsid w:val="00F96BA0"/>
    <w:rsid w:val="00F96C12"/>
    <w:rsid w:val="00F96C1A"/>
    <w:rsid w:val="00F96C67"/>
    <w:rsid w:val="00F96CAC"/>
    <w:rsid w:val="00F96CFF"/>
    <w:rsid w:val="00F96D64"/>
    <w:rsid w:val="00F96DF8"/>
    <w:rsid w:val="00F96E41"/>
    <w:rsid w:val="00F96FD3"/>
    <w:rsid w:val="00F9701F"/>
    <w:rsid w:val="00F97085"/>
    <w:rsid w:val="00F970E0"/>
    <w:rsid w:val="00F97134"/>
    <w:rsid w:val="00F97271"/>
    <w:rsid w:val="00F973B6"/>
    <w:rsid w:val="00F973D3"/>
    <w:rsid w:val="00F97426"/>
    <w:rsid w:val="00F9747F"/>
    <w:rsid w:val="00F97487"/>
    <w:rsid w:val="00F97495"/>
    <w:rsid w:val="00F97538"/>
    <w:rsid w:val="00F97552"/>
    <w:rsid w:val="00F975A6"/>
    <w:rsid w:val="00F975BA"/>
    <w:rsid w:val="00F9792D"/>
    <w:rsid w:val="00F97947"/>
    <w:rsid w:val="00F97AAD"/>
    <w:rsid w:val="00F97C82"/>
    <w:rsid w:val="00F97CEA"/>
    <w:rsid w:val="00FA005F"/>
    <w:rsid w:val="00FA0191"/>
    <w:rsid w:val="00FA0371"/>
    <w:rsid w:val="00FA03DD"/>
    <w:rsid w:val="00FA04D2"/>
    <w:rsid w:val="00FA05A7"/>
    <w:rsid w:val="00FA0692"/>
    <w:rsid w:val="00FA07F1"/>
    <w:rsid w:val="00FA0922"/>
    <w:rsid w:val="00FA0998"/>
    <w:rsid w:val="00FA0A28"/>
    <w:rsid w:val="00FA0ADA"/>
    <w:rsid w:val="00FA0B3A"/>
    <w:rsid w:val="00FA0BC7"/>
    <w:rsid w:val="00FA0C86"/>
    <w:rsid w:val="00FA0CB0"/>
    <w:rsid w:val="00FA1011"/>
    <w:rsid w:val="00FA105D"/>
    <w:rsid w:val="00FA1097"/>
    <w:rsid w:val="00FA136F"/>
    <w:rsid w:val="00FA13AA"/>
    <w:rsid w:val="00FA13F3"/>
    <w:rsid w:val="00FA142A"/>
    <w:rsid w:val="00FA144A"/>
    <w:rsid w:val="00FA14AC"/>
    <w:rsid w:val="00FA15AA"/>
    <w:rsid w:val="00FA181F"/>
    <w:rsid w:val="00FA190A"/>
    <w:rsid w:val="00FA1A90"/>
    <w:rsid w:val="00FA1AFC"/>
    <w:rsid w:val="00FA1BDE"/>
    <w:rsid w:val="00FA1C82"/>
    <w:rsid w:val="00FA1D73"/>
    <w:rsid w:val="00FA1FD8"/>
    <w:rsid w:val="00FA21B5"/>
    <w:rsid w:val="00FA21DC"/>
    <w:rsid w:val="00FA220C"/>
    <w:rsid w:val="00FA23B3"/>
    <w:rsid w:val="00FA25D1"/>
    <w:rsid w:val="00FA25EB"/>
    <w:rsid w:val="00FA26BF"/>
    <w:rsid w:val="00FA2779"/>
    <w:rsid w:val="00FA298A"/>
    <w:rsid w:val="00FA2C5A"/>
    <w:rsid w:val="00FA2F09"/>
    <w:rsid w:val="00FA2F6D"/>
    <w:rsid w:val="00FA3045"/>
    <w:rsid w:val="00FA3046"/>
    <w:rsid w:val="00FA337E"/>
    <w:rsid w:val="00FA33E0"/>
    <w:rsid w:val="00FA34AD"/>
    <w:rsid w:val="00FA35C8"/>
    <w:rsid w:val="00FA363A"/>
    <w:rsid w:val="00FA36C7"/>
    <w:rsid w:val="00FA3713"/>
    <w:rsid w:val="00FA373E"/>
    <w:rsid w:val="00FA376E"/>
    <w:rsid w:val="00FA39B9"/>
    <w:rsid w:val="00FA3C5B"/>
    <w:rsid w:val="00FA3D5C"/>
    <w:rsid w:val="00FA3E36"/>
    <w:rsid w:val="00FA3ECA"/>
    <w:rsid w:val="00FA3FDA"/>
    <w:rsid w:val="00FA3FFC"/>
    <w:rsid w:val="00FA42D3"/>
    <w:rsid w:val="00FA440F"/>
    <w:rsid w:val="00FA4441"/>
    <w:rsid w:val="00FA465A"/>
    <w:rsid w:val="00FA4783"/>
    <w:rsid w:val="00FA47A3"/>
    <w:rsid w:val="00FA47DC"/>
    <w:rsid w:val="00FA48DF"/>
    <w:rsid w:val="00FA48FB"/>
    <w:rsid w:val="00FA4982"/>
    <w:rsid w:val="00FA4983"/>
    <w:rsid w:val="00FA4989"/>
    <w:rsid w:val="00FA49F7"/>
    <w:rsid w:val="00FA4D9E"/>
    <w:rsid w:val="00FA4E11"/>
    <w:rsid w:val="00FA5022"/>
    <w:rsid w:val="00FA5040"/>
    <w:rsid w:val="00FA512D"/>
    <w:rsid w:val="00FA5345"/>
    <w:rsid w:val="00FA53CB"/>
    <w:rsid w:val="00FA53D9"/>
    <w:rsid w:val="00FA5405"/>
    <w:rsid w:val="00FA54CE"/>
    <w:rsid w:val="00FA5630"/>
    <w:rsid w:val="00FA564D"/>
    <w:rsid w:val="00FA576B"/>
    <w:rsid w:val="00FA578D"/>
    <w:rsid w:val="00FA5881"/>
    <w:rsid w:val="00FA593D"/>
    <w:rsid w:val="00FA5A38"/>
    <w:rsid w:val="00FA5E6F"/>
    <w:rsid w:val="00FA621C"/>
    <w:rsid w:val="00FA6272"/>
    <w:rsid w:val="00FA6326"/>
    <w:rsid w:val="00FA633E"/>
    <w:rsid w:val="00FA6656"/>
    <w:rsid w:val="00FA66F7"/>
    <w:rsid w:val="00FA6A60"/>
    <w:rsid w:val="00FA6B4E"/>
    <w:rsid w:val="00FA6CAC"/>
    <w:rsid w:val="00FA6EBC"/>
    <w:rsid w:val="00FA6EF7"/>
    <w:rsid w:val="00FA6F24"/>
    <w:rsid w:val="00FA7041"/>
    <w:rsid w:val="00FA7063"/>
    <w:rsid w:val="00FA7098"/>
    <w:rsid w:val="00FA70C2"/>
    <w:rsid w:val="00FA7149"/>
    <w:rsid w:val="00FA7191"/>
    <w:rsid w:val="00FA71C6"/>
    <w:rsid w:val="00FA7293"/>
    <w:rsid w:val="00FA7357"/>
    <w:rsid w:val="00FA73B6"/>
    <w:rsid w:val="00FA73DE"/>
    <w:rsid w:val="00FA7578"/>
    <w:rsid w:val="00FA772A"/>
    <w:rsid w:val="00FA77FD"/>
    <w:rsid w:val="00FA7A29"/>
    <w:rsid w:val="00FA7B0B"/>
    <w:rsid w:val="00FA7B22"/>
    <w:rsid w:val="00FA7BA8"/>
    <w:rsid w:val="00FA7D7A"/>
    <w:rsid w:val="00FA7DF3"/>
    <w:rsid w:val="00FA7F1F"/>
    <w:rsid w:val="00FABACD"/>
    <w:rsid w:val="00FB006F"/>
    <w:rsid w:val="00FB014B"/>
    <w:rsid w:val="00FB017F"/>
    <w:rsid w:val="00FB0286"/>
    <w:rsid w:val="00FB0384"/>
    <w:rsid w:val="00FB03A6"/>
    <w:rsid w:val="00FB04D0"/>
    <w:rsid w:val="00FB056D"/>
    <w:rsid w:val="00FB057A"/>
    <w:rsid w:val="00FB06EB"/>
    <w:rsid w:val="00FB0709"/>
    <w:rsid w:val="00FB07E5"/>
    <w:rsid w:val="00FB0915"/>
    <w:rsid w:val="00FB09EE"/>
    <w:rsid w:val="00FB0B5E"/>
    <w:rsid w:val="00FB0C28"/>
    <w:rsid w:val="00FB0C55"/>
    <w:rsid w:val="00FB0DA8"/>
    <w:rsid w:val="00FB0E55"/>
    <w:rsid w:val="00FB0E67"/>
    <w:rsid w:val="00FB0E92"/>
    <w:rsid w:val="00FB107E"/>
    <w:rsid w:val="00FB10B4"/>
    <w:rsid w:val="00FB12C0"/>
    <w:rsid w:val="00FB1303"/>
    <w:rsid w:val="00FB1359"/>
    <w:rsid w:val="00FB13B6"/>
    <w:rsid w:val="00FB1431"/>
    <w:rsid w:val="00FB14BD"/>
    <w:rsid w:val="00FB1662"/>
    <w:rsid w:val="00FB18AB"/>
    <w:rsid w:val="00FB1BCD"/>
    <w:rsid w:val="00FB1C01"/>
    <w:rsid w:val="00FB1C3B"/>
    <w:rsid w:val="00FB1C48"/>
    <w:rsid w:val="00FB1D07"/>
    <w:rsid w:val="00FB1E47"/>
    <w:rsid w:val="00FB1F18"/>
    <w:rsid w:val="00FB2127"/>
    <w:rsid w:val="00FB2138"/>
    <w:rsid w:val="00FB21B4"/>
    <w:rsid w:val="00FB226B"/>
    <w:rsid w:val="00FB22ED"/>
    <w:rsid w:val="00FB254B"/>
    <w:rsid w:val="00FB2624"/>
    <w:rsid w:val="00FB26F4"/>
    <w:rsid w:val="00FB27C3"/>
    <w:rsid w:val="00FB2926"/>
    <w:rsid w:val="00FB2AA0"/>
    <w:rsid w:val="00FB2B28"/>
    <w:rsid w:val="00FB2C1D"/>
    <w:rsid w:val="00FB2E36"/>
    <w:rsid w:val="00FB2EBA"/>
    <w:rsid w:val="00FB2F58"/>
    <w:rsid w:val="00FB2F95"/>
    <w:rsid w:val="00FB2FB7"/>
    <w:rsid w:val="00FB3087"/>
    <w:rsid w:val="00FB30A0"/>
    <w:rsid w:val="00FB30FD"/>
    <w:rsid w:val="00FB3211"/>
    <w:rsid w:val="00FB324E"/>
    <w:rsid w:val="00FB33E7"/>
    <w:rsid w:val="00FB3456"/>
    <w:rsid w:val="00FB34A0"/>
    <w:rsid w:val="00FB34DD"/>
    <w:rsid w:val="00FB34FB"/>
    <w:rsid w:val="00FB35E5"/>
    <w:rsid w:val="00FB35F0"/>
    <w:rsid w:val="00FB369C"/>
    <w:rsid w:val="00FB36C0"/>
    <w:rsid w:val="00FB391C"/>
    <w:rsid w:val="00FB3B44"/>
    <w:rsid w:val="00FB3BC1"/>
    <w:rsid w:val="00FB3CF1"/>
    <w:rsid w:val="00FB3CF3"/>
    <w:rsid w:val="00FB3D67"/>
    <w:rsid w:val="00FB3D9E"/>
    <w:rsid w:val="00FB3F26"/>
    <w:rsid w:val="00FB3FF3"/>
    <w:rsid w:val="00FB4056"/>
    <w:rsid w:val="00FB41DC"/>
    <w:rsid w:val="00FB421D"/>
    <w:rsid w:val="00FB44C2"/>
    <w:rsid w:val="00FB47D5"/>
    <w:rsid w:val="00FB48AE"/>
    <w:rsid w:val="00FB492F"/>
    <w:rsid w:val="00FB4B96"/>
    <w:rsid w:val="00FB4C57"/>
    <w:rsid w:val="00FB4D85"/>
    <w:rsid w:val="00FB4DDC"/>
    <w:rsid w:val="00FB4E83"/>
    <w:rsid w:val="00FB4F06"/>
    <w:rsid w:val="00FB5072"/>
    <w:rsid w:val="00FB5080"/>
    <w:rsid w:val="00FB52B7"/>
    <w:rsid w:val="00FB52CA"/>
    <w:rsid w:val="00FB5313"/>
    <w:rsid w:val="00FB5350"/>
    <w:rsid w:val="00FB5358"/>
    <w:rsid w:val="00FB53ED"/>
    <w:rsid w:val="00FB555A"/>
    <w:rsid w:val="00FB55FA"/>
    <w:rsid w:val="00FB5602"/>
    <w:rsid w:val="00FB5666"/>
    <w:rsid w:val="00FB5670"/>
    <w:rsid w:val="00FB56FE"/>
    <w:rsid w:val="00FB572A"/>
    <w:rsid w:val="00FB589F"/>
    <w:rsid w:val="00FB58B1"/>
    <w:rsid w:val="00FB58D4"/>
    <w:rsid w:val="00FB5A8C"/>
    <w:rsid w:val="00FB5B5F"/>
    <w:rsid w:val="00FB5D1B"/>
    <w:rsid w:val="00FB5D20"/>
    <w:rsid w:val="00FB5D7F"/>
    <w:rsid w:val="00FB5DD8"/>
    <w:rsid w:val="00FB5E0C"/>
    <w:rsid w:val="00FB603C"/>
    <w:rsid w:val="00FB604A"/>
    <w:rsid w:val="00FB6090"/>
    <w:rsid w:val="00FB6263"/>
    <w:rsid w:val="00FB6364"/>
    <w:rsid w:val="00FB63AB"/>
    <w:rsid w:val="00FB6403"/>
    <w:rsid w:val="00FB6454"/>
    <w:rsid w:val="00FB659D"/>
    <w:rsid w:val="00FB66C5"/>
    <w:rsid w:val="00FB66F4"/>
    <w:rsid w:val="00FB6702"/>
    <w:rsid w:val="00FB67D7"/>
    <w:rsid w:val="00FB6900"/>
    <w:rsid w:val="00FB6917"/>
    <w:rsid w:val="00FB6924"/>
    <w:rsid w:val="00FB695A"/>
    <w:rsid w:val="00FB6C49"/>
    <w:rsid w:val="00FB6C6A"/>
    <w:rsid w:val="00FB6D18"/>
    <w:rsid w:val="00FB6DA4"/>
    <w:rsid w:val="00FB6E3D"/>
    <w:rsid w:val="00FB70D4"/>
    <w:rsid w:val="00FB70D5"/>
    <w:rsid w:val="00FB71AE"/>
    <w:rsid w:val="00FB71E9"/>
    <w:rsid w:val="00FB7209"/>
    <w:rsid w:val="00FB7304"/>
    <w:rsid w:val="00FB73B6"/>
    <w:rsid w:val="00FB73F9"/>
    <w:rsid w:val="00FB741F"/>
    <w:rsid w:val="00FB75E5"/>
    <w:rsid w:val="00FB7655"/>
    <w:rsid w:val="00FB76C4"/>
    <w:rsid w:val="00FB776D"/>
    <w:rsid w:val="00FB7853"/>
    <w:rsid w:val="00FB7880"/>
    <w:rsid w:val="00FB793F"/>
    <w:rsid w:val="00FB79B5"/>
    <w:rsid w:val="00FB7AC7"/>
    <w:rsid w:val="00FB7C3A"/>
    <w:rsid w:val="00FB7C53"/>
    <w:rsid w:val="00FB7DE8"/>
    <w:rsid w:val="00FB7E6E"/>
    <w:rsid w:val="00FB7EC6"/>
    <w:rsid w:val="00FB7EF8"/>
    <w:rsid w:val="00FB7FFE"/>
    <w:rsid w:val="00FBD453"/>
    <w:rsid w:val="00FC0023"/>
    <w:rsid w:val="00FC00C5"/>
    <w:rsid w:val="00FC0130"/>
    <w:rsid w:val="00FC024D"/>
    <w:rsid w:val="00FC02E9"/>
    <w:rsid w:val="00FC033E"/>
    <w:rsid w:val="00FC03D0"/>
    <w:rsid w:val="00FC0593"/>
    <w:rsid w:val="00FC0645"/>
    <w:rsid w:val="00FC06AB"/>
    <w:rsid w:val="00FC080F"/>
    <w:rsid w:val="00FC09D0"/>
    <w:rsid w:val="00FC09DA"/>
    <w:rsid w:val="00FC0B4F"/>
    <w:rsid w:val="00FC0BF6"/>
    <w:rsid w:val="00FC0C4C"/>
    <w:rsid w:val="00FC0CA3"/>
    <w:rsid w:val="00FC0CE5"/>
    <w:rsid w:val="00FC0E94"/>
    <w:rsid w:val="00FC0F3D"/>
    <w:rsid w:val="00FC0F50"/>
    <w:rsid w:val="00FC0FB5"/>
    <w:rsid w:val="00FC1002"/>
    <w:rsid w:val="00FC108E"/>
    <w:rsid w:val="00FC117D"/>
    <w:rsid w:val="00FC1186"/>
    <w:rsid w:val="00FC11CF"/>
    <w:rsid w:val="00FC1261"/>
    <w:rsid w:val="00FC129C"/>
    <w:rsid w:val="00FC14D0"/>
    <w:rsid w:val="00FC1521"/>
    <w:rsid w:val="00FC152D"/>
    <w:rsid w:val="00FC15D5"/>
    <w:rsid w:val="00FC15D8"/>
    <w:rsid w:val="00FC1780"/>
    <w:rsid w:val="00FC17D9"/>
    <w:rsid w:val="00FC1899"/>
    <w:rsid w:val="00FC18EF"/>
    <w:rsid w:val="00FC19E6"/>
    <w:rsid w:val="00FC1AEA"/>
    <w:rsid w:val="00FC1B77"/>
    <w:rsid w:val="00FC1CF6"/>
    <w:rsid w:val="00FC1CFC"/>
    <w:rsid w:val="00FC1DF6"/>
    <w:rsid w:val="00FC1EF3"/>
    <w:rsid w:val="00FC1EFD"/>
    <w:rsid w:val="00FC1F2B"/>
    <w:rsid w:val="00FC1FEA"/>
    <w:rsid w:val="00FC2107"/>
    <w:rsid w:val="00FC23FF"/>
    <w:rsid w:val="00FC2467"/>
    <w:rsid w:val="00FC24D2"/>
    <w:rsid w:val="00FC255C"/>
    <w:rsid w:val="00FC2567"/>
    <w:rsid w:val="00FC2573"/>
    <w:rsid w:val="00FC25C2"/>
    <w:rsid w:val="00FC2648"/>
    <w:rsid w:val="00FC2652"/>
    <w:rsid w:val="00FC26EE"/>
    <w:rsid w:val="00FC285F"/>
    <w:rsid w:val="00FC294A"/>
    <w:rsid w:val="00FC2B6D"/>
    <w:rsid w:val="00FC2C47"/>
    <w:rsid w:val="00FC2CFB"/>
    <w:rsid w:val="00FC2EE8"/>
    <w:rsid w:val="00FC2F71"/>
    <w:rsid w:val="00FC2FE3"/>
    <w:rsid w:val="00FC30CD"/>
    <w:rsid w:val="00FC326F"/>
    <w:rsid w:val="00FC3323"/>
    <w:rsid w:val="00FC3615"/>
    <w:rsid w:val="00FC3626"/>
    <w:rsid w:val="00FC3781"/>
    <w:rsid w:val="00FC3794"/>
    <w:rsid w:val="00FC3803"/>
    <w:rsid w:val="00FC387F"/>
    <w:rsid w:val="00FC3929"/>
    <w:rsid w:val="00FC3A79"/>
    <w:rsid w:val="00FC3AB8"/>
    <w:rsid w:val="00FC3C32"/>
    <w:rsid w:val="00FC3CAB"/>
    <w:rsid w:val="00FC3EA0"/>
    <w:rsid w:val="00FC40B1"/>
    <w:rsid w:val="00FC40E7"/>
    <w:rsid w:val="00FC4163"/>
    <w:rsid w:val="00FC4408"/>
    <w:rsid w:val="00FC443F"/>
    <w:rsid w:val="00FC4483"/>
    <w:rsid w:val="00FC4747"/>
    <w:rsid w:val="00FC4796"/>
    <w:rsid w:val="00FC47D6"/>
    <w:rsid w:val="00FC47EE"/>
    <w:rsid w:val="00FC48CF"/>
    <w:rsid w:val="00FC494B"/>
    <w:rsid w:val="00FC49A2"/>
    <w:rsid w:val="00FC49F3"/>
    <w:rsid w:val="00FC49F6"/>
    <w:rsid w:val="00FC4A3C"/>
    <w:rsid w:val="00FC4C8A"/>
    <w:rsid w:val="00FC4CBA"/>
    <w:rsid w:val="00FC50A8"/>
    <w:rsid w:val="00FC510B"/>
    <w:rsid w:val="00FC5199"/>
    <w:rsid w:val="00FC5213"/>
    <w:rsid w:val="00FC5264"/>
    <w:rsid w:val="00FC52BE"/>
    <w:rsid w:val="00FC5465"/>
    <w:rsid w:val="00FC5549"/>
    <w:rsid w:val="00FC5555"/>
    <w:rsid w:val="00FC55D9"/>
    <w:rsid w:val="00FC56AE"/>
    <w:rsid w:val="00FC57D4"/>
    <w:rsid w:val="00FC58EC"/>
    <w:rsid w:val="00FC5988"/>
    <w:rsid w:val="00FC5B96"/>
    <w:rsid w:val="00FC5CD5"/>
    <w:rsid w:val="00FC5E79"/>
    <w:rsid w:val="00FC61BD"/>
    <w:rsid w:val="00FC6220"/>
    <w:rsid w:val="00FC6270"/>
    <w:rsid w:val="00FC629E"/>
    <w:rsid w:val="00FC6554"/>
    <w:rsid w:val="00FC6695"/>
    <w:rsid w:val="00FC6769"/>
    <w:rsid w:val="00FC68A0"/>
    <w:rsid w:val="00FC68B6"/>
    <w:rsid w:val="00FC69E9"/>
    <w:rsid w:val="00FC6C46"/>
    <w:rsid w:val="00FC6D21"/>
    <w:rsid w:val="00FC6D55"/>
    <w:rsid w:val="00FC6E7B"/>
    <w:rsid w:val="00FC6F9E"/>
    <w:rsid w:val="00FC6FDD"/>
    <w:rsid w:val="00FC719F"/>
    <w:rsid w:val="00FC71E9"/>
    <w:rsid w:val="00FC7270"/>
    <w:rsid w:val="00FC7275"/>
    <w:rsid w:val="00FC7388"/>
    <w:rsid w:val="00FC74A2"/>
    <w:rsid w:val="00FC7534"/>
    <w:rsid w:val="00FC7783"/>
    <w:rsid w:val="00FC77C5"/>
    <w:rsid w:val="00FC790F"/>
    <w:rsid w:val="00FC799D"/>
    <w:rsid w:val="00FC7A53"/>
    <w:rsid w:val="00FC7AA0"/>
    <w:rsid w:val="00FC7B4F"/>
    <w:rsid w:val="00FC7D1E"/>
    <w:rsid w:val="00FC7D4E"/>
    <w:rsid w:val="00FC7DAE"/>
    <w:rsid w:val="00FC7DB6"/>
    <w:rsid w:val="00FC7DD4"/>
    <w:rsid w:val="00FC7E30"/>
    <w:rsid w:val="00FD001F"/>
    <w:rsid w:val="00FD008F"/>
    <w:rsid w:val="00FD021C"/>
    <w:rsid w:val="00FD03F3"/>
    <w:rsid w:val="00FD0592"/>
    <w:rsid w:val="00FD0605"/>
    <w:rsid w:val="00FD06A8"/>
    <w:rsid w:val="00FD077F"/>
    <w:rsid w:val="00FD07E6"/>
    <w:rsid w:val="00FD084F"/>
    <w:rsid w:val="00FD089F"/>
    <w:rsid w:val="00FD08E1"/>
    <w:rsid w:val="00FD0B5B"/>
    <w:rsid w:val="00FD0C37"/>
    <w:rsid w:val="00FD0C60"/>
    <w:rsid w:val="00FD0CE9"/>
    <w:rsid w:val="00FD0E56"/>
    <w:rsid w:val="00FD0E66"/>
    <w:rsid w:val="00FD0EFE"/>
    <w:rsid w:val="00FD105E"/>
    <w:rsid w:val="00FD1096"/>
    <w:rsid w:val="00FD1110"/>
    <w:rsid w:val="00FD11C8"/>
    <w:rsid w:val="00FD1254"/>
    <w:rsid w:val="00FD1279"/>
    <w:rsid w:val="00FD1315"/>
    <w:rsid w:val="00FD1325"/>
    <w:rsid w:val="00FD156C"/>
    <w:rsid w:val="00FD160F"/>
    <w:rsid w:val="00FD1689"/>
    <w:rsid w:val="00FD16C1"/>
    <w:rsid w:val="00FD17C1"/>
    <w:rsid w:val="00FD17FA"/>
    <w:rsid w:val="00FD18B6"/>
    <w:rsid w:val="00FD198E"/>
    <w:rsid w:val="00FD1A86"/>
    <w:rsid w:val="00FD1C9C"/>
    <w:rsid w:val="00FD1CAD"/>
    <w:rsid w:val="00FD1F6C"/>
    <w:rsid w:val="00FD2036"/>
    <w:rsid w:val="00FD2051"/>
    <w:rsid w:val="00FD215D"/>
    <w:rsid w:val="00FD217B"/>
    <w:rsid w:val="00FD2185"/>
    <w:rsid w:val="00FD21BC"/>
    <w:rsid w:val="00FD22A8"/>
    <w:rsid w:val="00FD23AC"/>
    <w:rsid w:val="00FD2481"/>
    <w:rsid w:val="00FD2548"/>
    <w:rsid w:val="00FD25FD"/>
    <w:rsid w:val="00FD260E"/>
    <w:rsid w:val="00FD281D"/>
    <w:rsid w:val="00FD2854"/>
    <w:rsid w:val="00FD2949"/>
    <w:rsid w:val="00FD29F2"/>
    <w:rsid w:val="00FD2AB0"/>
    <w:rsid w:val="00FD2ABB"/>
    <w:rsid w:val="00FD2ADF"/>
    <w:rsid w:val="00FD2C42"/>
    <w:rsid w:val="00FD2C71"/>
    <w:rsid w:val="00FD2C9F"/>
    <w:rsid w:val="00FD2CE8"/>
    <w:rsid w:val="00FD2CF1"/>
    <w:rsid w:val="00FD2E7A"/>
    <w:rsid w:val="00FD2F3E"/>
    <w:rsid w:val="00FD30DE"/>
    <w:rsid w:val="00FD3294"/>
    <w:rsid w:val="00FD32B7"/>
    <w:rsid w:val="00FD335D"/>
    <w:rsid w:val="00FD34DF"/>
    <w:rsid w:val="00FD35DB"/>
    <w:rsid w:val="00FD360B"/>
    <w:rsid w:val="00FD388E"/>
    <w:rsid w:val="00FD38C7"/>
    <w:rsid w:val="00FD3929"/>
    <w:rsid w:val="00FD393D"/>
    <w:rsid w:val="00FD3A24"/>
    <w:rsid w:val="00FD3D0C"/>
    <w:rsid w:val="00FD3D58"/>
    <w:rsid w:val="00FD3DCC"/>
    <w:rsid w:val="00FD3ED3"/>
    <w:rsid w:val="00FD3F6B"/>
    <w:rsid w:val="00FD40C8"/>
    <w:rsid w:val="00FD419C"/>
    <w:rsid w:val="00FD41E8"/>
    <w:rsid w:val="00FD4231"/>
    <w:rsid w:val="00FD42FB"/>
    <w:rsid w:val="00FD4354"/>
    <w:rsid w:val="00FD4386"/>
    <w:rsid w:val="00FD439F"/>
    <w:rsid w:val="00FD444F"/>
    <w:rsid w:val="00FD44FF"/>
    <w:rsid w:val="00FD450E"/>
    <w:rsid w:val="00FD46A4"/>
    <w:rsid w:val="00FD46C0"/>
    <w:rsid w:val="00FD484C"/>
    <w:rsid w:val="00FD4AE9"/>
    <w:rsid w:val="00FD4BCA"/>
    <w:rsid w:val="00FD4C6A"/>
    <w:rsid w:val="00FD4D69"/>
    <w:rsid w:val="00FD4D9F"/>
    <w:rsid w:val="00FD4DB6"/>
    <w:rsid w:val="00FD4E7F"/>
    <w:rsid w:val="00FD4EB3"/>
    <w:rsid w:val="00FD4F8E"/>
    <w:rsid w:val="00FD4FDC"/>
    <w:rsid w:val="00FD4FE3"/>
    <w:rsid w:val="00FD52BF"/>
    <w:rsid w:val="00FD5367"/>
    <w:rsid w:val="00FD53AB"/>
    <w:rsid w:val="00FD53BB"/>
    <w:rsid w:val="00FD5433"/>
    <w:rsid w:val="00FD5499"/>
    <w:rsid w:val="00FD56E4"/>
    <w:rsid w:val="00FD5968"/>
    <w:rsid w:val="00FD5B40"/>
    <w:rsid w:val="00FD5C68"/>
    <w:rsid w:val="00FD5DCD"/>
    <w:rsid w:val="00FD5DEC"/>
    <w:rsid w:val="00FD5EFF"/>
    <w:rsid w:val="00FD60EA"/>
    <w:rsid w:val="00FD61CB"/>
    <w:rsid w:val="00FD625D"/>
    <w:rsid w:val="00FD6364"/>
    <w:rsid w:val="00FD6490"/>
    <w:rsid w:val="00FD64BD"/>
    <w:rsid w:val="00FD6501"/>
    <w:rsid w:val="00FD6556"/>
    <w:rsid w:val="00FD65BE"/>
    <w:rsid w:val="00FD66C7"/>
    <w:rsid w:val="00FD66CE"/>
    <w:rsid w:val="00FD690D"/>
    <w:rsid w:val="00FD693E"/>
    <w:rsid w:val="00FD6987"/>
    <w:rsid w:val="00FD6A67"/>
    <w:rsid w:val="00FD6AF7"/>
    <w:rsid w:val="00FD6B46"/>
    <w:rsid w:val="00FD6BB4"/>
    <w:rsid w:val="00FD6CD2"/>
    <w:rsid w:val="00FD6DAF"/>
    <w:rsid w:val="00FD6E87"/>
    <w:rsid w:val="00FD6FD8"/>
    <w:rsid w:val="00FD703E"/>
    <w:rsid w:val="00FD73BD"/>
    <w:rsid w:val="00FD73CA"/>
    <w:rsid w:val="00FD73EC"/>
    <w:rsid w:val="00FD749B"/>
    <w:rsid w:val="00FD74C2"/>
    <w:rsid w:val="00FD7548"/>
    <w:rsid w:val="00FD77BB"/>
    <w:rsid w:val="00FD7857"/>
    <w:rsid w:val="00FD7AAE"/>
    <w:rsid w:val="00FD7B29"/>
    <w:rsid w:val="00FD7C07"/>
    <w:rsid w:val="00FD7D0F"/>
    <w:rsid w:val="00FD7DFD"/>
    <w:rsid w:val="00FE0003"/>
    <w:rsid w:val="00FE000E"/>
    <w:rsid w:val="00FE00F0"/>
    <w:rsid w:val="00FE01C4"/>
    <w:rsid w:val="00FE01FF"/>
    <w:rsid w:val="00FE03BA"/>
    <w:rsid w:val="00FE03D5"/>
    <w:rsid w:val="00FE0413"/>
    <w:rsid w:val="00FE0417"/>
    <w:rsid w:val="00FE04E2"/>
    <w:rsid w:val="00FE04E8"/>
    <w:rsid w:val="00FE04EE"/>
    <w:rsid w:val="00FE0523"/>
    <w:rsid w:val="00FE05DA"/>
    <w:rsid w:val="00FE069C"/>
    <w:rsid w:val="00FE0892"/>
    <w:rsid w:val="00FE0941"/>
    <w:rsid w:val="00FE09A9"/>
    <w:rsid w:val="00FE0C61"/>
    <w:rsid w:val="00FE0D13"/>
    <w:rsid w:val="00FE0D2E"/>
    <w:rsid w:val="00FE0D4C"/>
    <w:rsid w:val="00FE0E11"/>
    <w:rsid w:val="00FE0F7A"/>
    <w:rsid w:val="00FE100B"/>
    <w:rsid w:val="00FE1045"/>
    <w:rsid w:val="00FE1130"/>
    <w:rsid w:val="00FE1180"/>
    <w:rsid w:val="00FE1184"/>
    <w:rsid w:val="00FE1214"/>
    <w:rsid w:val="00FE124A"/>
    <w:rsid w:val="00FE131F"/>
    <w:rsid w:val="00FE13E0"/>
    <w:rsid w:val="00FE14AA"/>
    <w:rsid w:val="00FE1537"/>
    <w:rsid w:val="00FE1656"/>
    <w:rsid w:val="00FE169C"/>
    <w:rsid w:val="00FE16BB"/>
    <w:rsid w:val="00FE16FF"/>
    <w:rsid w:val="00FE1968"/>
    <w:rsid w:val="00FE1A07"/>
    <w:rsid w:val="00FE1A1D"/>
    <w:rsid w:val="00FE1A54"/>
    <w:rsid w:val="00FE1BE2"/>
    <w:rsid w:val="00FE1C31"/>
    <w:rsid w:val="00FE1E2F"/>
    <w:rsid w:val="00FE1F98"/>
    <w:rsid w:val="00FE1FB7"/>
    <w:rsid w:val="00FE2046"/>
    <w:rsid w:val="00FE2065"/>
    <w:rsid w:val="00FE217C"/>
    <w:rsid w:val="00FE21D7"/>
    <w:rsid w:val="00FE220C"/>
    <w:rsid w:val="00FE2422"/>
    <w:rsid w:val="00FE2631"/>
    <w:rsid w:val="00FE2668"/>
    <w:rsid w:val="00FE2694"/>
    <w:rsid w:val="00FE26F7"/>
    <w:rsid w:val="00FE2755"/>
    <w:rsid w:val="00FE27FE"/>
    <w:rsid w:val="00FE2891"/>
    <w:rsid w:val="00FE2953"/>
    <w:rsid w:val="00FE2ABB"/>
    <w:rsid w:val="00FE2B8A"/>
    <w:rsid w:val="00FE2BAA"/>
    <w:rsid w:val="00FE2C3E"/>
    <w:rsid w:val="00FE2CAF"/>
    <w:rsid w:val="00FE2D1B"/>
    <w:rsid w:val="00FE2F97"/>
    <w:rsid w:val="00FE307A"/>
    <w:rsid w:val="00FE31AD"/>
    <w:rsid w:val="00FE31B8"/>
    <w:rsid w:val="00FE3201"/>
    <w:rsid w:val="00FE3215"/>
    <w:rsid w:val="00FE3342"/>
    <w:rsid w:val="00FE3431"/>
    <w:rsid w:val="00FE34AE"/>
    <w:rsid w:val="00FE35B5"/>
    <w:rsid w:val="00FE35E8"/>
    <w:rsid w:val="00FE381B"/>
    <w:rsid w:val="00FE38E0"/>
    <w:rsid w:val="00FE39F4"/>
    <w:rsid w:val="00FE3AE9"/>
    <w:rsid w:val="00FE3B74"/>
    <w:rsid w:val="00FE3BD4"/>
    <w:rsid w:val="00FE3BD9"/>
    <w:rsid w:val="00FE3D79"/>
    <w:rsid w:val="00FE3EC9"/>
    <w:rsid w:val="00FE3EFB"/>
    <w:rsid w:val="00FE40A3"/>
    <w:rsid w:val="00FE41B1"/>
    <w:rsid w:val="00FE42B9"/>
    <w:rsid w:val="00FE439D"/>
    <w:rsid w:val="00FE43AC"/>
    <w:rsid w:val="00FE44EF"/>
    <w:rsid w:val="00FE4613"/>
    <w:rsid w:val="00FE463B"/>
    <w:rsid w:val="00FE4746"/>
    <w:rsid w:val="00FE48A2"/>
    <w:rsid w:val="00FE48E2"/>
    <w:rsid w:val="00FE49AD"/>
    <w:rsid w:val="00FE4A4B"/>
    <w:rsid w:val="00FE4A66"/>
    <w:rsid w:val="00FE4C1B"/>
    <w:rsid w:val="00FE4C54"/>
    <w:rsid w:val="00FE4D7D"/>
    <w:rsid w:val="00FE4E55"/>
    <w:rsid w:val="00FE4E97"/>
    <w:rsid w:val="00FE4F22"/>
    <w:rsid w:val="00FE5060"/>
    <w:rsid w:val="00FE50ED"/>
    <w:rsid w:val="00FE5217"/>
    <w:rsid w:val="00FE5270"/>
    <w:rsid w:val="00FE52B5"/>
    <w:rsid w:val="00FE5447"/>
    <w:rsid w:val="00FE54E4"/>
    <w:rsid w:val="00FE54E9"/>
    <w:rsid w:val="00FE5551"/>
    <w:rsid w:val="00FE55A3"/>
    <w:rsid w:val="00FE5978"/>
    <w:rsid w:val="00FE59D4"/>
    <w:rsid w:val="00FE5A25"/>
    <w:rsid w:val="00FE5A3E"/>
    <w:rsid w:val="00FE5A6E"/>
    <w:rsid w:val="00FE5A72"/>
    <w:rsid w:val="00FE5ACF"/>
    <w:rsid w:val="00FE5B2A"/>
    <w:rsid w:val="00FE5C81"/>
    <w:rsid w:val="00FE5D8D"/>
    <w:rsid w:val="00FE5E5C"/>
    <w:rsid w:val="00FE5EB0"/>
    <w:rsid w:val="00FE602D"/>
    <w:rsid w:val="00FE6186"/>
    <w:rsid w:val="00FE6219"/>
    <w:rsid w:val="00FE6343"/>
    <w:rsid w:val="00FE640C"/>
    <w:rsid w:val="00FE6548"/>
    <w:rsid w:val="00FE65F1"/>
    <w:rsid w:val="00FE66AB"/>
    <w:rsid w:val="00FE679B"/>
    <w:rsid w:val="00FE67A9"/>
    <w:rsid w:val="00FE686F"/>
    <w:rsid w:val="00FE695C"/>
    <w:rsid w:val="00FE69D2"/>
    <w:rsid w:val="00FE69EE"/>
    <w:rsid w:val="00FE6A84"/>
    <w:rsid w:val="00FE6BE5"/>
    <w:rsid w:val="00FE6C0D"/>
    <w:rsid w:val="00FE6D03"/>
    <w:rsid w:val="00FE6DBB"/>
    <w:rsid w:val="00FE6DC1"/>
    <w:rsid w:val="00FE6ED7"/>
    <w:rsid w:val="00FE6F2A"/>
    <w:rsid w:val="00FE6FD5"/>
    <w:rsid w:val="00FE7004"/>
    <w:rsid w:val="00FE7066"/>
    <w:rsid w:val="00FE70ED"/>
    <w:rsid w:val="00FE74F9"/>
    <w:rsid w:val="00FE7547"/>
    <w:rsid w:val="00FE7742"/>
    <w:rsid w:val="00FE78C4"/>
    <w:rsid w:val="00FE7961"/>
    <w:rsid w:val="00FE7A05"/>
    <w:rsid w:val="00FE7A7E"/>
    <w:rsid w:val="00FE7ADA"/>
    <w:rsid w:val="00FE7AFA"/>
    <w:rsid w:val="00FE7BAB"/>
    <w:rsid w:val="00FE7BF2"/>
    <w:rsid w:val="00FE7C76"/>
    <w:rsid w:val="00FE7D24"/>
    <w:rsid w:val="00FE7D9A"/>
    <w:rsid w:val="00FE7E05"/>
    <w:rsid w:val="00FE7E42"/>
    <w:rsid w:val="00FE7E9E"/>
    <w:rsid w:val="00FF009F"/>
    <w:rsid w:val="00FF02BE"/>
    <w:rsid w:val="00FF0640"/>
    <w:rsid w:val="00FF0692"/>
    <w:rsid w:val="00FF0697"/>
    <w:rsid w:val="00FF06E7"/>
    <w:rsid w:val="00FF070D"/>
    <w:rsid w:val="00FF0772"/>
    <w:rsid w:val="00FF088F"/>
    <w:rsid w:val="00FF0970"/>
    <w:rsid w:val="00FF0A0F"/>
    <w:rsid w:val="00FF0ABC"/>
    <w:rsid w:val="00FF0B26"/>
    <w:rsid w:val="00FF0BBA"/>
    <w:rsid w:val="00FF0E8C"/>
    <w:rsid w:val="00FF0EE8"/>
    <w:rsid w:val="00FF0F88"/>
    <w:rsid w:val="00FF0F9E"/>
    <w:rsid w:val="00FF1071"/>
    <w:rsid w:val="00FF1150"/>
    <w:rsid w:val="00FF11CA"/>
    <w:rsid w:val="00FF1503"/>
    <w:rsid w:val="00FF158E"/>
    <w:rsid w:val="00FF16D3"/>
    <w:rsid w:val="00FF1706"/>
    <w:rsid w:val="00FF191D"/>
    <w:rsid w:val="00FF19A2"/>
    <w:rsid w:val="00FF1AD7"/>
    <w:rsid w:val="00FF1B84"/>
    <w:rsid w:val="00FF1C0B"/>
    <w:rsid w:val="00FF1CE3"/>
    <w:rsid w:val="00FF1DF8"/>
    <w:rsid w:val="00FF1ED6"/>
    <w:rsid w:val="00FF1F69"/>
    <w:rsid w:val="00FF2139"/>
    <w:rsid w:val="00FF213C"/>
    <w:rsid w:val="00FF2181"/>
    <w:rsid w:val="00FF21AE"/>
    <w:rsid w:val="00FF230D"/>
    <w:rsid w:val="00FF2372"/>
    <w:rsid w:val="00FF23A6"/>
    <w:rsid w:val="00FF264A"/>
    <w:rsid w:val="00FF2670"/>
    <w:rsid w:val="00FF2713"/>
    <w:rsid w:val="00FF2817"/>
    <w:rsid w:val="00FF282B"/>
    <w:rsid w:val="00FF2939"/>
    <w:rsid w:val="00FF2A13"/>
    <w:rsid w:val="00FF2A44"/>
    <w:rsid w:val="00FF2AC4"/>
    <w:rsid w:val="00FF2C4A"/>
    <w:rsid w:val="00FF2D47"/>
    <w:rsid w:val="00FF2DD8"/>
    <w:rsid w:val="00FF3036"/>
    <w:rsid w:val="00FF304B"/>
    <w:rsid w:val="00FF3112"/>
    <w:rsid w:val="00FF3318"/>
    <w:rsid w:val="00FF34AF"/>
    <w:rsid w:val="00FF3559"/>
    <w:rsid w:val="00FF3655"/>
    <w:rsid w:val="00FF37F5"/>
    <w:rsid w:val="00FF393F"/>
    <w:rsid w:val="00FF3C2F"/>
    <w:rsid w:val="00FF3C88"/>
    <w:rsid w:val="00FF3EAA"/>
    <w:rsid w:val="00FF42EE"/>
    <w:rsid w:val="00FF430B"/>
    <w:rsid w:val="00FF43C8"/>
    <w:rsid w:val="00FF441B"/>
    <w:rsid w:val="00FF4576"/>
    <w:rsid w:val="00FF45CF"/>
    <w:rsid w:val="00FF45E3"/>
    <w:rsid w:val="00FF47AC"/>
    <w:rsid w:val="00FF4963"/>
    <w:rsid w:val="00FF49B4"/>
    <w:rsid w:val="00FF4B3D"/>
    <w:rsid w:val="00FF4C44"/>
    <w:rsid w:val="00FF4F30"/>
    <w:rsid w:val="00FF4F3A"/>
    <w:rsid w:val="00FF50F6"/>
    <w:rsid w:val="00FF5204"/>
    <w:rsid w:val="00FF5242"/>
    <w:rsid w:val="00FF541F"/>
    <w:rsid w:val="00FF5465"/>
    <w:rsid w:val="00FF5529"/>
    <w:rsid w:val="00FF5555"/>
    <w:rsid w:val="00FF55C3"/>
    <w:rsid w:val="00FF5692"/>
    <w:rsid w:val="00FF57D8"/>
    <w:rsid w:val="00FF57DA"/>
    <w:rsid w:val="00FF5813"/>
    <w:rsid w:val="00FF5831"/>
    <w:rsid w:val="00FF5A62"/>
    <w:rsid w:val="00FF5AD7"/>
    <w:rsid w:val="00FF5B81"/>
    <w:rsid w:val="00FF5CEC"/>
    <w:rsid w:val="00FF5E15"/>
    <w:rsid w:val="00FF5E2B"/>
    <w:rsid w:val="00FF5F79"/>
    <w:rsid w:val="00FF5FD7"/>
    <w:rsid w:val="00FF6021"/>
    <w:rsid w:val="00FF6089"/>
    <w:rsid w:val="00FF60CF"/>
    <w:rsid w:val="00FF6104"/>
    <w:rsid w:val="00FF612D"/>
    <w:rsid w:val="00FF61E0"/>
    <w:rsid w:val="00FF6216"/>
    <w:rsid w:val="00FF62B4"/>
    <w:rsid w:val="00FF62DE"/>
    <w:rsid w:val="00FF638C"/>
    <w:rsid w:val="00FF647F"/>
    <w:rsid w:val="00FF652E"/>
    <w:rsid w:val="00FF6584"/>
    <w:rsid w:val="00FF6594"/>
    <w:rsid w:val="00FF65E1"/>
    <w:rsid w:val="00FF665A"/>
    <w:rsid w:val="00FF66D2"/>
    <w:rsid w:val="00FF67CD"/>
    <w:rsid w:val="00FF6835"/>
    <w:rsid w:val="00FF68DE"/>
    <w:rsid w:val="00FF6950"/>
    <w:rsid w:val="00FF6955"/>
    <w:rsid w:val="00FF69C7"/>
    <w:rsid w:val="00FF69F9"/>
    <w:rsid w:val="00FF6C3A"/>
    <w:rsid w:val="00FF6CFD"/>
    <w:rsid w:val="00FF6D67"/>
    <w:rsid w:val="00FF6D84"/>
    <w:rsid w:val="00FF6DAF"/>
    <w:rsid w:val="00FF6DD5"/>
    <w:rsid w:val="00FF6F02"/>
    <w:rsid w:val="00FF6F82"/>
    <w:rsid w:val="00FF6F90"/>
    <w:rsid w:val="00FF7090"/>
    <w:rsid w:val="00FF70F9"/>
    <w:rsid w:val="00FF7161"/>
    <w:rsid w:val="00FF719C"/>
    <w:rsid w:val="00FF728C"/>
    <w:rsid w:val="00FF729F"/>
    <w:rsid w:val="00FF7422"/>
    <w:rsid w:val="00FF759F"/>
    <w:rsid w:val="00FF75FA"/>
    <w:rsid w:val="00FF76DF"/>
    <w:rsid w:val="00FF785E"/>
    <w:rsid w:val="00FF7936"/>
    <w:rsid w:val="00FF7A90"/>
    <w:rsid w:val="00FF7BB0"/>
    <w:rsid w:val="00FF7C1B"/>
    <w:rsid w:val="00FF7CDD"/>
    <w:rsid w:val="00FF7E02"/>
    <w:rsid w:val="00FF7E0C"/>
    <w:rsid w:val="00FF7F12"/>
    <w:rsid w:val="00FF7F89"/>
    <w:rsid w:val="00FF7F9B"/>
    <w:rsid w:val="0100CEBD"/>
    <w:rsid w:val="01033D91"/>
    <w:rsid w:val="01050901"/>
    <w:rsid w:val="01077222"/>
    <w:rsid w:val="01084403"/>
    <w:rsid w:val="010A5764"/>
    <w:rsid w:val="010AF4EB"/>
    <w:rsid w:val="010B4DEB"/>
    <w:rsid w:val="010B81F1"/>
    <w:rsid w:val="010C0181"/>
    <w:rsid w:val="010C4835"/>
    <w:rsid w:val="010D488E"/>
    <w:rsid w:val="010D57B6"/>
    <w:rsid w:val="010EE396"/>
    <w:rsid w:val="010EF4FB"/>
    <w:rsid w:val="010FC7E8"/>
    <w:rsid w:val="01102BA9"/>
    <w:rsid w:val="01104134"/>
    <w:rsid w:val="01108DCC"/>
    <w:rsid w:val="01147896"/>
    <w:rsid w:val="01170BDA"/>
    <w:rsid w:val="0118A079"/>
    <w:rsid w:val="0118A699"/>
    <w:rsid w:val="01194667"/>
    <w:rsid w:val="011ABA16"/>
    <w:rsid w:val="011BE388"/>
    <w:rsid w:val="011ED5A1"/>
    <w:rsid w:val="011ED78D"/>
    <w:rsid w:val="011F3F88"/>
    <w:rsid w:val="01203F6F"/>
    <w:rsid w:val="012442F9"/>
    <w:rsid w:val="0124A67C"/>
    <w:rsid w:val="0125500A"/>
    <w:rsid w:val="0125C861"/>
    <w:rsid w:val="01266BC1"/>
    <w:rsid w:val="0126B573"/>
    <w:rsid w:val="0126CB15"/>
    <w:rsid w:val="012E1575"/>
    <w:rsid w:val="013258AD"/>
    <w:rsid w:val="013643F2"/>
    <w:rsid w:val="01371A1E"/>
    <w:rsid w:val="0139B317"/>
    <w:rsid w:val="013B22FA"/>
    <w:rsid w:val="013B67E7"/>
    <w:rsid w:val="013BE0AF"/>
    <w:rsid w:val="014469EC"/>
    <w:rsid w:val="0144877F"/>
    <w:rsid w:val="014587B0"/>
    <w:rsid w:val="01460639"/>
    <w:rsid w:val="014646E1"/>
    <w:rsid w:val="01466BE8"/>
    <w:rsid w:val="01495CDD"/>
    <w:rsid w:val="014A787D"/>
    <w:rsid w:val="014DC6FB"/>
    <w:rsid w:val="014E57E1"/>
    <w:rsid w:val="014E6B7D"/>
    <w:rsid w:val="01528B9A"/>
    <w:rsid w:val="015842F9"/>
    <w:rsid w:val="015A2898"/>
    <w:rsid w:val="015C1857"/>
    <w:rsid w:val="015C4B13"/>
    <w:rsid w:val="015C8710"/>
    <w:rsid w:val="015D6B09"/>
    <w:rsid w:val="016109F7"/>
    <w:rsid w:val="01621557"/>
    <w:rsid w:val="016350FE"/>
    <w:rsid w:val="016451D4"/>
    <w:rsid w:val="01656C52"/>
    <w:rsid w:val="01673B57"/>
    <w:rsid w:val="016AAB16"/>
    <w:rsid w:val="016B74DE"/>
    <w:rsid w:val="016C35A2"/>
    <w:rsid w:val="0170DB67"/>
    <w:rsid w:val="0171683C"/>
    <w:rsid w:val="0172A801"/>
    <w:rsid w:val="017345A8"/>
    <w:rsid w:val="01789E92"/>
    <w:rsid w:val="017DCE16"/>
    <w:rsid w:val="017EA6AC"/>
    <w:rsid w:val="0186FC2B"/>
    <w:rsid w:val="0189B92F"/>
    <w:rsid w:val="018B69DE"/>
    <w:rsid w:val="018D1BE8"/>
    <w:rsid w:val="018DE18F"/>
    <w:rsid w:val="019127EF"/>
    <w:rsid w:val="0192A867"/>
    <w:rsid w:val="01937896"/>
    <w:rsid w:val="01954F04"/>
    <w:rsid w:val="019687C1"/>
    <w:rsid w:val="01979C5A"/>
    <w:rsid w:val="019A31D9"/>
    <w:rsid w:val="019A861F"/>
    <w:rsid w:val="019AB732"/>
    <w:rsid w:val="019C7A95"/>
    <w:rsid w:val="019CA96E"/>
    <w:rsid w:val="019EDC84"/>
    <w:rsid w:val="019F7977"/>
    <w:rsid w:val="01A39775"/>
    <w:rsid w:val="01A51C2B"/>
    <w:rsid w:val="01A70BCF"/>
    <w:rsid w:val="01AA95C8"/>
    <w:rsid w:val="01ABD701"/>
    <w:rsid w:val="01AD7F07"/>
    <w:rsid w:val="01AE98AF"/>
    <w:rsid w:val="01B13D8C"/>
    <w:rsid w:val="01B37F91"/>
    <w:rsid w:val="01B5EFE4"/>
    <w:rsid w:val="01B72FA9"/>
    <w:rsid w:val="01BAD598"/>
    <w:rsid w:val="01BD953C"/>
    <w:rsid w:val="01BDB755"/>
    <w:rsid w:val="01BE5CB8"/>
    <w:rsid w:val="01C63752"/>
    <w:rsid w:val="01C7FD37"/>
    <w:rsid w:val="01CB788B"/>
    <w:rsid w:val="01CBB789"/>
    <w:rsid w:val="01CC2938"/>
    <w:rsid w:val="01CCA919"/>
    <w:rsid w:val="01CFD035"/>
    <w:rsid w:val="01D13DB7"/>
    <w:rsid w:val="01D1505F"/>
    <w:rsid w:val="01D2E137"/>
    <w:rsid w:val="01D3252E"/>
    <w:rsid w:val="01D40D27"/>
    <w:rsid w:val="01DA1370"/>
    <w:rsid w:val="01DBD72D"/>
    <w:rsid w:val="01DEE880"/>
    <w:rsid w:val="01DFCCAD"/>
    <w:rsid w:val="01E000AB"/>
    <w:rsid w:val="01E06FB8"/>
    <w:rsid w:val="01E08BAF"/>
    <w:rsid w:val="01E41444"/>
    <w:rsid w:val="01E44674"/>
    <w:rsid w:val="01E6ED12"/>
    <w:rsid w:val="01EFF4B8"/>
    <w:rsid w:val="01F006D8"/>
    <w:rsid w:val="01F7A1B2"/>
    <w:rsid w:val="01FAC750"/>
    <w:rsid w:val="01FAEC06"/>
    <w:rsid w:val="01FE33DF"/>
    <w:rsid w:val="01FEC177"/>
    <w:rsid w:val="01FF65A5"/>
    <w:rsid w:val="01FF7370"/>
    <w:rsid w:val="01FFCEFC"/>
    <w:rsid w:val="0206FE5D"/>
    <w:rsid w:val="0209968E"/>
    <w:rsid w:val="02120C3D"/>
    <w:rsid w:val="02147A23"/>
    <w:rsid w:val="02166CCD"/>
    <w:rsid w:val="02167D16"/>
    <w:rsid w:val="0216C19E"/>
    <w:rsid w:val="0217DC7C"/>
    <w:rsid w:val="0218AF4E"/>
    <w:rsid w:val="02198DC8"/>
    <w:rsid w:val="021BB193"/>
    <w:rsid w:val="021FF175"/>
    <w:rsid w:val="022180D6"/>
    <w:rsid w:val="02236511"/>
    <w:rsid w:val="02237628"/>
    <w:rsid w:val="02245E69"/>
    <w:rsid w:val="0224E712"/>
    <w:rsid w:val="02258D91"/>
    <w:rsid w:val="02274516"/>
    <w:rsid w:val="022A5120"/>
    <w:rsid w:val="022A5792"/>
    <w:rsid w:val="022C6BB4"/>
    <w:rsid w:val="022EBC84"/>
    <w:rsid w:val="02300FA7"/>
    <w:rsid w:val="0230BB35"/>
    <w:rsid w:val="0233F55A"/>
    <w:rsid w:val="02365940"/>
    <w:rsid w:val="02394AB8"/>
    <w:rsid w:val="023AD7DE"/>
    <w:rsid w:val="023F724B"/>
    <w:rsid w:val="0241063D"/>
    <w:rsid w:val="02433AAF"/>
    <w:rsid w:val="02456334"/>
    <w:rsid w:val="0245B973"/>
    <w:rsid w:val="024742EA"/>
    <w:rsid w:val="02478166"/>
    <w:rsid w:val="024A5CE6"/>
    <w:rsid w:val="024BF341"/>
    <w:rsid w:val="0250BC41"/>
    <w:rsid w:val="0251E4E3"/>
    <w:rsid w:val="0251FCDD"/>
    <w:rsid w:val="02542BE7"/>
    <w:rsid w:val="0255037F"/>
    <w:rsid w:val="02557B8D"/>
    <w:rsid w:val="0257872B"/>
    <w:rsid w:val="02580BB7"/>
    <w:rsid w:val="0259B55B"/>
    <w:rsid w:val="025A1089"/>
    <w:rsid w:val="025A9DB8"/>
    <w:rsid w:val="025B61E1"/>
    <w:rsid w:val="025DA635"/>
    <w:rsid w:val="025ED8CC"/>
    <w:rsid w:val="025F7ADE"/>
    <w:rsid w:val="025FA01C"/>
    <w:rsid w:val="025FD33D"/>
    <w:rsid w:val="026021AA"/>
    <w:rsid w:val="0260E089"/>
    <w:rsid w:val="02614E4F"/>
    <w:rsid w:val="0261E4DE"/>
    <w:rsid w:val="02628C6B"/>
    <w:rsid w:val="02648739"/>
    <w:rsid w:val="02693286"/>
    <w:rsid w:val="026B8210"/>
    <w:rsid w:val="026C6344"/>
    <w:rsid w:val="026DCB00"/>
    <w:rsid w:val="026DE46E"/>
    <w:rsid w:val="026E9A53"/>
    <w:rsid w:val="026F1BAF"/>
    <w:rsid w:val="0270642D"/>
    <w:rsid w:val="0271AE3A"/>
    <w:rsid w:val="0271C743"/>
    <w:rsid w:val="02720C96"/>
    <w:rsid w:val="02735700"/>
    <w:rsid w:val="02740A72"/>
    <w:rsid w:val="027441C0"/>
    <w:rsid w:val="0275E9ED"/>
    <w:rsid w:val="02762A09"/>
    <w:rsid w:val="027644DC"/>
    <w:rsid w:val="0277247C"/>
    <w:rsid w:val="02798ADF"/>
    <w:rsid w:val="027EDF41"/>
    <w:rsid w:val="028268BA"/>
    <w:rsid w:val="0283F481"/>
    <w:rsid w:val="028472A7"/>
    <w:rsid w:val="0284DA49"/>
    <w:rsid w:val="02878923"/>
    <w:rsid w:val="0287BC86"/>
    <w:rsid w:val="028AB6C9"/>
    <w:rsid w:val="028C1AAE"/>
    <w:rsid w:val="028C51DA"/>
    <w:rsid w:val="028D3D97"/>
    <w:rsid w:val="028F5D17"/>
    <w:rsid w:val="029134E3"/>
    <w:rsid w:val="0296415A"/>
    <w:rsid w:val="02987851"/>
    <w:rsid w:val="0298D87A"/>
    <w:rsid w:val="029B5262"/>
    <w:rsid w:val="029CB398"/>
    <w:rsid w:val="029E35C1"/>
    <w:rsid w:val="02A1E3C4"/>
    <w:rsid w:val="02A472E8"/>
    <w:rsid w:val="02A4FB63"/>
    <w:rsid w:val="02A52341"/>
    <w:rsid w:val="02A8B7CD"/>
    <w:rsid w:val="02AA072E"/>
    <w:rsid w:val="02AA4397"/>
    <w:rsid w:val="02AE8BF9"/>
    <w:rsid w:val="02AF8595"/>
    <w:rsid w:val="02B040AA"/>
    <w:rsid w:val="02B3AEEE"/>
    <w:rsid w:val="02B71BDD"/>
    <w:rsid w:val="02B81D67"/>
    <w:rsid w:val="02B8EE6B"/>
    <w:rsid w:val="02BB3D61"/>
    <w:rsid w:val="02BD28F9"/>
    <w:rsid w:val="02BDFCC3"/>
    <w:rsid w:val="02BF0B1E"/>
    <w:rsid w:val="02C22247"/>
    <w:rsid w:val="02C581CB"/>
    <w:rsid w:val="02C94552"/>
    <w:rsid w:val="02C9A567"/>
    <w:rsid w:val="02CAB9E0"/>
    <w:rsid w:val="02CACEE6"/>
    <w:rsid w:val="02CAD1CB"/>
    <w:rsid w:val="02CBE9A5"/>
    <w:rsid w:val="02CE6274"/>
    <w:rsid w:val="02D03BDE"/>
    <w:rsid w:val="02D3C2DB"/>
    <w:rsid w:val="02D4E9E6"/>
    <w:rsid w:val="02D5914F"/>
    <w:rsid w:val="02D82E2F"/>
    <w:rsid w:val="02D8F21C"/>
    <w:rsid w:val="02DB19FC"/>
    <w:rsid w:val="02DD5831"/>
    <w:rsid w:val="02E3B68F"/>
    <w:rsid w:val="02E4EA74"/>
    <w:rsid w:val="02E68B5F"/>
    <w:rsid w:val="02E7A08E"/>
    <w:rsid w:val="02E84130"/>
    <w:rsid w:val="02EC1DC0"/>
    <w:rsid w:val="02EC2F67"/>
    <w:rsid w:val="02EFEBB1"/>
    <w:rsid w:val="02F1F4CF"/>
    <w:rsid w:val="02F2ABDA"/>
    <w:rsid w:val="02F30D5E"/>
    <w:rsid w:val="02F3F018"/>
    <w:rsid w:val="02F41C6A"/>
    <w:rsid w:val="02F65A01"/>
    <w:rsid w:val="02F80B75"/>
    <w:rsid w:val="02F9FB25"/>
    <w:rsid w:val="02FD1619"/>
    <w:rsid w:val="02FD679E"/>
    <w:rsid w:val="030085B5"/>
    <w:rsid w:val="03076500"/>
    <w:rsid w:val="030C7E95"/>
    <w:rsid w:val="030EB93E"/>
    <w:rsid w:val="030F2B9E"/>
    <w:rsid w:val="030F37C4"/>
    <w:rsid w:val="030F3E11"/>
    <w:rsid w:val="030F9853"/>
    <w:rsid w:val="03104D7D"/>
    <w:rsid w:val="0311A89D"/>
    <w:rsid w:val="03145100"/>
    <w:rsid w:val="031472EC"/>
    <w:rsid w:val="0316795A"/>
    <w:rsid w:val="031C0AA6"/>
    <w:rsid w:val="0321E649"/>
    <w:rsid w:val="0322D08E"/>
    <w:rsid w:val="0328995D"/>
    <w:rsid w:val="032A8D00"/>
    <w:rsid w:val="032F4326"/>
    <w:rsid w:val="033052D5"/>
    <w:rsid w:val="0331725E"/>
    <w:rsid w:val="0331C4F1"/>
    <w:rsid w:val="0333797A"/>
    <w:rsid w:val="033829F8"/>
    <w:rsid w:val="033A0A65"/>
    <w:rsid w:val="033C14D5"/>
    <w:rsid w:val="033DBC05"/>
    <w:rsid w:val="033F219A"/>
    <w:rsid w:val="03417968"/>
    <w:rsid w:val="0341E63F"/>
    <w:rsid w:val="034CDCE5"/>
    <w:rsid w:val="034D0A79"/>
    <w:rsid w:val="03501C96"/>
    <w:rsid w:val="03547B44"/>
    <w:rsid w:val="0354AC0B"/>
    <w:rsid w:val="03554F80"/>
    <w:rsid w:val="03571437"/>
    <w:rsid w:val="035C7A3E"/>
    <w:rsid w:val="0366282A"/>
    <w:rsid w:val="0367F778"/>
    <w:rsid w:val="03689A3A"/>
    <w:rsid w:val="03693034"/>
    <w:rsid w:val="036F968B"/>
    <w:rsid w:val="03754D44"/>
    <w:rsid w:val="03777910"/>
    <w:rsid w:val="0379574E"/>
    <w:rsid w:val="037B0FB9"/>
    <w:rsid w:val="0383C536"/>
    <w:rsid w:val="03840D83"/>
    <w:rsid w:val="0385F1E3"/>
    <w:rsid w:val="0388F376"/>
    <w:rsid w:val="038CC6F5"/>
    <w:rsid w:val="038F217F"/>
    <w:rsid w:val="03920761"/>
    <w:rsid w:val="03928E31"/>
    <w:rsid w:val="03947C82"/>
    <w:rsid w:val="03980231"/>
    <w:rsid w:val="03986D3B"/>
    <w:rsid w:val="039B9741"/>
    <w:rsid w:val="039C7123"/>
    <w:rsid w:val="039DD806"/>
    <w:rsid w:val="039E3533"/>
    <w:rsid w:val="039E83BE"/>
    <w:rsid w:val="039FE140"/>
    <w:rsid w:val="03A17617"/>
    <w:rsid w:val="03A549C1"/>
    <w:rsid w:val="03A8B949"/>
    <w:rsid w:val="03AD0B49"/>
    <w:rsid w:val="03B015AE"/>
    <w:rsid w:val="03B0F061"/>
    <w:rsid w:val="03B367F8"/>
    <w:rsid w:val="03B3EB81"/>
    <w:rsid w:val="03B86CF7"/>
    <w:rsid w:val="03B8B8DC"/>
    <w:rsid w:val="03BB0037"/>
    <w:rsid w:val="03C14F42"/>
    <w:rsid w:val="03C1BB80"/>
    <w:rsid w:val="03C2B524"/>
    <w:rsid w:val="03C48298"/>
    <w:rsid w:val="03C77DF6"/>
    <w:rsid w:val="03C7D837"/>
    <w:rsid w:val="03C8218C"/>
    <w:rsid w:val="03D173EB"/>
    <w:rsid w:val="03D26402"/>
    <w:rsid w:val="03D582E3"/>
    <w:rsid w:val="03D9D95B"/>
    <w:rsid w:val="03DABB94"/>
    <w:rsid w:val="03DC4B5B"/>
    <w:rsid w:val="03DD2102"/>
    <w:rsid w:val="03DD2629"/>
    <w:rsid w:val="03DE629F"/>
    <w:rsid w:val="03DF2560"/>
    <w:rsid w:val="03E28323"/>
    <w:rsid w:val="03E42049"/>
    <w:rsid w:val="03E56228"/>
    <w:rsid w:val="03E675AC"/>
    <w:rsid w:val="03E71E79"/>
    <w:rsid w:val="03ED6BC8"/>
    <w:rsid w:val="03EF5B15"/>
    <w:rsid w:val="03F00A37"/>
    <w:rsid w:val="03F0848C"/>
    <w:rsid w:val="03F3D790"/>
    <w:rsid w:val="03F4D51C"/>
    <w:rsid w:val="03F56FEE"/>
    <w:rsid w:val="03F57649"/>
    <w:rsid w:val="03F77044"/>
    <w:rsid w:val="03F8475D"/>
    <w:rsid w:val="03FB4561"/>
    <w:rsid w:val="0401633E"/>
    <w:rsid w:val="04043188"/>
    <w:rsid w:val="04047FB0"/>
    <w:rsid w:val="04048074"/>
    <w:rsid w:val="04099403"/>
    <w:rsid w:val="040F040B"/>
    <w:rsid w:val="040FE893"/>
    <w:rsid w:val="0411F3E0"/>
    <w:rsid w:val="041414B9"/>
    <w:rsid w:val="04162985"/>
    <w:rsid w:val="04191EAB"/>
    <w:rsid w:val="04196498"/>
    <w:rsid w:val="041B4465"/>
    <w:rsid w:val="041E88C2"/>
    <w:rsid w:val="041FDE4C"/>
    <w:rsid w:val="0420F94D"/>
    <w:rsid w:val="04235D0E"/>
    <w:rsid w:val="042494A1"/>
    <w:rsid w:val="0424DB15"/>
    <w:rsid w:val="042510DE"/>
    <w:rsid w:val="0425C85B"/>
    <w:rsid w:val="0426765E"/>
    <w:rsid w:val="0427C115"/>
    <w:rsid w:val="042AEE3C"/>
    <w:rsid w:val="042DAF5F"/>
    <w:rsid w:val="042E80AF"/>
    <w:rsid w:val="042F0249"/>
    <w:rsid w:val="042F985E"/>
    <w:rsid w:val="04300225"/>
    <w:rsid w:val="0433691A"/>
    <w:rsid w:val="043467E3"/>
    <w:rsid w:val="043566C0"/>
    <w:rsid w:val="0436AE0B"/>
    <w:rsid w:val="0437AD20"/>
    <w:rsid w:val="0437B0A0"/>
    <w:rsid w:val="04383A95"/>
    <w:rsid w:val="043A53E1"/>
    <w:rsid w:val="043B4AD6"/>
    <w:rsid w:val="043B582F"/>
    <w:rsid w:val="043CA0F9"/>
    <w:rsid w:val="043DAEF1"/>
    <w:rsid w:val="043E2DCF"/>
    <w:rsid w:val="044A932C"/>
    <w:rsid w:val="044CFB12"/>
    <w:rsid w:val="044E140F"/>
    <w:rsid w:val="044F30B6"/>
    <w:rsid w:val="044FDA78"/>
    <w:rsid w:val="0451191E"/>
    <w:rsid w:val="04514F14"/>
    <w:rsid w:val="0454B5FC"/>
    <w:rsid w:val="0455F356"/>
    <w:rsid w:val="045E4FB5"/>
    <w:rsid w:val="045F80B9"/>
    <w:rsid w:val="04644FE0"/>
    <w:rsid w:val="046AC381"/>
    <w:rsid w:val="046B0DBD"/>
    <w:rsid w:val="046C4606"/>
    <w:rsid w:val="046C4FF2"/>
    <w:rsid w:val="046CC192"/>
    <w:rsid w:val="046E94D3"/>
    <w:rsid w:val="046F268C"/>
    <w:rsid w:val="04703AC7"/>
    <w:rsid w:val="0470FC97"/>
    <w:rsid w:val="0474DF59"/>
    <w:rsid w:val="0475974B"/>
    <w:rsid w:val="047597EF"/>
    <w:rsid w:val="0475D489"/>
    <w:rsid w:val="0478B19C"/>
    <w:rsid w:val="0478DC08"/>
    <w:rsid w:val="0479C9AE"/>
    <w:rsid w:val="047A023D"/>
    <w:rsid w:val="047F8A51"/>
    <w:rsid w:val="04808D69"/>
    <w:rsid w:val="0481E8CF"/>
    <w:rsid w:val="0482E7DA"/>
    <w:rsid w:val="0482FB57"/>
    <w:rsid w:val="04838820"/>
    <w:rsid w:val="0484199D"/>
    <w:rsid w:val="04859B79"/>
    <w:rsid w:val="04889B48"/>
    <w:rsid w:val="0488C318"/>
    <w:rsid w:val="048C5F99"/>
    <w:rsid w:val="048C6EF2"/>
    <w:rsid w:val="048D0238"/>
    <w:rsid w:val="048DA616"/>
    <w:rsid w:val="048F4E7F"/>
    <w:rsid w:val="049088B1"/>
    <w:rsid w:val="0491B538"/>
    <w:rsid w:val="0492FCAE"/>
    <w:rsid w:val="04939AAC"/>
    <w:rsid w:val="04954B43"/>
    <w:rsid w:val="04970993"/>
    <w:rsid w:val="04993167"/>
    <w:rsid w:val="049A497E"/>
    <w:rsid w:val="049ED441"/>
    <w:rsid w:val="04A23049"/>
    <w:rsid w:val="04A230C7"/>
    <w:rsid w:val="04A2B3D0"/>
    <w:rsid w:val="04A6AABF"/>
    <w:rsid w:val="04A71AB6"/>
    <w:rsid w:val="04A97BFA"/>
    <w:rsid w:val="04ACB055"/>
    <w:rsid w:val="04B0E683"/>
    <w:rsid w:val="04B308AB"/>
    <w:rsid w:val="04B50D99"/>
    <w:rsid w:val="04BA3533"/>
    <w:rsid w:val="04BEAEEC"/>
    <w:rsid w:val="04BF1AFA"/>
    <w:rsid w:val="04C00CD3"/>
    <w:rsid w:val="04C04DFC"/>
    <w:rsid w:val="04C26840"/>
    <w:rsid w:val="04C3CF8E"/>
    <w:rsid w:val="04C40635"/>
    <w:rsid w:val="04C6E353"/>
    <w:rsid w:val="04CA8F68"/>
    <w:rsid w:val="04CBE72D"/>
    <w:rsid w:val="04D099A5"/>
    <w:rsid w:val="04D0C660"/>
    <w:rsid w:val="04D0D534"/>
    <w:rsid w:val="04D0EA7D"/>
    <w:rsid w:val="04D19CD2"/>
    <w:rsid w:val="04D45D89"/>
    <w:rsid w:val="04D7BC14"/>
    <w:rsid w:val="04D857BC"/>
    <w:rsid w:val="04D9301D"/>
    <w:rsid w:val="04DB0980"/>
    <w:rsid w:val="04DB45EA"/>
    <w:rsid w:val="04DBE644"/>
    <w:rsid w:val="04DD32F4"/>
    <w:rsid w:val="04E003A7"/>
    <w:rsid w:val="04E103FD"/>
    <w:rsid w:val="04E12195"/>
    <w:rsid w:val="04E154CF"/>
    <w:rsid w:val="04E203C6"/>
    <w:rsid w:val="04E3821E"/>
    <w:rsid w:val="04E70020"/>
    <w:rsid w:val="04E86DD1"/>
    <w:rsid w:val="04E93837"/>
    <w:rsid w:val="04E96CE5"/>
    <w:rsid w:val="04E96FDC"/>
    <w:rsid w:val="04EBC128"/>
    <w:rsid w:val="04EBD174"/>
    <w:rsid w:val="04EDC81E"/>
    <w:rsid w:val="04EE83E0"/>
    <w:rsid w:val="04EE96B3"/>
    <w:rsid w:val="04F01836"/>
    <w:rsid w:val="04F5ADC0"/>
    <w:rsid w:val="050423C6"/>
    <w:rsid w:val="05061052"/>
    <w:rsid w:val="050D64C5"/>
    <w:rsid w:val="050E1D89"/>
    <w:rsid w:val="050F0901"/>
    <w:rsid w:val="0510E759"/>
    <w:rsid w:val="0514CE72"/>
    <w:rsid w:val="0516619F"/>
    <w:rsid w:val="05182FD3"/>
    <w:rsid w:val="05183A30"/>
    <w:rsid w:val="05186040"/>
    <w:rsid w:val="051CFA57"/>
    <w:rsid w:val="051D2649"/>
    <w:rsid w:val="051F8CA3"/>
    <w:rsid w:val="05228C2D"/>
    <w:rsid w:val="0527B964"/>
    <w:rsid w:val="0527F0AE"/>
    <w:rsid w:val="052E2153"/>
    <w:rsid w:val="053152CF"/>
    <w:rsid w:val="0533195C"/>
    <w:rsid w:val="053387F7"/>
    <w:rsid w:val="0536521D"/>
    <w:rsid w:val="05373987"/>
    <w:rsid w:val="05385482"/>
    <w:rsid w:val="053CD9E9"/>
    <w:rsid w:val="053DAAAB"/>
    <w:rsid w:val="053FBCF2"/>
    <w:rsid w:val="054084DC"/>
    <w:rsid w:val="054139FD"/>
    <w:rsid w:val="0547F35A"/>
    <w:rsid w:val="0548C321"/>
    <w:rsid w:val="054FDEBB"/>
    <w:rsid w:val="055371B7"/>
    <w:rsid w:val="0553D349"/>
    <w:rsid w:val="05560821"/>
    <w:rsid w:val="0557B442"/>
    <w:rsid w:val="05583AED"/>
    <w:rsid w:val="0559A0C7"/>
    <w:rsid w:val="055B49B4"/>
    <w:rsid w:val="055CCCA0"/>
    <w:rsid w:val="055EC6B6"/>
    <w:rsid w:val="0566BBD6"/>
    <w:rsid w:val="056909DD"/>
    <w:rsid w:val="056AA34B"/>
    <w:rsid w:val="056CF655"/>
    <w:rsid w:val="056FF488"/>
    <w:rsid w:val="0570EB62"/>
    <w:rsid w:val="0571D53E"/>
    <w:rsid w:val="0574CB25"/>
    <w:rsid w:val="057705AC"/>
    <w:rsid w:val="0578159F"/>
    <w:rsid w:val="05799A10"/>
    <w:rsid w:val="057BBA64"/>
    <w:rsid w:val="057EB7E5"/>
    <w:rsid w:val="0580BC70"/>
    <w:rsid w:val="058335ED"/>
    <w:rsid w:val="0584DBC1"/>
    <w:rsid w:val="05892324"/>
    <w:rsid w:val="058C2266"/>
    <w:rsid w:val="058F5D39"/>
    <w:rsid w:val="058FD4FC"/>
    <w:rsid w:val="05905185"/>
    <w:rsid w:val="05960431"/>
    <w:rsid w:val="05961B6A"/>
    <w:rsid w:val="05996153"/>
    <w:rsid w:val="059AAFFE"/>
    <w:rsid w:val="059ACF74"/>
    <w:rsid w:val="059B281D"/>
    <w:rsid w:val="059B5114"/>
    <w:rsid w:val="059B5D43"/>
    <w:rsid w:val="05A02288"/>
    <w:rsid w:val="05A166FD"/>
    <w:rsid w:val="05A28B21"/>
    <w:rsid w:val="05A47ADC"/>
    <w:rsid w:val="05A752FB"/>
    <w:rsid w:val="05A8CF99"/>
    <w:rsid w:val="05A93E99"/>
    <w:rsid w:val="05ACFCC1"/>
    <w:rsid w:val="05ADF079"/>
    <w:rsid w:val="05B0A93B"/>
    <w:rsid w:val="05B13129"/>
    <w:rsid w:val="05B1F014"/>
    <w:rsid w:val="05B247DA"/>
    <w:rsid w:val="05B2B48E"/>
    <w:rsid w:val="05B2D2D0"/>
    <w:rsid w:val="05B63DEF"/>
    <w:rsid w:val="05B83DC1"/>
    <w:rsid w:val="05BB3815"/>
    <w:rsid w:val="05BB9DB4"/>
    <w:rsid w:val="05BBE44C"/>
    <w:rsid w:val="05BC2CDC"/>
    <w:rsid w:val="05BDDEBC"/>
    <w:rsid w:val="05C331CA"/>
    <w:rsid w:val="05C4047A"/>
    <w:rsid w:val="05C56724"/>
    <w:rsid w:val="05C65F23"/>
    <w:rsid w:val="05D03994"/>
    <w:rsid w:val="05D08830"/>
    <w:rsid w:val="05D0B92C"/>
    <w:rsid w:val="05D17D20"/>
    <w:rsid w:val="05D2BFE4"/>
    <w:rsid w:val="05D38A66"/>
    <w:rsid w:val="05DE888C"/>
    <w:rsid w:val="05DF3146"/>
    <w:rsid w:val="05E53991"/>
    <w:rsid w:val="05E9FE24"/>
    <w:rsid w:val="05ED1BB8"/>
    <w:rsid w:val="05EE3D0E"/>
    <w:rsid w:val="05F443EB"/>
    <w:rsid w:val="05F4730F"/>
    <w:rsid w:val="05FC6FF4"/>
    <w:rsid w:val="05FC9D77"/>
    <w:rsid w:val="05FE0C86"/>
    <w:rsid w:val="0603059A"/>
    <w:rsid w:val="060A94A1"/>
    <w:rsid w:val="060E6341"/>
    <w:rsid w:val="060FB74F"/>
    <w:rsid w:val="0611A784"/>
    <w:rsid w:val="06134D57"/>
    <w:rsid w:val="061354B9"/>
    <w:rsid w:val="06147FA3"/>
    <w:rsid w:val="061524CA"/>
    <w:rsid w:val="061660C4"/>
    <w:rsid w:val="06168C9D"/>
    <w:rsid w:val="0616F929"/>
    <w:rsid w:val="061C788A"/>
    <w:rsid w:val="061E8944"/>
    <w:rsid w:val="06215FEE"/>
    <w:rsid w:val="06219180"/>
    <w:rsid w:val="0621C7A6"/>
    <w:rsid w:val="06225736"/>
    <w:rsid w:val="0622D066"/>
    <w:rsid w:val="0624440D"/>
    <w:rsid w:val="06266F8F"/>
    <w:rsid w:val="0627D24B"/>
    <w:rsid w:val="062A37BC"/>
    <w:rsid w:val="062D5955"/>
    <w:rsid w:val="062D7ECE"/>
    <w:rsid w:val="062D85C4"/>
    <w:rsid w:val="062EAD15"/>
    <w:rsid w:val="0630954D"/>
    <w:rsid w:val="0631D1A3"/>
    <w:rsid w:val="06377513"/>
    <w:rsid w:val="06378A1F"/>
    <w:rsid w:val="063C420A"/>
    <w:rsid w:val="0640D098"/>
    <w:rsid w:val="06430F53"/>
    <w:rsid w:val="06445054"/>
    <w:rsid w:val="0644C252"/>
    <w:rsid w:val="0644E48F"/>
    <w:rsid w:val="0646A8DF"/>
    <w:rsid w:val="064743C8"/>
    <w:rsid w:val="0647C056"/>
    <w:rsid w:val="0649FC8E"/>
    <w:rsid w:val="064EFD86"/>
    <w:rsid w:val="0650CAD3"/>
    <w:rsid w:val="0651E358"/>
    <w:rsid w:val="06526565"/>
    <w:rsid w:val="0652A625"/>
    <w:rsid w:val="06578C37"/>
    <w:rsid w:val="065BB62C"/>
    <w:rsid w:val="065C37C9"/>
    <w:rsid w:val="065D3048"/>
    <w:rsid w:val="065E76C4"/>
    <w:rsid w:val="06605BCC"/>
    <w:rsid w:val="06608079"/>
    <w:rsid w:val="066242CC"/>
    <w:rsid w:val="0662E5B5"/>
    <w:rsid w:val="0663F9C4"/>
    <w:rsid w:val="06640E93"/>
    <w:rsid w:val="0665ECA9"/>
    <w:rsid w:val="0667A0AA"/>
    <w:rsid w:val="06681C0C"/>
    <w:rsid w:val="066A1339"/>
    <w:rsid w:val="066C3542"/>
    <w:rsid w:val="066C7B8B"/>
    <w:rsid w:val="0671D6B9"/>
    <w:rsid w:val="06737CB7"/>
    <w:rsid w:val="0674EFA1"/>
    <w:rsid w:val="06759F70"/>
    <w:rsid w:val="0675F0B2"/>
    <w:rsid w:val="06777E96"/>
    <w:rsid w:val="06799A47"/>
    <w:rsid w:val="067BEA6C"/>
    <w:rsid w:val="067C4E21"/>
    <w:rsid w:val="067D1136"/>
    <w:rsid w:val="067F07DF"/>
    <w:rsid w:val="067F9D90"/>
    <w:rsid w:val="06812F36"/>
    <w:rsid w:val="0682B17F"/>
    <w:rsid w:val="06831145"/>
    <w:rsid w:val="06871560"/>
    <w:rsid w:val="068A85C8"/>
    <w:rsid w:val="068AE978"/>
    <w:rsid w:val="068C485A"/>
    <w:rsid w:val="068CE1D6"/>
    <w:rsid w:val="068DC8F6"/>
    <w:rsid w:val="068E889D"/>
    <w:rsid w:val="068F7E3D"/>
    <w:rsid w:val="06928DEE"/>
    <w:rsid w:val="069406F6"/>
    <w:rsid w:val="06978E25"/>
    <w:rsid w:val="0699851D"/>
    <w:rsid w:val="06999A09"/>
    <w:rsid w:val="069B4CF9"/>
    <w:rsid w:val="069CB747"/>
    <w:rsid w:val="069DBFC0"/>
    <w:rsid w:val="069F7A22"/>
    <w:rsid w:val="069F9639"/>
    <w:rsid w:val="06A1D4A8"/>
    <w:rsid w:val="06A471B4"/>
    <w:rsid w:val="06A4D9DB"/>
    <w:rsid w:val="06A8DB54"/>
    <w:rsid w:val="06A9D745"/>
    <w:rsid w:val="06AB49B5"/>
    <w:rsid w:val="06AC88E5"/>
    <w:rsid w:val="06AEB396"/>
    <w:rsid w:val="06B0D55F"/>
    <w:rsid w:val="06B13607"/>
    <w:rsid w:val="06B1A912"/>
    <w:rsid w:val="06B3C3A4"/>
    <w:rsid w:val="06B3D7C0"/>
    <w:rsid w:val="06B40C68"/>
    <w:rsid w:val="06B41636"/>
    <w:rsid w:val="06B4B416"/>
    <w:rsid w:val="06B9F086"/>
    <w:rsid w:val="06BED11B"/>
    <w:rsid w:val="06C8ABFF"/>
    <w:rsid w:val="06CB4DA7"/>
    <w:rsid w:val="06D08B90"/>
    <w:rsid w:val="06D2A2D6"/>
    <w:rsid w:val="06D2C2FC"/>
    <w:rsid w:val="06D40C5E"/>
    <w:rsid w:val="06DC8032"/>
    <w:rsid w:val="06DD9595"/>
    <w:rsid w:val="06E1D5DC"/>
    <w:rsid w:val="06E1D9B6"/>
    <w:rsid w:val="06E2774C"/>
    <w:rsid w:val="06E495AE"/>
    <w:rsid w:val="06E53D87"/>
    <w:rsid w:val="06E63EA6"/>
    <w:rsid w:val="06EC7D76"/>
    <w:rsid w:val="06ECE5F1"/>
    <w:rsid w:val="06F36A81"/>
    <w:rsid w:val="06F6BC48"/>
    <w:rsid w:val="06F7B12F"/>
    <w:rsid w:val="06F85470"/>
    <w:rsid w:val="06FAB813"/>
    <w:rsid w:val="06FCF650"/>
    <w:rsid w:val="0701647D"/>
    <w:rsid w:val="0702D1C7"/>
    <w:rsid w:val="07067E31"/>
    <w:rsid w:val="07081D26"/>
    <w:rsid w:val="070986F4"/>
    <w:rsid w:val="0709B63D"/>
    <w:rsid w:val="070A4EF5"/>
    <w:rsid w:val="070B0B2D"/>
    <w:rsid w:val="070B0D19"/>
    <w:rsid w:val="070C9B45"/>
    <w:rsid w:val="071304E9"/>
    <w:rsid w:val="0717BE0E"/>
    <w:rsid w:val="071AB4E0"/>
    <w:rsid w:val="071DBD4F"/>
    <w:rsid w:val="07232BDA"/>
    <w:rsid w:val="07264A52"/>
    <w:rsid w:val="072A8504"/>
    <w:rsid w:val="072D2AC8"/>
    <w:rsid w:val="072F851E"/>
    <w:rsid w:val="07324E52"/>
    <w:rsid w:val="07347561"/>
    <w:rsid w:val="0735CC9F"/>
    <w:rsid w:val="0736554A"/>
    <w:rsid w:val="0738908A"/>
    <w:rsid w:val="0739943A"/>
    <w:rsid w:val="073AD6A4"/>
    <w:rsid w:val="073AEE50"/>
    <w:rsid w:val="073B70BA"/>
    <w:rsid w:val="073C0B97"/>
    <w:rsid w:val="073C1085"/>
    <w:rsid w:val="073E5012"/>
    <w:rsid w:val="073F1698"/>
    <w:rsid w:val="07422A65"/>
    <w:rsid w:val="07425F52"/>
    <w:rsid w:val="074350DA"/>
    <w:rsid w:val="07438D4D"/>
    <w:rsid w:val="07461212"/>
    <w:rsid w:val="07464389"/>
    <w:rsid w:val="0746658B"/>
    <w:rsid w:val="07474CFE"/>
    <w:rsid w:val="074C1DEC"/>
    <w:rsid w:val="074EFA68"/>
    <w:rsid w:val="0751668C"/>
    <w:rsid w:val="07524E3F"/>
    <w:rsid w:val="0752DC41"/>
    <w:rsid w:val="0753F056"/>
    <w:rsid w:val="075415ED"/>
    <w:rsid w:val="0754AEC8"/>
    <w:rsid w:val="07563D94"/>
    <w:rsid w:val="0756EF15"/>
    <w:rsid w:val="07578066"/>
    <w:rsid w:val="07599AFC"/>
    <w:rsid w:val="075E1184"/>
    <w:rsid w:val="07640E72"/>
    <w:rsid w:val="076599C8"/>
    <w:rsid w:val="076646F2"/>
    <w:rsid w:val="07666995"/>
    <w:rsid w:val="076C19A0"/>
    <w:rsid w:val="076F3CF5"/>
    <w:rsid w:val="076F5FDE"/>
    <w:rsid w:val="076FCC14"/>
    <w:rsid w:val="07726F45"/>
    <w:rsid w:val="0772852D"/>
    <w:rsid w:val="0777019E"/>
    <w:rsid w:val="07786B2C"/>
    <w:rsid w:val="077B7C81"/>
    <w:rsid w:val="077E8BDF"/>
    <w:rsid w:val="077F80ED"/>
    <w:rsid w:val="07812B4E"/>
    <w:rsid w:val="07836D44"/>
    <w:rsid w:val="07840987"/>
    <w:rsid w:val="0784FDB6"/>
    <w:rsid w:val="078BC460"/>
    <w:rsid w:val="078F8186"/>
    <w:rsid w:val="078FDAFB"/>
    <w:rsid w:val="0790D368"/>
    <w:rsid w:val="07910741"/>
    <w:rsid w:val="0791AB9A"/>
    <w:rsid w:val="0797CEC7"/>
    <w:rsid w:val="0799418E"/>
    <w:rsid w:val="0799B582"/>
    <w:rsid w:val="0799E255"/>
    <w:rsid w:val="0799F761"/>
    <w:rsid w:val="079B7F57"/>
    <w:rsid w:val="079B93F7"/>
    <w:rsid w:val="079FC52D"/>
    <w:rsid w:val="07A2A732"/>
    <w:rsid w:val="07A59FAF"/>
    <w:rsid w:val="07A5D05D"/>
    <w:rsid w:val="07A61344"/>
    <w:rsid w:val="07A66762"/>
    <w:rsid w:val="07A776F0"/>
    <w:rsid w:val="07A7DD74"/>
    <w:rsid w:val="07A8AA10"/>
    <w:rsid w:val="07ACC283"/>
    <w:rsid w:val="07ADE3C6"/>
    <w:rsid w:val="07AEAF0C"/>
    <w:rsid w:val="07B007D4"/>
    <w:rsid w:val="07B21207"/>
    <w:rsid w:val="07B752D8"/>
    <w:rsid w:val="07B85E3E"/>
    <w:rsid w:val="07B9A7B3"/>
    <w:rsid w:val="07B9DF4D"/>
    <w:rsid w:val="07BC91C2"/>
    <w:rsid w:val="07BD6336"/>
    <w:rsid w:val="07BE77FA"/>
    <w:rsid w:val="07BF2437"/>
    <w:rsid w:val="07C902E2"/>
    <w:rsid w:val="07CC83DE"/>
    <w:rsid w:val="07D25E23"/>
    <w:rsid w:val="07D9020B"/>
    <w:rsid w:val="07D942F0"/>
    <w:rsid w:val="07D96A56"/>
    <w:rsid w:val="07DB7950"/>
    <w:rsid w:val="07DCF256"/>
    <w:rsid w:val="07DE2AA2"/>
    <w:rsid w:val="07DF8CB7"/>
    <w:rsid w:val="07E0FE76"/>
    <w:rsid w:val="07E46ECF"/>
    <w:rsid w:val="07E50ABA"/>
    <w:rsid w:val="07E62F20"/>
    <w:rsid w:val="07E75A7D"/>
    <w:rsid w:val="07F0762C"/>
    <w:rsid w:val="07F105CD"/>
    <w:rsid w:val="07F48283"/>
    <w:rsid w:val="07F6F909"/>
    <w:rsid w:val="07F9ACFB"/>
    <w:rsid w:val="07FB1C44"/>
    <w:rsid w:val="07FB6042"/>
    <w:rsid w:val="07FC87C4"/>
    <w:rsid w:val="0801A79F"/>
    <w:rsid w:val="080287A5"/>
    <w:rsid w:val="08037A6B"/>
    <w:rsid w:val="08056249"/>
    <w:rsid w:val="0805F422"/>
    <w:rsid w:val="0806EB75"/>
    <w:rsid w:val="08098CB0"/>
    <w:rsid w:val="080BB751"/>
    <w:rsid w:val="080C06AB"/>
    <w:rsid w:val="080DA67D"/>
    <w:rsid w:val="080E43AC"/>
    <w:rsid w:val="080EDE4D"/>
    <w:rsid w:val="080F24B7"/>
    <w:rsid w:val="080F490C"/>
    <w:rsid w:val="08111328"/>
    <w:rsid w:val="0812AF7D"/>
    <w:rsid w:val="08134441"/>
    <w:rsid w:val="0815B89E"/>
    <w:rsid w:val="081C093C"/>
    <w:rsid w:val="081CCF6A"/>
    <w:rsid w:val="081D808B"/>
    <w:rsid w:val="081EAEAA"/>
    <w:rsid w:val="081FF6CC"/>
    <w:rsid w:val="08201152"/>
    <w:rsid w:val="0821AA01"/>
    <w:rsid w:val="08241091"/>
    <w:rsid w:val="0827009F"/>
    <w:rsid w:val="08284DEC"/>
    <w:rsid w:val="082AB08A"/>
    <w:rsid w:val="082C4388"/>
    <w:rsid w:val="082EC88B"/>
    <w:rsid w:val="082ED04B"/>
    <w:rsid w:val="082F6356"/>
    <w:rsid w:val="082FAAD9"/>
    <w:rsid w:val="082FB737"/>
    <w:rsid w:val="0830686F"/>
    <w:rsid w:val="0831469E"/>
    <w:rsid w:val="0836A901"/>
    <w:rsid w:val="083AEF1C"/>
    <w:rsid w:val="083D218D"/>
    <w:rsid w:val="083FAF3F"/>
    <w:rsid w:val="08408C47"/>
    <w:rsid w:val="08417DAB"/>
    <w:rsid w:val="0841A33B"/>
    <w:rsid w:val="0844B52E"/>
    <w:rsid w:val="08470CF6"/>
    <w:rsid w:val="08475F41"/>
    <w:rsid w:val="084843F6"/>
    <w:rsid w:val="0849A549"/>
    <w:rsid w:val="084AEAC1"/>
    <w:rsid w:val="084AF52B"/>
    <w:rsid w:val="084BCD2F"/>
    <w:rsid w:val="084F4A91"/>
    <w:rsid w:val="0850C5C5"/>
    <w:rsid w:val="0851B1C2"/>
    <w:rsid w:val="0854D7A9"/>
    <w:rsid w:val="085605DF"/>
    <w:rsid w:val="0857597F"/>
    <w:rsid w:val="0857B52A"/>
    <w:rsid w:val="08587F98"/>
    <w:rsid w:val="0858A1F7"/>
    <w:rsid w:val="085B1696"/>
    <w:rsid w:val="085FB6A4"/>
    <w:rsid w:val="0860DCAE"/>
    <w:rsid w:val="0863DC6D"/>
    <w:rsid w:val="08683BD2"/>
    <w:rsid w:val="0868A0B7"/>
    <w:rsid w:val="086A5E2C"/>
    <w:rsid w:val="086B755C"/>
    <w:rsid w:val="086E4376"/>
    <w:rsid w:val="08703ED8"/>
    <w:rsid w:val="0871843E"/>
    <w:rsid w:val="08719441"/>
    <w:rsid w:val="08773BED"/>
    <w:rsid w:val="087775C7"/>
    <w:rsid w:val="0877EC77"/>
    <w:rsid w:val="0878F78C"/>
    <w:rsid w:val="087A358D"/>
    <w:rsid w:val="087D10CE"/>
    <w:rsid w:val="0882B550"/>
    <w:rsid w:val="0882C962"/>
    <w:rsid w:val="088631D4"/>
    <w:rsid w:val="088670A0"/>
    <w:rsid w:val="088E2CF5"/>
    <w:rsid w:val="088F3BB5"/>
    <w:rsid w:val="088FA27E"/>
    <w:rsid w:val="08917650"/>
    <w:rsid w:val="08949A66"/>
    <w:rsid w:val="0894B452"/>
    <w:rsid w:val="089546F7"/>
    <w:rsid w:val="0898C2B4"/>
    <w:rsid w:val="08A14EF3"/>
    <w:rsid w:val="08A36CEA"/>
    <w:rsid w:val="08A62A64"/>
    <w:rsid w:val="08A9695A"/>
    <w:rsid w:val="08AB18E9"/>
    <w:rsid w:val="08ACAF70"/>
    <w:rsid w:val="08B50C3B"/>
    <w:rsid w:val="08B50CF2"/>
    <w:rsid w:val="08B513EB"/>
    <w:rsid w:val="08B6C581"/>
    <w:rsid w:val="08B765CE"/>
    <w:rsid w:val="08B78F05"/>
    <w:rsid w:val="08B8E51D"/>
    <w:rsid w:val="08BB4D23"/>
    <w:rsid w:val="08BB8479"/>
    <w:rsid w:val="08BCE67E"/>
    <w:rsid w:val="08BDC2B6"/>
    <w:rsid w:val="08BEACB7"/>
    <w:rsid w:val="08BF98BE"/>
    <w:rsid w:val="08C37C0E"/>
    <w:rsid w:val="08C5058A"/>
    <w:rsid w:val="08C6BE68"/>
    <w:rsid w:val="08C8649B"/>
    <w:rsid w:val="08C86999"/>
    <w:rsid w:val="08C8D706"/>
    <w:rsid w:val="08CD1301"/>
    <w:rsid w:val="08D2CADC"/>
    <w:rsid w:val="08D54FF8"/>
    <w:rsid w:val="08DA15BC"/>
    <w:rsid w:val="08DBB163"/>
    <w:rsid w:val="08DDB918"/>
    <w:rsid w:val="08DE0D18"/>
    <w:rsid w:val="08E07DBD"/>
    <w:rsid w:val="08E9393A"/>
    <w:rsid w:val="08EB2B00"/>
    <w:rsid w:val="08EEDD7D"/>
    <w:rsid w:val="08EF4749"/>
    <w:rsid w:val="08F0A743"/>
    <w:rsid w:val="08F3BCF9"/>
    <w:rsid w:val="08F3C3EA"/>
    <w:rsid w:val="08F5605D"/>
    <w:rsid w:val="08F6AD3B"/>
    <w:rsid w:val="08F9FAAB"/>
    <w:rsid w:val="08FA2265"/>
    <w:rsid w:val="08FA45F7"/>
    <w:rsid w:val="08FAD763"/>
    <w:rsid w:val="08FB8C97"/>
    <w:rsid w:val="08FBBF14"/>
    <w:rsid w:val="08FCC358"/>
    <w:rsid w:val="08FD6E0E"/>
    <w:rsid w:val="08FE53CE"/>
    <w:rsid w:val="09027906"/>
    <w:rsid w:val="09038F6D"/>
    <w:rsid w:val="09079A46"/>
    <w:rsid w:val="0907E730"/>
    <w:rsid w:val="090D6FED"/>
    <w:rsid w:val="090E7214"/>
    <w:rsid w:val="090FEDFA"/>
    <w:rsid w:val="09105EF4"/>
    <w:rsid w:val="0912DAD6"/>
    <w:rsid w:val="09166B4B"/>
    <w:rsid w:val="0917A2E5"/>
    <w:rsid w:val="091A5E6A"/>
    <w:rsid w:val="091C219B"/>
    <w:rsid w:val="091F7428"/>
    <w:rsid w:val="09202634"/>
    <w:rsid w:val="0921950C"/>
    <w:rsid w:val="0921ED1E"/>
    <w:rsid w:val="0922D552"/>
    <w:rsid w:val="0922E1BE"/>
    <w:rsid w:val="09285202"/>
    <w:rsid w:val="092919C4"/>
    <w:rsid w:val="092AA3F8"/>
    <w:rsid w:val="092B4A0B"/>
    <w:rsid w:val="092C2A5D"/>
    <w:rsid w:val="092DA6A8"/>
    <w:rsid w:val="092DD588"/>
    <w:rsid w:val="0930F440"/>
    <w:rsid w:val="09316083"/>
    <w:rsid w:val="093416AB"/>
    <w:rsid w:val="093553BC"/>
    <w:rsid w:val="09361F97"/>
    <w:rsid w:val="0937D0A6"/>
    <w:rsid w:val="0939314B"/>
    <w:rsid w:val="093AC4C6"/>
    <w:rsid w:val="093E6243"/>
    <w:rsid w:val="093EF1E8"/>
    <w:rsid w:val="0940634E"/>
    <w:rsid w:val="0941C81F"/>
    <w:rsid w:val="09448DCF"/>
    <w:rsid w:val="0944B839"/>
    <w:rsid w:val="09462883"/>
    <w:rsid w:val="0947FED6"/>
    <w:rsid w:val="094ACD0C"/>
    <w:rsid w:val="094D034B"/>
    <w:rsid w:val="094F2149"/>
    <w:rsid w:val="09506BB3"/>
    <w:rsid w:val="0950C076"/>
    <w:rsid w:val="0952568C"/>
    <w:rsid w:val="095595F0"/>
    <w:rsid w:val="0955AA19"/>
    <w:rsid w:val="0955B8E0"/>
    <w:rsid w:val="09577599"/>
    <w:rsid w:val="095907FD"/>
    <w:rsid w:val="095976AD"/>
    <w:rsid w:val="0959AEEE"/>
    <w:rsid w:val="0959E867"/>
    <w:rsid w:val="095D084D"/>
    <w:rsid w:val="096352C6"/>
    <w:rsid w:val="09679B8D"/>
    <w:rsid w:val="0968FBBB"/>
    <w:rsid w:val="0969CD73"/>
    <w:rsid w:val="096A13CD"/>
    <w:rsid w:val="096C18B8"/>
    <w:rsid w:val="096CF9D1"/>
    <w:rsid w:val="097145C8"/>
    <w:rsid w:val="0971F15B"/>
    <w:rsid w:val="097375D1"/>
    <w:rsid w:val="0973D41A"/>
    <w:rsid w:val="09743189"/>
    <w:rsid w:val="0977914B"/>
    <w:rsid w:val="0977F6AB"/>
    <w:rsid w:val="09792C6B"/>
    <w:rsid w:val="09793979"/>
    <w:rsid w:val="09795579"/>
    <w:rsid w:val="097C8EB6"/>
    <w:rsid w:val="097E1C32"/>
    <w:rsid w:val="097E80F0"/>
    <w:rsid w:val="0980B604"/>
    <w:rsid w:val="09833B62"/>
    <w:rsid w:val="0983527F"/>
    <w:rsid w:val="098406F0"/>
    <w:rsid w:val="098443B8"/>
    <w:rsid w:val="09849508"/>
    <w:rsid w:val="09863ADB"/>
    <w:rsid w:val="09865D35"/>
    <w:rsid w:val="0987E594"/>
    <w:rsid w:val="0989C781"/>
    <w:rsid w:val="098B63D7"/>
    <w:rsid w:val="098C8341"/>
    <w:rsid w:val="098DC511"/>
    <w:rsid w:val="098F3BA3"/>
    <w:rsid w:val="09907E6C"/>
    <w:rsid w:val="09957ACE"/>
    <w:rsid w:val="09959E5D"/>
    <w:rsid w:val="0996D68B"/>
    <w:rsid w:val="099AAB9B"/>
    <w:rsid w:val="099AFBB2"/>
    <w:rsid w:val="099B386A"/>
    <w:rsid w:val="099BF67C"/>
    <w:rsid w:val="099C6D70"/>
    <w:rsid w:val="099D5122"/>
    <w:rsid w:val="099DA9F7"/>
    <w:rsid w:val="099EAEEB"/>
    <w:rsid w:val="09A201A2"/>
    <w:rsid w:val="09A30208"/>
    <w:rsid w:val="09A315BD"/>
    <w:rsid w:val="09A6D061"/>
    <w:rsid w:val="09A7FA61"/>
    <w:rsid w:val="09A87125"/>
    <w:rsid w:val="09A9BBFA"/>
    <w:rsid w:val="09AA2D77"/>
    <w:rsid w:val="09AB3358"/>
    <w:rsid w:val="09AC3BBD"/>
    <w:rsid w:val="09AF19AC"/>
    <w:rsid w:val="09AF3396"/>
    <w:rsid w:val="09AFF258"/>
    <w:rsid w:val="09B1D873"/>
    <w:rsid w:val="09B4213E"/>
    <w:rsid w:val="09B4F114"/>
    <w:rsid w:val="09B52645"/>
    <w:rsid w:val="09B8A3AB"/>
    <w:rsid w:val="09BC606E"/>
    <w:rsid w:val="09C259C0"/>
    <w:rsid w:val="09C61B4C"/>
    <w:rsid w:val="09C91C7E"/>
    <w:rsid w:val="09CB6D41"/>
    <w:rsid w:val="09CBF76C"/>
    <w:rsid w:val="09CCEED1"/>
    <w:rsid w:val="09CCF132"/>
    <w:rsid w:val="09CD06BD"/>
    <w:rsid w:val="09CD7939"/>
    <w:rsid w:val="09D7F7C2"/>
    <w:rsid w:val="09D8BC17"/>
    <w:rsid w:val="09D8FE73"/>
    <w:rsid w:val="09DEA96B"/>
    <w:rsid w:val="09E12A58"/>
    <w:rsid w:val="09E2D16B"/>
    <w:rsid w:val="09E77213"/>
    <w:rsid w:val="09EA2D1C"/>
    <w:rsid w:val="09EABF28"/>
    <w:rsid w:val="09EBF6E0"/>
    <w:rsid w:val="09EDB782"/>
    <w:rsid w:val="09EE68C9"/>
    <w:rsid w:val="09EFC9C3"/>
    <w:rsid w:val="09F27532"/>
    <w:rsid w:val="09F32002"/>
    <w:rsid w:val="09F9F09A"/>
    <w:rsid w:val="09FABC50"/>
    <w:rsid w:val="09FCFF5F"/>
    <w:rsid w:val="09FD2EBA"/>
    <w:rsid w:val="09FD2FD6"/>
    <w:rsid w:val="0A032DAB"/>
    <w:rsid w:val="0A037F7E"/>
    <w:rsid w:val="0A068038"/>
    <w:rsid w:val="0A09F9A2"/>
    <w:rsid w:val="0A0A6F24"/>
    <w:rsid w:val="0A0BE079"/>
    <w:rsid w:val="0A0C8DBE"/>
    <w:rsid w:val="0A0DD232"/>
    <w:rsid w:val="0A1002DC"/>
    <w:rsid w:val="0A12420E"/>
    <w:rsid w:val="0A12BC9F"/>
    <w:rsid w:val="0A153506"/>
    <w:rsid w:val="0A15D67B"/>
    <w:rsid w:val="0A1AAE24"/>
    <w:rsid w:val="0A1C6BAE"/>
    <w:rsid w:val="0A1D4EA9"/>
    <w:rsid w:val="0A1D70BF"/>
    <w:rsid w:val="0A207C1B"/>
    <w:rsid w:val="0A24E339"/>
    <w:rsid w:val="0A25FC92"/>
    <w:rsid w:val="0A2620A3"/>
    <w:rsid w:val="0A26AA83"/>
    <w:rsid w:val="0A27EEA0"/>
    <w:rsid w:val="0A28783C"/>
    <w:rsid w:val="0A2C0908"/>
    <w:rsid w:val="0A2DFDB2"/>
    <w:rsid w:val="0A2E795B"/>
    <w:rsid w:val="0A3108C9"/>
    <w:rsid w:val="0A35B9AF"/>
    <w:rsid w:val="0A39F111"/>
    <w:rsid w:val="0A3AE56F"/>
    <w:rsid w:val="0A3B9E11"/>
    <w:rsid w:val="0A3FD590"/>
    <w:rsid w:val="0A443FC0"/>
    <w:rsid w:val="0A448C77"/>
    <w:rsid w:val="0A47024C"/>
    <w:rsid w:val="0A4721DC"/>
    <w:rsid w:val="0A4ADD99"/>
    <w:rsid w:val="0A4D0F31"/>
    <w:rsid w:val="0A4DF10A"/>
    <w:rsid w:val="0A4E1586"/>
    <w:rsid w:val="0A4E821A"/>
    <w:rsid w:val="0A4EDB68"/>
    <w:rsid w:val="0A4FEE21"/>
    <w:rsid w:val="0A508440"/>
    <w:rsid w:val="0A516C32"/>
    <w:rsid w:val="0A5338F6"/>
    <w:rsid w:val="0A54F18A"/>
    <w:rsid w:val="0A55678C"/>
    <w:rsid w:val="0A560341"/>
    <w:rsid w:val="0A58C333"/>
    <w:rsid w:val="0A5B5C58"/>
    <w:rsid w:val="0A5B6C02"/>
    <w:rsid w:val="0A5BB99E"/>
    <w:rsid w:val="0A5BCDA5"/>
    <w:rsid w:val="0A61E7A6"/>
    <w:rsid w:val="0A61F708"/>
    <w:rsid w:val="0A620D21"/>
    <w:rsid w:val="0A6B0995"/>
    <w:rsid w:val="0A6C8074"/>
    <w:rsid w:val="0A6DDC91"/>
    <w:rsid w:val="0A71FFC1"/>
    <w:rsid w:val="0A725B1B"/>
    <w:rsid w:val="0A726F87"/>
    <w:rsid w:val="0A73BE8E"/>
    <w:rsid w:val="0A74ACEB"/>
    <w:rsid w:val="0A74E8D8"/>
    <w:rsid w:val="0A77F21A"/>
    <w:rsid w:val="0A79B334"/>
    <w:rsid w:val="0A7DFFE6"/>
    <w:rsid w:val="0A7F6AC1"/>
    <w:rsid w:val="0A82BAA9"/>
    <w:rsid w:val="0A83152A"/>
    <w:rsid w:val="0A8622C5"/>
    <w:rsid w:val="0A864EF3"/>
    <w:rsid w:val="0A8785A3"/>
    <w:rsid w:val="0A8BDC84"/>
    <w:rsid w:val="0A8C9D2E"/>
    <w:rsid w:val="0A8E7089"/>
    <w:rsid w:val="0A938107"/>
    <w:rsid w:val="0A93EFF0"/>
    <w:rsid w:val="0A948265"/>
    <w:rsid w:val="0A99B472"/>
    <w:rsid w:val="0A99BDAD"/>
    <w:rsid w:val="0A9A00D8"/>
    <w:rsid w:val="0A9A809A"/>
    <w:rsid w:val="0A9C12DF"/>
    <w:rsid w:val="0A9C9536"/>
    <w:rsid w:val="0AA090D5"/>
    <w:rsid w:val="0AA0F146"/>
    <w:rsid w:val="0AA11AA1"/>
    <w:rsid w:val="0AA27CD5"/>
    <w:rsid w:val="0AA4A111"/>
    <w:rsid w:val="0AA78498"/>
    <w:rsid w:val="0AA8365A"/>
    <w:rsid w:val="0AA8BDCD"/>
    <w:rsid w:val="0AA9B24C"/>
    <w:rsid w:val="0AAAF9B3"/>
    <w:rsid w:val="0AABCCDC"/>
    <w:rsid w:val="0AABFB58"/>
    <w:rsid w:val="0AAD6649"/>
    <w:rsid w:val="0AB00DBC"/>
    <w:rsid w:val="0AB08057"/>
    <w:rsid w:val="0AB26345"/>
    <w:rsid w:val="0AB342E2"/>
    <w:rsid w:val="0AB5E09C"/>
    <w:rsid w:val="0AB63824"/>
    <w:rsid w:val="0AB63CB3"/>
    <w:rsid w:val="0AB664A6"/>
    <w:rsid w:val="0AB804B1"/>
    <w:rsid w:val="0AB81423"/>
    <w:rsid w:val="0AC2B1B9"/>
    <w:rsid w:val="0AC3ABC8"/>
    <w:rsid w:val="0AC5ACCD"/>
    <w:rsid w:val="0AC6CC0D"/>
    <w:rsid w:val="0AC8331C"/>
    <w:rsid w:val="0AC8D32D"/>
    <w:rsid w:val="0AC8F217"/>
    <w:rsid w:val="0AC928AB"/>
    <w:rsid w:val="0ACABB58"/>
    <w:rsid w:val="0ACBD663"/>
    <w:rsid w:val="0ACC73F2"/>
    <w:rsid w:val="0ACD589B"/>
    <w:rsid w:val="0ACE526D"/>
    <w:rsid w:val="0AD07933"/>
    <w:rsid w:val="0AD36C22"/>
    <w:rsid w:val="0AD5F689"/>
    <w:rsid w:val="0AD7F68E"/>
    <w:rsid w:val="0ADA5C22"/>
    <w:rsid w:val="0ADD91D1"/>
    <w:rsid w:val="0ADE6AE5"/>
    <w:rsid w:val="0ADE9B1B"/>
    <w:rsid w:val="0AE343C5"/>
    <w:rsid w:val="0AE41713"/>
    <w:rsid w:val="0AE6762E"/>
    <w:rsid w:val="0AE6FEE4"/>
    <w:rsid w:val="0AE78ADE"/>
    <w:rsid w:val="0AE8987E"/>
    <w:rsid w:val="0AE8CE36"/>
    <w:rsid w:val="0AED52CD"/>
    <w:rsid w:val="0AED7F1E"/>
    <w:rsid w:val="0AEE6182"/>
    <w:rsid w:val="0AEF6707"/>
    <w:rsid w:val="0AF0CEBE"/>
    <w:rsid w:val="0AF1F7B4"/>
    <w:rsid w:val="0AF6A4D9"/>
    <w:rsid w:val="0AFAAB84"/>
    <w:rsid w:val="0AFB37EC"/>
    <w:rsid w:val="0AFC8000"/>
    <w:rsid w:val="0AFD9284"/>
    <w:rsid w:val="0AFEF9D9"/>
    <w:rsid w:val="0B001736"/>
    <w:rsid w:val="0B060E61"/>
    <w:rsid w:val="0B077967"/>
    <w:rsid w:val="0B091433"/>
    <w:rsid w:val="0B0A7A8F"/>
    <w:rsid w:val="0B0F8E7A"/>
    <w:rsid w:val="0B111F72"/>
    <w:rsid w:val="0B16539F"/>
    <w:rsid w:val="0B19A947"/>
    <w:rsid w:val="0B1BEF51"/>
    <w:rsid w:val="0B1CEDD5"/>
    <w:rsid w:val="0B207090"/>
    <w:rsid w:val="0B207301"/>
    <w:rsid w:val="0B24B85E"/>
    <w:rsid w:val="0B25A01A"/>
    <w:rsid w:val="0B2A19A9"/>
    <w:rsid w:val="0B2B5616"/>
    <w:rsid w:val="0B2B757C"/>
    <w:rsid w:val="0B2B9718"/>
    <w:rsid w:val="0B310B3E"/>
    <w:rsid w:val="0B319721"/>
    <w:rsid w:val="0B33AF76"/>
    <w:rsid w:val="0B37B959"/>
    <w:rsid w:val="0B3AE85D"/>
    <w:rsid w:val="0B4133B9"/>
    <w:rsid w:val="0B440085"/>
    <w:rsid w:val="0B45AB49"/>
    <w:rsid w:val="0B46231B"/>
    <w:rsid w:val="0B464977"/>
    <w:rsid w:val="0B48206F"/>
    <w:rsid w:val="0B4B8138"/>
    <w:rsid w:val="0B4E378E"/>
    <w:rsid w:val="0B4E83A0"/>
    <w:rsid w:val="0B50F9F7"/>
    <w:rsid w:val="0B54CFC2"/>
    <w:rsid w:val="0B552F2E"/>
    <w:rsid w:val="0B571347"/>
    <w:rsid w:val="0B579BFE"/>
    <w:rsid w:val="0B57DF32"/>
    <w:rsid w:val="0B589622"/>
    <w:rsid w:val="0B5A23C8"/>
    <w:rsid w:val="0B5C4D7E"/>
    <w:rsid w:val="0B60EB9D"/>
    <w:rsid w:val="0B621035"/>
    <w:rsid w:val="0B63756F"/>
    <w:rsid w:val="0B639A9A"/>
    <w:rsid w:val="0B6728A0"/>
    <w:rsid w:val="0B672E68"/>
    <w:rsid w:val="0B69F312"/>
    <w:rsid w:val="0B6CEE00"/>
    <w:rsid w:val="0B6D113F"/>
    <w:rsid w:val="0B709E79"/>
    <w:rsid w:val="0B7268DD"/>
    <w:rsid w:val="0B7382A5"/>
    <w:rsid w:val="0B78A566"/>
    <w:rsid w:val="0B7BB99B"/>
    <w:rsid w:val="0B7DE128"/>
    <w:rsid w:val="0B7F8C64"/>
    <w:rsid w:val="0B80B361"/>
    <w:rsid w:val="0B82A570"/>
    <w:rsid w:val="0B8545E0"/>
    <w:rsid w:val="0B86BC5F"/>
    <w:rsid w:val="0B86D870"/>
    <w:rsid w:val="0B8A9530"/>
    <w:rsid w:val="0B8AE1E6"/>
    <w:rsid w:val="0B8C1088"/>
    <w:rsid w:val="0B8FE4FD"/>
    <w:rsid w:val="0B9848AD"/>
    <w:rsid w:val="0B99A5C2"/>
    <w:rsid w:val="0B9A1251"/>
    <w:rsid w:val="0B9C7968"/>
    <w:rsid w:val="0B9E58A8"/>
    <w:rsid w:val="0B9E96CA"/>
    <w:rsid w:val="0B9EFA00"/>
    <w:rsid w:val="0B9F6F26"/>
    <w:rsid w:val="0BA051EC"/>
    <w:rsid w:val="0BA1F759"/>
    <w:rsid w:val="0BA20C22"/>
    <w:rsid w:val="0BA34B61"/>
    <w:rsid w:val="0BA41F3C"/>
    <w:rsid w:val="0BA46B58"/>
    <w:rsid w:val="0BA5C8AC"/>
    <w:rsid w:val="0BA7BB28"/>
    <w:rsid w:val="0BAFC0E1"/>
    <w:rsid w:val="0BB0F7D2"/>
    <w:rsid w:val="0BB218BC"/>
    <w:rsid w:val="0BB23041"/>
    <w:rsid w:val="0BB33267"/>
    <w:rsid w:val="0BB33E8F"/>
    <w:rsid w:val="0BB42289"/>
    <w:rsid w:val="0BB69D69"/>
    <w:rsid w:val="0BB7979B"/>
    <w:rsid w:val="0BB94A17"/>
    <w:rsid w:val="0BBBC7CE"/>
    <w:rsid w:val="0BBCB489"/>
    <w:rsid w:val="0BBF582F"/>
    <w:rsid w:val="0BC09035"/>
    <w:rsid w:val="0BC19FD2"/>
    <w:rsid w:val="0BC27AA6"/>
    <w:rsid w:val="0BC615CF"/>
    <w:rsid w:val="0BC75A7B"/>
    <w:rsid w:val="0BC9E62F"/>
    <w:rsid w:val="0BCCD948"/>
    <w:rsid w:val="0BD7E120"/>
    <w:rsid w:val="0BD8B8E5"/>
    <w:rsid w:val="0BD8BEF2"/>
    <w:rsid w:val="0BD9901A"/>
    <w:rsid w:val="0BDA9E4C"/>
    <w:rsid w:val="0BDAA98D"/>
    <w:rsid w:val="0BDB9722"/>
    <w:rsid w:val="0BE08C9B"/>
    <w:rsid w:val="0BE5AFD2"/>
    <w:rsid w:val="0BE6586C"/>
    <w:rsid w:val="0BE8F1E3"/>
    <w:rsid w:val="0BEAC689"/>
    <w:rsid w:val="0BF2CD77"/>
    <w:rsid w:val="0BF46131"/>
    <w:rsid w:val="0BF55055"/>
    <w:rsid w:val="0BF70FD7"/>
    <w:rsid w:val="0BFF39C3"/>
    <w:rsid w:val="0BFFD2D0"/>
    <w:rsid w:val="0C005731"/>
    <w:rsid w:val="0C0C9CFA"/>
    <w:rsid w:val="0C0CBA03"/>
    <w:rsid w:val="0C0DD947"/>
    <w:rsid w:val="0C124486"/>
    <w:rsid w:val="0C15A95A"/>
    <w:rsid w:val="0C15D462"/>
    <w:rsid w:val="0C1BA4E0"/>
    <w:rsid w:val="0C1C0CF9"/>
    <w:rsid w:val="0C1C4013"/>
    <w:rsid w:val="0C1C953A"/>
    <w:rsid w:val="0C1CA2BC"/>
    <w:rsid w:val="0C1D14A4"/>
    <w:rsid w:val="0C2224C1"/>
    <w:rsid w:val="0C226E07"/>
    <w:rsid w:val="0C262E05"/>
    <w:rsid w:val="0C282C8A"/>
    <w:rsid w:val="0C283EE9"/>
    <w:rsid w:val="0C29FFFF"/>
    <w:rsid w:val="0C2AF7A3"/>
    <w:rsid w:val="0C2F1CDC"/>
    <w:rsid w:val="0C3022BA"/>
    <w:rsid w:val="0C310DC0"/>
    <w:rsid w:val="0C314F02"/>
    <w:rsid w:val="0C31BF76"/>
    <w:rsid w:val="0C337864"/>
    <w:rsid w:val="0C33C158"/>
    <w:rsid w:val="0C373DD4"/>
    <w:rsid w:val="0C38143A"/>
    <w:rsid w:val="0C396911"/>
    <w:rsid w:val="0C39B248"/>
    <w:rsid w:val="0C3AF142"/>
    <w:rsid w:val="0C3B7B45"/>
    <w:rsid w:val="0C3CE337"/>
    <w:rsid w:val="0C3DFC9E"/>
    <w:rsid w:val="0C3E2505"/>
    <w:rsid w:val="0C408C29"/>
    <w:rsid w:val="0C43BB2E"/>
    <w:rsid w:val="0C441C5B"/>
    <w:rsid w:val="0C4878B7"/>
    <w:rsid w:val="0C487CAF"/>
    <w:rsid w:val="0C499071"/>
    <w:rsid w:val="0C4AC007"/>
    <w:rsid w:val="0C4AE571"/>
    <w:rsid w:val="0C4CC6BF"/>
    <w:rsid w:val="0C4CE430"/>
    <w:rsid w:val="0C4F4CCA"/>
    <w:rsid w:val="0C4F6167"/>
    <w:rsid w:val="0C51CE9A"/>
    <w:rsid w:val="0C5238DB"/>
    <w:rsid w:val="0C5523FC"/>
    <w:rsid w:val="0C595198"/>
    <w:rsid w:val="0C59C774"/>
    <w:rsid w:val="0C59C898"/>
    <w:rsid w:val="0C5A4F60"/>
    <w:rsid w:val="0C5E5A1C"/>
    <w:rsid w:val="0C65F9DF"/>
    <w:rsid w:val="0C671645"/>
    <w:rsid w:val="0C67680A"/>
    <w:rsid w:val="0C67F2D2"/>
    <w:rsid w:val="0C6845DB"/>
    <w:rsid w:val="0C6C931E"/>
    <w:rsid w:val="0C6CE546"/>
    <w:rsid w:val="0C709B08"/>
    <w:rsid w:val="0C7113DF"/>
    <w:rsid w:val="0C711E64"/>
    <w:rsid w:val="0C75E555"/>
    <w:rsid w:val="0C77DF64"/>
    <w:rsid w:val="0C78B16F"/>
    <w:rsid w:val="0C7950F7"/>
    <w:rsid w:val="0C7A6C9D"/>
    <w:rsid w:val="0C7C6F07"/>
    <w:rsid w:val="0C7F26AC"/>
    <w:rsid w:val="0C854B1D"/>
    <w:rsid w:val="0C8588AC"/>
    <w:rsid w:val="0C869CA8"/>
    <w:rsid w:val="0C89DD21"/>
    <w:rsid w:val="0C8CE6FD"/>
    <w:rsid w:val="0C8D01F8"/>
    <w:rsid w:val="0C8FF3A1"/>
    <w:rsid w:val="0C90ED17"/>
    <w:rsid w:val="0C912A23"/>
    <w:rsid w:val="0C914E4C"/>
    <w:rsid w:val="0C979425"/>
    <w:rsid w:val="0C991B95"/>
    <w:rsid w:val="0C993CC1"/>
    <w:rsid w:val="0C9A6B1D"/>
    <w:rsid w:val="0C9AE1B2"/>
    <w:rsid w:val="0C9B9557"/>
    <w:rsid w:val="0C9EC15C"/>
    <w:rsid w:val="0CA42661"/>
    <w:rsid w:val="0CA4BC16"/>
    <w:rsid w:val="0CA8318D"/>
    <w:rsid w:val="0CAA06A7"/>
    <w:rsid w:val="0CAD4FE5"/>
    <w:rsid w:val="0CADD0DC"/>
    <w:rsid w:val="0CB02105"/>
    <w:rsid w:val="0CB0E495"/>
    <w:rsid w:val="0CB106DA"/>
    <w:rsid w:val="0CB15676"/>
    <w:rsid w:val="0CB2890C"/>
    <w:rsid w:val="0CB31C76"/>
    <w:rsid w:val="0CB52A8F"/>
    <w:rsid w:val="0CBBAFD9"/>
    <w:rsid w:val="0CBBB4DB"/>
    <w:rsid w:val="0CBED389"/>
    <w:rsid w:val="0CC183CD"/>
    <w:rsid w:val="0CC498A7"/>
    <w:rsid w:val="0CC7159F"/>
    <w:rsid w:val="0CC8AC8C"/>
    <w:rsid w:val="0CC930E8"/>
    <w:rsid w:val="0CCA5AAA"/>
    <w:rsid w:val="0CCC723F"/>
    <w:rsid w:val="0CD00050"/>
    <w:rsid w:val="0CD150E4"/>
    <w:rsid w:val="0CD58285"/>
    <w:rsid w:val="0CD645FA"/>
    <w:rsid w:val="0CDB3AEE"/>
    <w:rsid w:val="0CDC7CD2"/>
    <w:rsid w:val="0CDDB8D5"/>
    <w:rsid w:val="0CDE8D61"/>
    <w:rsid w:val="0CDFC402"/>
    <w:rsid w:val="0CE2B23E"/>
    <w:rsid w:val="0CE306BB"/>
    <w:rsid w:val="0CE5FFB7"/>
    <w:rsid w:val="0CE6CED8"/>
    <w:rsid w:val="0CE7B13C"/>
    <w:rsid w:val="0CE8C818"/>
    <w:rsid w:val="0CEF515A"/>
    <w:rsid w:val="0CF1B5F5"/>
    <w:rsid w:val="0CF2D629"/>
    <w:rsid w:val="0CF2E29B"/>
    <w:rsid w:val="0CF489A9"/>
    <w:rsid w:val="0CF65BFD"/>
    <w:rsid w:val="0CF86123"/>
    <w:rsid w:val="0CFB40F1"/>
    <w:rsid w:val="0CFC5BBD"/>
    <w:rsid w:val="0CFD1422"/>
    <w:rsid w:val="0CFF7024"/>
    <w:rsid w:val="0D0064F5"/>
    <w:rsid w:val="0D022874"/>
    <w:rsid w:val="0D053B72"/>
    <w:rsid w:val="0D089FA1"/>
    <w:rsid w:val="0D08AF8E"/>
    <w:rsid w:val="0D08BB4D"/>
    <w:rsid w:val="0D0AB0B2"/>
    <w:rsid w:val="0D0B8087"/>
    <w:rsid w:val="0D0CC6CB"/>
    <w:rsid w:val="0D11DA78"/>
    <w:rsid w:val="0D12BCD3"/>
    <w:rsid w:val="0D1308A9"/>
    <w:rsid w:val="0D186BDA"/>
    <w:rsid w:val="0D1920FE"/>
    <w:rsid w:val="0D1C05EF"/>
    <w:rsid w:val="0D1DB0B1"/>
    <w:rsid w:val="0D1EA6C2"/>
    <w:rsid w:val="0D21C4D2"/>
    <w:rsid w:val="0D220710"/>
    <w:rsid w:val="0D24B151"/>
    <w:rsid w:val="0D2799C4"/>
    <w:rsid w:val="0D2BD8AB"/>
    <w:rsid w:val="0D2E1497"/>
    <w:rsid w:val="0D2F31AE"/>
    <w:rsid w:val="0D3180A7"/>
    <w:rsid w:val="0D318BCB"/>
    <w:rsid w:val="0D33925B"/>
    <w:rsid w:val="0D342F7B"/>
    <w:rsid w:val="0D362374"/>
    <w:rsid w:val="0D38F54D"/>
    <w:rsid w:val="0D39365A"/>
    <w:rsid w:val="0D3A5515"/>
    <w:rsid w:val="0D3D26E2"/>
    <w:rsid w:val="0D3E6EE4"/>
    <w:rsid w:val="0D3F1927"/>
    <w:rsid w:val="0D3F5056"/>
    <w:rsid w:val="0D3FA2ED"/>
    <w:rsid w:val="0D4133F6"/>
    <w:rsid w:val="0D45776A"/>
    <w:rsid w:val="0D47CE94"/>
    <w:rsid w:val="0D47E100"/>
    <w:rsid w:val="0D4CE495"/>
    <w:rsid w:val="0D503F88"/>
    <w:rsid w:val="0D5083DB"/>
    <w:rsid w:val="0D53088C"/>
    <w:rsid w:val="0D54C41E"/>
    <w:rsid w:val="0D574257"/>
    <w:rsid w:val="0D58CACD"/>
    <w:rsid w:val="0D5964C1"/>
    <w:rsid w:val="0D59BE7B"/>
    <w:rsid w:val="0D5B4FDC"/>
    <w:rsid w:val="0D5C1F6C"/>
    <w:rsid w:val="0D5E7296"/>
    <w:rsid w:val="0D61CE9F"/>
    <w:rsid w:val="0D638F1E"/>
    <w:rsid w:val="0D6722B8"/>
    <w:rsid w:val="0D684203"/>
    <w:rsid w:val="0D6842EB"/>
    <w:rsid w:val="0D696B71"/>
    <w:rsid w:val="0D7098B1"/>
    <w:rsid w:val="0D70BC0F"/>
    <w:rsid w:val="0D724E29"/>
    <w:rsid w:val="0D7759C4"/>
    <w:rsid w:val="0D7BD4FB"/>
    <w:rsid w:val="0D7C731F"/>
    <w:rsid w:val="0D7D531C"/>
    <w:rsid w:val="0D7F56F1"/>
    <w:rsid w:val="0D80D4A4"/>
    <w:rsid w:val="0D80EC0F"/>
    <w:rsid w:val="0D81694A"/>
    <w:rsid w:val="0D845709"/>
    <w:rsid w:val="0D856DF8"/>
    <w:rsid w:val="0D87D175"/>
    <w:rsid w:val="0D899D79"/>
    <w:rsid w:val="0D89F7AA"/>
    <w:rsid w:val="0D90F591"/>
    <w:rsid w:val="0D95DC92"/>
    <w:rsid w:val="0D9C44A2"/>
    <w:rsid w:val="0D9FFDCB"/>
    <w:rsid w:val="0DA01438"/>
    <w:rsid w:val="0DA0739F"/>
    <w:rsid w:val="0DA5D5F7"/>
    <w:rsid w:val="0DA5FDF4"/>
    <w:rsid w:val="0DA660DB"/>
    <w:rsid w:val="0DA69ABA"/>
    <w:rsid w:val="0DA857D7"/>
    <w:rsid w:val="0DB14FE7"/>
    <w:rsid w:val="0DB539D5"/>
    <w:rsid w:val="0DB54EFF"/>
    <w:rsid w:val="0DB730AA"/>
    <w:rsid w:val="0DBA7F41"/>
    <w:rsid w:val="0DBBB6F4"/>
    <w:rsid w:val="0DC41F79"/>
    <w:rsid w:val="0DCB621F"/>
    <w:rsid w:val="0DCCE09C"/>
    <w:rsid w:val="0DCD03F8"/>
    <w:rsid w:val="0DCF25E5"/>
    <w:rsid w:val="0DD05A53"/>
    <w:rsid w:val="0DDBEA75"/>
    <w:rsid w:val="0DDC5532"/>
    <w:rsid w:val="0DDEA4EC"/>
    <w:rsid w:val="0DE1FB13"/>
    <w:rsid w:val="0DE37C67"/>
    <w:rsid w:val="0DE3D89B"/>
    <w:rsid w:val="0DE61975"/>
    <w:rsid w:val="0DEDE8C1"/>
    <w:rsid w:val="0DF09E1A"/>
    <w:rsid w:val="0DF12850"/>
    <w:rsid w:val="0DF1EB02"/>
    <w:rsid w:val="0DF3738C"/>
    <w:rsid w:val="0DF43684"/>
    <w:rsid w:val="0DF445C5"/>
    <w:rsid w:val="0DF74576"/>
    <w:rsid w:val="0DF74E80"/>
    <w:rsid w:val="0DF7C6F1"/>
    <w:rsid w:val="0DF9188D"/>
    <w:rsid w:val="0DFCAC2D"/>
    <w:rsid w:val="0DFD11D5"/>
    <w:rsid w:val="0DFD938F"/>
    <w:rsid w:val="0DFF742D"/>
    <w:rsid w:val="0E0193C3"/>
    <w:rsid w:val="0E026ADA"/>
    <w:rsid w:val="0E02F68B"/>
    <w:rsid w:val="0E05EA0C"/>
    <w:rsid w:val="0E06F3C9"/>
    <w:rsid w:val="0E0C3247"/>
    <w:rsid w:val="0E0DCCAA"/>
    <w:rsid w:val="0E0E2C88"/>
    <w:rsid w:val="0E0E7D79"/>
    <w:rsid w:val="0E0F4E26"/>
    <w:rsid w:val="0E108671"/>
    <w:rsid w:val="0E141A16"/>
    <w:rsid w:val="0E15FB21"/>
    <w:rsid w:val="0E16F0D4"/>
    <w:rsid w:val="0E193025"/>
    <w:rsid w:val="0E1D29EF"/>
    <w:rsid w:val="0E1DAEBA"/>
    <w:rsid w:val="0E1E8352"/>
    <w:rsid w:val="0E1F72B4"/>
    <w:rsid w:val="0E2157FF"/>
    <w:rsid w:val="0E22AB76"/>
    <w:rsid w:val="0E2375BD"/>
    <w:rsid w:val="0E245043"/>
    <w:rsid w:val="0E25264C"/>
    <w:rsid w:val="0E253DBA"/>
    <w:rsid w:val="0E267DE5"/>
    <w:rsid w:val="0E27940B"/>
    <w:rsid w:val="0E2A14DA"/>
    <w:rsid w:val="0E2B8DD0"/>
    <w:rsid w:val="0E2BCE98"/>
    <w:rsid w:val="0E2D8F06"/>
    <w:rsid w:val="0E303342"/>
    <w:rsid w:val="0E30944D"/>
    <w:rsid w:val="0E316A70"/>
    <w:rsid w:val="0E326BE6"/>
    <w:rsid w:val="0E33A120"/>
    <w:rsid w:val="0E33C2B0"/>
    <w:rsid w:val="0E3509BA"/>
    <w:rsid w:val="0E35ADAB"/>
    <w:rsid w:val="0E39EAB0"/>
    <w:rsid w:val="0E3B0897"/>
    <w:rsid w:val="0E3BD7E7"/>
    <w:rsid w:val="0E3E339B"/>
    <w:rsid w:val="0E3F9027"/>
    <w:rsid w:val="0E3FB4DD"/>
    <w:rsid w:val="0E41C648"/>
    <w:rsid w:val="0E41EB1D"/>
    <w:rsid w:val="0E426CAD"/>
    <w:rsid w:val="0E46F300"/>
    <w:rsid w:val="0E48AAA4"/>
    <w:rsid w:val="0E49956B"/>
    <w:rsid w:val="0E4A2460"/>
    <w:rsid w:val="0E4B9FBA"/>
    <w:rsid w:val="0E4E536F"/>
    <w:rsid w:val="0E5220B7"/>
    <w:rsid w:val="0E529C66"/>
    <w:rsid w:val="0E53339C"/>
    <w:rsid w:val="0E540335"/>
    <w:rsid w:val="0E566C1C"/>
    <w:rsid w:val="0E5860BA"/>
    <w:rsid w:val="0E595BD5"/>
    <w:rsid w:val="0E5A62EE"/>
    <w:rsid w:val="0E5CFB71"/>
    <w:rsid w:val="0E5D449B"/>
    <w:rsid w:val="0E644369"/>
    <w:rsid w:val="0E64505A"/>
    <w:rsid w:val="0E6B6466"/>
    <w:rsid w:val="0E6DC620"/>
    <w:rsid w:val="0E6EAD8C"/>
    <w:rsid w:val="0E70B0B6"/>
    <w:rsid w:val="0E735FC8"/>
    <w:rsid w:val="0E750E39"/>
    <w:rsid w:val="0E777B1F"/>
    <w:rsid w:val="0E77F629"/>
    <w:rsid w:val="0E78179A"/>
    <w:rsid w:val="0E7E40A1"/>
    <w:rsid w:val="0E7EEB1E"/>
    <w:rsid w:val="0E802C89"/>
    <w:rsid w:val="0E82D962"/>
    <w:rsid w:val="0E8628AA"/>
    <w:rsid w:val="0E893C7C"/>
    <w:rsid w:val="0E8D069F"/>
    <w:rsid w:val="0E8D848C"/>
    <w:rsid w:val="0E9024D5"/>
    <w:rsid w:val="0E9151E8"/>
    <w:rsid w:val="0E917179"/>
    <w:rsid w:val="0E933131"/>
    <w:rsid w:val="0E980301"/>
    <w:rsid w:val="0E9C430D"/>
    <w:rsid w:val="0EA28627"/>
    <w:rsid w:val="0EA2FA6E"/>
    <w:rsid w:val="0EA5B0D4"/>
    <w:rsid w:val="0EA5C9F6"/>
    <w:rsid w:val="0EA5FCA0"/>
    <w:rsid w:val="0EA9793C"/>
    <w:rsid w:val="0EAD6666"/>
    <w:rsid w:val="0EB01429"/>
    <w:rsid w:val="0EB5ADA8"/>
    <w:rsid w:val="0EB75427"/>
    <w:rsid w:val="0EBA98DE"/>
    <w:rsid w:val="0EBBA9A0"/>
    <w:rsid w:val="0EBDDD58"/>
    <w:rsid w:val="0EBE8D3A"/>
    <w:rsid w:val="0EC2FC4D"/>
    <w:rsid w:val="0EC335A1"/>
    <w:rsid w:val="0EC4106F"/>
    <w:rsid w:val="0EC489A2"/>
    <w:rsid w:val="0EC70874"/>
    <w:rsid w:val="0EC7A279"/>
    <w:rsid w:val="0EC7DD24"/>
    <w:rsid w:val="0EC8399C"/>
    <w:rsid w:val="0ECA7D12"/>
    <w:rsid w:val="0ECC7442"/>
    <w:rsid w:val="0ED03D23"/>
    <w:rsid w:val="0ED30A13"/>
    <w:rsid w:val="0ED39543"/>
    <w:rsid w:val="0ED4948E"/>
    <w:rsid w:val="0ED514C0"/>
    <w:rsid w:val="0EDB29E2"/>
    <w:rsid w:val="0EDDE175"/>
    <w:rsid w:val="0EDF9E9F"/>
    <w:rsid w:val="0EE0B23F"/>
    <w:rsid w:val="0EE0BCED"/>
    <w:rsid w:val="0EE18FF9"/>
    <w:rsid w:val="0EE48C85"/>
    <w:rsid w:val="0EE7D469"/>
    <w:rsid w:val="0EE874C0"/>
    <w:rsid w:val="0EE9BCAE"/>
    <w:rsid w:val="0EEC9758"/>
    <w:rsid w:val="0EEE7232"/>
    <w:rsid w:val="0EEF19A4"/>
    <w:rsid w:val="0EF27014"/>
    <w:rsid w:val="0EF4F7A5"/>
    <w:rsid w:val="0EF97E16"/>
    <w:rsid w:val="0EF99D54"/>
    <w:rsid w:val="0EFF7888"/>
    <w:rsid w:val="0F00EBA9"/>
    <w:rsid w:val="0F03881D"/>
    <w:rsid w:val="0F040730"/>
    <w:rsid w:val="0F09BE14"/>
    <w:rsid w:val="0F0A90EF"/>
    <w:rsid w:val="0F0C8A64"/>
    <w:rsid w:val="0F0CC12D"/>
    <w:rsid w:val="0F0D57DF"/>
    <w:rsid w:val="0F0E50A4"/>
    <w:rsid w:val="0F0EA475"/>
    <w:rsid w:val="0F0FD381"/>
    <w:rsid w:val="0F12D11B"/>
    <w:rsid w:val="0F17D01A"/>
    <w:rsid w:val="0F1B172D"/>
    <w:rsid w:val="0F1B79B1"/>
    <w:rsid w:val="0F1E670B"/>
    <w:rsid w:val="0F1FBC6B"/>
    <w:rsid w:val="0F243C81"/>
    <w:rsid w:val="0F24B5D6"/>
    <w:rsid w:val="0F26EAD3"/>
    <w:rsid w:val="0F28F8A6"/>
    <w:rsid w:val="0F2CC2DF"/>
    <w:rsid w:val="0F2CEAA2"/>
    <w:rsid w:val="0F2DBA1D"/>
    <w:rsid w:val="0F31DD0C"/>
    <w:rsid w:val="0F356611"/>
    <w:rsid w:val="0F3780CF"/>
    <w:rsid w:val="0F38BAEC"/>
    <w:rsid w:val="0F39B144"/>
    <w:rsid w:val="0F39C874"/>
    <w:rsid w:val="0F3AA2EA"/>
    <w:rsid w:val="0F3B214A"/>
    <w:rsid w:val="0F3C2D64"/>
    <w:rsid w:val="0F3CB9F7"/>
    <w:rsid w:val="0F3FA8CE"/>
    <w:rsid w:val="0F3FCFAD"/>
    <w:rsid w:val="0F4103A6"/>
    <w:rsid w:val="0F4493E7"/>
    <w:rsid w:val="0F46F1DE"/>
    <w:rsid w:val="0F4A8A30"/>
    <w:rsid w:val="0F4DDBFD"/>
    <w:rsid w:val="0F4F0679"/>
    <w:rsid w:val="0F505607"/>
    <w:rsid w:val="0F52BECC"/>
    <w:rsid w:val="0F53DD92"/>
    <w:rsid w:val="0F54D174"/>
    <w:rsid w:val="0F5698EF"/>
    <w:rsid w:val="0F59B4DE"/>
    <w:rsid w:val="0F5A0940"/>
    <w:rsid w:val="0F60FD22"/>
    <w:rsid w:val="0F6221F9"/>
    <w:rsid w:val="0F6294B6"/>
    <w:rsid w:val="0F62C0CF"/>
    <w:rsid w:val="0F640C8F"/>
    <w:rsid w:val="0F64307A"/>
    <w:rsid w:val="0F658902"/>
    <w:rsid w:val="0F660BC3"/>
    <w:rsid w:val="0F6C2A6B"/>
    <w:rsid w:val="0F6FAE53"/>
    <w:rsid w:val="0F70B898"/>
    <w:rsid w:val="0F718980"/>
    <w:rsid w:val="0F746716"/>
    <w:rsid w:val="0F780154"/>
    <w:rsid w:val="0F79A979"/>
    <w:rsid w:val="0F7C26E9"/>
    <w:rsid w:val="0F7E29F5"/>
    <w:rsid w:val="0F7FF97D"/>
    <w:rsid w:val="0F823A7B"/>
    <w:rsid w:val="0F82732D"/>
    <w:rsid w:val="0F8383CB"/>
    <w:rsid w:val="0F85AC5C"/>
    <w:rsid w:val="0F8790D4"/>
    <w:rsid w:val="0F87CB4C"/>
    <w:rsid w:val="0F8C7C58"/>
    <w:rsid w:val="0F8CFD79"/>
    <w:rsid w:val="0F8F3465"/>
    <w:rsid w:val="0F92AD92"/>
    <w:rsid w:val="0F95EDEE"/>
    <w:rsid w:val="0F963BF2"/>
    <w:rsid w:val="0F9750FC"/>
    <w:rsid w:val="0F99EAB9"/>
    <w:rsid w:val="0F9C71AC"/>
    <w:rsid w:val="0F9CB731"/>
    <w:rsid w:val="0F9D0696"/>
    <w:rsid w:val="0F9EB240"/>
    <w:rsid w:val="0FA0D8E3"/>
    <w:rsid w:val="0FA132FC"/>
    <w:rsid w:val="0FA436CB"/>
    <w:rsid w:val="0FA4B4C6"/>
    <w:rsid w:val="0FA4DD2D"/>
    <w:rsid w:val="0FA4FD32"/>
    <w:rsid w:val="0FA500C8"/>
    <w:rsid w:val="0FA5AB77"/>
    <w:rsid w:val="0FA5C2D2"/>
    <w:rsid w:val="0FA637DB"/>
    <w:rsid w:val="0FA7BD6A"/>
    <w:rsid w:val="0FA8A003"/>
    <w:rsid w:val="0FA90199"/>
    <w:rsid w:val="0FA910B9"/>
    <w:rsid w:val="0FAE201D"/>
    <w:rsid w:val="0FB06CD9"/>
    <w:rsid w:val="0FB3118C"/>
    <w:rsid w:val="0FB3280A"/>
    <w:rsid w:val="0FB3CBCF"/>
    <w:rsid w:val="0FB99B3F"/>
    <w:rsid w:val="0FBA3E65"/>
    <w:rsid w:val="0FBF372F"/>
    <w:rsid w:val="0FC0B6B6"/>
    <w:rsid w:val="0FC1B956"/>
    <w:rsid w:val="0FC1DDAB"/>
    <w:rsid w:val="0FC48E4E"/>
    <w:rsid w:val="0FC57D71"/>
    <w:rsid w:val="0FC6956C"/>
    <w:rsid w:val="0FC9E2B2"/>
    <w:rsid w:val="0FCD9020"/>
    <w:rsid w:val="0FCF9A81"/>
    <w:rsid w:val="0FD286FF"/>
    <w:rsid w:val="0FD2F82C"/>
    <w:rsid w:val="0FD35E07"/>
    <w:rsid w:val="0FD57BB2"/>
    <w:rsid w:val="0FD7F92C"/>
    <w:rsid w:val="0FD97524"/>
    <w:rsid w:val="0FD991A3"/>
    <w:rsid w:val="0FDF2E6C"/>
    <w:rsid w:val="0FDF6123"/>
    <w:rsid w:val="0FE0BF58"/>
    <w:rsid w:val="0FE14F4F"/>
    <w:rsid w:val="0FE22B7D"/>
    <w:rsid w:val="0FE364AE"/>
    <w:rsid w:val="0FE4A0B2"/>
    <w:rsid w:val="0FE87AFC"/>
    <w:rsid w:val="0FE8F847"/>
    <w:rsid w:val="0FEB9CAB"/>
    <w:rsid w:val="0FEC52CF"/>
    <w:rsid w:val="0FED3204"/>
    <w:rsid w:val="0FED9E59"/>
    <w:rsid w:val="0FEECC6A"/>
    <w:rsid w:val="0FF4F56C"/>
    <w:rsid w:val="0FF5BB6B"/>
    <w:rsid w:val="0FF6A203"/>
    <w:rsid w:val="0FF71B41"/>
    <w:rsid w:val="0FF733BA"/>
    <w:rsid w:val="0FF7C7AE"/>
    <w:rsid w:val="0FF7D5E3"/>
    <w:rsid w:val="0FF86DA5"/>
    <w:rsid w:val="0FF9B84C"/>
    <w:rsid w:val="0FFA15AC"/>
    <w:rsid w:val="0FFFB3DB"/>
    <w:rsid w:val="10015A58"/>
    <w:rsid w:val="1001DAD0"/>
    <w:rsid w:val="1005A45D"/>
    <w:rsid w:val="1006BD70"/>
    <w:rsid w:val="1008130F"/>
    <w:rsid w:val="1008D201"/>
    <w:rsid w:val="100A98CD"/>
    <w:rsid w:val="100A9AA2"/>
    <w:rsid w:val="100DAF9A"/>
    <w:rsid w:val="100E6243"/>
    <w:rsid w:val="101170AB"/>
    <w:rsid w:val="10122FC7"/>
    <w:rsid w:val="1013EE8D"/>
    <w:rsid w:val="1016B2CF"/>
    <w:rsid w:val="10178FBA"/>
    <w:rsid w:val="10180C6E"/>
    <w:rsid w:val="1019AAAE"/>
    <w:rsid w:val="1019E55E"/>
    <w:rsid w:val="101C8069"/>
    <w:rsid w:val="101D2E22"/>
    <w:rsid w:val="101DFE95"/>
    <w:rsid w:val="101E89F3"/>
    <w:rsid w:val="10200707"/>
    <w:rsid w:val="10241B70"/>
    <w:rsid w:val="10243C31"/>
    <w:rsid w:val="1027382C"/>
    <w:rsid w:val="10284D3D"/>
    <w:rsid w:val="10286A33"/>
    <w:rsid w:val="102C1589"/>
    <w:rsid w:val="102C63D4"/>
    <w:rsid w:val="102FC681"/>
    <w:rsid w:val="10336E3E"/>
    <w:rsid w:val="10350115"/>
    <w:rsid w:val="10360DCD"/>
    <w:rsid w:val="1036BE75"/>
    <w:rsid w:val="10394F2E"/>
    <w:rsid w:val="103BC7CC"/>
    <w:rsid w:val="103CEE9D"/>
    <w:rsid w:val="103E188C"/>
    <w:rsid w:val="103F2D33"/>
    <w:rsid w:val="103FB79A"/>
    <w:rsid w:val="104033ED"/>
    <w:rsid w:val="1040DAD3"/>
    <w:rsid w:val="10433670"/>
    <w:rsid w:val="1043F6FB"/>
    <w:rsid w:val="10479217"/>
    <w:rsid w:val="1048CCF8"/>
    <w:rsid w:val="10492254"/>
    <w:rsid w:val="104968D5"/>
    <w:rsid w:val="104A17B7"/>
    <w:rsid w:val="104AE8B2"/>
    <w:rsid w:val="104B3E9C"/>
    <w:rsid w:val="104B956D"/>
    <w:rsid w:val="104E74AD"/>
    <w:rsid w:val="104EA4DD"/>
    <w:rsid w:val="104FB22F"/>
    <w:rsid w:val="104FF358"/>
    <w:rsid w:val="1050F973"/>
    <w:rsid w:val="10565A3F"/>
    <w:rsid w:val="105964D5"/>
    <w:rsid w:val="105A8AD4"/>
    <w:rsid w:val="105ADDEC"/>
    <w:rsid w:val="105AED9D"/>
    <w:rsid w:val="105C61D3"/>
    <w:rsid w:val="105F09BE"/>
    <w:rsid w:val="1060CBFD"/>
    <w:rsid w:val="10631F37"/>
    <w:rsid w:val="106694B3"/>
    <w:rsid w:val="1069E40A"/>
    <w:rsid w:val="106BBD2F"/>
    <w:rsid w:val="106BCBF8"/>
    <w:rsid w:val="106C2F6B"/>
    <w:rsid w:val="106D5133"/>
    <w:rsid w:val="106E3B4B"/>
    <w:rsid w:val="10704C51"/>
    <w:rsid w:val="1070B772"/>
    <w:rsid w:val="1072AB01"/>
    <w:rsid w:val="1073172A"/>
    <w:rsid w:val="107559DC"/>
    <w:rsid w:val="10796D20"/>
    <w:rsid w:val="107B9246"/>
    <w:rsid w:val="107BACB8"/>
    <w:rsid w:val="107CB196"/>
    <w:rsid w:val="107EE9A0"/>
    <w:rsid w:val="10848270"/>
    <w:rsid w:val="1085333B"/>
    <w:rsid w:val="10854C15"/>
    <w:rsid w:val="10886A26"/>
    <w:rsid w:val="108A1DB4"/>
    <w:rsid w:val="108ADF7B"/>
    <w:rsid w:val="108C5D4C"/>
    <w:rsid w:val="108DC43E"/>
    <w:rsid w:val="108F628F"/>
    <w:rsid w:val="10916261"/>
    <w:rsid w:val="10964921"/>
    <w:rsid w:val="109786C4"/>
    <w:rsid w:val="109C17E6"/>
    <w:rsid w:val="109D61D6"/>
    <w:rsid w:val="10A03845"/>
    <w:rsid w:val="10A54020"/>
    <w:rsid w:val="10A560C7"/>
    <w:rsid w:val="10A75BCD"/>
    <w:rsid w:val="10AA179A"/>
    <w:rsid w:val="10AD81B1"/>
    <w:rsid w:val="10AE7C61"/>
    <w:rsid w:val="10B1959C"/>
    <w:rsid w:val="10B23B6E"/>
    <w:rsid w:val="10B370B2"/>
    <w:rsid w:val="10B3D3DD"/>
    <w:rsid w:val="10B47834"/>
    <w:rsid w:val="10B51193"/>
    <w:rsid w:val="10B79E2D"/>
    <w:rsid w:val="10BC323D"/>
    <w:rsid w:val="10C0063B"/>
    <w:rsid w:val="10C2A732"/>
    <w:rsid w:val="10C352B7"/>
    <w:rsid w:val="10C399A2"/>
    <w:rsid w:val="10C48822"/>
    <w:rsid w:val="10C4D97E"/>
    <w:rsid w:val="10C6E725"/>
    <w:rsid w:val="10C83B25"/>
    <w:rsid w:val="10CA1137"/>
    <w:rsid w:val="10CA53BF"/>
    <w:rsid w:val="10CC917A"/>
    <w:rsid w:val="10CC9A15"/>
    <w:rsid w:val="10CE3BDD"/>
    <w:rsid w:val="10CE8BF4"/>
    <w:rsid w:val="10CF0FDC"/>
    <w:rsid w:val="10CFBAC9"/>
    <w:rsid w:val="10D08D65"/>
    <w:rsid w:val="10D0BBDB"/>
    <w:rsid w:val="10D49822"/>
    <w:rsid w:val="10D62279"/>
    <w:rsid w:val="10D67EA5"/>
    <w:rsid w:val="10D71700"/>
    <w:rsid w:val="10D7996F"/>
    <w:rsid w:val="10D7CB37"/>
    <w:rsid w:val="10D82591"/>
    <w:rsid w:val="10D91AF5"/>
    <w:rsid w:val="10D94004"/>
    <w:rsid w:val="10DB9A2B"/>
    <w:rsid w:val="10DC2F17"/>
    <w:rsid w:val="10DC6FC7"/>
    <w:rsid w:val="10DD6FC1"/>
    <w:rsid w:val="10DFA44E"/>
    <w:rsid w:val="10E10847"/>
    <w:rsid w:val="10E124FC"/>
    <w:rsid w:val="10E1DEBB"/>
    <w:rsid w:val="10E2FA46"/>
    <w:rsid w:val="10E36928"/>
    <w:rsid w:val="10E42F0F"/>
    <w:rsid w:val="10ED818A"/>
    <w:rsid w:val="10EF258A"/>
    <w:rsid w:val="10F0CB63"/>
    <w:rsid w:val="10F0F01E"/>
    <w:rsid w:val="10F430C2"/>
    <w:rsid w:val="10F4622F"/>
    <w:rsid w:val="10F4D56B"/>
    <w:rsid w:val="10FA073E"/>
    <w:rsid w:val="10FB8F20"/>
    <w:rsid w:val="10FCC922"/>
    <w:rsid w:val="10FE5D64"/>
    <w:rsid w:val="11007AA8"/>
    <w:rsid w:val="1101AF91"/>
    <w:rsid w:val="1103C874"/>
    <w:rsid w:val="110615CE"/>
    <w:rsid w:val="11066D8B"/>
    <w:rsid w:val="110B2850"/>
    <w:rsid w:val="110CBA03"/>
    <w:rsid w:val="110F0812"/>
    <w:rsid w:val="11165778"/>
    <w:rsid w:val="11178A81"/>
    <w:rsid w:val="1119A763"/>
    <w:rsid w:val="111A8F44"/>
    <w:rsid w:val="111ADF4E"/>
    <w:rsid w:val="111D22C7"/>
    <w:rsid w:val="111D8354"/>
    <w:rsid w:val="111D9271"/>
    <w:rsid w:val="111DB5E4"/>
    <w:rsid w:val="111EE200"/>
    <w:rsid w:val="11221FBE"/>
    <w:rsid w:val="11230665"/>
    <w:rsid w:val="1125BF47"/>
    <w:rsid w:val="112710B1"/>
    <w:rsid w:val="112774A9"/>
    <w:rsid w:val="112A2ACC"/>
    <w:rsid w:val="112A986C"/>
    <w:rsid w:val="112EC2EF"/>
    <w:rsid w:val="112EE5BC"/>
    <w:rsid w:val="11311C45"/>
    <w:rsid w:val="1135134D"/>
    <w:rsid w:val="1138D09E"/>
    <w:rsid w:val="1139C242"/>
    <w:rsid w:val="113C5D25"/>
    <w:rsid w:val="11412A3A"/>
    <w:rsid w:val="1145FA33"/>
    <w:rsid w:val="1148B44C"/>
    <w:rsid w:val="114B348D"/>
    <w:rsid w:val="114C566C"/>
    <w:rsid w:val="114C5CEF"/>
    <w:rsid w:val="114E7592"/>
    <w:rsid w:val="114FDA9D"/>
    <w:rsid w:val="1150208F"/>
    <w:rsid w:val="1153C020"/>
    <w:rsid w:val="1155E6A7"/>
    <w:rsid w:val="1155F74F"/>
    <w:rsid w:val="11561049"/>
    <w:rsid w:val="1156E8E0"/>
    <w:rsid w:val="1157B199"/>
    <w:rsid w:val="1157D306"/>
    <w:rsid w:val="1158134D"/>
    <w:rsid w:val="115B5138"/>
    <w:rsid w:val="115EEA49"/>
    <w:rsid w:val="115FE25D"/>
    <w:rsid w:val="1160DA8B"/>
    <w:rsid w:val="11610252"/>
    <w:rsid w:val="1163DA33"/>
    <w:rsid w:val="1163FEB9"/>
    <w:rsid w:val="1166AB31"/>
    <w:rsid w:val="1169247E"/>
    <w:rsid w:val="1169AB45"/>
    <w:rsid w:val="1169CDFD"/>
    <w:rsid w:val="116A0E4F"/>
    <w:rsid w:val="116B9E8B"/>
    <w:rsid w:val="116F04C9"/>
    <w:rsid w:val="116FD4DF"/>
    <w:rsid w:val="11757858"/>
    <w:rsid w:val="117A3AAD"/>
    <w:rsid w:val="117AFF5E"/>
    <w:rsid w:val="117B9C58"/>
    <w:rsid w:val="117BFDC8"/>
    <w:rsid w:val="117C2DE5"/>
    <w:rsid w:val="117DCCB1"/>
    <w:rsid w:val="117F426F"/>
    <w:rsid w:val="118397F5"/>
    <w:rsid w:val="1184F52B"/>
    <w:rsid w:val="11850BDB"/>
    <w:rsid w:val="1186188B"/>
    <w:rsid w:val="11872CD0"/>
    <w:rsid w:val="11884FC4"/>
    <w:rsid w:val="118A2CC6"/>
    <w:rsid w:val="119040C6"/>
    <w:rsid w:val="11917695"/>
    <w:rsid w:val="11959064"/>
    <w:rsid w:val="1195BD84"/>
    <w:rsid w:val="1197A00B"/>
    <w:rsid w:val="1198CC32"/>
    <w:rsid w:val="11998894"/>
    <w:rsid w:val="119CB7C0"/>
    <w:rsid w:val="119E4406"/>
    <w:rsid w:val="119EB012"/>
    <w:rsid w:val="119F9360"/>
    <w:rsid w:val="11A02AE5"/>
    <w:rsid w:val="11A365D8"/>
    <w:rsid w:val="11A4F9FA"/>
    <w:rsid w:val="11A5B596"/>
    <w:rsid w:val="11A5CE9B"/>
    <w:rsid w:val="11A6A7D9"/>
    <w:rsid w:val="11AA88D4"/>
    <w:rsid w:val="11AAD624"/>
    <w:rsid w:val="11AE154C"/>
    <w:rsid w:val="11B1F366"/>
    <w:rsid w:val="11B3A08F"/>
    <w:rsid w:val="11B779DA"/>
    <w:rsid w:val="11B8F345"/>
    <w:rsid w:val="11B92CD1"/>
    <w:rsid w:val="11B9CEDB"/>
    <w:rsid w:val="11BBA1A9"/>
    <w:rsid w:val="11BD3969"/>
    <w:rsid w:val="11BDEE3E"/>
    <w:rsid w:val="11C0C80D"/>
    <w:rsid w:val="11C14D41"/>
    <w:rsid w:val="11C47C3A"/>
    <w:rsid w:val="11C5EDE0"/>
    <w:rsid w:val="11C8BA0F"/>
    <w:rsid w:val="11C9EA1D"/>
    <w:rsid w:val="11CAB3A6"/>
    <w:rsid w:val="11CD9EC8"/>
    <w:rsid w:val="11CE0541"/>
    <w:rsid w:val="11CF1687"/>
    <w:rsid w:val="11CFACD3"/>
    <w:rsid w:val="11CFC2AC"/>
    <w:rsid w:val="11D44EC4"/>
    <w:rsid w:val="11D7544E"/>
    <w:rsid w:val="11D76E34"/>
    <w:rsid w:val="11DD6995"/>
    <w:rsid w:val="11DEBDB5"/>
    <w:rsid w:val="11DF8BB2"/>
    <w:rsid w:val="11E0F36E"/>
    <w:rsid w:val="11E31301"/>
    <w:rsid w:val="11E36C58"/>
    <w:rsid w:val="11E58B3F"/>
    <w:rsid w:val="11E5D6F3"/>
    <w:rsid w:val="11E6584A"/>
    <w:rsid w:val="11EAC8C8"/>
    <w:rsid w:val="11EC7950"/>
    <w:rsid w:val="11F0278F"/>
    <w:rsid w:val="11F0E093"/>
    <w:rsid w:val="11F3307C"/>
    <w:rsid w:val="11F34BDD"/>
    <w:rsid w:val="11F6C367"/>
    <w:rsid w:val="11F6F5BC"/>
    <w:rsid w:val="11F84B3A"/>
    <w:rsid w:val="11F8B9D3"/>
    <w:rsid w:val="11F8FF7B"/>
    <w:rsid w:val="11FD941A"/>
    <w:rsid w:val="11FFD128"/>
    <w:rsid w:val="1203B7F2"/>
    <w:rsid w:val="120410D1"/>
    <w:rsid w:val="1205B4E2"/>
    <w:rsid w:val="1206E1AF"/>
    <w:rsid w:val="1207C8AB"/>
    <w:rsid w:val="1207ECEB"/>
    <w:rsid w:val="120ACB10"/>
    <w:rsid w:val="120BE053"/>
    <w:rsid w:val="120E009C"/>
    <w:rsid w:val="1210EB14"/>
    <w:rsid w:val="1211A2C6"/>
    <w:rsid w:val="1211B270"/>
    <w:rsid w:val="121405D2"/>
    <w:rsid w:val="12180C50"/>
    <w:rsid w:val="1218352A"/>
    <w:rsid w:val="121C0D76"/>
    <w:rsid w:val="121C414D"/>
    <w:rsid w:val="121C9669"/>
    <w:rsid w:val="121F713F"/>
    <w:rsid w:val="1220533B"/>
    <w:rsid w:val="1220C08D"/>
    <w:rsid w:val="12218276"/>
    <w:rsid w:val="1227ED34"/>
    <w:rsid w:val="12284CFE"/>
    <w:rsid w:val="1229470A"/>
    <w:rsid w:val="1229B506"/>
    <w:rsid w:val="122D498B"/>
    <w:rsid w:val="122D909B"/>
    <w:rsid w:val="122DAD53"/>
    <w:rsid w:val="122DBF9B"/>
    <w:rsid w:val="122EF12E"/>
    <w:rsid w:val="122FABE6"/>
    <w:rsid w:val="12304F54"/>
    <w:rsid w:val="12338299"/>
    <w:rsid w:val="1238FE22"/>
    <w:rsid w:val="12398DA2"/>
    <w:rsid w:val="1242A5FE"/>
    <w:rsid w:val="1242D958"/>
    <w:rsid w:val="1243DA82"/>
    <w:rsid w:val="12455A14"/>
    <w:rsid w:val="1246ACC7"/>
    <w:rsid w:val="124DE434"/>
    <w:rsid w:val="124E3611"/>
    <w:rsid w:val="124FC42E"/>
    <w:rsid w:val="125315B8"/>
    <w:rsid w:val="12545B30"/>
    <w:rsid w:val="125487B8"/>
    <w:rsid w:val="1255DE62"/>
    <w:rsid w:val="1257BD98"/>
    <w:rsid w:val="125A73A4"/>
    <w:rsid w:val="125B036E"/>
    <w:rsid w:val="125B41A1"/>
    <w:rsid w:val="125BDB96"/>
    <w:rsid w:val="125C8B61"/>
    <w:rsid w:val="12609B8B"/>
    <w:rsid w:val="12677051"/>
    <w:rsid w:val="1269CA95"/>
    <w:rsid w:val="126A530A"/>
    <w:rsid w:val="126C7CA8"/>
    <w:rsid w:val="12707173"/>
    <w:rsid w:val="1272932B"/>
    <w:rsid w:val="12751280"/>
    <w:rsid w:val="127609C3"/>
    <w:rsid w:val="12771A28"/>
    <w:rsid w:val="1279A893"/>
    <w:rsid w:val="127A7A80"/>
    <w:rsid w:val="127AA18A"/>
    <w:rsid w:val="127B0C69"/>
    <w:rsid w:val="127B79DD"/>
    <w:rsid w:val="127B8912"/>
    <w:rsid w:val="127C61B2"/>
    <w:rsid w:val="127E94FC"/>
    <w:rsid w:val="127EF6FD"/>
    <w:rsid w:val="12809B26"/>
    <w:rsid w:val="1282E637"/>
    <w:rsid w:val="1289BEBA"/>
    <w:rsid w:val="128F19E3"/>
    <w:rsid w:val="128F72F8"/>
    <w:rsid w:val="1291C0E6"/>
    <w:rsid w:val="1291FC17"/>
    <w:rsid w:val="1295FA68"/>
    <w:rsid w:val="1296177D"/>
    <w:rsid w:val="129666FD"/>
    <w:rsid w:val="129C1551"/>
    <w:rsid w:val="129DEF2D"/>
    <w:rsid w:val="129E2743"/>
    <w:rsid w:val="129F2249"/>
    <w:rsid w:val="129FB584"/>
    <w:rsid w:val="12A094CB"/>
    <w:rsid w:val="12A45DAC"/>
    <w:rsid w:val="12A77BE6"/>
    <w:rsid w:val="12AAB48A"/>
    <w:rsid w:val="12AB7898"/>
    <w:rsid w:val="12ABE9B2"/>
    <w:rsid w:val="12AD3D44"/>
    <w:rsid w:val="12AD6E6D"/>
    <w:rsid w:val="12ADB8A3"/>
    <w:rsid w:val="12B4E26F"/>
    <w:rsid w:val="12BA0684"/>
    <w:rsid w:val="12BBB735"/>
    <w:rsid w:val="12C127CA"/>
    <w:rsid w:val="12C2A6D8"/>
    <w:rsid w:val="12C3784F"/>
    <w:rsid w:val="12C57DC1"/>
    <w:rsid w:val="12C606F7"/>
    <w:rsid w:val="12C981B3"/>
    <w:rsid w:val="12CAF74F"/>
    <w:rsid w:val="12CD578B"/>
    <w:rsid w:val="12CE18C9"/>
    <w:rsid w:val="12D1C36B"/>
    <w:rsid w:val="12D531E9"/>
    <w:rsid w:val="12D616CA"/>
    <w:rsid w:val="12DDA23C"/>
    <w:rsid w:val="12DF6925"/>
    <w:rsid w:val="12E14AAB"/>
    <w:rsid w:val="12E25940"/>
    <w:rsid w:val="12E4233F"/>
    <w:rsid w:val="12E4FE71"/>
    <w:rsid w:val="12E5622B"/>
    <w:rsid w:val="12E6FBBA"/>
    <w:rsid w:val="12E76EB2"/>
    <w:rsid w:val="12EA15D8"/>
    <w:rsid w:val="12EFD3F2"/>
    <w:rsid w:val="12F32C54"/>
    <w:rsid w:val="12F4BE20"/>
    <w:rsid w:val="12F52192"/>
    <w:rsid w:val="12F641B3"/>
    <w:rsid w:val="12F9A3FB"/>
    <w:rsid w:val="12F9D676"/>
    <w:rsid w:val="12FB261F"/>
    <w:rsid w:val="12FC21BE"/>
    <w:rsid w:val="12FD8F1C"/>
    <w:rsid w:val="12FEBC21"/>
    <w:rsid w:val="1300CFD8"/>
    <w:rsid w:val="1301BF4B"/>
    <w:rsid w:val="13058F92"/>
    <w:rsid w:val="1307EDF7"/>
    <w:rsid w:val="13081802"/>
    <w:rsid w:val="130BD556"/>
    <w:rsid w:val="130CE4AC"/>
    <w:rsid w:val="130DD02C"/>
    <w:rsid w:val="1311931C"/>
    <w:rsid w:val="13137A9B"/>
    <w:rsid w:val="1317BD59"/>
    <w:rsid w:val="1318DA05"/>
    <w:rsid w:val="131997ED"/>
    <w:rsid w:val="131C7B02"/>
    <w:rsid w:val="131D423B"/>
    <w:rsid w:val="132400B5"/>
    <w:rsid w:val="13258C53"/>
    <w:rsid w:val="13278D80"/>
    <w:rsid w:val="13288403"/>
    <w:rsid w:val="132EBA0C"/>
    <w:rsid w:val="132ECB39"/>
    <w:rsid w:val="132F8BA7"/>
    <w:rsid w:val="1330350D"/>
    <w:rsid w:val="1331A0CA"/>
    <w:rsid w:val="1334BC36"/>
    <w:rsid w:val="1334CA3B"/>
    <w:rsid w:val="13360E82"/>
    <w:rsid w:val="1338BEFE"/>
    <w:rsid w:val="133C64F4"/>
    <w:rsid w:val="133E4557"/>
    <w:rsid w:val="133F380D"/>
    <w:rsid w:val="133F8918"/>
    <w:rsid w:val="13422F30"/>
    <w:rsid w:val="1342D1C2"/>
    <w:rsid w:val="13454450"/>
    <w:rsid w:val="134575DC"/>
    <w:rsid w:val="1346F11F"/>
    <w:rsid w:val="13470080"/>
    <w:rsid w:val="134B7A0A"/>
    <w:rsid w:val="134CFB65"/>
    <w:rsid w:val="13510273"/>
    <w:rsid w:val="1352558D"/>
    <w:rsid w:val="1353A09D"/>
    <w:rsid w:val="1354DABE"/>
    <w:rsid w:val="1354E5B5"/>
    <w:rsid w:val="13553B10"/>
    <w:rsid w:val="13564365"/>
    <w:rsid w:val="13584909"/>
    <w:rsid w:val="1358AD5E"/>
    <w:rsid w:val="1358C0EF"/>
    <w:rsid w:val="135A10FD"/>
    <w:rsid w:val="135A1E52"/>
    <w:rsid w:val="135AB945"/>
    <w:rsid w:val="135FA058"/>
    <w:rsid w:val="1360F929"/>
    <w:rsid w:val="1361412A"/>
    <w:rsid w:val="1361DB13"/>
    <w:rsid w:val="136726E4"/>
    <w:rsid w:val="136BDEFB"/>
    <w:rsid w:val="136C0ABE"/>
    <w:rsid w:val="136CF6F3"/>
    <w:rsid w:val="136EF300"/>
    <w:rsid w:val="136FF59A"/>
    <w:rsid w:val="13724CC7"/>
    <w:rsid w:val="1373B6FA"/>
    <w:rsid w:val="1376DF5D"/>
    <w:rsid w:val="1378B803"/>
    <w:rsid w:val="1378D32D"/>
    <w:rsid w:val="137B0353"/>
    <w:rsid w:val="1380EDF6"/>
    <w:rsid w:val="1384AC25"/>
    <w:rsid w:val="138861A6"/>
    <w:rsid w:val="1388AAD1"/>
    <w:rsid w:val="138A5939"/>
    <w:rsid w:val="138ADF9C"/>
    <w:rsid w:val="138CFCEF"/>
    <w:rsid w:val="138F8B93"/>
    <w:rsid w:val="13940977"/>
    <w:rsid w:val="1396F49B"/>
    <w:rsid w:val="1397BA8D"/>
    <w:rsid w:val="13986CBF"/>
    <w:rsid w:val="13995914"/>
    <w:rsid w:val="139C30D7"/>
    <w:rsid w:val="139F1BBB"/>
    <w:rsid w:val="139F85EB"/>
    <w:rsid w:val="13A47E12"/>
    <w:rsid w:val="13A5C523"/>
    <w:rsid w:val="13A63945"/>
    <w:rsid w:val="13A70CB9"/>
    <w:rsid w:val="13A7AFB4"/>
    <w:rsid w:val="13A854F0"/>
    <w:rsid w:val="13AAE117"/>
    <w:rsid w:val="13AC2192"/>
    <w:rsid w:val="13AC6820"/>
    <w:rsid w:val="13AD2129"/>
    <w:rsid w:val="13AD7E69"/>
    <w:rsid w:val="13B23C45"/>
    <w:rsid w:val="13B4BCC5"/>
    <w:rsid w:val="13B4FE97"/>
    <w:rsid w:val="13B5D055"/>
    <w:rsid w:val="13B5D3B5"/>
    <w:rsid w:val="13B84FBA"/>
    <w:rsid w:val="13B8B002"/>
    <w:rsid w:val="13BA8391"/>
    <w:rsid w:val="13BAA682"/>
    <w:rsid w:val="13BAC480"/>
    <w:rsid w:val="13BB43D0"/>
    <w:rsid w:val="13C42ABA"/>
    <w:rsid w:val="13C46D43"/>
    <w:rsid w:val="13C80C7A"/>
    <w:rsid w:val="13CE3690"/>
    <w:rsid w:val="13CE9860"/>
    <w:rsid w:val="13CEC081"/>
    <w:rsid w:val="13D4BF92"/>
    <w:rsid w:val="13D5B52F"/>
    <w:rsid w:val="13D6B392"/>
    <w:rsid w:val="13D83027"/>
    <w:rsid w:val="13D9A1FB"/>
    <w:rsid w:val="13DAFBBD"/>
    <w:rsid w:val="13DB11F2"/>
    <w:rsid w:val="13DE8B90"/>
    <w:rsid w:val="13DF0618"/>
    <w:rsid w:val="13DF914F"/>
    <w:rsid w:val="13E26710"/>
    <w:rsid w:val="13E43784"/>
    <w:rsid w:val="13E489E8"/>
    <w:rsid w:val="13E4A9D6"/>
    <w:rsid w:val="13E64807"/>
    <w:rsid w:val="13E71A68"/>
    <w:rsid w:val="13E87D92"/>
    <w:rsid w:val="13E8A48D"/>
    <w:rsid w:val="13E90CCB"/>
    <w:rsid w:val="13EA91D1"/>
    <w:rsid w:val="13EA9FC4"/>
    <w:rsid w:val="13EB2F88"/>
    <w:rsid w:val="13ECC4DE"/>
    <w:rsid w:val="13EEB7F7"/>
    <w:rsid w:val="13EF20B0"/>
    <w:rsid w:val="13F238F0"/>
    <w:rsid w:val="13F34F68"/>
    <w:rsid w:val="13F500B7"/>
    <w:rsid w:val="13F72226"/>
    <w:rsid w:val="13F759F4"/>
    <w:rsid w:val="13F8C978"/>
    <w:rsid w:val="13FA2B73"/>
    <w:rsid w:val="13FA7174"/>
    <w:rsid w:val="13FABDE0"/>
    <w:rsid w:val="13FCD5C1"/>
    <w:rsid w:val="13FDA6D8"/>
    <w:rsid w:val="13FDAA10"/>
    <w:rsid w:val="14092856"/>
    <w:rsid w:val="140A3BF2"/>
    <w:rsid w:val="140A47CB"/>
    <w:rsid w:val="140D43CA"/>
    <w:rsid w:val="140D6206"/>
    <w:rsid w:val="140DA5D5"/>
    <w:rsid w:val="140FB5AA"/>
    <w:rsid w:val="1410DBA9"/>
    <w:rsid w:val="14112EE3"/>
    <w:rsid w:val="1413FDCF"/>
    <w:rsid w:val="1414522C"/>
    <w:rsid w:val="1414F244"/>
    <w:rsid w:val="1419C796"/>
    <w:rsid w:val="141AA979"/>
    <w:rsid w:val="141AC37F"/>
    <w:rsid w:val="141F4F78"/>
    <w:rsid w:val="1421EB64"/>
    <w:rsid w:val="1423EA19"/>
    <w:rsid w:val="1424213E"/>
    <w:rsid w:val="142504D0"/>
    <w:rsid w:val="1425241F"/>
    <w:rsid w:val="14275BC2"/>
    <w:rsid w:val="1427A0EB"/>
    <w:rsid w:val="142FB533"/>
    <w:rsid w:val="142FF2A5"/>
    <w:rsid w:val="142FFA13"/>
    <w:rsid w:val="1430ADF6"/>
    <w:rsid w:val="1430B045"/>
    <w:rsid w:val="143414FE"/>
    <w:rsid w:val="1438023C"/>
    <w:rsid w:val="143A0390"/>
    <w:rsid w:val="143D0D29"/>
    <w:rsid w:val="143E077F"/>
    <w:rsid w:val="143F3D45"/>
    <w:rsid w:val="14411B48"/>
    <w:rsid w:val="14419A3D"/>
    <w:rsid w:val="14420678"/>
    <w:rsid w:val="144326D7"/>
    <w:rsid w:val="14432B40"/>
    <w:rsid w:val="1447469F"/>
    <w:rsid w:val="1447C2AE"/>
    <w:rsid w:val="1449AE2A"/>
    <w:rsid w:val="144A56CF"/>
    <w:rsid w:val="144B46CC"/>
    <w:rsid w:val="144DDB46"/>
    <w:rsid w:val="144F44A4"/>
    <w:rsid w:val="1450D3FA"/>
    <w:rsid w:val="145359DB"/>
    <w:rsid w:val="1453E370"/>
    <w:rsid w:val="145680DF"/>
    <w:rsid w:val="14575CFB"/>
    <w:rsid w:val="1458D97A"/>
    <w:rsid w:val="145A01A9"/>
    <w:rsid w:val="145A064D"/>
    <w:rsid w:val="145AAAD5"/>
    <w:rsid w:val="145B0F96"/>
    <w:rsid w:val="145D380F"/>
    <w:rsid w:val="145E76E7"/>
    <w:rsid w:val="14600C61"/>
    <w:rsid w:val="14610F57"/>
    <w:rsid w:val="1462CFC6"/>
    <w:rsid w:val="146722F9"/>
    <w:rsid w:val="1467BC78"/>
    <w:rsid w:val="14688C7F"/>
    <w:rsid w:val="1468F980"/>
    <w:rsid w:val="146A4856"/>
    <w:rsid w:val="146AB757"/>
    <w:rsid w:val="146AD498"/>
    <w:rsid w:val="1470CB43"/>
    <w:rsid w:val="14739D6A"/>
    <w:rsid w:val="14766B63"/>
    <w:rsid w:val="1477B5DB"/>
    <w:rsid w:val="1477E112"/>
    <w:rsid w:val="1477FDC5"/>
    <w:rsid w:val="14795F08"/>
    <w:rsid w:val="1480D3DD"/>
    <w:rsid w:val="14819955"/>
    <w:rsid w:val="148512C3"/>
    <w:rsid w:val="1487940F"/>
    <w:rsid w:val="148A8D29"/>
    <w:rsid w:val="14932E21"/>
    <w:rsid w:val="1499E9BC"/>
    <w:rsid w:val="149A2043"/>
    <w:rsid w:val="149B85ED"/>
    <w:rsid w:val="149D03F4"/>
    <w:rsid w:val="14A1B1F1"/>
    <w:rsid w:val="14A3D01A"/>
    <w:rsid w:val="14A4C9A0"/>
    <w:rsid w:val="14A525F8"/>
    <w:rsid w:val="14A52964"/>
    <w:rsid w:val="14A5A809"/>
    <w:rsid w:val="14A6C5C9"/>
    <w:rsid w:val="14A71932"/>
    <w:rsid w:val="14A7D779"/>
    <w:rsid w:val="14A8DF3A"/>
    <w:rsid w:val="14AA1B17"/>
    <w:rsid w:val="14AA9F91"/>
    <w:rsid w:val="14AF9E87"/>
    <w:rsid w:val="14B4CE3D"/>
    <w:rsid w:val="14B4E2DF"/>
    <w:rsid w:val="14BB82B5"/>
    <w:rsid w:val="14BD82EE"/>
    <w:rsid w:val="14C34C67"/>
    <w:rsid w:val="14C43534"/>
    <w:rsid w:val="14C4B260"/>
    <w:rsid w:val="14C6E320"/>
    <w:rsid w:val="14CE33DC"/>
    <w:rsid w:val="14CF29E0"/>
    <w:rsid w:val="14CF9E01"/>
    <w:rsid w:val="14D09B87"/>
    <w:rsid w:val="14D1543E"/>
    <w:rsid w:val="14D22F2B"/>
    <w:rsid w:val="14D34D6E"/>
    <w:rsid w:val="14D55A6A"/>
    <w:rsid w:val="14D699E7"/>
    <w:rsid w:val="14DBAE2C"/>
    <w:rsid w:val="14DCC6A9"/>
    <w:rsid w:val="14DD371E"/>
    <w:rsid w:val="14DDD674"/>
    <w:rsid w:val="14DF47E3"/>
    <w:rsid w:val="14E0B4C7"/>
    <w:rsid w:val="14E61CEA"/>
    <w:rsid w:val="14E62E7B"/>
    <w:rsid w:val="14E72088"/>
    <w:rsid w:val="14E753A6"/>
    <w:rsid w:val="14E86A81"/>
    <w:rsid w:val="14F3DAAA"/>
    <w:rsid w:val="14F5452C"/>
    <w:rsid w:val="14F668D5"/>
    <w:rsid w:val="14F699D6"/>
    <w:rsid w:val="14F86EE9"/>
    <w:rsid w:val="14FB32F1"/>
    <w:rsid w:val="14FB6B4D"/>
    <w:rsid w:val="14FD04C8"/>
    <w:rsid w:val="14FE697E"/>
    <w:rsid w:val="15009EAF"/>
    <w:rsid w:val="1502BD19"/>
    <w:rsid w:val="1502EBC4"/>
    <w:rsid w:val="15052D78"/>
    <w:rsid w:val="1507D821"/>
    <w:rsid w:val="1508383F"/>
    <w:rsid w:val="1509A6FE"/>
    <w:rsid w:val="150F0E05"/>
    <w:rsid w:val="151157CD"/>
    <w:rsid w:val="1511FA33"/>
    <w:rsid w:val="151323DC"/>
    <w:rsid w:val="1513F574"/>
    <w:rsid w:val="1518ADEC"/>
    <w:rsid w:val="151916BC"/>
    <w:rsid w:val="151956AD"/>
    <w:rsid w:val="151A999B"/>
    <w:rsid w:val="151CB4DD"/>
    <w:rsid w:val="1525C6EC"/>
    <w:rsid w:val="1526B4B4"/>
    <w:rsid w:val="1526E512"/>
    <w:rsid w:val="1529532D"/>
    <w:rsid w:val="152EAD9F"/>
    <w:rsid w:val="15300497"/>
    <w:rsid w:val="15301C04"/>
    <w:rsid w:val="15348996"/>
    <w:rsid w:val="1534ACAC"/>
    <w:rsid w:val="15380142"/>
    <w:rsid w:val="15386AAA"/>
    <w:rsid w:val="15392B9F"/>
    <w:rsid w:val="153A28BA"/>
    <w:rsid w:val="153C5B41"/>
    <w:rsid w:val="153E3B11"/>
    <w:rsid w:val="15441E18"/>
    <w:rsid w:val="1544C78B"/>
    <w:rsid w:val="15476DDF"/>
    <w:rsid w:val="1547FB8E"/>
    <w:rsid w:val="154B4B19"/>
    <w:rsid w:val="154C5DFC"/>
    <w:rsid w:val="154F9EEF"/>
    <w:rsid w:val="15523490"/>
    <w:rsid w:val="155470E1"/>
    <w:rsid w:val="15574BF7"/>
    <w:rsid w:val="155B7F1C"/>
    <w:rsid w:val="155E79B2"/>
    <w:rsid w:val="155F6498"/>
    <w:rsid w:val="156093C6"/>
    <w:rsid w:val="156306F5"/>
    <w:rsid w:val="15689855"/>
    <w:rsid w:val="156A1FFD"/>
    <w:rsid w:val="156BBE77"/>
    <w:rsid w:val="156BF08C"/>
    <w:rsid w:val="156E0A8D"/>
    <w:rsid w:val="156F2A8F"/>
    <w:rsid w:val="1572372D"/>
    <w:rsid w:val="157238AF"/>
    <w:rsid w:val="15738ED1"/>
    <w:rsid w:val="1574688E"/>
    <w:rsid w:val="15758669"/>
    <w:rsid w:val="1575AC81"/>
    <w:rsid w:val="1575CC65"/>
    <w:rsid w:val="157695CC"/>
    <w:rsid w:val="15779574"/>
    <w:rsid w:val="1578D2ED"/>
    <w:rsid w:val="157B486F"/>
    <w:rsid w:val="157D92FD"/>
    <w:rsid w:val="157E4B90"/>
    <w:rsid w:val="1580BC55"/>
    <w:rsid w:val="1581F04C"/>
    <w:rsid w:val="158205C4"/>
    <w:rsid w:val="15826B59"/>
    <w:rsid w:val="15894AAB"/>
    <w:rsid w:val="158BDEB8"/>
    <w:rsid w:val="158D4056"/>
    <w:rsid w:val="15905718"/>
    <w:rsid w:val="15949612"/>
    <w:rsid w:val="159BC98B"/>
    <w:rsid w:val="159D265B"/>
    <w:rsid w:val="159DE64D"/>
    <w:rsid w:val="159F3079"/>
    <w:rsid w:val="15A01AED"/>
    <w:rsid w:val="15A056CD"/>
    <w:rsid w:val="15A27314"/>
    <w:rsid w:val="15A4BAF1"/>
    <w:rsid w:val="15A53C55"/>
    <w:rsid w:val="15A928FD"/>
    <w:rsid w:val="15ABC75D"/>
    <w:rsid w:val="15AE0CD7"/>
    <w:rsid w:val="15B129CC"/>
    <w:rsid w:val="15B1CC0A"/>
    <w:rsid w:val="15B36C89"/>
    <w:rsid w:val="15B55F62"/>
    <w:rsid w:val="15B7A131"/>
    <w:rsid w:val="15B8E866"/>
    <w:rsid w:val="15B908A3"/>
    <w:rsid w:val="15BB032D"/>
    <w:rsid w:val="15BF8FAE"/>
    <w:rsid w:val="15C249FE"/>
    <w:rsid w:val="15C3B550"/>
    <w:rsid w:val="15C4B145"/>
    <w:rsid w:val="15C5BA08"/>
    <w:rsid w:val="15C60083"/>
    <w:rsid w:val="15C874FA"/>
    <w:rsid w:val="15CB0A55"/>
    <w:rsid w:val="15D2F6D9"/>
    <w:rsid w:val="15D563D9"/>
    <w:rsid w:val="15D5EB8E"/>
    <w:rsid w:val="15D71F3E"/>
    <w:rsid w:val="15D882EA"/>
    <w:rsid w:val="15D8F823"/>
    <w:rsid w:val="15D95E03"/>
    <w:rsid w:val="15DB8883"/>
    <w:rsid w:val="15DCB4C6"/>
    <w:rsid w:val="15DD8FDD"/>
    <w:rsid w:val="15DE6716"/>
    <w:rsid w:val="15E17D0F"/>
    <w:rsid w:val="15E34AEA"/>
    <w:rsid w:val="15E3FF74"/>
    <w:rsid w:val="15EA7BD0"/>
    <w:rsid w:val="15ED0A5D"/>
    <w:rsid w:val="15EED369"/>
    <w:rsid w:val="15F3070A"/>
    <w:rsid w:val="15F332FA"/>
    <w:rsid w:val="15F580AA"/>
    <w:rsid w:val="15F8DFB0"/>
    <w:rsid w:val="15FAD421"/>
    <w:rsid w:val="15FD311E"/>
    <w:rsid w:val="15FDD98F"/>
    <w:rsid w:val="15FEA2FF"/>
    <w:rsid w:val="15FF6E33"/>
    <w:rsid w:val="1601862E"/>
    <w:rsid w:val="1606CB8D"/>
    <w:rsid w:val="160A92C1"/>
    <w:rsid w:val="160B3521"/>
    <w:rsid w:val="160F3177"/>
    <w:rsid w:val="1610B685"/>
    <w:rsid w:val="16119DED"/>
    <w:rsid w:val="1611C961"/>
    <w:rsid w:val="1612860B"/>
    <w:rsid w:val="1614861E"/>
    <w:rsid w:val="161525B1"/>
    <w:rsid w:val="16169AD5"/>
    <w:rsid w:val="161AE438"/>
    <w:rsid w:val="161B11BA"/>
    <w:rsid w:val="161C6AB8"/>
    <w:rsid w:val="161F6349"/>
    <w:rsid w:val="162147CB"/>
    <w:rsid w:val="16224FB3"/>
    <w:rsid w:val="162327DC"/>
    <w:rsid w:val="16246B1D"/>
    <w:rsid w:val="162582CA"/>
    <w:rsid w:val="1625EB60"/>
    <w:rsid w:val="16261062"/>
    <w:rsid w:val="1627FC10"/>
    <w:rsid w:val="162815A0"/>
    <w:rsid w:val="162EF2F2"/>
    <w:rsid w:val="162F2EC2"/>
    <w:rsid w:val="163218F5"/>
    <w:rsid w:val="16353672"/>
    <w:rsid w:val="163683AB"/>
    <w:rsid w:val="1638FA4E"/>
    <w:rsid w:val="163A2059"/>
    <w:rsid w:val="163BC37C"/>
    <w:rsid w:val="163D8F2C"/>
    <w:rsid w:val="1643E5D3"/>
    <w:rsid w:val="1644E621"/>
    <w:rsid w:val="164737B9"/>
    <w:rsid w:val="164B5433"/>
    <w:rsid w:val="164E1B29"/>
    <w:rsid w:val="164EFABD"/>
    <w:rsid w:val="1654057B"/>
    <w:rsid w:val="1654365F"/>
    <w:rsid w:val="1654DCAC"/>
    <w:rsid w:val="1659347F"/>
    <w:rsid w:val="165C20D5"/>
    <w:rsid w:val="165EB5C6"/>
    <w:rsid w:val="16623813"/>
    <w:rsid w:val="16625CFD"/>
    <w:rsid w:val="16627E54"/>
    <w:rsid w:val="1662811D"/>
    <w:rsid w:val="166782CA"/>
    <w:rsid w:val="16695602"/>
    <w:rsid w:val="166AC9F4"/>
    <w:rsid w:val="166B4B73"/>
    <w:rsid w:val="166F1B15"/>
    <w:rsid w:val="166FAD61"/>
    <w:rsid w:val="1671F061"/>
    <w:rsid w:val="1672CB0E"/>
    <w:rsid w:val="167318D8"/>
    <w:rsid w:val="1676CAA3"/>
    <w:rsid w:val="1677B2EB"/>
    <w:rsid w:val="1677DA9E"/>
    <w:rsid w:val="16790D10"/>
    <w:rsid w:val="167A3442"/>
    <w:rsid w:val="167D197B"/>
    <w:rsid w:val="167DCC33"/>
    <w:rsid w:val="16805FD8"/>
    <w:rsid w:val="168204E6"/>
    <w:rsid w:val="16852C16"/>
    <w:rsid w:val="1686D0FA"/>
    <w:rsid w:val="16874DAD"/>
    <w:rsid w:val="168975ED"/>
    <w:rsid w:val="168C1C4D"/>
    <w:rsid w:val="168E1F50"/>
    <w:rsid w:val="168E3EDC"/>
    <w:rsid w:val="168F07E6"/>
    <w:rsid w:val="168F99CB"/>
    <w:rsid w:val="16915979"/>
    <w:rsid w:val="1691600D"/>
    <w:rsid w:val="16924E22"/>
    <w:rsid w:val="16931644"/>
    <w:rsid w:val="1693E2B9"/>
    <w:rsid w:val="1694A004"/>
    <w:rsid w:val="16977114"/>
    <w:rsid w:val="1697B944"/>
    <w:rsid w:val="16984EC8"/>
    <w:rsid w:val="1698ED38"/>
    <w:rsid w:val="169AB0B8"/>
    <w:rsid w:val="169B265A"/>
    <w:rsid w:val="169C7B67"/>
    <w:rsid w:val="169FE6BA"/>
    <w:rsid w:val="16A15CDB"/>
    <w:rsid w:val="16A1A259"/>
    <w:rsid w:val="16A4D3FF"/>
    <w:rsid w:val="16A59EFE"/>
    <w:rsid w:val="16A72418"/>
    <w:rsid w:val="16A88408"/>
    <w:rsid w:val="16A90D27"/>
    <w:rsid w:val="16AF495F"/>
    <w:rsid w:val="16B379CC"/>
    <w:rsid w:val="16B672D4"/>
    <w:rsid w:val="16BC8B51"/>
    <w:rsid w:val="16BCF40D"/>
    <w:rsid w:val="16BE1D4A"/>
    <w:rsid w:val="16BEC17B"/>
    <w:rsid w:val="16BEE496"/>
    <w:rsid w:val="16C15294"/>
    <w:rsid w:val="16C42A6B"/>
    <w:rsid w:val="16C51B3E"/>
    <w:rsid w:val="16C61B4E"/>
    <w:rsid w:val="16C61B62"/>
    <w:rsid w:val="16CC6A73"/>
    <w:rsid w:val="16CCFAB7"/>
    <w:rsid w:val="16D2C937"/>
    <w:rsid w:val="16D3D2C6"/>
    <w:rsid w:val="16D6CCB9"/>
    <w:rsid w:val="16D89E8D"/>
    <w:rsid w:val="16DC4D11"/>
    <w:rsid w:val="16DD061D"/>
    <w:rsid w:val="16DD3C38"/>
    <w:rsid w:val="16DDD37B"/>
    <w:rsid w:val="16DE87FA"/>
    <w:rsid w:val="16DF57B1"/>
    <w:rsid w:val="16DF6949"/>
    <w:rsid w:val="16E02076"/>
    <w:rsid w:val="16E072AE"/>
    <w:rsid w:val="16E0EC6E"/>
    <w:rsid w:val="16E2C49F"/>
    <w:rsid w:val="16E819AD"/>
    <w:rsid w:val="16E8DAC6"/>
    <w:rsid w:val="16EB8247"/>
    <w:rsid w:val="16EC7964"/>
    <w:rsid w:val="16EFC80F"/>
    <w:rsid w:val="16F1B65F"/>
    <w:rsid w:val="16F21C02"/>
    <w:rsid w:val="16F245ED"/>
    <w:rsid w:val="16F2BE1C"/>
    <w:rsid w:val="16F2ED96"/>
    <w:rsid w:val="16F3F98D"/>
    <w:rsid w:val="16F74323"/>
    <w:rsid w:val="16F95900"/>
    <w:rsid w:val="16FE70A3"/>
    <w:rsid w:val="16FF43C8"/>
    <w:rsid w:val="1707B9E2"/>
    <w:rsid w:val="17084D05"/>
    <w:rsid w:val="17092581"/>
    <w:rsid w:val="170ABF1D"/>
    <w:rsid w:val="170D9F2C"/>
    <w:rsid w:val="170E33FF"/>
    <w:rsid w:val="170FC1BB"/>
    <w:rsid w:val="171297E2"/>
    <w:rsid w:val="17134F7D"/>
    <w:rsid w:val="17146C4D"/>
    <w:rsid w:val="1716CBA5"/>
    <w:rsid w:val="1717D820"/>
    <w:rsid w:val="171848D8"/>
    <w:rsid w:val="171B0F80"/>
    <w:rsid w:val="171BD748"/>
    <w:rsid w:val="1720091C"/>
    <w:rsid w:val="17221CB9"/>
    <w:rsid w:val="1724A789"/>
    <w:rsid w:val="17257C8B"/>
    <w:rsid w:val="17258A85"/>
    <w:rsid w:val="17262FF6"/>
    <w:rsid w:val="1726A405"/>
    <w:rsid w:val="172747B5"/>
    <w:rsid w:val="1727B229"/>
    <w:rsid w:val="17296BA0"/>
    <w:rsid w:val="172C7F0E"/>
    <w:rsid w:val="172E0AFB"/>
    <w:rsid w:val="173014F2"/>
    <w:rsid w:val="17303BC3"/>
    <w:rsid w:val="1730D507"/>
    <w:rsid w:val="17315873"/>
    <w:rsid w:val="17320E90"/>
    <w:rsid w:val="1733E790"/>
    <w:rsid w:val="1734BA77"/>
    <w:rsid w:val="1737C1CD"/>
    <w:rsid w:val="1739E2C6"/>
    <w:rsid w:val="173B5BB5"/>
    <w:rsid w:val="173C5A44"/>
    <w:rsid w:val="173E9280"/>
    <w:rsid w:val="1743BE09"/>
    <w:rsid w:val="174588FA"/>
    <w:rsid w:val="17483FCB"/>
    <w:rsid w:val="1749D3F7"/>
    <w:rsid w:val="174ABE76"/>
    <w:rsid w:val="174DF0D6"/>
    <w:rsid w:val="174F3F6B"/>
    <w:rsid w:val="174FD883"/>
    <w:rsid w:val="174FDBC4"/>
    <w:rsid w:val="17507806"/>
    <w:rsid w:val="17562BB5"/>
    <w:rsid w:val="1756BCF3"/>
    <w:rsid w:val="1756EE93"/>
    <w:rsid w:val="17578559"/>
    <w:rsid w:val="175832B8"/>
    <w:rsid w:val="175A8ABF"/>
    <w:rsid w:val="175C2635"/>
    <w:rsid w:val="175CC900"/>
    <w:rsid w:val="1761EB34"/>
    <w:rsid w:val="1763DDD9"/>
    <w:rsid w:val="1764695B"/>
    <w:rsid w:val="1764F5B6"/>
    <w:rsid w:val="1766BE8B"/>
    <w:rsid w:val="176BAD54"/>
    <w:rsid w:val="177277CD"/>
    <w:rsid w:val="1773AC17"/>
    <w:rsid w:val="1773D8E4"/>
    <w:rsid w:val="1775CE57"/>
    <w:rsid w:val="1777DE53"/>
    <w:rsid w:val="1777EC7B"/>
    <w:rsid w:val="177865D0"/>
    <w:rsid w:val="1778B327"/>
    <w:rsid w:val="1779EB66"/>
    <w:rsid w:val="177CD210"/>
    <w:rsid w:val="17821636"/>
    <w:rsid w:val="1782520E"/>
    <w:rsid w:val="178A6C60"/>
    <w:rsid w:val="178A75D1"/>
    <w:rsid w:val="178F1EB0"/>
    <w:rsid w:val="178FC4BE"/>
    <w:rsid w:val="17908126"/>
    <w:rsid w:val="17924EB9"/>
    <w:rsid w:val="17951C1D"/>
    <w:rsid w:val="1795803C"/>
    <w:rsid w:val="17960022"/>
    <w:rsid w:val="179731F0"/>
    <w:rsid w:val="1797E154"/>
    <w:rsid w:val="179886B9"/>
    <w:rsid w:val="179919AA"/>
    <w:rsid w:val="179E2A0A"/>
    <w:rsid w:val="17A28DE8"/>
    <w:rsid w:val="17A364D0"/>
    <w:rsid w:val="17A5A972"/>
    <w:rsid w:val="17A5FB41"/>
    <w:rsid w:val="17AB75B7"/>
    <w:rsid w:val="17AD59B2"/>
    <w:rsid w:val="17AF333E"/>
    <w:rsid w:val="17B15928"/>
    <w:rsid w:val="17B32BBE"/>
    <w:rsid w:val="17B34E03"/>
    <w:rsid w:val="17B44F32"/>
    <w:rsid w:val="17B52F9C"/>
    <w:rsid w:val="17B7D6F8"/>
    <w:rsid w:val="17B8B221"/>
    <w:rsid w:val="17B8BA1A"/>
    <w:rsid w:val="17BB9A1D"/>
    <w:rsid w:val="17BCAA96"/>
    <w:rsid w:val="17BEFB37"/>
    <w:rsid w:val="17BF2C31"/>
    <w:rsid w:val="17C20BB7"/>
    <w:rsid w:val="17C3A614"/>
    <w:rsid w:val="17C8BF63"/>
    <w:rsid w:val="17CD30DE"/>
    <w:rsid w:val="17CF4620"/>
    <w:rsid w:val="17CFD256"/>
    <w:rsid w:val="17D00A90"/>
    <w:rsid w:val="17D22E4C"/>
    <w:rsid w:val="17D293A5"/>
    <w:rsid w:val="17D2F595"/>
    <w:rsid w:val="17D355CB"/>
    <w:rsid w:val="17D50ECB"/>
    <w:rsid w:val="17D77B70"/>
    <w:rsid w:val="17D8C799"/>
    <w:rsid w:val="17DC2611"/>
    <w:rsid w:val="17E125FE"/>
    <w:rsid w:val="17E323D0"/>
    <w:rsid w:val="17E95CDC"/>
    <w:rsid w:val="17EC9C98"/>
    <w:rsid w:val="17EFFDD1"/>
    <w:rsid w:val="17F7F621"/>
    <w:rsid w:val="17F90440"/>
    <w:rsid w:val="17F9FA86"/>
    <w:rsid w:val="17FFC064"/>
    <w:rsid w:val="18004C0B"/>
    <w:rsid w:val="1801A2A4"/>
    <w:rsid w:val="1809F3B2"/>
    <w:rsid w:val="180E821B"/>
    <w:rsid w:val="1810126F"/>
    <w:rsid w:val="18108978"/>
    <w:rsid w:val="1811D976"/>
    <w:rsid w:val="18151867"/>
    <w:rsid w:val="181A3E60"/>
    <w:rsid w:val="181C7C06"/>
    <w:rsid w:val="18203243"/>
    <w:rsid w:val="18226D78"/>
    <w:rsid w:val="1828D6EB"/>
    <w:rsid w:val="182A11B6"/>
    <w:rsid w:val="182AB57D"/>
    <w:rsid w:val="182B01E4"/>
    <w:rsid w:val="182C8BD0"/>
    <w:rsid w:val="182CA422"/>
    <w:rsid w:val="182F042B"/>
    <w:rsid w:val="182F54BC"/>
    <w:rsid w:val="1830570D"/>
    <w:rsid w:val="1830BFD2"/>
    <w:rsid w:val="1833A9F0"/>
    <w:rsid w:val="18345A9B"/>
    <w:rsid w:val="18366454"/>
    <w:rsid w:val="183939EB"/>
    <w:rsid w:val="183951DD"/>
    <w:rsid w:val="183A24E8"/>
    <w:rsid w:val="183BCC33"/>
    <w:rsid w:val="183E3B1B"/>
    <w:rsid w:val="1843CE88"/>
    <w:rsid w:val="184B2F4E"/>
    <w:rsid w:val="184B9188"/>
    <w:rsid w:val="184C6EAD"/>
    <w:rsid w:val="184CB4BB"/>
    <w:rsid w:val="184D0115"/>
    <w:rsid w:val="1850563F"/>
    <w:rsid w:val="185308BC"/>
    <w:rsid w:val="18537027"/>
    <w:rsid w:val="185396D0"/>
    <w:rsid w:val="1853D249"/>
    <w:rsid w:val="1854A566"/>
    <w:rsid w:val="185602C7"/>
    <w:rsid w:val="185637C9"/>
    <w:rsid w:val="18599EB9"/>
    <w:rsid w:val="185A1BDD"/>
    <w:rsid w:val="185B0179"/>
    <w:rsid w:val="185B4E16"/>
    <w:rsid w:val="185BB630"/>
    <w:rsid w:val="185C0201"/>
    <w:rsid w:val="185F47CC"/>
    <w:rsid w:val="185F487F"/>
    <w:rsid w:val="185F8EB6"/>
    <w:rsid w:val="186373DC"/>
    <w:rsid w:val="18637996"/>
    <w:rsid w:val="18643EC7"/>
    <w:rsid w:val="186D086E"/>
    <w:rsid w:val="18706DAA"/>
    <w:rsid w:val="18747226"/>
    <w:rsid w:val="1875E604"/>
    <w:rsid w:val="187ADA62"/>
    <w:rsid w:val="187B46F7"/>
    <w:rsid w:val="187BBC77"/>
    <w:rsid w:val="187C9F24"/>
    <w:rsid w:val="187D6F70"/>
    <w:rsid w:val="187EA740"/>
    <w:rsid w:val="187F6003"/>
    <w:rsid w:val="187FB976"/>
    <w:rsid w:val="18804104"/>
    <w:rsid w:val="1880C35E"/>
    <w:rsid w:val="1880F48F"/>
    <w:rsid w:val="188A17B2"/>
    <w:rsid w:val="188A448C"/>
    <w:rsid w:val="188AA698"/>
    <w:rsid w:val="188D47E3"/>
    <w:rsid w:val="18972E1F"/>
    <w:rsid w:val="1897FBE7"/>
    <w:rsid w:val="1898291A"/>
    <w:rsid w:val="189A2505"/>
    <w:rsid w:val="189CBECE"/>
    <w:rsid w:val="189EFA03"/>
    <w:rsid w:val="18A74989"/>
    <w:rsid w:val="18A75B95"/>
    <w:rsid w:val="18A86A02"/>
    <w:rsid w:val="18AA1FCA"/>
    <w:rsid w:val="18AAC669"/>
    <w:rsid w:val="18B1C0BB"/>
    <w:rsid w:val="18B4F4EF"/>
    <w:rsid w:val="18B5C4D8"/>
    <w:rsid w:val="18B7067E"/>
    <w:rsid w:val="18B74A12"/>
    <w:rsid w:val="18B94686"/>
    <w:rsid w:val="18B9B4BF"/>
    <w:rsid w:val="18B9FC6B"/>
    <w:rsid w:val="18BAF04D"/>
    <w:rsid w:val="18BCFBE1"/>
    <w:rsid w:val="18BF18A6"/>
    <w:rsid w:val="18C00A66"/>
    <w:rsid w:val="18C3517C"/>
    <w:rsid w:val="18C3FF6A"/>
    <w:rsid w:val="18C55C34"/>
    <w:rsid w:val="18C5FCBC"/>
    <w:rsid w:val="18C6EA8E"/>
    <w:rsid w:val="18CA3A05"/>
    <w:rsid w:val="18D03F73"/>
    <w:rsid w:val="18D17D21"/>
    <w:rsid w:val="18D28DBE"/>
    <w:rsid w:val="18D57ED4"/>
    <w:rsid w:val="18D68533"/>
    <w:rsid w:val="18D89AD3"/>
    <w:rsid w:val="18E0DB6E"/>
    <w:rsid w:val="18E69A58"/>
    <w:rsid w:val="18E7DB4B"/>
    <w:rsid w:val="18E973EF"/>
    <w:rsid w:val="18E9B003"/>
    <w:rsid w:val="18EA5783"/>
    <w:rsid w:val="18EADBF8"/>
    <w:rsid w:val="18ECBDD5"/>
    <w:rsid w:val="18F02F7F"/>
    <w:rsid w:val="18F52AAE"/>
    <w:rsid w:val="18F8391D"/>
    <w:rsid w:val="18F84446"/>
    <w:rsid w:val="18F88D8F"/>
    <w:rsid w:val="18F9E8B5"/>
    <w:rsid w:val="18FBB48B"/>
    <w:rsid w:val="1902F8AF"/>
    <w:rsid w:val="19038879"/>
    <w:rsid w:val="1905AA83"/>
    <w:rsid w:val="1905C052"/>
    <w:rsid w:val="1905D5BB"/>
    <w:rsid w:val="190A57CA"/>
    <w:rsid w:val="190AB2C1"/>
    <w:rsid w:val="190DF2D7"/>
    <w:rsid w:val="190F938C"/>
    <w:rsid w:val="190FE938"/>
    <w:rsid w:val="19105071"/>
    <w:rsid w:val="191493E1"/>
    <w:rsid w:val="19192EE6"/>
    <w:rsid w:val="191A1B9F"/>
    <w:rsid w:val="191B26E6"/>
    <w:rsid w:val="191D678D"/>
    <w:rsid w:val="192076AD"/>
    <w:rsid w:val="1921330A"/>
    <w:rsid w:val="1925262C"/>
    <w:rsid w:val="19271B57"/>
    <w:rsid w:val="192A456A"/>
    <w:rsid w:val="192DD4B1"/>
    <w:rsid w:val="192FB1FB"/>
    <w:rsid w:val="19305F50"/>
    <w:rsid w:val="19344C08"/>
    <w:rsid w:val="19366314"/>
    <w:rsid w:val="19373FDE"/>
    <w:rsid w:val="193798ED"/>
    <w:rsid w:val="1938CFA9"/>
    <w:rsid w:val="193A1AC9"/>
    <w:rsid w:val="193CD988"/>
    <w:rsid w:val="193EBF49"/>
    <w:rsid w:val="1943C746"/>
    <w:rsid w:val="19478B35"/>
    <w:rsid w:val="1949D5A0"/>
    <w:rsid w:val="194C65F1"/>
    <w:rsid w:val="194D94BA"/>
    <w:rsid w:val="1952A84A"/>
    <w:rsid w:val="1953718D"/>
    <w:rsid w:val="1954BE9A"/>
    <w:rsid w:val="19564550"/>
    <w:rsid w:val="195C3539"/>
    <w:rsid w:val="195DD19D"/>
    <w:rsid w:val="196276B6"/>
    <w:rsid w:val="1966FC9F"/>
    <w:rsid w:val="196A4F73"/>
    <w:rsid w:val="1970AA39"/>
    <w:rsid w:val="1971D8C7"/>
    <w:rsid w:val="197277E9"/>
    <w:rsid w:val="197374FC"/>
    <w:rsid w:val="19747010"/>
    <w:rsid w:val="1976521E"/>
    <w:rsid w:val="1976D6D4"/>
    <w:rsid w:val="19778AE6"/>
    <w:rsid w:val="197F68EB"/>
    <w:rsid w:val="198161E6"/>
    <w:rsid w:val="1985AD8B"/>
    <w:rsid w:val="19872B2B"/>
    <w:rsid w:val="1988DD7C"/>
    <w:rsid w:val="198B2498"/>
    <w:rsid w:val="198F5C48"/>
    <w:rsid w:val="1990AD04"/>
    <w:rsid w:val="1992016B"/>
    <w:rsid w:val="19931FDC"/>
    <w:rsid w:val="19958D54"/>
    <w:rsid w:val="1999FD05"/>
    <w:rsid w:val="199A0013"/>
    <w:rsid w:val="199B38CF"/>
    <w:rsid w:val="199B687B"/>
    <w:rsid w:val="19A08980"/>
    <w:rsid w:val="19A0C90E"/>
    <w:rsid w:val="19A3B93E"/>
    <w:rsid w:val="19ABA661"/>
    <w:rsid w:val="19AC1048"/>
    <w:rsid w:val="19AD2605"/>
    <w:rsid w:val="19AF340C"/>
    <w:rsid w:val="19B44B66"/>
    <w:rsid w:val="19B7A32B"/>
    <w:rsid w:val="19B91FA6"/>
    <w:rsid w:val="19BED7C7"/>
    <w:rsid w:val="19C0817B"/>
    <w:rsid w:val="19C6E3C2"/>
    <w:rsid w:val="19CAD6A0"/>
    <w:rsid w:val="19CD12B2"/>
    <w:rsid w:val="19CD6A51"/>
    <w:rsid w:val="19CE2767"/>
    <w:rsid w:val="19D528CD"/>
    <w:rsid w:val="19D74514"/>
    <w:rsid w:val="19D78A1D"/>
    <w:rsid w:val="19D8E891"/>
    <w:rsid w:val="19DA64B5"/>
    <w:rsid w:val="19DC60DF"/>
    <w:rsid w:val="19DCBECE"/>
    <w:rsid w:val="19DE494C"/>
    <w:rsid w:val="19DF4915"/>
    <w:rsid w:val="19DFC64F"/>
    <w:rsid w:val="19E4813D"/>
    <w:rsid w:val="19E7678F"/>
    <w:rsid w:val="19EE7E6C"/>
    <w:rsid w:val="19F6F880"/>
    <w:rsid w:val="19FA4A7A"/>
    <w:rsid w:val="1A011239"/>
    <w:rsid w:val="1A03BD9E"/>
    <w:rsid w:val="1A0408BE"/>
    <w:rsid w:val="1A05B7FD"/>
    <w:rsid w:val="1A077B6B"/>
    <w:rsid w:val="1A083B9A"/>
    <w:rsid w:val="1A09F059"/>
    <w:rsid w:val="1A0ACE0A"/>
    <w:rsid w:val="1A0CCB10"/>
    <w:rsid w:val="1A0DBECB"/>
    <w:rsid w:val="1A0E35BE"/>
    <w:rsid w:val="1A108301"/>
    <w:rsid w:val="1A14E7FE"/>
    <w:rsid w:val="1A153BE9"/>
    <w:rsid w:val="1A164FC9"/>
    <w:rsid w:val="1A178296"/>
    <w:rsid w:val="1A17994D"/>
    <w:rsid w:val="1A189DF5"/>
    <w:rsid w:val="1A1AF637"/>
    <w:rsid w:val="1A1BC0EA"/>
    <w:rsid w:val="1A1E24CB"/>
    <w:rsid w:val="1A25FEDF"/>
    <w:rsid w:val="1A29519F"/>
    <w:rsid w:val="1A298F1A"/>
    <w:rsid w:val="1A2A78D5"/>
    <w:rsid w:val="1A2B0AA9"/>
    <w:rsid w:val="1A2D98A7"/>
    <w:rsid w:val="1A3365C6"/>
    <w:rsid w:val="1A350A58"/>
    <w:rsid w:val="1A392739"/>
    <w:rsid w:val="1A3FB563"/>
    <w:rsid w:val="1A4152EC"/>
    <w:rsid w:val="1A417AD9"/>
    <w:rsid w:val="1A4230D7"/>
    <w:rsid w:val="1A47EEE0"/>
    <w:rsid w:val="1A49E61D"/>
    <w:rsid w:val="1A49EEA8"/>
    <w:rsid w:val="1A4AE29B"/>
    <w:rsid w:val="1A4D8AEF"/>
    <w:rsid w:val="1A4EC0D9"/>
    <w:rsid w:val="1A529EE3"/>
    <w:rsid w:val="1A53717E"/>
    <w:rsid w:val="1A56FA34"/>
    <w:rsid w:val="1A588715"/>
    <w:rsid w:val="1A58E46E"/>
    <w:rsid w:val="1A59EE98"/>
    <w:rsid w:val="1A5A3BD8"/>
    <w:rsid w:val="1A5F8854"/>
    <w:rsid w:val="1A5F910A"/>
    <w:rsid w:val="1A64F259"/>
    <w:rsid w:val="1A6CC28B"/>
    <w:rsid w:val="1A6CD581"/>
    <w:rsid w:val="1A6D60B5"/>
    <w:rsid w:val="1A6D721D"/>
    <w:rsid w:val="1A6F5685"/>
    <w:rsid w:val="1A6F6CE5"/>
    <w:rsid w:val="1A7289D9"/>
    <w:rsid w:val="1A7790A7"/>
    <w:rsid w:val="1A796745"/>
    <w:rsid w:val="1A7A1365"/>
    <w:rsid w:val="1A7BAF9C"/>
    <w:rsid w:val="1A80D8A9"/>
    <w:rsid w:val="1A83A2D6"/>
    <w:rsid w:val="1A84124A"/>
    <w:rsid w:val="1A849DAF"/>
    <w:rsid w:val="1A84ABBB"/>
    <w:rsid w:val="1A8535AB"/>
    <w:rsid w:val="1A8581C7"/>
    <w:rsid w:val="1A879327"/>
    <w:rsid w:val="1A8A5CCB"/>
    <w:rsid w:val="1A8B2DFF"/>
    <w:rsid w:val="1A8BB98E"/>
    <w:rsid w:val="1A933C5D"/>
    <w:rsid w:val="1A937E7E"/>
    <w:rsid w:val="1A9593BB"/>
    <w:rsid w:val="1A9ACB27"/>
    <w:rsid w:val="1A9D0461"/>
    <w:rsid w:val="1AA1C556"/>
    <w:rsid w:val="1AA8673B"/>
    <w:rsid w:val="1AA9911B"/>
    <w:rsid w:val="1AAB71E3"/>
    <w:rsid w:val="1AAE4382"/>
    <w:rsid w:val="1AB0EEBA"/>
    <w:rsid w:val="1AB2936A"/>
    <w:rsid w:val="1AB3027C"/>
    <w:rsid w:val="1AB4292F"/>
    <w:rsid w:val="1AB44F00"/>
    <w:rsid w:val="1AB4DB33"/>
    <w:rsid w:val="1AB5A8BB"/>
    <w:rsid w:val="1AB99334"/>
    <w:rsid w:val="1AB9FDB0"/>
    <w:rsid w:val="1ABD284E"/>
    <w:rsid w:val="1ABE10FA"/>
    <w:rsid w:val="1AC4D9C9"/>
    <w:rsid w:val="1AC4F0F1"/>
    <w:rsid w:val="1AC4F733"/>
    <w:rsid w:val="1AC506B3"/>
    <w:rsid w:val="1AC5D2A4"/>
    <w:rsid w:val="1AC72F67"/>
    <w:rsid w:val="1AC93F5F"/>
    <w:rsid w:val="1ACAB8C9"/>
    <w:rsid w:val="1ACE8C94"/>
    <w:rsid w:val="1AD41FDD"/>
    <w:rsid w:val="1AD73CDC"/>
    <w:rsid w:val="1ADB5E05"/>
    <w:rsid w:val="1AE362FC"/>
    <w:rsid w:val="1AE51BCA"/>
    <w:rsid w:val="1AE5392A"/>
    <w:rsid w:val="1AE79E04"/>
    <w:rsid w:val="1AEB6545"/>
    <w:rsid w:val="1AEBC0D4"/>
    <w:rsid w:val="1AEBD63F"/>
    <w:rsid w:val="1AF5271C"/>
    <w:rsid w:val="1AF872AF"/>
    <w:rsid w:val="1AFB2FEE"/>
    <w:rsid w:val="1AFB5557"/>
    <w:rsid w:val="1AFCD473"/>
    <w:rsid w:val="1AFCF387"/>
    <w:rsid w:val="1AFE7960"/>
    <w:rsid w:val="1B0992CD"/>
    <w:rsid w:val="1B099501"/>
    <w:rsid w:val="1B0AA790"/>
    <w:rsid w:val="1B0BD54F"/>
    <w:rsid w:val="1B0D9524"/>
    <w:rsid w:val="1B0F685E"/>
    <w:rsid w:val="1B1052BE"/>
    <w:rsid w:val="1B10CFC7"/>
    <w:rsid w:val="1B137F61"/>
    <w:rsid w:val="1B14A765"/>
    <w:rsid w:val="1B16EA0B"/>
    <w:rsid w:val="1B17AE8B"/>
    <w:rsid w:val="1B18324E"/>
    <w:rsid w:val="1B1947E1"/>
    <w:rsid w:val="1B197298"/>
    <w:rsid w:val="1B199AF5"/>
    <w:rsid w:val="1B1DF4D0"/>
    <w:rsid w:val="1B1E247F"/>
    <w:rsid w:val="1B20B245"/>
    <w:rsid w:val="1B234021"/>
    <w:rsid w:val="1B235BDD"/>
    <w:rsid w:val="1B23E0B8"/>
    <w:rsid w:val="1B2500AA"/>
    <w:rsid w:val="1B26B6E6"/>
    <w:rsid w:val="1B2EAC55"/>
    <w:rsid w:val="1B2EE4F9"/>
    <w:rsid w:val="1B2F5CA1"/>
    <w:rsid w:val="1B2FA21A"/>
    <w:rsid w:val="1B31B2BB"/>
    <w:rsid w:val="1B328E66"/>
    <w:rsid w:val="1B32F5D0"/>
    <w:rsid w:val="1B35F605"/>
    <w:rsid w:val="1B38DB19"/>
    <w:rsid w:val="1B3C3A81"/>
    <w:rsid w:val="1B3EDBC9"/>
    <w:rsid w:val="1B40DBC0"/>
    <w:rsid w:val="1B470A94"/>
    <w:rsid w:val="1B476088"/>
    <w:rsid w:val="1B484AC8"/>
    <w:rsid w:val="1B4AE592"/>
    <w:rsid w:val="1B4FF92B"/>
    <w:rsid w:val="1B50D848"/>
    <w:rsid w:val="1B55A48D"/>
    <w:rsid w:val="1B56CD7B"/>
    <w:rsid w:val="1B584C75"/>
    <w:rsid w:val="1B58CB2B"/>
    <w:rsid w:val="1B5998EE"/>
    <w:rsid w:val="1B5A8AE3"/>
    <w:rsid w:val="1B5B9CBA"/>
    <w:rsid w:val="1B5BC5EC"/>
    <w:rsid w:val="1B5C641C"/>
    <w:rsid w:val="1B5F4639"/>
    <w:rsid w:val="1B60E853"/>
    <w:rsid w:val="1B610F2D"/>
    <w:rsid w:val="1B61471A"/>
    <w:rsid w:val="1B61A3FF"/>
    <w:rsid w:val="1B622D1D"/>
    <w:rsid w:val="1B63A755"/>
    <w:rsid w:val="1B6A78B4"/>
    <w:rsid w:val="1B6B8249"/>
    <w:rsid w:val="1B6E01D0"/>
    <w:rsid w:val="1B6E63F0"/>
    <w:rsid w:val="1B70C9C1"/>
    <w:rsid w:val="1B71F4BA"/>
    <w:rsid w:val="1B730378"/>
    <w:rsid w:val="1B786D89"/>
    <w:rsid w:val="1B7A9C6E"/>
    <w:rsid w:val="1B7E91DF"/>
    <w:rsid w:val="1B7FE95E"/>
    <w:rsid w:val="1B810398"/>
    <w:rsid w:val="1B83FC51"/>
    <w:rsid w:val="1B8447AF"/>
    <w:rsid w:val="1B84EB31"/>
    <w:rsid w:val="1B85F71C"/>
    <w:rsid w:val="1B883562"/>
    <w:rsid w:val="1B8BE28F"/>
    <w:rsid w:val="1B8C1BF9"/>
    <w:rsid w:val="1B8DD327"/>
    <w:rsid w:val="1B8EA694"/>
    <w:rsid w:val="1B8F2118"/>
    <w:rsid w:val="1B972935"/>
    <w:rsid w:val="1B979475"/>
    <w:rsid w:val="1B9934B1"/>
    <w:rsid w:val="1B9DAF99"/>
    <w:rsid w:val="1B9DE3A0"/>
    <w:rsid w:val="1BA07CD5"/>
    <w:rsid w:val="1BA22F67"/>
    <w:rsid w:val="1BA330E7"/>
    <w:rsid w:val="1BA4FC09"/>
    <w:rsid w:val="1BA5478C"/>
    <w:rsid w:val="1BA71ECD"/>
    <w:rsid w:val="1BA7885A"/>
    <w:rsid w:val="1BA8FE0D"/>
    <w:rsid w:val="1BAC56B8"/>
    <w:rsid w:val="1BACFC68"/>
    <w:rsid w:val="1BAD2FAB"/>
    <w:rsid w:val="1BAD54B0"/>
    <w:rsid w:val="1BAEA690"/>
    <w:rsid w:val="1BAFE84C"/>
    <w:rsid w:val="1BB0665B"/>
    <w:rsid w:val="1BB5073C"/>
    <w:rsid w:val="1BB6DEBD"/>
    <w:rsid w:val="1BB74414"/>
    <w:rsid w:val="1BB94B20"/>
    <w:rsid w:val="1BBA6B33"/>
    <w:rsid w:val="1BBE9FCA"/>
    <w:rsid w:val="1BC83D29"/>
    <w:rsid w:val="1BD2707A"/>
    <w:rsid w:val="1BD60ACE"/>
    <w:rsid w:val="1BD7C8EA"/>
    <w:rsid w:val="1BDCAEEE"/>
    <w:rsid w:val="1BE461D8"/>
    <w:rsid w:val="1BE5DE29"/>
    <w:rsid w:val="1BE7AD46"/>
    <w:rsid w:val="1BE9ABE4"/>
    <w:rsid w:val="1BEAB983"/>
    <w:rsid w:val="1BEAD5A2"/>
    <w:rsid w:val="1BEB5A74"/>
    <w:rsid w:val="1BEE232A"/>
    <w:rsid w:val="1BEF2212"/>
    <w:rsid w:val="1BF12AB8"/>
    <w:rsid w:val="1BF2D550"/>
    <w:rsid w:val="1BF6930D"/>
    <w:rsid w:val="1BF7122C"/>
    <w:rsid w:val="1BFB0FB3"/>
    <w:rsid w:val="1BFB71A2"/>
    <w:rsid w:val="1BFDB3CE"/>
    <w:rsid w:val="1BFF3B4D"/>
    <w:rsid w:val="1C001DF1"/>
    <w:rsid w:val="1C01E44B"/>
    <w:rsid w:val="1C034B4E"/>
    <w:rsid w:val="1C047772"/>
    <w:rsid w:val="1C04BDB6"/>
    <w:rsid w:val="1C04EFF9"/>
    <w:rsid w:val="1C057B5F"/>
    <w:rsid w:val="1C059434"/>
    <w:rsid w:val="1C07D6CD"/>
    <w:rsid w:val="1C07FE0C"/>
    <w:rsid w:val="1C085591"/>
    <w:rsid w:val="1C0A86A0"/>
    <w:rsid w:val="1C0C1A88"/>
    <w:rsid w:val="1C0D26FA"/>
    <w:rsid w:val="1C0EBBE5"/>
    <w:rsid w:val="1C0F04EB"/>
    <w:rsid w:val="1C0FB0AB"/>
    <w:rsid w:val="1C124890"/>
    <w:rsid w:val="1C14B1BE"/>
    <w:rsid w:val="1C156238"/>
    <w:rsid w:val="1C189E39"/>
    <w:rsid w:val="1C1ADB2D"/>
    <w:rsid w:val="1C1E0362"/>
    <w:rsid w:val="1C1F88B7"/>
    <w:rsid w:val="1C20821F"/>
    <w:rsid w:val="1C210985"/>
    <w:rsid w:val="1C2180E9"/>
    <w:rsid w:val="1C23C216"/>
    <w:rsid w:val="1C25450C"/>
    <w:rsid w:val="1C26888F"/>
    <w:rsid w:val="1C2B3F8B"/>
    <w:rsid w:val="1C2D66A4"/>
    <w:rsid w:val="1C2ED408"/>
    <w:rsid w:val="1C301F4C"/>
    <w:rsid w:val="1C324CAE"/>
    <w:rsid w:val="1C3452E0"/>
    <w:rsid w:val="1C3564F7"/>
    <w:rsid w:val="1C35B70A"/>
    <w:rsid w:val="1C37E1C3"/>
    <w:rsid w:val="1C3B1E15"/>
    <w:rsid w:val="1C3C3413"/>
    <w:rsid w:val="1C3CF7A3"/>
    <w:rsid w:val="1C3E7434"/>
    <w:rsid w:val="1C401934"/>
    <w:rsid w:val="1C40D8F7"/>
    <w:rsid w:val="1C4211C1"/>
    <w:rsid w:val="1C42EFDD"/>
    <w:rsid w:val="1C448F51"/>
    <w:rsid w:val="1C46AADD"/>
    <w:rsid w:val="1C4C97DC"/>
    <w:rsid w:val="1C50AEB7"/>
    <w:rsid w:val="1C50F552"/>
    <w:rsid w:val="1C5104C1"/>
    <w:rsid w:val="1C513874"/>
    <w:rsid w:val="1C55DCAA"/>
    <w:rsid w:val="1C55E049"/>
    <w:rsid w:val="1C563D14"/>
    <w:rsid w:val="1C58EA7F"/>
    <w:rsid w:val="1C59E0F1"/>
    <w:rsid w:val="1C5BBE5B"/>
    <w:rsid w:val="1C5D1A3A"/>
    <w:rsid w:val="1C5D2174"/>
    <w:rsid w:val="1C5F0624"/>
    <w:rsid w:val="1C6080EA"/>
    <w:rsid w:val="1C60E946"/>
    <w:rsid w:val="1C61D906"/>
    <w:rsid w:val="1C631D4B"/>
    <w:rsid w:val="1C65E314"/>
    <w:rsid w:val="1C668D92"/>
    <w:rsid w:val="1C69BC52"/>
    <w:rsid w:val="1C6B9CD8"/>
    <w:rsid w:val="1C6CCC3E"/>
    <w:rsid w:val="1C6D1F9D"/>
    <w:rsid w:val="1C6D8193"/>
    <w:rsid w:val="1C70D463"/>
    <w:rsid w:val="1C728F0B"/>
    <w:rsid w:val="1C75E565"/>
    <w:rsid w:val="1C7659F0"/>
    <w:rsid w:val="1C777771"/>
    <w:rsid w:val="1C7C06FA"/>
    <w:rsid w:val="1C7FD1DB"/>
    <w:rsid w:val="1C802083"/>
    <w:rsid w:val="1C811CEE"/>
    <w:rsid w:val="1C82101A"/>
    <w:rsid w:val="1C836D02"/>
    <w:rsid w:val="1C841D39"/>
    <w:rsid w:val="1C882073"/>
    <w:rsid w:val="1C8E5A40"/>
    <w:rsid w:val="1C8F5927"/>
    <w:rsid w:val="1C90AEE3"/>
    <w:rsid w:val="1C933C38"/>
    <w:rsid w:val="1C938DFD"/>
    <w:rsid w:val="1C93B541"/>
    <w:rsid w:val="1C99FE08"/>
    <w:rsid w:val="1C9A749D"/>
    <w:rsid w:val="1C9AB0C2"/>
    <w:rsid w:val="1C9C4A05"/>
    <w:rsid w:val="1C9D2C8A"/>
    <w:rsid w:val="1C9F8E25"/>
    <w:rsid w:val="1C9F9D89"/>
    <w:rsid w:val="1CA34C8E"/>
    <w:rsid w:val="1CA88257"/>
    <w:rsid w:val="1CAA41C6"/>
    <w:rsid w:val="1CAB509F"/>
    <w:rsid w:val="1CAE669E"/>
    <w:rsid w:val="1CAF2843"/>
    <w:rsid w:val="1CAF3F32"/>
    <w:rsid w:val="1CAFC085"/>
    <w:rsid w:val="1CB05C20"/>
    <w:rsid w:val="1CB6CA4E"/>
    <w:rsid w:val="1CB74CA5"/>
    <w:rsid w:val="1CB874CE"/>
    <w:rsid w:val="1CBA42DF"/>
    <w:rsid w:val="1CBA658F"/>
    <w:rsid w:val="1CBC7AD4"/>
    <w:rsid w:val="1CBCD424"/>
    <w:rsid w:val="1CBE16CE"/>
    <w:rsid w:val="1CBF95D1"/>
    <w:rsid w:val="1CC0ADFF"/>
    <w:rsid w:val="1CC0C334"/>
    <w:rsid w:val="1CC36881"/>
    <w:rsid w:val="1CC58C2D"/>
    <w:rsid w:val="1CC614D3"/>
    <w:rsid w:val="1CC6FFF5"/>
    <w:rsid w:val="1CC857F2"/>
    <w:rsid w:val="1CCF4CDB"/>
    <w:rsid w:val="1CD0D0EB"/>
    <w:rsid w:val="1CD255F7"/>
    <w:rsid w:val="1CD6EBF6"/>
    <w:rsid w:val="1CD88407"/>
    <w:rsid w:val="1CDB6818"/>
    <w:rsid w:val="1CDC56BC"/>
    <w:rsid w:val="1CDC6769"/>
    <w:rsid w:val="1CDDA2FD"/>
    <w:rsid w:val="1CDDE484"/>
    <w:rsid w:val="1CDE4DD8"/>
    <w:rsid w:val="1CE0D355"/>
    <w:rsid w:val="1CE4929A"/>
    <w:rsid w:val="1CE6D5CD"/>
    <w:rsid w:val="1CEB77FC"/>
    <w:rsid w:val="1CEB9F69"/>
    <w:rsid w:val="1CEC7DFB"/>
    <w:rsid w:val="1CED6C78"/>
    <w:rsid w:val="1CEF3417"/>
    <w:rsid w:val="1CF5F71A"/>
    <w:rsid w:val="1CF659C3"/>
    <w:rsid w:val="1CF6EF64"/>
    <w:rsid w:val="1CF79BEC"/>
    <w:rsid w:val="1CF8B369"/>
    <w:rsid w:val="1CF8BE0C"/>
    <w:rsid w:val="1CFEEDC9"/>
    <w:rsid w:val="1D017D9E"/>
    <w:rsid w:val="1D065268"/>
    <w:rsid w:val="1D06F4FC"/>
    <w:rsid w:val="1D06F60E"/>
    <w:rsid w:val="1D06F778"/>
    <w:rsid w:val="1D075BFA"/>
    <w:rsid w:val="1D0A603B"/>
    <w:rsid w:val="1D0FE7E0"/>
    <w:rsid w:val="1D127B1C"/>
    <w:rsid w:val="1D12ACC1"/>
    <w:rsid w:val="1D12B505"/>
    <w:rsid w:val="1D12F727"/>
    <w:rsid w:val="1D139567"/>
    <w:rsid w:val="1D13E74B"/>
    <w:rsid w:val="1D1DE6DE"/>
    <w:rsid w:val="1D1FB99C"/>
    <w:rsid w:val="1D204BE6"/>
    <w:rsid w:val="1D20AA0F"/>
    <w:rsid w:val="1D21FF0F"/>
    <w:rsid w:val="1D25CB65"/>
    <w:rsid w:val="1D25FAE3"/>
    <w:rsid w:val="1D26D75E"/>
    <w:rsid w:val="1D2701EA"/>
    <w:rsid w:val="1D2730CB"/>
    <w:rsid w:val="1D28DAF5"/>
    <w:rsid w:val="1D29DBFC"/>
    <w:rsid w:val="1D2AEFD0"/>
    <w:rsid w:val="1D2B10E0"/>
    <w:rsid w:val="1D2C3587"/>
    <w:rsid w:val="1D2F40BA"/>
    <w:rsid w:val="1D2F7E99"/>
    <w:rsid w:val="1D2FAAF9"/>
    <w:rsid w:val="1D2FD3BC"/>
    <w:rsid w:val="1D30A3A5"/>
    <w:rsid w:val="1D352788"/>
    <w:rsid w:val="1D36263C"/>
    <w:rsid w:val="1D36E4D8"/>
    <w:rsid w:val="1D370EC6"/>
    <w:rsid w:val="1D371582"/>
    <w:rsid w:val="1D37693B"/>
    <w:rsid w:val="1D37EDAE"/>
    <w:rsid w:val="1D387513"/>
    <w:rsid w:val="1D393F88"/>
    <w:rsid w:val="1D39A1B4"/>
    <w:rsid w:val="1D39FCBA"/>
    <w:rsid w:val="1D3B7906"/>
    <w:rsid w:val="1D3BD2FB"/>
    <w:rsid w:val="1D3FA23D"/>
    <w:rsid w:val="1D4272C5"/>
    <w:rsid w:val="1D4551C6"/>
    <w:rsid w:val="1D4695BE"/>
    <w:rsid w:val="1D47F46A"/>
    <w:rsid w:val="1D4A4472"/>
    <w:rsid w:val="1D50B520"/>
    <w:rsid w:val="1D58217E"/>
    <w:rsid w:val="1D5943AD"/>
    <w:rsid w:val="1D5C3B40"/>
    <w:rsid w:val="1D5ECADB"/>
    <w:rsid w:val="1D5F633D"/>
    <w:rsid w:val="1D611680"/>
    <w:rsid w:val="1D660732"/>
    <w:rsid w:val="1D6697EA"/>
    <w:rsid w:val="1D671180"/>
    <w:rsid w:val="1D67ECA9"/>
    <w:rsid w:val="1D6FB83D"/>
    <w:rsid w:val="1D6FEB6A"/>
    <w:rsid w:val="1D725C13"/>
    <w:rsid w:val="1D73B40F"/>
    <w:rsid w:val="1D77154C"/>
    <w:rsid w:val="1D7D758D"/>
    <w:rsid w:val="1D7DFB82"/>
    <w:rsid w:val="1D7EA050"/>
    <w:rsid w:val="1D807593"/>
    <w:rsid w:val="1D80AA8D"/>
    <w:rsid w:val="1D810C78"/>
    <w:rsid w:val="1D827DEA"/>
    <w:rsid w:val="1D828CBA"/>
    <w:rsid w:val="1D84E432"/>
    <w:rsid w:val="1D85D618"/>
    <w:rsid w:val="1D878A70"/>
    <w:rsid w:val="1D88F3EF"/>
    <w:rsid w:val="1D89D646"/>
    <w:rsid w:val="1D8AF5E9"/>
    <w:rsid w:val="1D8C46A5"/>
    <w:rsid w:val="1D8DC9F2"/>
    <w:rsid w:val="1D8DF6DF"/>
    <w:rsid w:val="1D8E250C"/>
    <w:rsid w:val="1D90B7F4"/>
    <w:rsid w:val="1D95C196"/>
    <w:rsid w:val="1D9889ED"/>
    <w:rsid w:val="1D99F203"/>
    <w:rsid w:val="1D9BF051"/>
    <w:rsid w:val="1D9C121B"/>
    <w:rsid w:val="1D9D3D54"/>
    <w:rsid w:val="1D9ECF05"/>
    <w:rsid w:val="1DA03BBF"/>
    <w:rsid w:val="1DA6CD40"/>
    <w:rsid w:val="1DAA1747"/>
    <w:rsid w:val="1DAA4E7C"/>
    <w:rsid w:val="1DAC4487"/>
    <w:rsid w:val="1DAC9328"/>
    <w:rsid w:val="1DADA32F"/>
    <w:rsid w:val="1DAFA71F"/>
    <w:rsid w:val="1DB019C1"/>
    <w:rsid w:val="1DB118C3"/>
    <w:rsid w:val="1DB1B0EC"/>
    <w:rsid w:val="1DB43002"/>
    <w:rsid w:val="1DB4D126"/>
    <w:rsid w:val="1DB5A928"/>
    <w:rsid w:val="1DBC49A2"/>
    <w:rsid w:val="1DBE29E0"/>
    <w:rsid w:val="1DBF5FF4"/>
    <w:rsid w:val="1DC06189"/>
    <w:rsid w:val="1DC3A75D"/>
    <w:rsid w:val="1DC40E7D"/>
    <w:rsid w:val="1DC4316F"/>
    <w:rsid w:val="1DC59A5E"/>
    <w:rsid w:val="1DC697AA"/>
    <w:rsid w:val="1DC79300"/>
    <w:rsid w:val="1DC9A489"/>
    <w:rsid w:val="1DCB1CC3"/>
    <w:rsid w:val="1DCBFBE7"/>
    <w:rsid w:val="1DCC89BF"/>
    <w:rsid w:val="1DCEDF6F"/>
    <w:rsid w:val="1DCF2BE6"/>
    <w:rsid w:val="1DCF508D"/>
    <w:rsid w:val="1DCFE273"/>
    <w:rsid w:val="1DD74661"/>
    <w:rsid w:val="1DD7BFDA"/>
    <w:rsid w:val="1DD99352"/>
    <w:rsid w:val="1DDCBE63"/>
    <w:rsid w:val="1DDE6B1F"/>
    <w:rsid w:val="1DDF24DC"/>
    <w:rsid w:val="1DE2C9BF"/>
    <w:rsid w:val="1DE4CCDE"/>
    <w:rsid w:val="1DE60DF6"/>
    <w:rsid w:val="1DE6A3FC"/>
    <w:rsid w:val="1DE8D096"/>
    <w:rsid w:val="1DEB2C74"/>
    <w:rsid w:val="1DED2FAF"/>
    <w:rsid w:val="1DED66E3"/>
    <w:rsid w:val="1DF03DA7"/>
    <w:rsid w:val="1DF39ED7"/>
    <w:rsid w:val="1DF8A11B"/>
    <w:rsid w:val="1DF8B1EF"/>
    <w:rsid w:val="1DF970E7"/>
    <w:rsid w:val="1DFC3189"/>
    <w:rsid w:val="1DFD9DD3"/>
    <w:rsid w:val="1E06A377"/>
    <w:rsid w:val="1E0D93C5"/>
    <w:rsid w:val="1E1153FF"/>
    <w:rsid w:val="1E17FFA5"/>
    <w:rsid w:val="1E183766"/>
    <w:rsid w:val="1E19F65A"/>
    <w:rsid w:val="1E1CDD2F"/>
    <w:rsid w:val="1E1FD0A7"/>
    <w:rsid w:val="1E1FFD38"/>
    <w:rsid w:val="1E2051D3"/>
    <w:rsid w:val="1E2288EE"/>
    <w:rsid w:val="1E252FF4"/>
    <w:rsid w:val="1E26AA38"/>
    <w:rsid w:val="1E26E966"/>
    <w:rsid w:val="1E289DE8"/>
    <w:rsid w:val="1E28E156"/>
    <w:rsid w:val="1E297E7A"/>
    <w:rsid w:val="1E2A5F5B"/>
    <w:rsid w:val="1E2AF742"/>
    <w:rsid w:val="1E2E1740"/>
    <w:rsid w:val="1E2FAD2A"/>
    <w:rsid w:val="1E32A4BC"/>
    <w:rsid w:val="1E331FAB"/>
    <w:rsid w:val="1E33E210"/>
    <w:rsid w:val="1E35BDD7"/>
    <w:rsid w:val="1E361A4A"/>
    <w:rsid w:val="1E372E17"/>
    <w:rsid w:val="1E378CE6"/>
    <w:rsid w:val="1E38F834"/>
    <w:rsid w:val="1E3B41A3"/>
    <w:rsid w:val="1E3D3C0F"/>
    <w:rsid w:val="1E3ED468"/>
    <w:rsid w:val="1E3FCCB3"/>
    <w:rsid w:val="1E4593A6"/>
    <w:rsid w:val="1E483F21"/>
    <w:rsid w:val="1E48E2C0"/>
    <w:rsid w:val="1E4D172E"/>
    <w:rsid w:val="1E54AF31"/>
    <w:rsid w:val="1E58457D"/>
    <w:rsid w:val="1E600550"/>
    <w:rsid w:val="1E614A34"/>
    <w:rsid w:val="1E6157F1"/>
    <w:rsid w:val="1E627801"/>
    <w:rsid w:val="1E62CF24"/>
    <w:rsid w:val="1E631982"/>
    <w:rsid w:val="1E6368DF"/>
    <w:rsid w:val="1E65B830"/>
    <w:rsid w:val="1E68698D"/>
    <w:rsid w:val="1E691C8E"/>
    <w:rsid w:val="1E6D4029"/>
    <w:rsid w:val="1E7168D8"/>
    <w:rsid w:val="1E72A05A"/>
    <w:rsid w:val="1E731021"/>
    <w:rsid w:val="1E73B49A"/>
    <w:rsid w:val="1E74AB6F"/>
    <w:rsid w:val="1E75F635"/>
    <w:rsid w:val="1E767ACD"/>
    <w:rsid w:val="1E774489"/>
    <w:rsid w:val="1E79B5D3"/>
    <w:rsid w:val="1E8043E4"/>
    <w:rsid w:val="1E80B685"/>
    <w:rsid w:val="1E80C6BC"/>
    <w:rsid w:val="1E858635"/>
    <w:rsid w:val="1E861BE9"/>
    <w:rsid w:val="1E8872D7"/>
    <w:rsid w:val="1E8A8E48"/>
    <w:rsid w:val="1E8AC1C1"/>
    <w:rsid w:val="1E8C7870"/>
    <w:rsid w:val="1E916F88"/>
    <w:rsid w:val="1E917C01"/>
    <w:rsid w:val="1E9180E9"/>
    <w:rsid w:val="1E933997"/>
    <w:rsid w:val="1E94F0CA"/>
    <w:rsid w:val="1E960920"/>
    <w:rsid w:val="1E962F18"/>
    <w:rsid w:val="1E98CD99"/>
    <w:rsid w:val="1E9A4F99"/>
    <w:rsid w:val="1E9B2838"/>
    <w:rsid w:val="1E9E644F"/>
    <w:rsid w:val="1EA013A4"/>
    <w:rsid w:val="1EA278A7"/>
    <w:rsid w:val="1EA2820D"/>
    <w:rsid w:val="1EA2AD57"/>
    <w:rsid w:val="1EA2AFD7"/>
    <w:rsid w:val="1EA2B210"/>
    <w:rsid w:val="1EA47149"/>
    <w:rsid w:val="1EA57CE8"/>
    <w:rsid w:val="1EA70A2A"/>
    <w:rsid w:val="1EA7824A"/>
    <w:rsid w:val="1EA87683"/>
    <w:rsid w:val="1EA9C00A"/>
    <w:rsid w:val="1EACA175"/>
    <w:rsid w:val="1EACF7CE"/>
    <w:rsid w:val="1EAD1EC7"/>
    <w:rsid w:val="1EADF51E"/>
    <w:rsid w:val="1EB0E6AB"/>
    <w:rsid w:val="1EB15711"/>
    <w:rsid w:val="1EB678E8"/>
    <w:rsid w:val="1EB7923C"/>
    <w:rsid w:val="1EB79412"/>
    <w:rsid w:val="1EBA21CF"/>
    <w:rsid w:val="1EBEA505"/>
    <w:rsid w:val="1EC1045F"/>
    <w:rsid w:val="1EC13E41"/>
    <w:rsid w:val="1EC2E17A"/>
    <w:rsid w:val="1EC34692"/>
    <w:rsid w:val="1EC36FC5"/>
    <w:rsid w:val="1EC8498E"/>
    <w:rsid w:val="1EC98338"/>
    <w:rsid w:val="1EC9C6C2"/>
    <w:rsid w:val="1ECB16F4"/>
    <w:rsid w:val="1ECC21C9"/>
    <w:rsid w:val="1ECCD663"/>
    <w:rsid w:val="1ECCE70E"/>
    <w:rsid w:val="1ECFD4F1"/>
    <w:rsid w:val="1ED12E13"/>
    <w:rsid w:val="1ED1B90F"/>
    <w:rsid w:val="1ED1CF54"/>
    <w:rsid w:val="1ED3B4DD"/>
    <w:rsid w:val="1ED3E57B"/>
    <w:rsid w:val="1ED3FC2E"/>
    <w:rsid w:val="1ED68F5F"/>
    <w:rsid w:val="1ED76B40"/>
    <w:rsid w:val="1ED81293"/>
    <w:rsid w:val="1ED8BDAB"/>
    <w:rsid w:val="1EDC0C2B"/>
    <w:rsid w:val="1EDEA9ED"/>
    <w:rsid w:val="1EDFD930"/>
    <w:rsid w:val="1EE04BF6"/>
    <w:rsid w:val="1EE5894E"/>
    <w:rsid w:val="1EE77EEC"/>
    <w:rsid w:val="1EE991C5"/>
    <w:rsid w:val="1EEA6B15"/>
    <w:rsid w:val="1EEFF9CE"/>
    <w:rsid w:val="1EF15D9A"/>
    <w:rsid w:val="1EF5322E"/>
    <w:rsid w:val="1EF56680"/>
    <w:rsid w:val="1EF5DB01"/>
    <w:rsid w:val="1EF9DB36"/>
    <w:rsid w:val="1EFB1C46"/>
    <w:rsid w:val="1F01A57E"/>
    <w:rsid w:val="1F063754"/>
    <w:rsid w:val="1F063DE3"/>
    <w:rsid w:val="1F06AFED"/>
    <w:rsid w:val="1F080D3C"/>
    <w:rsid w:val="1F092C36"/>
    <w:rsid w:val="1F095DAB"/>
    <w:rsid w:val="1F0D3F7D"/>
    <w:rsid w:val="1F13ACB9"/>
    <w:rsid w:val="1F14EA79"/>
    <w:rsid w:val="1F198B04"/>
    <w:rsid w:val="1F22C261"/>
    <w:rsid w:val="1F248919"/>
    <w:rsid w:val="1F262443"/>
    <w:rsid w:val="1F281AFE"/>
    <w:rsid w:val="1F286DF6"/>
    <w:rsid w:val="1F29CCBB"/>
    <w:rsid w:val="1F29CFCA"/>
    <w:rsid w:val="1F2FD3FD"/>
    <w:rsid w:val="1F30BFAC"/>
    <w:rsid w:val="1F331F3E"/>
    <w:rsid w:val="1F3384A7"/>
    <w:rsid w:val="1F342087"/>
    <w:rsid w:val="1F351CB1"/>
    <w:rsid w:val="1F367503"/>
    <w:rsid w:val="1F36E422"/>
    <w:rsid w:val="1F374A7A"/>
    <w:rsid w:val="1F38D526"/>
    <w:rsid w:val="1F396AF0"/>
    <w:rsid w:val="1F3975B2"/>
    <w:rsid w:val="1F3B01DB"/>
    <w:rsid w:val="1F3D4FC4"/>
    <w:rsid w:val="1F40E0FB"/>
    <w:rsid w:val="1F40E4AC"/>
    <w:rsid w:val="1F41B4B4"/>
    <w:rsid w:val="1F425C4C"/>
    <w:rsid w:val="1F42A95D"/>
    <w:rsid w:val="1F43E5AC"/>
    <w:rsid w:val="1F45C675"/>
    <w:rsid w:val="1F4722DF"/>
    <w:rsid w:val="1F474625"/>
    <w:rsid w:val="1F47A365"/>
    <w:rsid w:val="1F48CBE1"/>
    <w:rsid w:val="1F4C8503"/>
    <w:rsid w:val="1F4D3D03"/>
    <w:rsid w:val="1F4FE24C"/>
    <w:rsid w:val="1F503802"/>
    <w:rsid w:val="1F510ABA"/>
    <w:rsid w:val="1F536C35"/>
    <w:rsid w:val="1F5375D7"/>
    <w:rsid w:val="1F544C28"/>
    <w:rsid w:val="1F54FF7E"/>
    <w:rsid w:val="1F553726"/>
    <w:rsid w:val="1F5587BA"/>
    <w:rsid w:val="1F578E58"/>
    <w:rsid w:val="1F5BBAC3"/>
    <w:rsid w:val="1F60572E"/>
    <w:rsid w:val="1F610FE0"/>
    <w:rsid w:val="1F64787E"/>
    <w:rsid w:val="1F680413"/>
    <w:rsid w:val="1F6A3CFB"/>
    <w:rsid w:val="1F6A8FD9"/>
    <w:rsid w:val="1F6BA00E"/>
    <w:rsid w:val="1F6C3E57"/>
    <w:rsid w:val="1F6D94DD"/>
    <w:rsid w:val="1F6E5A92"/>
    <w:rsid w:val="1F7018F8"/>
    <w:rsid w:val="1F723869"/>
    <w:rsid w:val="1F79749D"/>
    <w:rsid w:val="1F7B1D47"/>
    <w:rsid w:val="1F7B5E32"/>
    <w:rsid w:val="1F80CEC7"/>
    <w:rsid w:val="1F80E444"/>
    <w:rsid w:val="1F825C19"/>
    <w:rsid w:val="1F833322"/>
    <w:rsid w:val="1F84B5DE"/>
    <w:rsid w:val="1F8B5B7F"/>
    <w:rsid w:val="1F8CBA68"/>
    <w:rsid w:val="1F8CC7CF"/>
    <w:rsid w:val="1F8CD4FE"/>
    <w:rsid w:val="1F8EF5EF"/>
    <w:rsid w:val="1F8F5908"/>
    <w:rsid w:val="1F90E91E"/>
    <w:rsid w:val="1F94BBCC"/>
    <w:rsid w:val="1F955CDB"/>
    <w:rsid w:val="1F981AC6"/>
    <w:rsid w:val="1F990F3C"/>
    <w:rsid w:val="1F9B1A54"/>
    <w:rsid w:val="1F9D8F37"/>
    <w:rsid w:val="1F9DCF6F"/>
    <w:rsid w:val="1F9EE771"/>
    <w:rsid w:val="1FA21CC0"/>
    <w:rsid w:val="1FA464AD"/>
    <w:rsid w:val="1FA48154"/>
    <w:rsid w:val="1FA4CDB4"/>
    <w:rsid w:val="1FACB36B"/>
    <w:rsid w:val="1FADDE42"/>
    <w:rsid w:val="1FAF5F23"/>
    <w:rsid w:val="1FB3A48C"/>
    <w:rsid w:val="1FB4CE29"/>
    <w:rsid w:val="1FB58D74"/>
    <w:rsid w:val="1FB9B765"/>
    <w:rsid w:val="1FBB6D7A"/>
    <w:rsid w:val="1FBB8E9E"/>
    <w:rsid w:val="1FBBB2A8"/>
    <w:rsid w:val="1FBDF38E"/>
    <w:rsid w:val="1FC5FBE5"/>
    <w:rsid w:val="1FCA1806"/>
    <w:rsid w:val="1FCB96C4"/>
    <w:rsid w:val="1FCDEF4C"/>
    <w:rsid w:val="1FD00E8D"/>
    <w:rsid w:val="1FD4F3F6"/>
    <w:rsid w:val="1FD7A700"/>
    <w:rsid w:val="1FD97C1E"/>
    <w:rsid w:val="1FDA46AF"/>
    <w:rsid w:val="1FDB84DD"/>
    <w:rsid w:val="1FE48B08"/>
    <w:rsid w:val="1FE4A0BF"/>
    <w:rsid w:val="1FE5A95F"/>
    <w:rsid w:val="1FE6402F"/>
    <w:rsid w:val="1FE833B5"/>
    <w:rsid w:val="1FE8A13D"/>
    <w:rsid w:val="1FE8D3F8"/>
    <w:rsid w:val="1FE937A7"/>
    <w:rsid w:val="1FEB02FD"/>
    <w:rsid w:val="1FEB9228"/>
    <w:rsid w:val="1FEE7491"/>
    <w:rsid w:val="1FEF9948"/>
    <w:rsid w:val="1FEFE74A"/>
    <w:rsid w:val="1FF1B5F1"/>
    <w:rsid w:val="1FF1F62B"/>
    <w:rsid w:val="1FF37336"/>
    <w:rsid w:val="1FF46328"/>
    <w:rsid w:val="1FF645FC"/>
    <w:rsid w:val="1FFBD171"/>
    <w:rsid w:val="1FFD1EB3"/>
    <w:rsid w:val="2005FFD9"/>
    <w:rsid w:val="2007559E"/>
    <w:rsid w:val="20101812"/>
    <w:rsid w:val="2011222D"/>
    <w:rsid w:val="20113B0E"/>
    <w:rsid w:val="201280AF"/>
    <w:rsid w:val="2013136C"/>
    <w:rsid w:val="2016116D"/>
    <w:rsid w:val="2018AE35"/>
    <w:rsid w:val="201A2DC6"/>
    <w:rsid w:val="201AC80D"/>
    <w:rsid w:val="201D7E34"/>
    <w:rsid w:val="201E0114"/>
    <w:rsid w:val="201E6807"/>
    <w:rsid w:val="201EFD1D"/>
    <w:rsid w:val="201FAC04"/>
    <w:rsid w:val="20224DA9"/>
    <w:rsid w:val="202353C8"/>
    <w:rsid w:val="20244DAD"/>
    <w:rsid w:val="2025B8E3"/>
    <w:rsid w:val="20288D9B"/>
    <w:rsid w:val="202ABE74"/>
    <w:rsid w:val="202C18AC"/>
    <w:rsid w:val="20325810"/>
    <w:rsid w:val="2032A790"/>
    <w:rsid w:val="203388E9"/>
    <w:rsid w:val="20342F0C"/>
    <w:rsid w:val="2036D014"/>
    <w:rsid w:val="20378160"/>
    <w:rsid w:val="20394EAD"/>
    <w:rsid w:val="203A7FF7"/>
    <w:rsid w:val="203CA206"/>
    <w:rsid w:val="203E2BA1"/>
    <w:rsid w:val="203EAE74"/>
    <w:rsid w:val="203EB706"/>
    <w:rsid w:val="203F77FA"/>
    <w:rsid w:val="203FD35C"/>
    <w:rsid w:val="20404AD0"/>
    <w:rsid w:val="204134D0"/>
    <w:rsid w:val="20434BC8"/>
    <w:rsid w:val="20434D60"/>
    <w:rsid w:val="2043549D"/>
    <w:rsid w:val="20445938"/>
    <w:rsid w:val="20448047"/>
    <w:rsid w:val="204532EF"/>
    <w:rsid w:val="2048937E"/>
    <w:rsid w:val="204923B2"/>
    <w:rsid w:val="204C1A21"/>
    <w:rsid w:val="204D043B"/>
    <w:rsid w:val="204D1128"/>
    <w:rsid w:val="204E64E8"/>
    <w:rsid w:val="204F1C65"/>
    <w:rsid w:val="204F7E35"/>
    <w:rsid w:val="204F7FF2"/>
    <w:rsid w:val="205191D5"/>
    <w:rsid w:val="2052BB9D"/>
    <w:rsid w:val="20602DAE"/>
    <w:rsid w:val="20612084"/>
    <w:rsid w:val="20616090"/>
    <w:rsid w:val="20632C0C"/>
    <w:rsid w:val="20669ADE"/>
    <w:rsid w:val="2067312D"/>
    <w:rsid w:val="2067B87A"/>
    <w:rsid w:val="206802A9"/>
    <w:rsid w:val="20686718"/>
    <w:rsid w:val="206920B8"/>
    <w:rsid w:val="207207EB"/>
    <w:rsid w:val="20723EC6"/>
    <w:rsid w:val="207270A8"/>
    <w:rsid w:val="2073BA9E"/>
    <w:rsid w:val="2077DF9C"/>
    <w:rsid w:val="2077E78F"/>
    <w:rsid w:val="207B3328"/>
    <w:rsid w:val="207FF591"/>
    <w:rsid w:val="20820DC9"/>
    <w:rsid w:val="208769DC"/>
    <w:rsid w:val="208842AC"/>
    <w:rsid w:val="208B36B0"/>
    <w:rsid w:val="208B5F06"/>
    <w:rsid w:val="208BC935"/>
    <w:rsid w:val="208F78B6"/>
    <w:rsid w:val="208FE06A"/>
    <w:rsid w:val="2091AB30"/>
    <w:rsid w:val="209242D9"/>
    <w:rsid w:val="20949328"/>
    <w:rsid w:val="2098343A"/>
    <w:rsid w:val="209B5CA6"/>
    <w:rsid w:val="209B7853"/>
    <w:rsid w:val="209DD86D"/>
    <w:rsid w:val="209ED059"/>
    <w:rsid w:val="209FEC8E"/>
    <w:rsid w:val="209FF600"/>
    <w:rsid w:val="20A0FDBC"/>
    <w:rsid w:val="20A4EE54"/>
    <w:rsid w:val="20A5AC56"/>
    <w:rsid w:val="20A86986"/>
    <w:rsid w:val="20A946A0"/>
    <w:rsid w:val="20ABA97A"/>
    <w:rsid w:val="20AC19F7"/>
    <w:rsid w:val="20B4D4C5"/>
    <w:rsid w:val="20B4F377"/>
    <w:rsid w:val="20B86643"/>
    <w:rsid w:val="20BD03CC"/>
    <w:rsid w:val="20BE0E0C"/>
    <w:rsid w:val="20C06AE1"/>
    <w:rsid w:val="20C0DA9D"/>
    <w:rsid w:val="20C218CC"/>
    <w:rsid w:val="20C28B6D"/>
    <w:rsid w:val="20C62407"/>
    <w:rsid w:val="20CA0555"/>
    <w:rsid w:val="20CBAA35"/>
    <w:rsid w:val="20CC5FE5"/>
    <w:rsid w:val="20CCA09C"/>
    <w:rsid w:val="20CE7329"/>
    <w:rsid w:val="20CF034F"/>
    <w:rsid w:val="20CFFBCE"/>
    <w:rsid w:val="20D2629A"/>
    <w:rsid w:val="20D3F3C3"/>
    <w:rsid w:val="20D4AAAD"/>
    <w:rsid w:val="20D4D327"/>
    <w:rsid w:val="20D57FCA"/>
    <w:rsid w:val="20D6412F"/>
    <w:rsid w:val="20D7485B"/>
    <w:rsid w:val="20D7D832"/>
    <w:rsid w:val="20DC426A"/>
    <w:rsid w:val="20E2C230"/>
    <w:rsid w:val="20E2E5AD"/>
    <w:rsid w:val="20E4C4E3"/>
    <w:rsid w:val="20E57417"/>
    <w:rsid w:val="20E6D9B5"/>
    <w:rsid w:val="20E76D68"/>
    <w:rsid w:val="20E8B5A0"/>
    <w:rsid w:val="20E9D26D"/>
    <w:rsid w:val="20ECEDA1"/>
    <w:rsid w:val="20ED0600"/>
    <w:rsid w:val="20EE8CAB"/>
    <w:rsid w:val="20EF445D"/>
    <w:rsid w:val="20F1BF96"/>
    <w:rsid w:val="20F477E9"/>
    <w:rsid w:val="20F4C92F"/>
    <w:rsid w:val="20F54F4B"/>
    <w:rsid w:val="20F6517A"/>
    <w:rsid w:val="20F88E48"/>
    <w:rsid w:val="20FA9E82"/>
    <w:rsid w:val="20FB8E88"/>
    <w:rsid w:val="21009D50"/>
    <w:rsid w:val="21016151"/>
    <w:rsid w:val="2101D28B"/>
    <w:rsid w:val="21021F47"/>
    <w:rsid w:val="2103D9E2"/>
    <w:rsid w:val="2104ECD5"/>
    <w:rsid w:val="2106973B"/>
    <w:rsid w:val="2107876D"/>
    <w:rsid w:val="210805CE"/>
    <w:rsid w:val="21089A85"/>
    <w:rsid w:val="21096F6D"/>
    <w:rsid w:val="210B3187"/>
    <w:rsid w:val="210B9AD3"/>
    <w:rsid w:val="210BAFD5"/>
    <w:rsid w:val="210CB6C3"/>
    <w:rsid w:val="210F4414"/>
    <w:rsid w:val="21101FAB"/>
    <w:rsid w:val="2115AF7D"/>
    <w:rsid w:val="2115F331"/>
    <w:rsid w:val="211605AA"/>
    <w:rsid w:val="2117D4D7"/>
    <w:rsid w:val="21181395"/>
    <w:rsid w:val="211818AF"/>
    <w:rsid w:val="211A1C40"/>
    <w:rsid w:val="211BF112"/>
    <w:rsid w:val="211E9678"/>
    <w:rsid w:val="2120022D"/>
    <w:rsid w:val="2120AE5B"/>
    <w:rsid w:val="2120B278"/>
    <w:rsid w:val="2121215C"/>
    <w:rsid w:val="2122688E"/>
    <w:rsid w:val="2123ADC6"/>
    <w:rsid w:val="21295111"/>
    <w:rsid w:val="212BAB34"/>
    <w:rsid w:val="212D5A2A"/>
    <w:rsid w:val="212EFFE3"/>
    <w:rsid w:val="2131837B"/>
    <w:rsid w:val="2131DB56"/>
    <w:rsid w:val="21334572"/>
    <w:rsid w:val="2133B701"/>
    <w:rsid w:val="2136A024"/>
    <w:rsid w:val="2136D3B1"/>
    <w:rsid w:val="21377666"/>
    <w:rsid w:val="21380950"/>
    <w:rsid w:val="2139FBDD"/>
    <w:rsid w:val="213A105C"/>
    <w:rsid w:val="213A4E06"/>
    <w:rsid w:val="213CD123"/>
    <w:rsid w:val="213DB1CD"/>
    <w:rsid w:val="213EF9CE"/>
    <w:rsid w:val="2141B7D4"/>
    <w:rsid w:val="21431A60"/>
    <w:rsid w:val="21434E97"/>
    <w:rsid w:val="214A2F21"/>
    <w:rsid w:val="214B3685"/>
    <w:rsid w:val="214C9B3A"/>
    <w:rsid w:val="214D9AAD"/>
    <w:rsid w:val="214DBC12"/>
    <w:rsid w:val="2153D0F9"/>
    <w:rsid w:val="215C17E8"/>
    <w:rsid w:val="215FD1BB"/>
    <w:rsid w:val="21603BC6"/>
    <w:rsid w:val="21663F63"/>
    <w:rsid w:val="216A1D1D"/>
    <w:rsid w:val="216A5D53"/>
    <w:rsid w:val="216CB41F"/>
    <w:rsid w:val="216D7F46"/>
    <w:rsid w:val="216DB6D5"/>
    <w:rsid w:val="216DDCF9"/>
    <w:rsid w:val="216E8554"/>
    <w:rsid w:val="216EEAD4"/>
    <w:rsid w:val="217059B9"/>
    <w:rsid w:val="217308B9"/>
    <w:rsid w:val="2175CAF4"/>
    <w:rsid w:val="2175FB1B"/>
    <w:rsid w:val="2177CAEE"/>
    <w:rsid w:val="2178FB15"/>
    <w:rsid w:val="2179FB87"/>
    <w:rsid w:val="217CE6F1"/>
    <w:rsid w:val="217DDDDD"/>
    <w:rsid w:val="217FA1E8"/>
    <w:rsid w:val="218150F1"/>
    <w:rsid w:val="218203DE"/>
    <w:rsid w:val="21856834"/>
    <w:rsid w:val="218821A1"/>
    <w:rsid w:val="2188DA72"/>
    <w:rsid w:val="218ABD75"/>
    <w:rsid w:val="218E0553"/>
    <w:rsid w:val="219442CC"/>
    <w:rsid w:val="21945A9F"/>
    <w:rsid w:val="21976E46"/>
    <w:rsid w:val="2197CAFA"/>
    <w:rsid w:val="219B03C8"/>
    <w:rsid w:val="219F5B37"/>
    <w:rsid w:val="21A109DA"/>
    <w:rsid w:val="21A1E137"/>
    <w:rsid w:val="21A444D2"/>
    <w:rsid w:val="21A661FC"/>
    <w:rsid w:val="21A922AD"/>
    <w:rsid w:val="21A955E6"/>
    <w:rsid w:val="21AA0963"/>
    <w:rsid w:val="21ABF0D6"/>
    <w:rsid w:val="21AC4C62"/>
    <w:rsid w:val="21AE2CE3"/>
    <w:rsid w:val="21AF07C4"/>
    <w:rsid w:val="21AF6807"/>
    <w:rsid w:val="21B674AE"/>
    <w:rsid w:val="21BA6F92"/>
    <w:rsid w:val="21BB8385"/>
    <w:rsid w:val="21BCEB38"/>
    <w:rsid w:val="21BD68C5"/>
    <w:rsid w:val="21BDA8DB"/>
    <w:rsid w:val="21C2AD1E"/>
    <w:rsid w:val="21C35D92"/>
    <w:rsid w:val="21C53E99"/>
    <w:rsid w:val="21C68373"/>
    <w:rsid w:val="21CD4863"/>
    <w:rsid w:val="21D28847"/>
    <w:rsid w:val="21D36F02"/>
    <w:rsid w:val="21D3C5BC"/>
    <w:rsid w:val="21D46728"/>
    <w:rsid w:val="21D473B7"/>
    <w:rsid w:val="21D613F0"/>
    <w:rsid w:val="21D74F5E"/>
    <w:rsid w:val="21D8145D"/>
    <w:rsid w:val="21DA2BBB"/>
    <w:rsid w:val="21DA8312"/>
    <w:rsid w:val="21DB21AF"/>
    <w:rsid w:val="21DB3BCE"/>
    <w:rsid w:val="21DC6921"/>
    <w:rsid w:val="21DCC679"/>
    <w:rsid w:val="21DD7ADE"/>
    <w:rsid w:val="21DEDE02"/>
    <w:rsid w:val="21E0FF58"/>
    <w:rsid w:val="21E2F871"/>
    <w:rsid w:val="21E3C5A5"/>
    <w:rsid w:val="21E485B3"/>
    <w:rsid w:val="21E99BCA"/>
    <w:rsid w:val="21EEB442"/>
    <w:rsid w:val="21EEC6E1"/>
    <w:rsid w:val="21F2FC75"/>
    <w:rsid w:val="21F68E86"/>
    <w:rsid w:val="21F819C4"/>
    <w:rsid w:val="21F84387"/>
    <w:rsid w:val="21F86C84"/>
    <w:rsid w:val="21F91AA0"/>
    <w:rsid w:val="21FEE194"/>
    <w:rsid w:val="220219EB"/>
    <w:rsid w:val="22040C1C"/>
    <w:rsid w:val="22074B92"/>
    <w:rsid w:val="22092AB8"/>
    <w:rsid w:val="220AF189"/>
    <w:rsid w:val="220BDF5F"/>
    <w:rsid w:val="220C0BFE"/>
    <w:rsid w:val="220C3D0A"/>
    <w:rsid w:val="220D2DB3"/>
    <w:rsid w:val="220F0159"/>
    <w:rsid w:val="220F08BE"/>
    <w:rsid w:val="2211F2FB"/>
    <w:rsid w:val="221508E7"/>
    <w:rsid w:val="2215452A"/>
    <w:rsid w:val="22162679"/>
    <w:rsid w:val="2217272B"/>
    <w:rsid w:val="22186211"/>
    <w:rsid w:val="221868F4"/>
    <w:rsid w:val="2218C9FC"/>
    <w:rsid w:val="221C8D5D"/>
    <w:rsid w:val="221F1EE2"/>
    <w:rsid w:val="22217B53"/>
    <w:rsid w:val="2223269A"/>
    <w:rsid w:val="22234007"/>
    <w:rsid w:val="22240B3A"/>
    <w:rsid w:val="22244DA9"/>
    <w:rsid w:val="222700C9"/>
    <w:rsid w:val="2227E838"/>
    <w:rsid w:val="22294647"/>
    <w:rsid w:val="222B99FD"/>
    <w:rsid w:val="222BB7EF"/>
    <w:rsid w:val="222CD203"/>
    <w:rsid w:val="222CF378"/>
    <w:rsid w:val="222F0BB7"/>
    <w:rsid w:val="2230CEF1"/>
    <w:rsid w:val="22396906"/>
    <w:rsid w:val="2239B042"/>
    <w:rsid w:val="223A8D3A"/>
    <w:rsid w:val="223BA013"/>
    <w:rsid w:val="223F3C23"/>
    <w:rsid w:val="22429580"/>
    <w:rsid w:val="22429BC2"/>
    <w:rsid w:val="2242F43F"/>
    <w:rsid w:val="22440550"/>
    <w:rsid w:val="22442171"/>
    <w:rsid w:val="2245AB0A"/>
    <w:rsid w:val="22463932"/>
    <w:rsid w:val="224682A3"/>
    <w:rsid w:val="22473E2A"/>
    <w:rsid w:val="22483523"/>
    <w:rsid w:val="224BD610"/>
    <w:rsid w:val="22516AD8"/>
    <w:rsid w:val="2252741C"/>
    <w:rsid w:val="225301D8"/>
    <w:rsid w:val="22532A73"/>
    <w:rsid w:val="2253CF04"/>
    <w:rsid w:val="22544B56"/>
    <w:rsid w:val="22548D31"/>
    <w:rsid w:val="2255CA6A"/>
    <w:rsid w:val="2255FD61"/>
    <w:rsid w:val="225A377D"/>
    <w:rsid w:val="225FFB06"/>
    <w:rsid w:val="22621C96"/>
    <w:rsid w:val="2263285D"/>
    <w:rsid w:val="22661BEB"/>
    <w:rsid w:val="2266CA2F"/>
    <w:rsid w:val="226B6979"/>
    <w:rsid w:val="226DE872"/>
    <w:rsid w:val="226F1DDF"/>
    <w:rsid w:val="22701F5C"/>
    <w:rsid w:val="22737807"/>
    <w:rsid w:val="227633AA"/>
    <w:rsid w:val="2278B49A"/>
    <w:rsid w:val="2279D024"/>
    <w:rsid w:val="227AB18E"/>
    <w:rsid w:val="227B0157"/>
    <w:rsid w:val="227F1E61"/>
    <w:rsid w:val="22804ADB"/>
    <w:rsid w:val="228187DC"/>
    <w:rsid w:val="22827F9E"/>
    <w:rsid w:val="2283A698"/>
    <w:rsid w:val="2283C139"/>
    <w:rsid w:val="2284E128"/>
    <w:rsid w:val="2285B9AA"/>
    <w:rsid w:val="22863F3F"/>
    <w:rsid w:val="2289762F"/>
    <w:rsid w:val="2289DD33"/>
    <w:rsid w:val="228C9AE2"/>
    <w:rsid w:val="228EEF3E"/>
    <w:rsid w:val="228F83D6"/>
    <w:rsid w:val="2292E635"/>
    <w:rsid w:val="2294AC99"/>
    <w:rsid w:val="2295C887"/>
    <w:rsid w:val="22983530"/>
    <w:rsid w:val="229B8424"/>
    <w:rsid w:val="229E459A"/>
    <w:rsid w:val="229F6CEF"/>
    <w:rsid w:val="229FF97C"/>
    <w:rsid w:val="22A2233C"/>
    <w:rsid w:val="22A48C53"/>
    <w:rsid w:val="22A533B1"/>
    <w:rsid w:val="22A541DE"/>
    <w:rsid w:val="22A5B440"/>
    <w:rsid w:val="22A61C89"/>
    <w:rsid w:val="22A80ACA"/>
    <w:rsid w:val="22AA3533"/>
    <w:rsid w:val="22ACF35E"/>
    <w:rsid w:val="22ADDBA1"/>
    <w:rsid w:val="22AE2EC6"/>
    <w:rsid w:val="22B135FA"/>
    <w:rsid w:val="22B698A7"/>
    <w:rsid w:val="22B7146A"/>
    <w:rsid w:val="22B72C19"/>
    <w:rsid w:val="22BAE80C"/>
    <w:rsid w:val="22BB29B3"/>
    <w:rsid w:val="22BC9735"/>
    <w:rsid w:val="22BE9540"/>
    <w:rsid w:val="22C051F5"/>
    <w:rsid w:val="22C18AAA"/>
    <w:rsid w:val="22C1EBCB"/>
    <w:rsid w:val="22CC7A6B"/>
    <w:rsid w:val="22D0B65C"/>
    <w:rsid w:val="22D0D5BD"/>
    <w:rsid w:val="22DC30C5"/>
    <w:rsid w:val="22DDD3F4"/>
    <w:rsid w:val="22DF06EF"/>
    <w:rsid w:val="22E26D03"/>
    <w:rsid w:val="22E619CF"/>
    <w:rsid w:val="22E71E06"/>
    <w:rsid w:val="22EA2446"/>
    <w:rsid w:val="22EA5188"/>
    <w:rsid w:val="22ECB9D4"/>
    <w:rsid w:val="22ED85BD"/>
    <w:rsid w:val="22ED93C4"/>
    <w:rsid w:val="22EFC0C9"/>
    <w:rsid w:val="22F476CD"/>
    <w:rsid w:val="22F47BDC"/>
    <w:rsid w:val="22F54A28"/>
    <w:rsid w:val="22FD33AB"/>
    <w:rsid w:val="23003147"/>
    <w:rsid w:val="2304556B"/>
    <w:rsid w:val="230485B8"/>
    <w:rsid w:val="23075330"/>
    <w:rsid w:val="2308B621"/>
    <w:rsid w:val="23098F29"/>
    <w:rsid w:val="230AA5A1"/>
    <w:rsid w:val="23115932"/>
    <w:rsid w:val="23117837"/>
    <w:rsid w:val="23138CA1"/>
    <w:rsid w:val="2313960D"/>
    <w:rsid w:val="23142A3A"/>
    <w:rsid w:val="23171FD7"/>
    <w:rsid w:val="2317E1FF"/>
    <w:rsid w:val="23197AA8"/>
    <w:rsid w:val="231A7277"/>
    <w:rsid w:val="231C8776"/>
    <w:rsid w:val="231DD725"/>
    <w:rsid w:val="231ED678"/>
    <w:rsid w:val="231F5E2F"/>
    <w:rsid w:val="231F65A6"/>
    <w:rsid w:val="2320BAFD"/>
    <w:rsid w:val="2320D741"/>
    <w:rsid w:val="23227D3A"/>
    <w:rsid w:val="2325DABB"/>
    <w:rsid w:val="232601C7"/>
    <w:rsid w:val="232620D0"/>
    <w:rsid w:val="23285074"/>
    <w:rsid w:val="23288F0A"/>
    <w:rsid w:val="2328D345"/>
    <w:rsid w:val="2329E9FB"/>
    <w:rsid w:val="232AD0A7"/>
    <w:rsid w:val="232CCE5C"/>
    <w:rsid w:val="2332449E"/>
    <w:rsid w:val="2334D4B0"/>
    <w:rsid w:val="2339F3F9"/>
    <w:rsid w:val="233B28D4"/>
    <w:rsid w:val="233D1229"/>
    <w:rsid w:val="233E904B"/>
    <w:rsid w:val="23423D84"/>
    <w:rsid w:val="23455FD1"/>
    <w:rsid w:val="23485593"/>
    <w:rsid w:val="23487608"/>
    <w:rsid w:val="234EF6FE"/>
    <w:rsid w:val="234FC9DC"/>
    <w:rsid w:val="2350762E"/>
    <w:rsid w:val="235142DB"/>
    <w:rsid w:val="23516CFF"/>
    <w:rsid w:val="23520AD2"/>
    <w:rsid w:val="23528039"/>
    <w:rsid w:val="2352AE19"/>
    <w:rsid w:val="23533CEC"/>
    <w:rsid w:val="23554ECE"/>
    <w:rsid w:val="2357816D"/>
    <w:rsid w:val="2359CFC6"/>
    <w:rsid w:val="2359DFAC"/>
    <w:rsid w:val="235CA557"/>
    <w:rsid w:val="235D97F9"/>
    <w:rsid w:val="235E2520"/>
    <w:rsid w:val="2360C4FA"/>
    <w:rsid w:val="236153D4"/>
    <w:rsid w:val="236245E0"/>
    <w:rsid w:val="23634A37"/>
    <w:rsid w:val="236359C4"/>
    <w:rsid w:val="2365B105"/>
    <w:rsid w:val="2367FD7C"/>
    <w:rsid w:val="23698DB2"/>
    <w:rsid w:val="2369AB33"/>
    <w:rsid w:val="236E37AD"/>
    <w:rsid w:val="236E8158"/>
    <w:rsid w:val="236FBD74"/>
    <w:rsid w:val="237250F3"/>
    <w:rsid w:val="2373F461"/>
    <w:rsid w:val="237554DD"/>
    <w:rsid w:val="23757AA8"/>
    <w:rsid w:val="2376855C"/>
    <w:rsid w:val="2377A381"/>
    <w:rsid w:val="2378FAE9"/>
    <w:rsid w:val="23798F6A"/>
    <w:rsid w:val="237E1642"/>
    <w:rsid w:val="2380BB52"/>
    <w:rsid w:val="2382273A"/>
    <w:rsid w:val="23842163"/>
    <w:rsid w:val="2389509A"/>
    <w:rsid w:val="238AA140"/>
    <w:rsid w:val="238AAE63"/>
    <w:rsid w:val="2390C59A"/>
    <w:rsid w:val="2397D3A0"/>
    <w:rsid w:val="239AABF1"/>
    <w:rsid w:val="239E738F"/>
    <w:rsid w:val="23A074DB"/>
    <w:rsid w:val="23A31433"/>
    <w:rsid w:val="23A36CDA"/>
    <w:rsid w:val="23A3C056"/>
    <w:rsid w:val="23A3D003"/>
    <w:rsid w:val="23A46D38"/>
    <w:rsid w:val="23A54166"/>
    <w:rsid w:val="23A8EB99"/>
    <w:rsid w:val="23A8FF95"/>
    <w:rsid w:val="23AA5C0B"/>
    <w:rsid w:val="23ABA423"/>
    <w:rsid w:val="23AE2F61"/>
    <w:rsid w:val="23AE4EAA"/>
    <w:rsid w:val="23AE5CDB"/>
    <w:rsid w:val="23AFAEB1"/>
    <w:rsid w:val="23B2CBB2"/>
    <w:rsid w:val="23B2CBB6"/>
    <w:rsid w:val="23B44AB1"/>
    <w:rsid w:val="23B5B074"/>
    <w:rsid w:val="23B60EF4"/>
    <w:rsid w:val="23B67B6E"/>
    <w:rsid w:val="23B6C828"/>
    <w:rsid w:val="23B77D08"/>
    <w:rsid w:val="23B7CCAE"/>
    <w:rsid w:val="23B82B72"/>
    <w:rsid w:val="23B88979"/>
    <w:rsid w:val="23BC34F3"/>
    <w:rsid w:val="23C007C6"/>
    <w:rsid w:val="23C0D19E"/>
    <w:rsid w:val="23C1C7FF"/>
    <w:rsid w:val="23C22FE9"/>
    <w:rsid w:val="23C50671"/>
    <w:rsid w:val="23C54648"/>
    <w:rsid w:val="23C69EB5"/>
    <w:rsid w:val="23C7D27F"/>
    <w:rsid w:val="23C8006D"/>
    <w:rsid w:val="23C8A135"/>
    <w:rsid w:val="23C8AB04"/>
    <w:rsid w:val="23CA0FE3"/>
    <w:rsid w:val="23CA442C"/>
    <w:rsid w:val="23CA79F9"/>
    <w:rsid w:val="23CB7509"/>
    <w:rsid w:val="23CC1E3D"/>
    <w:rsid w:val="23CDAA92"/>
    <w:rsid w:val="23CF5D7A"/>
    <w:rsid w:val="23D27A2E"/>
    <w:rsid w:val="23D55966"/>
    <w:rsid w:val="23D58237"/>
    <w:rsid w:val="23D5A1F6"/>
    <w:rsid w:val="23D67018"/>
    <w:rsid w:val="23D75381"/>
    <w:rsid w:val="23DAD412"/>
    <w:rsid w:val="23DDA4A1"/>
    <w:rsid w:val="23DEF0FC"/>
    <w:rsid w:val="23E4D0F7"/>
    <w:rsid w:val="23E54521"/>
    <w:rsid w:val="23E9379D"/>
    <w:rsid w:val="23EB8174"/>
    <w:rsid w:val="23EB905D"/>
    <w:rsid w:val="23EB9D97"/>
    <w:rsid w:val="23EBC9FE"/>
    <w:rsid w:val="23EC4C8E"/>
    <w:rsid w:val="23EE3044"/>
    <w:rsid w:val="23F2BB50"/>
    <w:rsid w:val="23F4304F"/>
    <w:rsid w:val="23F53EB1"/>
    <w:rsid w:val="23F5CB14"/>
    <w:rsid w:val="23F5E8B2"/>
    <w:rsid w:val="23F743A5"/>
    <w:rsid w:val="23F815B5"/>
    <w:rsid w:val="23FA85DE"/>
    <w:rsid w:val="23FAD383"/>
    <w:rsid w:val="23FB3931"/>
    <w:rsid w:val="23FB916C"/>
    <w:rsid w:val="23FCDA89"/>
    <w:rsid w:val="23FE477E"/>
    <w:rsid w:val="240323EC"/>
    <w:rsid w:val="240C19D4"/>
    <w:rsid w:val="240C3259"/>
    <w:rsid w:val="240C5F3D"/>
    <w:rsid w:val="2410607C"/>
    <w:rsid w:val="24112ACB"/>
    <w:rsid w:val="24124C1F"/>
    <w:rsid w:val="24141644"/>
    <w:rsid w:val="24153708"/>
    <w:rsid w:val="2419E8D8"/>
    <w:rsid w:val="241D3879"/>
    <w:rsid w:val="241EFF0C"/>
    <w:rsid w:val="24215C94"/>
    <w:rsid w:val="242B0A2D"/>
    <w:rsid w:val="24308B34"/>
    <w:rsid w:val="2436CE51"/>
    <w:rsid w:val="24378FA2"/>
    <w:rsid w:val="243A680A"/>
    <w:rsid w:val="243C7C63"/>
    <w:rsid w:val="243DFC21"/>
    <w:rsid w:val="243FBE1D"/>
    <w:rsid w:val="24434CBE"/>
    <w:rsid w:val="2444007A"/>
    <w:rsid w:val="24452E60"/>
    <w:rsid w:val="2445D166"/>
    <w:rsid w:val="244699E7"/>
    <w:rsid w:val="24488870"/>
    <w:rsid w:val="24490DB3"/>
    <w:rsid w:val="244B48E5"/>
    <w:rsid w:val="244BCB96"/>
    <w:rsid w:val="244D95AA"/>
    <w:rsid w:val="24509DD0"/>
    <w:rsid w:val="24524791"/>
    <w:rsid w:val="24549181"/>
    <w:rsid w:val="245565E7"/>
    <w:rsid w:val="24566325"/>
    <w:rsid w:val="2459235B"/>
    <w:rsid w:val="2459A560"/>
    <w:rsid w:val="245A5063"/>
    <w:rsid w:val="245B1445"/>
    <w:rsid w:val="245CE902"/>
    <w:rsid w:val="245DCA70"/>
    <w:rsid w:val="24657C9F"/>
    <w:rsid w:val="24676BA8"/>
    <w:rsid w:val="2469072D"/>
    <w:rsid w:val="246B8450"/>
    <w:rsid w:val="246EC975"/>
    <w:rsid w:val="24706C17"/>
    <w:rsid w:val="24711D6D"/>
    <w:rsid w:val="24712EFD"/>
    <w:rsid w:val="247346CC"/>
    <w:rsid w:val="2473E0F1"/>
    <w:rsid w:val="24754AD0"/>
    <w:rsid w:val="24757B71"/>
    <w:rsid w:val="2475D630"/>
    <w:rsid w:val="247A3F08"/>
    <w:rsid w:val="247CBA92"/>
    <w:rsid w:val="247E6B23"/>
    <w:rsid w:val="248105C0"/>
    <w:rsid w:val="248228B5"/>
    <w:rsid w:val="2482AD63"/>
    <w:rsid w:val="2484CBE1"/>
    <w:rsid w:val="2484E7B5"/>
    <w:rsid w:val="24876E76"/>
    <w:rsid w:val="248AFB38"/>
    <w:rsid w:val="248B0FE3"/>
    <w:rsid w:val="248CFCBD"/>
    <w:rsid w:val="248E9898"/>
    <w:rsid w:val="248F336D"/>
    <w:rsid w:val="24916AAF"/>
    <w:rsid w:val="24993867"/>
    <w:rsid w:val="249AB766"/>
    <w:rsid w:val="24A1D564"/>
    <w:rsid w:val="24A2A0AF"/>
    <w:rsid w:val="24A2AEB7"/>
    <w:rsid w:val="24A3D0C8"/>
    <w:rsid w:val="24A3D728"/>
    <w:rsid w:val="24A48625"/>
    <w:rsid w:val="24A54818"/>
    <w:rsid w:val="24A57479"/>
    <w:rsid w:val="24A7D9E9"/>
    <w:rsid w:val="24AA7024"/>
    <w:rsid w:val="24AB6553"/>
    <w:rsid w:val="24AE8B69"/>
    <w:rsid w:val="24B1A2C9"/>
    <w:rsid w:val="24B1EF3F"/>
    <w:rsid w:val="24B4359E"/>
    <w:rsid w:val="24B5B698"/>
    <w:rsid w:val="24B826A5"/>
    <w:rsid w:val="24B857BF"/>
    <w:rsid w:val="24B99DB7"/>
    <w:rsid w:val="24BA466A"/>
    <w:rsid w:val="24BD0359"/>
    <w:rsid w:val="24C1CB69"/>
    <w:rsid w:val="24C5C4A0"/>
    <w:rsid w:val="24C724E4"/>
    <w:rsid w:val="24C8FAF8"/>
    <w:rsid w:val="24CB97E7"/>
    <w:rsid w:val="24CBE305"/>
    <w:rsid w:val="24D085BC"/>
    <w:rsid w:val="24D58CF5"/>
    <w:rsid w:val="24D9600B"/>
    <w:rsid w:val="24D96679"/>
    <w:rsid w:val="24DA1D93"/>
    <w:rsid w:val="24DE9C1B"/>
    <w:rsid w:val="24DFA840"/>
    <w:rsid w:val="24E0843E"/>
    <w:rsid w:val="24E0FB93"/>
    <w:rsid w:val="24E20C6D"/>
    <w:rsid w:val="24E25ED5"/>
    <w:rsid w:val="24E3677E"/>
    <w:rsid w:val="24E46223"/>
    <w:rsid w:val="24E54B41"/>
    <w:rsid w:val="24E66EC2"/>
    <w:rsid w:val="24E87E31"/>
    <w:rsid w:val="24E91A5E"/>
    <w:rsid w:val="24E9DAF8"/>
    <w:rsid w:val="24EA574B"/>
    <w:rsid w:val="24EA70E7"/>
    <w:rsid w:val="24EBF111"/>
    <w:rsid w:val="24F04FF5"/>
    <w:rsid w:val="24F0DA26"/>
    <w:rsid w:val="24F214F8"/>
    <w:rsid w:val="24F25835"/>
    <w:rsid w:val="24F8E9C7"/>
    <w:rsid w:val="24FDA3C1"/>
    <w:rsid w:val="24FE199A"/>
    <w:rsid w:val="250051EC"/>
    <w:rsid w:val="2501CE45"/>
    <w:rsid w:val="2501D8E5"/>
    <w:rsid w:val="250298DB"/>
    <w:rsid w:val="2506230A"/>
    <w:rsid w:val="2507DFC4"/>
    <w:rsid w:val="25081DC3"/>
    <w:rsid w:val="2509488A"/>
    <w:rsid w:val="2509BBB6"/>
    <w:rsid w:val="250A862D"/>
    <w:rsid w:val="250C27F5"/>
    <w:rsid w:val="250CED88"/>
    <w:rsid w:val="250F701E"/>
    <w:rsid w:val="25125E74"/>
    <w:rsid w:val="2512A4CB"/>
    <w:rsid w:val="25135314"/>
    <w:rsid w:val="2513DBFF"/>
    <w:rsid w:val="2518E3B5"/>
    <w:rsid w:val="251988A4"/>
    <w:rsid w:val="2521F855"/>
    <w:rsid w:val="2522530C"/>
    <w:rsid w:val="252394D7"/>
    <w:rsid w:val="25247119"/>
    <w:rsid w:val="25289327"/>
    <w:rsid w:val="252895F0"/>
    <w:rsid w:val="252921DB"/>
    <w:rsid w:val="252A71F0"/>
    <w:rsid w:val="252F963A"/>
    <w:rsid w:val="25342785"/>
    <w:rsid w:val="25351714"/>
    <w:rsid w:val="253595EE"/>
    <w:rsid w:val="2535E5BA"/>
    <w:rsid w:val="2536FCBD"/>
    <w:rsid w:val="253AC3B8"/>
    <w:rsid w:val="253C3F6F"/>
    <w:rsid w:val="253E169D"/>
    <w:rsid w:val="253F90DF"/>
    <w:rsid w:val="25400E35"/>
    <w:rsid w:val="25436ACB"/>
    <w:rsid w:val="2544EDA1"/>
    <w:rsid w:val="254532F7"/>
    <w:rsid w:val="2547F434"/>
    <w:rsid w:val="254A667C"/>
    <w:rsid w:val="254AEA2E"/>
    <w:rsid w:val="2556A3EA"/>
    <w:rsid w:val="2556FFD2"/>
    <w:rsid w:val="2559D91C"/>
    <w:rsid w:val="255F6616"/>
    <w:rsid w:val="256283EF"/>
    <w:rsid w:val="2562AE75"/>
    <w:rsid w:val="256643DC"/>
    <w:rsid w:val="2567A819"/>
    <w:rsid w:val="2567B1BC"/>
    <w:rsid w:val="256810FF"/>
    <w:rsid w:val="25681430"/>
    <w:rsid w:val="2569EDCF"/>
    <w:rsid w:val="256A9DFD"/>
    <w:rsid w:val="256F7AD3"/>
    <w:rsid w:val="25720B0F"/>
    <w:rsid w:val="2573FF9F"/>
    <w:rsid w:val="2576956B"/>
    <w:rsid w:val="257749F9"/>
    <w:rsid w:val="257BC04D"/>
    <w:rsid w:val="257C15C2"/>
    <w:rsid w:val="257CF511"/>
    <w:rsid w:val="2580A596"/>
    <w:rsid w:val="2581BEC1"/>
    <w:rsid w:val="2583F5E6"/>
    <w:rsid w:val="2586A2D8"/>
    <w:rsid w:val="25875A48"/>
    <w:rsid w:val="258A31B7"/>
    <w:rsid w:val="258AE720"/>
    <w:rsid w:val="258D8518"/>
    <w:rsid w:val="258F4168"/>
    <w:rsid w:val="25923114"/>
    <w:rsid w:val="2593CD96"/>
    <w:rsid w:val="2594FC92"/>
    <w:rsid w:val="2595D38D"/>
    <w:rsid w:val="25982DF4"/>
    <w:rsid w:val="2599608E"/>
    <w:rsid w:val="259AD1EC"/>
    <w:rsid w:val="259BE27D"/>
    <w:rsid w:val="259C2CB0"/>
    <w:rsid w:val="259DD16D"/>
    <w:rsid w:val="25A03BBE"/>
    <w:rsid w:val="25A49E61"/>
    <w:rsid w:val="25A5BBB3"/>
    <w:rsid w:val="25A9F0CC"/>
    <w:rsid w:val="25ABDEBB"/>
    <w:rsid w:val="25AD1B54"/>
    <w:rsid w:val="25AD8821"/>
    <w:rsid w:val="25AEF633"/>
    <w:rsid w:val="25AEFEE2"/>
    <w:rsid w:val="25B284CD"/>
    <w:rsid w:val="25B4506D"/>
    <w:rsid w:val="25B57DB3"/>
    <w:rsid w:val="25B6BD9F"/>
    <w:rsid w:val="25B831C7"/>
    <w:rsid w:val="25B83ECF"/>
    <w:rsid w:val="25B88260"/>
    <w:rsid w:val="25BA7EF7"/>
    <w:rsid w:val="25BACCC8"/>
    <w:rsid w:val="25BB43BC"/>
    <w:rsid w:val="25BBBBFD"/>
    <w:rsid w:val="25C04589"/>
    <w:rsid w:val="25C2F5FB"/>
    <w:rsid w:val="25C3AF59"/>
    <w:rsid w:val="25C62EC4"/>
    <w:rsid w:val="25CABF8A"/>
    <w:rsid w:val="25CADA6B"/>
    <w:rsid w:val="25CC312A"/>
    <w:rsid w:val="25D22F63"/>
    <w:rsid w:val="25D4CACE"/>
    <w:rsid w:val="25D57C78"/>
    <w:rsid w:val="25D65EC6"/>
    <w:rsid w:val="25D7F05F"/>
    <w:rsid w:val="25D8E8E9"/>
    <w:rsid w:val="25D9DA06"/>
    <w:rsid w:val="25DA7529"/>
    <w:rsid w:val="25DC323A"/>
    <w:rsid w:val="25DC4B3D"/>
    <w:rsid w:val="25DFFAAC"/>
    <w:rsid w:val="25E0348E"/>
    <w:rsid w:val="25E0F29F"/>
    <w:rsid w:val="25E2F4A4"/>
    <w:rsid w:val="25E347BC"/>
    <w:rsid w:val="25E3EE7B"/>
    <w:rsid w:val="25E413C8"/>
    <w:rsid w:val="25E479FA"/>
    <w:rsid w:val="25E65D3A"/>
    <w:rsid w:val="25ECD131"/>
    <w:rsid w:val="25EDA7FB"/>
    <w:rsid w:val="25EF6456"/>
    <w:rsid w:val="25F28F6E"/>
    <w:rsid w:val="25F36396"/>
    <w:rsid w:val="25F495A0"/>
    <w:rsid w:val="25F55A4C"/>
    <w:rsid w:val="25F5C9BA"/>
    <w:rsid w:val="25F7201A"/>
    <w:rsid w:val="25F764E0"/>
    <w:rsid w:val="25F85201"/>
    <w:rsid w:val="25F9EADC"/>
    <w:rsid w:val="25FAC398"/>
    <w:rsid w:val="25FC1EC7"/>
    <w:rsid w:val="25FD7D0A"/>
    <w:rsid w:val="26016572"/>
    <w:rsid w:val="2601BC74"/>
    <w:rsid w:val="2601C954"/>
    <w:rsid w:val="26022FBF"/>
    <w:rsid w:val="2602DF5B"/>
    <w:rsid w:val="2609D93F"/>
    <w:rsid w:val="260A70B7"/>
    <w:rsid w:val="260EB4A4"/>
    <w:rsid w:val="260F00C1"/>
    <w:rsid w:val="26105F0C"/>
    <w:rsid w:val="2611F983"/>
    <w:rsid w:val="2612A907"/>
    <w:rsid w:val="26166051"/>
    <w:rsid w:val="2617E166"/>
    <w:rsid w:val="261A562B"/>
    <w:rsid w:val="261B5D6C"/>
    <w:rsid w:val="261C3BE9"/>
    <w:rsid w:val="2621F088"/>
    <w:rsid w:val="26225B03"/>
    <w:rsid w:val="26227B90"/>
    <w:rsid w:val="2622DAEE"/>
    <w:rsid w:val="262373D9"/>
    <w:rsid w:val="2623B96F"/>
    <w:rsid w:val="2624719F"/>
    <w:rsid w:val="262557C8"/>
    <w:rsid w:val="2625D9A4"/>
    <w:rsid w:val="262893F9"/>
    <w:rsid w:val="262A5F80"/>
    <w:rsid w:val="262F99C3"/>
    <w:rsid w:val="263107CD"/>
    <w:rsid w:val="26326FE9"/>
    <w:rsid w:val="263500A0"/>
    <w:rsid w:val="2636C1C6"/>
    <w:rsid w:val="26371648"/>
    <w:rsid w:val="2639A9C5"/>
    <w:rsid w:val="263C3572"/>
    <w:rsid w:val="263CC96F"/>
    <w:rsid w:val="263CE751"/>
    <w:rsid w:val="26433924"/>
    <w:rsid w:val="2644744C"/>
    <w:rsid w:val="2644DECB"/>
    <w:rsid w:val="26453780"/>
    <w:rsid w:val="264B0DBA"/>
    <w:rsid w:val="2650A8BB"/>
    <w:rsid w:val="26522BAA"/>
    <w:rsid w:val="26524D48"/>
    <w:rsid w:val="2653A4F2"/>
    <w:rsid w:val="2658CDAC"/>
    <w:rsid w:val="26590C7A"/>
    <w:rsid w:val="265A2A0B"/>
    <w:rsid w:val="265C4C6C"/>
    <w:rsid w:val="2661EF78"/>
    <w:rsid w:val="26620FDD"/>
    <w:rsid w:val="266291F7"/>
    <w:rsid w:val="26636893"/>
    <w:rsid w:val="26667AFA"/>
    <w:rsid w:val="26677497"/>
    <w:rsid w:val="266EA8B5"/>
    <w:rsid w:val="267000B7"/>
    <w:rsid w:val="267018B2"/>
    <w:rsid w:val="267463E5"/>
    <w:rsid w:val="267514E9"/>
    <w:rsid w:val="26753EAB"/>
    <w:rsid w:val="2676FFC2"/>
    <w:rsid w:val="267850D8"/>
    <w:rsid w:val="267A5C6B"/>
    <w:rsid w:val="267D5A2F"/>
    <w:rsid w:val="267EF89A"/>
    <w:rsid w:val="267F455A"/>
    <w:rsid w:val="2680147D"/>
    <w:rsid w:val="2680930D"/>
    <w:rsid w:val="26813F87"/>
    <w:rsid w:val="26855FF9"/>
    <w:rsid w:val="2687FD17"/>
    <w:rsid w:val="26884767"/>
    <w:rsid w:val="268853F2"/>
    <w:rsid w:val="268B2D92"/>
    <w:rsid w:val="268F6848"/>
    <w:rsid w:val="26903EE4"/>
    <w:rsid w:val="26919D2D"/>
    <w:rsid w:val="2691CEB8"/>
    <w:rsid w:val="2692012D"/>
    <w:rsid w:val="26929753"/>
    <w:rsid w:val="26952D87"/>
    <w:rsid w:val="2695ECBA"/>
    <w:rsid w:val="269682B1"/>
    <w:rsid w:val="269878EB"/>
    <w:rsid w:val="26988B48"/>
    <w:rsid w:val="2699444D"/>
    <w:rsid w:val="2699F654"/>
    <w:rsid w:val="269A00CD"/>
    <w:rsid w:val="26A0211A"/>
    <w:rsid w:val="26A12FA6"/>
    <w:rsid w:val="26A20CDC"/>
    <w:rsid w:val="26A43FE8"/>
    <w:rsid w:val="26A48DD5"/>
    <w:rsid w:val="26A5453D"/>
    <w:rsid w:val="26A811A9"/>
    <w:rsid w:val="26AA3F96"/>
    <w:rsid w:val="26B0287D"/>
    <w:rsid w:val="26B13EC4"/>
    <w:rsid w:val="26B1CC4C"/>
    <w:rsid w:val="26B466DF"/>
    <w:rsid w:val="26B49129"/>
    <w:rsid w:val="26B70F26"/>
    <w:rsid w:val="26B7B81F"/>
    <w:rsid w:val="26B97B12"/>
    <w:rsid w:val="26B9A426"/>
    <w:rsid w:val="26BAD4F6"/>
    <w:rsid w:val="26BBD506"/>
    <w:rsid w:val="26BEA06A"/>
    <w:rsid w:val="26BECD20"/>
    <w:rsid w:val="26C158BA"/>
    <w:rsid w:val="26C1B759"/>
    <w:rsid w:val="26C40A5A"/>
    <w:rsid w:val="26C48457"/>
    <w:rsid w:val="26C816A3"/>
    <w:rsid w:val="26CD24F6"/>
    <w:rsid w:val="26CDBECF"/>
    <w:rsid w:val="26CEFF35"/>
    <w:rsid w:val="26D4A3D8"/>
    <w:rsid w:val="26D6A66D"/>
    <w:rsid w:val="26D6C73C"/>
    <w:rsid w:val="26D843AD"/>
    <w:rsid w:val="26D9A27C"/>
    <w:rsid w:val="26D9D220"/>
    <w:rsid w:val="26DA6DE6"/>
    <w:rsid w:val="26DCD557"/>
    <w:rsid w:val="26DE0746"/>
    <w:rsid w:val="26DF8AE8"/>
    <w:rsid w:val="26E236F8"/>
    <w:rsid w:val="26E502E5"/>
    <w:rsid w:val="26E559D2"/>
    <w:rsid w:val="26E62258"/>
    <w:rsid w:val="26ECE068"/>
    <w:rsid w:val="26ED563E"/>
    <w:rsid w:val="26EDDC85"/>
    <w:rsid w:val="26EDE347"/>
    <w:rsid w:val="26EFEEE3"/>
    <w:rsid w:val="26F11572"/>
    <w:rsid w:val="26F1EA9E"/>
    <w:rsid w:val="26F2E18D"/>
    <w:rsid w:val="26F32D61"/>
    <w:rsid w:val="26F40BE6"/>
    <w:rsid w:val="26F43B0C"/>
    <w:rsid w:val="26F63770"/>
    <w:rsid w:val="26F75050"/>
    <w:rsid w:val="26F7687E"/>
    <w:rsid w:val="26F80E8F"/>
    <w:rsid w:val="26FB121F"/>
    <w:rsid w:val="26FB79E7"/>
    <w:rsid w:val="27000594"/>
    <w:rsid w:val="2702D243"/>
    <w:rsid w:val="2703C109"/>
    <w:rsid w:val="2707EFF2"/>
    <w:rsid w:val="2708CB83"/>
    <w:rsid w:val="270908E2"/>
    <w:rsid w:val="270B0534"/>
    <w:rsid w:val="2711EA09"/>
    <w:rsid w:val="27149AB7"/>
    <w:rsid w:val="27185842"/>
    <w:rsid w:val="271A2712"/>
    <w:rsid w:val="271B1D5B"/>
    <w:rsid w:val="271B3CCD"/>
    <w:rsid w:val="271C3D21"/>
    <w:rsid w:val="271D4DD6"/>
    <w:rsid w:val="271DE920"/>
    <w:rsid w:val="271E9B00"/>
    <w:rsid w:val="27225182"/>
    <w:rsid w:val="2722AA20"/>
    <w:rsid w:val="2722C9FD"/>
    <w:rsid w:val="27244310"/>
    <w:rsid w:val="2729820D"/>
    <w:rsid w:val="272A97DE"/>
    <w:rsid w:val="272ACDAE"/>
    <w:rsid w:val="272BA50D"/>
    <w:rsid w:val="272EAF8D"/>
    <w:rsid w:val="2736ABA8"/>
    <w:rsid w:val="273AEABC"/>
    <w:rsid w:val="27416E40"/>
    <w:rsid w:val="27426C51"/>
    <w:rsid w:val="27431565"/>
    <w:rsid w:val="27433CF4"/>
    <w:rsid w:val="274439B9"/>
    <w:rsid w:val="27447EE4"/>
    <w:rsid w:val="27455B19"/>
    <w:rsid w:val="2745C35A"/>
    <w:rsid w:val="2746C1EC"/>
    <w:rsid w:val="2746D392"/>
    <w:rsid w:val="2746D7B7"/>
    <w:rsid w:val="27473603"/>
    <w:rsid w:val="2747C330"/>
    <w:rsid w:val="274A0ADC"/>
    <w:rsid w:val="274E2548"/>
    <w:rsid w:val="274F4ACB"/>
    <w:rsid w:val="2750D8F5"/>
    <w:rsid w:val="2753026E"/>
    <w:rsid w:val="2753F2CC"/>
    <w:rsid w:val="27545C47"/>
    <w:rsid w:val="2754673B"/>
    <w:rsid w:val="27548C37"/>
    <w:rsid w:val="27552A98"/>
    <w:rsid w:val="2755522D"/>
    <w:rsid w:val="27599F0D"/>
    <w:rsid w:val="2759ED59"/>
    <w:rsid w:val="275A5A2D"/>
    <w:rsid w:val="275C38D8"/>
    <w:rsid w:val="275DB0B8"/>
    <w:rsid w:val="2765F128"/>
    <w:rsid w:val="276963EB"/>
    <w:rsid w:val="276B31CB"/>
    <w:rsid w:val="276CF2F6"/>
    <w:rsid w:val="276D69A9"/>
    <w:rsid w:val="276E4C59"/>
    <w:rsid w:val="276E6700"/>
    <w:rsid w:val="276F946F"/>
    <w:rsid w:val="2773089E"/>
    <w:rsid w:val="27734453"/>
    <w:rsid w:val="2773D701"/>
    <w:rsid w:val="27760434"/>
    <w:rsid w:val="27782B07"/>
    <w:rsid w:val="277AF176"/>
    <w:rsid w:val="277CD169"/>
    <w:rsid w:val="277E9DE7"/>
    <w:rsid w:val="2784D5E2"/>
    <w:rsid w:val="27850A35"/>
    <w:rsid w:val="2785E635"/>
    <w:rsid w:val="278730EE"/>
    <w:rsid w:val="27875C1D"/>
    <w:rsid w:val="278A1523"/>
    <w:rsid w:val="278C9539"/>
    <w:rsid w:val="2791AA34"/>
    <w:rsid w:val="27966BE5"/>
    <w:rsid w:val="27984489"/>
    <w:rsid w:val="279A9734"/>
    <w:rsid w:val="279ADCAA"/>
    <w:rsid w:val="279BE339"/>
    <w:rsid w:val="279E1B43"/>
    <w:rsid w:val="279EFAEC"/>
    <w:rsid w:val="27A009D1"/>
    <w:rsid w:val="27A0E4A7"/>
    <w:rsid w:val="27A2625A"/>
    <w:rsid w:val="27A39D13"/>
    <w:rsid w:val="27A3BDCB"/>
    <w:rsid w:val="27A4AA64"/>
    <w:rsid w:val="27A7C955"/>
    <w:rsid w:val="27A99BA9"/>
    <w:rsid w:val="27A9B0B5"/>
    <w:rsid w:val="27ACF36E"/>
    <w:rsid w:val="27AE5F5B"/>
    <w:rsid w:val="27B0048D"/>
    <w:rsid w:val="27B1B1B8"/>
    <w:rsid w:val="27B2E61B"/>
    <w:rsid w:val="27B4F26B"/>
    <w:rsid w:val="27B6EC92"/>
    <w:rsid w:val="27B7EFC9"/>
    <w:rsid w:val="27B92532"/>
    <w:rsid w:val="27B9B4D7"/>
    <w:rsid w:val="27BB515E"/>
    <w:rsid w:val="27BC9B6D"/>
    <w:rsid w:val="27BD7651"/>
    <w:rsid w:val="27BFC578"/>
    <w:rsid w:val="27C47B94"/>
    <w:rsid w:val="27C48185"/>
    <w:rsid w:val="27C532E1"/>
    <w:rsid w:val="27C65232"/>
    <w:rsid w:val="27C6CCF2"/>
    <w:rsid w:val="27C72451"/>
    <w:rsid w:val="27CC4799"/>
    <w:rsid w:val="27D08067"/>
    <w:rsid w:val="27D0DF9F"/>
    <w:rsid w:val="27D0F0DB"/>
    <w:rsid w:val="27D2BA7F"/>
    <w:rsid w:val="27D6D5A1"/>
    <w:rsid w:val="27D763EA"/>
    <w:rsid w:val="27D92132"/>
    <w:rsid w:val="27DCD642"/>
    <w:rsid w:val="27DDB0A7"/>
    <w:rsid w:val="27DE1DD0"/>
    <w:rsid w:val="27E38176"/>
    <w:rsid w:val="27E3B6C7"/>
    <w:rsid w:val="27E3C8FF"/>
    <w:rsid w:val="27E42E3E"/>
    <w:rsid w:val="27E65B91"/>
    <w:rsid w:val="27E8B2AA"/>
    <w:rsid w:val="27ECB08D"/>
    <w:rsid w:val="27ECDCAC"/>
    <w:rsid w:val="27ED2764"/>
    <w:rsid w:val="27EE1838"/>
    <w:rsid w:val="27EE59B9"/>
    <w:rsid w:val="27EF5A65"/>
    <w:rsid w:val="27EF6A6D"/>
    <w:rsid w:val="27F47557"/>
    <w:rsid w:val="27F6727F"/>
    <w:rsid w:val="27F8EED3"/>
    <w:rsid w:val="27FAB27C"/>
    <w:rsid w:val="27FCCE0C"/>
    <w:rsid w:val="27FD258E"/>
    <w:rsid w:val="27FD44BA"/>
    <w:rsid w:val="27FF1588"/>
    <w:rsid w:val="2800E882"/>
    <w:rsid w:val="280160FD"/>
    <w:rsid w:val="2803730B"/>
    <w:rsid w:val="28064913"/>
    <w:rsid w:val="28070737"/>
    <w:rsid w:val="2809A108"/>
    <w:rsid w:val="280A8205"/>
    <w:rsid w:val="280B0437"/>
    <w:rsid w:val="280C297B"/>
    <w:rsid w:val="281034CF"/>
    <w:rsid w:val="28115487"/>
    <w:rsid w:val="2814E670"/>
    <w:rsid w:val="281519A2"/>
    <w:rsid w:val="281711C0"/>
    <w:rsid w:val="2818280C"/>
    <w:rsid w:val="2818D569"/>
    <w:rsid w:val="2818FD16"/>
    <w:rsid w:val="281A2FD1"/>
    <w:rsid w:val="281C316E"/>
    <w:rsid w:val="28208989"/>
    <w:rsid w:val="2821006B"/>
    <w:rsid w:val="282102C9"/>
    <w:rsid w:val="2823126F"/>
    <w:rsid w:val="2825271B"/>
    <w:rsid w:val="28254E0D"/>
    <w:rsid w:val="28263EC2"/>
    <w:rsid w:val="2827879F"/>
    <w:rsid w:val="2827BF29"/>
    <w:rsid w:val="28286639"/>
    <w:rsid w:val="2829D32C"/>
    <w:rsid w:val="282BA731"/>
    <w:rsid w:val="282C0BA0"/>
    <w:rsid w:val="282C5C3C"/>
    <w:rsid w:val="282DE9D5"/>
    <w:rsid w:val="282EA29B"/>
    <w:rsid w:val="282EF67E"/>
    <w:rsid w:val="28309D68"/>
    <w:rsid w:val="2833BBCC"/>
    <w:rsid w:val="2834181C"/>
    <w:rsid w:val="2837153A"/>
    <w:rsid w:val="2838795A"/>
    <w:rsid w:val="283B46F6"/>
    <w:rsid w:val="283CE451"/>
    <w:rsid w:val="283E1C36"/>
    <w:rsid w:val="2844821B"/>
    <w:rsid w:val="2848B037"/>
    <w:rsid w:val="2849386C"/>
    <w:rsid w:val="284C6B23"/>
    <w:rsid w:val="284D8AFA"/>
    <w:rsid w:val="285078AE"/>
    <w:rsid w:val="2850A912"/>
    <w:rsid w:val="2850ECF0"/>
    <w:rsid w:val="2851DB88"/>
    <w:rsid w:val="2853E942"/>
    <w:rsid w:val="2856F9C9"/>
    <w:rsid w:val="28578883"/>
    <w:rsid w:val="2857DFA9"/>
    <w:rsid w:val="28581306"/>
    <w:rsid w:val="2858D4CD"/>
    <w:rsid w:val="285D2093"/>
    <w:rsid w:val="285D56F7"/>
    <w:rsid w:val="285F8B37"/>
    <w:rsid w:val="2861D872"/>
    <w:rsid w:val="2862557D"/>
    <w:rsid w:val="28666346"/>
    <w:rsid w:val="2868A9A1"/>
    <w:rsid w:val="286AE14E"/>
    <w:rsid w:val="286FBCA7"/>
    <w:rsid w:val="28711786"/>
    <w:rsid w:val="2872A930"/>
    <w:rsid w:val="2873C148"/>
    <w:rsid w:val="287513AB"/>
    <w:rsid w:val="28762F0E"/>
    <w:rsid w:val="287C5172"/>
    <w:rsid w:val="287CE424"/>
    <w:rsid w:val="287CE526"/>
    <w:rsid w:val="287D8EB5"/>
    <w:rsid w:val="2880519D"/>
    <w:rsid w:val="2880F042"/>
    <w:rsid w:val="2885E598"/>
    <w:rsid w:val="288660BC"/>
    <w:rsid w:val="288691EA"/>
    <w:rsid w:val="28880BEE"/>
    <w:rsid w:val="288A5AC0"/>
    <w:rsid w:val="28903BD0"/>
    <w:rsid w:val="2890B4C4"/>
    <w:rsid w:val="28927AD4"/>
    <w:rsid w:val="2895A464"/>
    <w:rsid w:val="2896C93D"/>
    <w:rsid w:val="28983AFB"/>
    <w:rsid w:val="289AF6A9"/>
    <w:rsid w:val="289FC7E1"/>
    <w:rsid w:val="28A26CB3"/>
    <w:rsid w:val="28A3ED53"/>
    <w:rsid w:val="28A4A6F0"/>
    <w:rsid w:val="28A5A94E"/>
    <w:rsid w:val="28A6ED7A"/>
    <w:rsid w:val="28A9EF04"/>
    <w:rsid w:val="28AD2778"/>
    <w:rsid w:val="28ADAD92"/>
    <w:rsid w:val="28B0945F"/>
    <w:rsid w:val="28B2AB1D"/>
    <w:rsid w:val="28B2AD28"/>
    <w:rsid w:val="28B504FD"/>
    <w:rsid w:val="28B7B91D"/>
    <w:rsid w:val="28B9545B"/>
    <w:rsid w:val="28BA19E2"/>
    <w:rsid w:val="28BB5561"/>
    <w:rsid w:val="28BCF173"/>
    <w:rsid w:val="28BD0F1A"/>
    <w:rsid w:val="28C21CEA"/>
    <w:rsid w:val="28C2E4F8"/>
    <w:rsid w:val="28C5EAFB"/>
    <w:rsid w:val="28C67090"/>
    <w:rsid w:val="28C78B78"/>
    <w:rsid w:val="28CBADD0"/>
    <w:rsid w:val="28CD4496"/>
    <w:rsid w:val="28CF5DA0"/>
    <w:rsid w:val="28CF8C25"/>
    <w:rsid w:val="28D10661"/>
    <w:rsid w:val="28D23AEF"/>
    <w:rsid w:val="28D3B993"/>
    <w:rsid w:val="28D6B423"/>
    <w:rsid w:val="28D6EB36"/>
    <w:rsid w:val="28DB0CA4"/>
    <w:rsid w:val="28DB758D"/>
    <w:rsid w:val="28DE9990"/>
    <w:rsid w:val="28DEC210"/>
    <w:rsid w:val="28DF5C67"/>
    <w:rsid w:val="28E3E795"/>
    <w:rsid w:val="28E4DAA0"/>
    <w:rsid w:val="28E512D0"/>
    <w:rsid w:val="28E52C8C"/>
    <w:rsid w:val="28E57A43"/>
    <w:rsid w:val="28E78D3E"/>
    <w:rsid w:val="28E8A768"/>
    <w:rsid w:val="28EBFD55"/>
    <w:rsid w:val="28EE0E53"/>
    <w:rsid w:val="28F0BBAA"/>
    <w:rsid w:val="28F15039"/>
    <w:rsid w:val="28F38314"/>
    <w:rsid w:val="28F39C6D"/>
    <w:rsid w:val="28F3D502"/>
    <w:rsid w:val="28F7780C"/>
    <w:rsid w:val="28FAB8A3"/>
    <w:rsid w:val="2902E5CF"/>
    <w:rsid w:val="2906D88B"/>
    <w:rsid w:val="290900F7"/>
    <w:rsid w:val="290B49DC"/>
    <w:rsid w:val="290D34E2"/>
    <w:rsid w:val="290D9C6C"/>
    <w:rsid w:val="290E81C1"/>
    <w:rsid w:val="2910E276"/>
    <w:rsid w:val="2915557D"/>
    <w:rsid w:val="291D4D23"/>
    <w:rsid w:val="291E9015"/>
    <w:rsid w:val="2923501D"/>
    <w:rsid w:val="29235C78"/>
    <w:rsid w:val="2923FE5E"/>
    <w:rsid w:val="2926F35E"/>
    <w:rsid w:val="2927008D"/>
    <w:rsid w:val="29280782"/>
    <w:rsid w:val="292BDC95"/>
    <w:rsid w:val="292DCA80"/>
    <w:rsid w:val="292E69E0"/>
    <w:rsid w:val="2931E740"/>
    <w:rsid w:val="2932651B"/>
    <w:rsid w:val="2935148C"/>
    <w:rsid w:val="2937399D"/>
    <w:rsid w:val="2937F889"/>
    <w:rsid w:val="29382512"/>
    <w:rsid w:val="293AFE13"/>
    <w:rsid w:val="293C39DE"/>
    <w:rsid w:val="293E3699"/>
    <w:rsid w:val="29404545"/>
    <w:rsid w:val="29433142"/>
    <w:rsid w:val="2945D01A"/>
    <w:rsid w:val="294ACA4D"/>
    <w:rsid w:val="294B00E2"/>
    <w:rsid w:val="294B2943"/>
    <w:rsid w:val="294BC722"/>
    <w:rsid w:val="294C2575"/>
    <w:rsid w:val="294FFB81"/>
    <w:rsid w:val="29507409"/>
    <w:rsid w:val="2951654F"/>
    <w:rsid w:val="2955395A"/>
    <w:rsid w:val="2955994B"/>
    <w:rsid w:val="29566F22"/>
    <w:rsid w:val="2956A857"/>
    <w:rsid w:val="29589E8D"/>
    <w:rsid w:val="295E91AC"/>
    <w:rsid w:val="295ECDAB"/>
    <w:rsid w:val="29602F86"/>
    <w:rsid w:val="2960CAB7"/>
    <w:rsid w:val="296397DF"/>
    <w:rsid w:val="29640951"/>
    <w:rsid w:val="29656B8F"/>
    <w:rsid w:val="29660F59"/>
    <w:rsid w:val="296ADE8E"/>
    <w:rsid w:val="296B1232"/>
    <w:rsid w:val="296F2CBB"/>
    <w:rsid w:val="29700238"/>
    <w:rsid w:val="297129AF"/>
    <w:rsid w:val="2972A730"/>
    <w:rsid w:val="29738799"/>
    <w:rsid w:val="29745756"/>
    <w:rsid w:val="2974BA86"/>
    <w:rsid w:val="2976261D"/>
    <w:rsid w:val="29765DEE"/>
    <w:rsid w:val="29777415"/>
    <w:rsid w:val="29791EA2"/>
    <w:rsid w:val="297CAF9A"/>
    <w:rsid w:val="297D593E"/>
    <w:rsid w:val="297EBE07"/>
    <w:rsid w:val="298046CE"/>
    <w:rsid w:val="29817C8A"/>
    <w:rsid w:val="298375A4"/>
    <w:rsid w:val="2984ED88"/>
    <w:rsid w:val="29862A93"/>
    <w:rsid w:val="2987D1F1"/>
    <w:rsid w:val="298A8FA5"/>
    <w:rsid w:val="298B7BD7"/>
    <w:rsid w:val="298E173E"/>
    <w:rsid w:val="298F43C5"/>
    <w:rsid w:val="298FAACF"/>
    <w:rsid w:val="2991819B"/>
    <w:rsid w:val="2991A0F9"/>
    <w:rsid w:val="2991AA3F"/>
    <w:rsid w:val="2994F4C2"/>
    <w:rsid w:val="29952C84"/>
    <w:rsid w:val="299A50E7"/>
    <w:rsid w:val="299D2ECD"/>
    <w:rsid w:val="299D59B2"/>
    <w:rsid w:val="29A5984D"/>
    <w:rsid w:val="29A73D8E"/>
    <w:rsid w:val="29B1CD2C"/>
    <w:rsid w:val="29B2F9F6"/>
    <w:rsid w:val="29B57EEC"/>
    <w:rsid w:val="29B6600F"/>
    <w:rsid w:val="29B968AC"/>
    <w:rsid w:val="29B9F4FD"/>
    <w:rsid w:val="29BC668C"/>
    <w:rsid w:val="29BDDD7A"/>
    <w:rsid w:val="29BF1F7A"/>
    <w:rsid w:val="29C1B97A"/>
    <w:rsid w:val="29C21AE3"/>
    <w:rsid w:val="29C2758D"/>
    <w:rsid w:val="29C3790A"/>
    <w:rsid w:val="29C7AF6B"/>
    <w:rsid w:val="29C7D545"/>
    <w:rsid w:val="29C7E7F4"/>
    <w:rsid w:val="29C8F8CF"/>
    <w:rsid w:val="29C91F4C"/>
    <w:rsid w:val="29CA30CB"/>
    <w:rsid w:val="29CB4FF7"/>
    <w:rsid w:val="29CB5B60"/>
    <w:rsid w:val="29CDEE6E"/>
    <w:rsid w:val="29D0BC24"/>
    <w:rsid w:val="29D108A1"/>
    <w:rsid w:val="29D1AB45"/>
    <w:rsid w:val="29D3DAE9"/>
    <w:rsid w:val="29D4961B"/>
    <w:rsid w:val="29D6E946"/>
    <w:rsid w:val="29D93FF4"/>
    <w:rsid w:val="29D9B9FA"/>
    <w:rsid w:val="29DB3350"/>
    <w:rsid w:val="29DE4554"/>
    <w:rsid w:val="29E2E4B5"/>
    <w:rsid w:val="29E32C7E"/>
    <w:rsid w:val="29E3FDA5"/>
    <w:rsid w:val="29EA91F9"/>
    <w:rsid w:val="29ED67CB"/>
    <w:rsid w:val="29EE1C98"/>
    <w:rsid w:val="29EE4C11"/>
    <w:rsid w:val="29EF0DB6"/>
    <w:rsid w:val="29EF71C9"/>
    <w:rsid w:val="29F1DE05"/>
    <w:rsid w:val="29F3891F"/>
    <w:rsid w:val="29F6A25B"/>
    <w:rsid w:val="29F6BDB5"/>
    <w:rsid w:val="29F73AB9"/>
    <w:rsid w:val="29F9D945"/>
    <w:rsid w:val="29FAA0F8"/>
    <w:rsid w:val="29FAB01B"/>
    <w:rsid w:val="29FB6433"/>
    <w:rsid w:val="29FC6421"/>
    <w:rsid w:val="29FCBC32"/>
    <w:rsid w:val="29FDF634"/>
    <w:rsid w:val="2A03CF3F"/>
    <w:rsid w:val="2A0DC0AC"/>
    <w:rsid w:val="2A0E519B"/>
    <w:rsid w:val="2A110936"/>
    <w:rsid w:val="2A12243B"/>
    <w:rsid w:val="2A1418E5"/>
    <w:rsid w:val="2A16405D"/>
    <w:rsid w:val="2A167713"/>
    <w:rsid w:val="2A16C563"/>
    <w:rsid w:val="2A1A023A"/>
    <w:rsid w:val="2A1D2B16"/>
    <w:rsid w:val="2A1D9EB1"/>
    <w:rsid w:val="2A20316D"/>
    <w:rsid w:val="2A2310E8"/>
    <w:rsid w:val="2A23B466"/>
    <w:rsid w:val="2A24AD91"/>
    <w:rsid w:val="2A2536CF"/>
    <w:rsid w:val="2A26EBE2"/>
    <w:rsid w:val="2A280E2E"/>
    <w:rsid w:val="2A288876"/>
    <w:rsid w:val="2A29881E"/>
    <w:rsid w:val="2A2A06B6"/>
    <w:rsid w:val="2A2A4A1F"/>
    <w:rsid w:val="2A2B99B5"/>
    <w:rsid w:val="2A2CD0B0"/>
    <w:rsid w:val="2A2D5112"/>
    <w:rsid w:val="2A2E13B8"/>
    <w:rsid w:val="2A2EF549"/>
    <w:rsid w:val="2A2F2C51"/>
    <w:rsid w:val="2A2F844D"/>
    <w:rsid w:val="2A319D55"/>
    <w:rsid w:val="2A31AA61"/>
    <w:rsid w:val="2A3746DC"/>
    <w:rsid w:val="2A3D2D93"/>
    <w:rsid w:val="2A3DAC0E"/>
    <w:rsid w:val="2A44E986"/>
    <w:rsid w:val="2A456EF8"/>
    <w:rsid w:val="2A490765"/>
    <w:rsid w:val="2A4C21A7"/>
    <w:rsid w:val="2A4CC93C"/>
    <w:rsid w:val="2A4D461D"/>
    <w:rsid w:val="2A54B6A9"/>
    <w:rsid w:val="2A592F80"/>
    <w:rsid w:val="2A5CDBD9"/>
    <w:rsid w:val="2A5CFE00"/>
    <w:rsid w:val="2A5F20C8"/>
    <w:rsid w:val="2A600149"/>
    <w:rsid w:val="2A604DE2"/>
    <w:rsid w:val="2A619B79"/>
    <w:rsid w:val="2A628328"/>
    <w:rsid w:val="2A63E502"/>
    <w:rsid w:val="2A65A6E1"/>
    <w:rsid w:val="2A69C6CC"/>
    <w:rsid w:val="2A6BC458"/>
    <w:rsid w:val="2A6EE36E"/>
    <w:rsid w:val="2A6FDA8E"/>
    <w:rsid w:val="2A70D0B4"/>
    <w:rsid w:val="2A71FDE5"/>
    <w:rsid w:val="2A728B82"/>
    <w:rsid w:val="2A755B48"/>
    <w:rsid w:val="2A75BFBA"/>
    <w:rsid w:val="2A75E87D"/>
    <w:rsid w:val="2A76EF1A"/>
    <w:rsid w:val="2A77F9E5"/>
    <w:rsid w:val="2A780599"/>
    <w:rsid w:val="2A7A3B98"/>
    <w:rsid w:val="2A7BC148"/>
    <w:rsid w:val="2A8059E8"/>
    <w:rsid w:val="2A80EE6D"/>
    <w:rsid w:val="2A812690"/>
    <w:rsid w:val="2A81BBB3"/>
    <w:rsid w:val="2A889E76"/>
    <w:rsid w:val="2A88E388"/>
    <w:rsid w:val="2A8B3539"/>
    <w:rsid w:val="2A8C3865"/>
    <w:rsid w:val="2A8C768B"/>
    <w:rsid w:val="2A8C7E92"/>
    <w:rsid w:val="2A8D4F64"/>
    <w:rsid w:val="2A8F034F"/>
    <w:rsid w:val="2A951F8E"/>
    <w:rsid w:val="2A95F187"/>
    <w:rsid w:val="2A964D9A"/>
    <w:rsid w:val="2A9775E9"/>
    <w:rsid w:val="2A98296F"/>
    <w:rsid w:val="2A99924B"/>
    <w:rsid w:val="2A99E0C2"/>
    <w:rsid w:val="2A9AEB4E"/>
    <w:rsid w:val="2A9BE2D7"/>
    <w:rsid w:val="2A9C4230"/>
    <w:rsid w:val="2A9D6674"/>
    <w:rsid w:val="2A9E32DB"/>
    <w:rsid w:val="2A9F03FB"/>
    <w:rsid w:val="2AA25860"/>
    <w:rsid w:val="2AA27643"/>
    <w:rsid w:val="2AA35F8C"/>
    <w:rsid w:val="2AA48C36"/>
    <w:rsid w:val="2AA5E558"/>
    <w:rsid w:val="2AA90281"/>
    <w:rsid w:val="2AA98FFC"/>
    <w:rsid w:val="2AAB1DE0"/>
    <w:rsid w:val="2AAF0C53"/>
    <w:rsid w:val="2AB0254C"/>
    <w:rsid w:val="2AB0BC8C"/>
    <w:rsid w:val="2AB3FBB8"/>
    <w:rsid w:val="2AB408BD"/>
    <w:rsid w:val="2AB4D0E3"/>
    <w:rsid w:val="2AB82F9C"/>
    <w:rsid w:val="2ABC04F3"/>
    <w:rsid w:val="2ABE9E14"/>
    <w:rsid w:val="2AC38FD9"/>
    <w:rsid w:val="2AC44598"/>
    <w:rsid w:val="2AC5EC19"/>
    <w:rsid w:val="2AC8C11C"/>
    <w:rsid w:val="2ACA8C51"/>
    <w:rsid w:val="2ACB8907"/>
    <w:rsid w:val="2ACE0567"/>
    <w:rsid w:val="2ACEF61F"/>
    <w:rsid w:val="2AD062CE"/>
    <w:rsid w:val="2AD78BBC"/>
    <w:rsid w:val="2ADAAF19"/>
    <w:rsid w:val="2ADB7120"/>
    <w:rsid w:val="2ADB801B"/>
    <w:rsid w:val="2AE12CCB"/>
    <w:rsid w:val="2AE8EE95"/>
    <w:rsid w:val="2AE90A8A"/>
    <w:rsid w:val="2AED14F1"/>
    <w:rsid w:val="2AEE182F"/>
    <w:rsid w:val="2AF1C76A"/>
    <w:rsid w:val="2AF2D8AE"/>
    <w:rsid w:val="2AF38C73"/>
    <w:rsid w:val="2AF4B411"/>
    <w:rsid w:val="2AF6CBE6"/>
    <w:rsid w:val="2AF72D7F"/>
    <w:rsid w:val="2AF7E6E0"/>
    <w:rsid w:val="2AF825E8"/>
    <w:rsid w:val="2AF8A165"/>
    <w:rsid w:val="2AFB573E"/>
    <w:rsid w:val="2AFD64D0"/>
    <w:rsid w:val="2AFEDC85"/>
    <w:rsid w:val="2B010881"/>
    <w:rsid w:val="2B048613"/>
    <w:rsid w:val="2B06C80A"/>
    <w:rsid w:val="2B0837B9"/>
    <w:rsid w:val="2B089EC1"/>
    <w:rsid w:val="2B093D0D"/>
    <w:rsid w:val="2B0EE781"/>
    <w:rsid w:val="2B0FC748"/>
    <w:rsid w:val="2B157319"/>
    <w:rsid w:val="2B18E9D3"/>
    <w:rsid w:val="2B19B8A0"/>
    <w:rsid w:val="2B1B3BAE"/>
    <w:rsid w:val="2B26226D"/>
    <w:rsid w:val="2B26EBA1"/>
    <w:rsid w:val="2B2767D7"/>
    <w:rsid w:val="2B2D0A62"/>
    <w:rsid w:val="2B312273"/>
    <w:rsid w:val="2B336EAB"/>
    <w:rsid w:val="2B34778D"/>
    <w:rsid w:val="2B34963F"/>
    <w:rsid w:val="2B383437"/>
    <w:rsid w:val="2B38BEE1"/>
    <w:rsid w:val="2B39DBAC"/>
    <w:rsid w:val="2B3B3671"/>
    <w:rsid w:val="2B3BBC3B"/>
    <w:rsid w:val="2B3F8DC9"/>
    <w:rsid w:val="2B40A6A6"/>
    <w:rsid w:val="2B4100B5"/>
    <w:rsid w:val="2B410D1D"/>
    <w:rsid w:val="2B426C41"/>
    <w:rsid w:val="2B445B81"/>
    <w:rsid w:val="2B456404"/>
    <w:rsid w:val="2B468C48"/>
    <w:rsid w:val="2B482550"/>
    <w:rsid w:val="2B4ADD27"/>
    <w:rsid w:val="2B4C1EAB"/>
    <w:rsid w:val="2B4D092C"/>
    <w:rsid w:val="2B50FE2F"/>
    <w:rsid w:val="2B55BE7F"/>
    <w:rsid w:val="2B55D6FF"/>
    <w:rsid w:val="2B59BB1A"/>
    <w:rsid w:val="2B59DE49"/>
    <w:rsid w:val="2B5B139E"/>
    <w:rsid w:val="2B5BE32C"/>
    <w:rsid w:val="2B5FED0C"/>
    <w:rsid w:val="2B60909F"/>
    <w:rsid w:val="2B629603"/>
    <w:rsid w:val="2B62A1F4"/>
    <w:rsid w:val="2B639583"/>
    <w:rsid w:val="2B64E0F4"/>
    <w:rsid w:val="2B65E0FF"/>
    <w:rsid w:val="2B6E3742"/>
    <w:rsid w:val="2B71DDF8"/>
    <w:rsid w:val="2B750FC1"/>
    <w:rsid w:val="2B76C19A"/>
    <w:rsid w:val="2B7ADB16"/>
    <w:rsid w:val="2B7CE110"/>
    <w:rsid w:val="2B7D5E57"/>
    <w:rsid w:val="2B7FACD5"/>
    <w:rsid w:val="2B8687E7"/>
    <w:rsid w:val="2B8782DF"/>
    <w:rsid w:val="2B87F6D6"/>
    <w:rsid w:val="2B8A21BD"/>
    <w:rsid w:val="2B8ECBCF"/>
    <w:rsid w:val="2B923ABE"/>
    <w:rsid w:val="2B92FCE4"/>
    <w:rsid w:val="2B938D46"/>
    <w:rsid w:val="2B9443FE"/>
    <w:rsid w:val="2B94D6B7"/>
    <w:rsid w:val="2B95333B"/>
    <w:rsid w:val="2B97ADF7"/>
    <w:rsid w:val="2B9B2901"/>
    <w:rsid w:val="2BA09009"/>
    <w:rsid w:val="2BA0B8D4"/>
    <w:rsid w:val="2BA18009"/>
    <w:rsid w:val="2BA19FD6"/>
    <w:rsid w:val="2BA1E885"/>
    <w:rsid w:val="2BA59D47"/>
    <w:rsid w:val="2BAAE7C5"/>
    <w:rsid w:val="2BAD0847"/>
    <w:rsid w:val="2BB45AE5"/>
    <w:rsid w:val="2BB56C8A"/>
    <w:rsid w:val="2BB757C0"/>
    <w:rsid w:val="2BBB9B01"/>
    <w:rsid w:val="2BBCE871"/>
    <w:rsid w:val="2BBD0761"/>
    <w:rsid w:val="2BBD47A9"/>
    <w:rsid w:val="2BBE819E"/>
    <w:rsid w:val="2BBE93EC"/>
    <w:rsid w:val="2BBF34F0"/>
    <w:rsid w:val="2BC10A57"/>
    <w:rsid w:val="2BC18371"/>
    <w:rsid w:val="2BC28B75"/>
    <w:rsid w:val="2BC443DA"/>
    <w:rsid w:val="2BC4A453"/>
    <w:rsid w:val="2BC4EE82"/>
    <w:rsid w:val="2BC673EB"/>
    <w:rsid w:val="2BC8A9AA"/>
    <w:rsid w:val="2BCAD50C"/>
    <w:rsid w:val="2BD1CDA3"/>
    <w:rsid w:val="2BD63285"/>
    <w:rsid w:val="2BD701A2"/>
    <w:rsid w:val="2BD803A4"/>
    <w:rsid w:val="2BD9BD9C"/>
    <w:rsid w:val="2BDA11DB"/>
    <w:rsid w:val="2BDA4B22"/>
    <w:rsid w:val="2BDF60AB"/>
    <w:rsid w:val="2BDF6C48"/>
    <w:rsid w:val="2BE1879A"/>
    <w:rsid w:val="2BE2C08A"/>
    <w:rsid w:val="2BE2DA23"/>
    <w:rsid w:val="2BE3C97E"/>
    <w:rsid w:val="2BE61D12"/>
    <w:rsid w:val="2BED01BF"/>
    <w:rsid w:val="2BED4F8B"/>
    <w:rsid w:val="2BEE7C83"/>
    <w:rsid w:val="2BEE80B0"/>
    <w:rsid w:val="2BF04F99"/>
    <w:rsid w:val="2BF2657B"/>
    <w:rsid w:val="2BF4B391"/>
    <w:rsid w:val="2BF59EEC"/>
    <w:rsid w:val="2BF72E90"/>
    <w:rsid w:val="2BFAFFD7"/>
    <w:rsid w:val="2BFD6F4D"/>
    <w:rsid w:val="2BFD9355"/>
    <w:rsid w:val="2C02E52E"/>
    <w:rsid w:val="2C035318"/>
    <w:rsid w:val="2C041BBE"/>
    <w:rsid w:val="2C07206D"/>
    <w:rsid w:val="2C0980FA"/>
    <w:rsid w:val="2C09E33A"/>
    <w:rsid w:val="2C0B9F60"/>
    <w:rsid w:val="2C0C101E"/>
    <w:rsid w:val="2C149A8E"/>
    <w:rsid w:val="2C1991C9"/>
    <w:rsid w:val="2C1EB2D1"/>
    <w:rsid w:val="2C1F290A"/>
    <w:rsid w:val="2C224549"/>
    <w:rsid w:val="2C2420A7"/>
    <w:rsid w:val="2C25FF32"/>
    <w:rsid w:val="2C262199"/>
    <w:rsid w:val="2C28A100"/>
    <w:rsid w:val="2C2DFC87"/>
    <w:rsid w:val="2C32AB21"/>
    <w:rsid w:val="2C32B392"/>
    <w:rsid w:val="2C338E84"/>
    <w:rsid w:val="2C38AC81"/>
    <w:rsid w:val="2C3BEC42"/>
    <w:rsid w:val="2C3EBADC"/>
    <w:rsid w:val="2C3EFA34"/>
    <w:rsid w:val="2C416CDF"/>
    <w:rsid w:val="2C41F0E4"/>
    <w:rsid w:val="2C459537"/>
    <w:rsid w:val="2C45D754"/>
    <w:rsid w:val="2C47A6AA"/>
    <w:rsid w:val="2C4FD159"/>
    <w:rsid w:val="2C51D837"/>
    <w:rsid w:val="2C528583"/>
    <w:rsid w:val="2C532D49"/>
    <w:rsid w:val="2C546B92"/>
    <w:rsid w:val="2C550E47"/>
    <w:rsid w:val="2C574CAC"/>
    <w:rsid w:val="2C5A439C"/>
    <w:rsid w:val="2C5B770A"/>
    <w:rsid w:val="2C602A51"/>
    <w:rsid w:val="2C6081F0"/>
    <w:rsid w:val="2C60B867"/>
    <w:rsid w:val="2C6257E6"/>
    <w:rsid w:val="2C64001A"/>
    <w:rsid w:val="2C646E2C"/>
    <w:rsid w:val="2C64832F"/>
    <w:rsid w:val="2C68B7DA"/>
    <w:rsid w:val="2C6927E0"/>
    <w:rsid w:val="2C6BA4C3"/>
    <w:rsid w:val="2C6C5882"/>
    <w:rsid w:val="2C6DF3FD"/>
    <w:rsid w:val="2C6EB6C1"/>
    <w:rsid w:val="2C70B5BE"/>
    <w:rsid w:val="2C7154DF"/>
    <w:rsid w:val="2C7482E9"/>
    <w:rsid w:val="2C7705DA"/>
    <w:rsid w:val="2C77A995"/>
    <w:rsid w:val="2C7BBC99"/>
    <w:rsid w:val="2C7DD89A"/>
    <w:rsid w:val="2C7ED448"/>
    <w:rsid w:val="2C7EE3AF"/>
    <w:rsid w:val="2C7F0DEB"/>
    <w:rsid w:val="2C814E5B"/>
    <w:rsid w:val="2C8165B5"/>
    <w:rsid w:val="2C831850"/>
    <w:rsid w:val="2C85CC7A"/>
    <w:rsid w:val="2C8B84E8"/>
    <w:rsid w:val="2C8FCC7D"/>
    <w:rsid w:val="2C980D66"/>
    <w:rsid w:val="2C9B730E"/>
    <w:rsid w:val="2C9BC3D9"/>
    <w:rsid w:val="2C9E8C6B"/>
    <w:rsid w:val="2C9F36D0"/>
    <w:rsid w:val="2CA0405B"/>
    <w:rsid w:val="2CA6A606"/>
    <w:rsid w:val="2CA7743D"/>
    <w:rsid w:val="2CAB0F0F"/>
    <w:rsid w:val="2CACDA9F"/>
    <w:rsid w:val="2CAE90B7"/>
    <w:rsid w:val="2CAFC4DC"/>
    <w:rsid w:val="2CB38386"/>
    <w:rsid w:val="2CB495B4"/>
    <w:rsid w:val="2CB59FCB"/>
    <w:rsid w:val="2CB91E2C"/>
    <w:rsid w:val="2CBA9CE0"/>
    <w:rsid w:val="2CBABA64"/>
    <w:rsid w:val="2CBB72E6"/>
    <w:rsid w:val="2CBBB61C"/>
    <w:rsid w:val="2CBE532D"/>
    <w:rsid w:val="2CC13C78"/>
    <w:rsid w:val="2CC5E52B"/>
    <w:rsid w:val="2CC63D92"/>
    <w:rsid w:val="2CC69ACB"/>
    <w:rsid w:val="2CC7D42D"/>
    <w:rsid w:val="2CC8891D"/>
    <w:rsid w:val="2CC984B6"/>
    <w:rsid w:val="2CCDBB94"/>
    <w:rsid w:val="2CD14E86"/>
    <w:rsid w:val="2CD7EBF8"/>
    <w:rsid w:val="2CD93AA7"/>
    <w:rsid w:val="2CDAB3D6"/>
    <w:rsid w:val="2CDBB5F0"/>
    <w:rsid w:val="2CDC5342"/>
    <w:rsid w:val="2CDCB01D"/>
    <w:rsid w:val="2CDD3C93"/>
    <w:rsid w:val="2CE043AD"/>
    <w:rsid w:val="2CE24B17"/>
    <w:rsid w:val="2CE3B083"/>
    <w:rsid w:val="2CE4334E"/>
    <w:rsid w:val="2CE4BAEE"/>
    <w:rsid w:val="2CE50941"/>
    <w:rsid w:val="2CE5CE10"/>
    <w:rsid w:val="2CE84BCA"/>
    <w:rsid w:val="2CEA6B3F"/>
    <w:rsid w:val="2CEE5622"/>
    <w:rsid w:val="2CF09FD1"/>
    <w:rsid w:val="2CF1FB61"/>
    <w:rsid w:val="2CF2EB03"/>
    <w:rsid w:val="2CF2FC87"/>
    <w:rsid w:val="2CF6A75D"/>
    <w:rsid w:val="2CF6DF0A"/>
    <w:rsid w:val="2CF7881A"/>
    <w:rsid w:val="2CF7CEFB"/>
    <w:rsid w:val="2CFAEDCF"/>
    <w:rsid w:val="2CFDD1B4"/>
    <w:rsid w:val="2CFEAC4B"/>
    <w:rsid w:val="2D00E54D"/>
    <w:rsid w:val="2D0157A8"/>
    <w:rsid w:val="2D032F5D"/>
    <w:rsid w:val="2D0370D0"/>
    <w:rsid w:val="2D04FB63"/>
    <w:rsid w:val="2D085FFC"/>
    <w:rsid w:val="2D0A2AC7"/>
    <w:rsid w:val="2D0E2799"/>
    <w:rsid w:val="2D13A9AF"/>
    <w:rsid w:val="2D142576"/>
    <w:rsid w:val="2D14412C"/>
    <w:rsid w:val="2D15327D"/>
    <w:rsid w:val="2D16C752"/>
    <w:rsid w:val="2D17A9B1"/>
    <w:rsid w:val="2D1FF64D"/>
    <w:rsid w:val="2D20AEA5"/>
    <w:rsid w:val="2D20D29E"/>
    <w:rsid w:val="2D23D4E2"/>
    <w:rsid w:val="2D278CA0"/>
    <w:rsid w:val="2D27DD51"/>
    <w:rsid w:val="2D2BA681"/>
    <w:rsid w:val="2D2BAD1B"/>
    <w:rsid w:val="2D2BB957"/>
    <w:rsid w:val="2D2DCA06"/>
    <w:rsid w:val="2D2EF7D8"/>
    <w:rsid w:val="2D2F918A"/>
    <w:rsid w:val="2D3037E6"/>
    <w:rsid w:val="2D312A77"/>
    <w:rsid w:val="2D31E319"/>
    <w:rsid w:val="2D370F30"/>
    <w:rsid w:val="2D3D0A81"/>
    <w:rsid w:val="2D3E8562"/>
    <w:rsid w:val="2D40824E"/>
    <w:rsid w:val="2D452B82"/>
    <w:rsid w:val="2D47147E"/>
    <w:rsid w:val="2D478FA8"/>
    <w:rsid w:val="2D48344F"/>
    <w:rsid w:val="2D4AADD3"/>
    <w:rsid w:val="2D4B055C"/>
    <w:rsid w:val="2D4E4DFC"/>
    <w:rsid w:val="2D4F0B65"/>
    <w:rsid w:val="2D4F43F8"/>
    <w:rsid w:val="2D5065F3"/>
    <w:rsid w:val="2D50C682"/>
    <w:rsid w:val="2D537050"/>
    <w:rsid w:val="2D54219D"/>
    <w:rsid w:val="2D5570BF"/>
    <w:rsid w:val="2D57B099"/>
    <w:rsid w:val="2D59E1A5"/>
    <w:rsid w:val="2D5A0D4D"/>
    <w:rsid w:val="2D5E4E13"/>
    <w:rsid w:val="2D605085"/>
    <w:rsid w:val="2D65E7E6"/>
    <w:rsid w:val="2D65EB80"/>
    <w:rsid w:val="2D66C3BF"/>
    <w:rsid w:val="2D674CD6"/>
    <w:rsid w:val="2D6972B7"/>
    <w:rsid w:val="2D6A64D8"/>
    <w:rsid w:val="2D6BC70B"/>
    <w:rsid w:val="2D6DCA2E"/>
    <w:rsid w:val="2D6E1E2B"/>
    <w:rsid w:val="2D6E8800"/>
    <w:rsid w:val="2D72644C"/>
    <w:rsid w:val="2D73790F"/>
    <w:rsid w:val="2D7459EB"/>
    <w:rsid w:val="2D78A17B"/>
    <w:rsid w:val="2D78F04C"/>
    <w:rsid w:val="2D7A2DCD"/>
    <w:rsid w:val="2D7C279C"/>
    <w:rsid w:val="2D7F0C64"/>
    <w:rsid w:val="2D82F8AA"/>
    <w:rsid w:val="2D836465"/>
    <w:rsid w:val="2D84B18F"/>
    <w:rsid w:val="2D8606E4"/>
    <w:rsid w:val="2D8712D9"/>
    <w:rsid w:val="2D878BE2"/>
    <w:rsid w:val="2D8934C6"/>
    <w:rsid w:val="2D90F98D"/>
    <w:rsid w:val="2D92C734"/>
    <w:rsid w:val="2D9518C0"/>
    <w:rsid w:val="2D95F356"/>
    <w:rsid w:val="2D9A2242"/>
    <w:rsid w:val="2D9B25FA"/>
    <w:rsid w:val="2D9E1FE9"/>
    <w:rsid w:val="2D9EE941"/>
    <w:rsid w:val="2D9FA71B"/>
    <w:rsid w:val="2D9FC4D8"/>
    <w:rsid w:val="2DA318BE"/>
    <w:rsid w:val="2DA3D680"/>
    <w:rsid w:val="2DA53BD0"/>
    <w:rsid w:val="2DA780E5"/>
    <w:rsid w:val="2DB09206"/>
    <w:rsid w:val="2DB10603"/>
    <w:rsid w:val="2DB44B80"/>
    <w:rsid w:val="2DB6DB9A"/>
    <w:rsid w:val="2DB78063"/>
    <w:rsid w:val="2DBEB822"/>
    <w:rsid w:val="2DC06BD6"/>
    <w:rsid w:val="2DC09489"/>
    <w:rsid w:val="2DC88BD8"/>
    <w:rsid w:val="2DCC2283"/>
    <w:rsid w:val="2DD1C861"/>
    <w:rsid w:val="2DD1E29B"/>
    <w:rsid w:val="2DD384AD"/>
    <w:rsid w:val="2DD4EDEA"/>
    <w:rsid w:val="2DD5AB8E"/>
    <w:rsid w:val="2DD5EC00"/>
    <w:rsid w:val="2DD6FB9B"/>
    <w:rsid w:val="2DDCCB1B"/>
    <w:rsid w:val="2DDD3AA6"/>
    <w:rsid w:val="2DE3EFA0"/>
    <w:rsid w:val="2DE73FC7"/>
    <w:rsid w:val="2DE97448"/>
    <w:rsid w:val="2DEA6C22"/>
    <w:rsid w:val="2DEB0DE1"/>
    <w:rsid w:val="2DEBBE94"/>
    <w:rsid w:val="2DECD709"/>
    <w:rsid w:val="2DED105C"/>
    <w:rsid w:val="2DEF2EF1"/>
    <w:rsid w:val="2DF1F7BA"/>
    <w:rsid w:val="2DF21E70"/>
    <w:rsid w:val="2DF3759B"/>
    <w:rsid w:val="2DF3B98E"/>
    <w:rsid w:val="2DF3E9E2"/>
    <w:rsid w:val="2DF411D1"/>
    <w:rsid w:val="2DF41880"/>
    <w:rsid w:val="2DF4E69F"/>
    <w:rsid w:val="2DF4FC33"/>
    <w:rsid w:val="2DF80930"/>
    <w:rsid w:val="2DFB4254"/>
    <w:rsid w:val="2DFB76F2"/>
    <w:rsid w:val="2DFC250A"/>
    <w:rsid w:val="2DFE47B9"/>
    <w:rsid w:val="2DFF1CC6"/>
    <w:rsid w:val="2DFF7491"/>
    <w:rsid w:val="2DFFB243"/>
    <w:rsid w:val="2E0202C1"/>
    <w:rsid w:val="2E0343C7"/>
    <w:rsid w:val="2E04CCE6"/>
    <w:rsid w:val="2E0510A9"/>
    <w:rsid w:val="2E0749F0"/>
    <w:rsid w:val="2E0EFB3A"/>
    <w:rsid w:val="2E0F1324"/>
    <w:rsid w:val="2E0F6FBB"/>
    <w:rsid w:val="2E0FA36E"/>
    <w:rsid w:val="2E111C8C"/>
    <w:rsid w:val="2E14E088"/>
    <w:rsid w:val="2E1594A5"/>
    <w:rsid w:val="2E17B453"/>
    <w:rsid w:val="2E181EEB"/>
    <w:rsid w:val="2E1BB703"/>
    <w:rsid w:val="2E1E84CD"/>
    <w:rsid w:val="2E2049FC"/>
    <w:rsid w:val="2E23BB72"/>
    <w:rsid w:val="2E261ABA"/>
    <w:rsid w:val="2E26CD42"/>
    <w:rsid w:val="2E27CC2D"/>
    <w:rsid w:val="2E283855"/>
    <w:rsid w:val="2E293D5A"/>
    <w:rsid w:val="2E2AF6A7"/>
    <w:rsid w:val="2E2E47D3"/>
    <w:rsid w:val="2E2F4146"/>
    <w:rsid w:val="2E3016DB"/>
    <w:rsid w:val="2E319E23"/>
    <w:rsid w:val="2E34B732"/>
    <w:rsid w:val="2E350447"/>
    <w:rsid w:val="2E38DAFC"/>
    <w:rsid w:val="2E3C2A0F"/>
    <w:rsid w:val="2E3CAD76"/>
    <w:rsid w:val="2E3D6C2B"/>
    <w:rsid w:val="2E403213"/>
    <w:rsid w:val="2E409E45"/>
    <w:rsid w:val="2E49D2ED"/>
    <w:rsid w:val="2E4CED97"/>
    <w:rsid w:val="2E4D6B76"/>
    <w:rsid w:val="2E4D8168"/>
    <w:rsid w:val="2E522FCD"/>
    <w:rsid w:val="2E53A1D2"/>
    <w:rsid w:val="2E54E20B"/>
    <w:rsid w:val="2E570D6E"/>
    <w:rsid w:val="2E5877A4"/>
    <w:rsid w:val="2E59A816"/>
    <w:rsid w:val="2E59C90D"/>
    <w:rsid w:val="2E60C41B"/>
    <w:rsid w:val="2E6166DF"/>
    <w:rsid w:val="2E64820B"/>
    <w:rsid w:val="2E651A83"/>
    <w:rsid w:val="2E65F7E3"/>
    <w:rsid w:val="2E662CD0"/>
    <w:rsid w:val="2E677670"/>
    <w:rsid w:val="2E679FCF"/>
    <w:rsid w:val="2E69ADB2"/>
    <w:rsid w:val="2E69EDAB"/>
    <w:rsid w:val="2E6CF207"/>
    <w:rsid w:val="2E6E14C6"/>
    <w:rsid w:val="2E6EB45D"/>
    <w:rsid w:val="2E6FBF64"/>
    <w:rsid w:val="2E72B2EB"/>
    <w:rsid w:val="2E7499FA"/>
    <w:rsid w:val="2E78DF73"/>
    <w:rsid w:val="2E7CBE5B"/>
    <w:rsid w:val="2E7FE603"/>
    <w:rsid w:val="2E83DF9F"/>
    <w:rsid w:val="2E849AD0"/>
    <w:rsid w:val="2E85F2A9"/>
    <w:rsid w:val="2E8741DC"/>
    <w:rsid w:val="2E899348"/>
    <w:rsid w:val="2E89B7D7"/>
    <w:rsid w:val="2E89B91D"/>
    <w:rsid w:val="2E89FD75"/>
    <w:rsid w:val="2E8A74B8"/>
    <w:rsid w:val="2E922BB9"/>
    <w:rsid w:val="2E935070"/>
    <w:rsid w:val="2E937A1A"/>
    <w:rsid w:val="2E93D314"/>
    <w:rsid w:val="2E956FCB"/>
    <w:rsid w:val="2E9823B1"/>
    <w:rsid w:val="2E9B229B"/>
    <w:rsid w:val="2E9DFC7B"/>
    <w:rsid w:val="2EA22F57"/>
    <w:rsid w:val="2EA24C10"/>
    <w:rsid w:val="2EA4C623"/>
    <w:rsid w:val="2EA8BFE5"/>
    <w:rsid w:val="2EAE7BF2"/>
    <w:rsid w:val="2EB24164"/>
    <w:rsid w:val="2EB2F552"/>
    <w:rsid w:val="2EB43D1D"/>
    <w:rsid w:val="2EB5B67B"/>
    <w:rsid w:val="2EB70FD8"/>
    <w:rsid w:val="2EB79BD3"/>
    <w:rsid w:val="2EBA4611"/>
    <w:rsid w:val="2EBBA4F6"/>
    <w:rsid w:val="2EBD5189"/>
    <w:rsid w:val="2EBDEAE4"/>
    <w:rsid w:val="2EBE7B78"/>
    <w:rsid w:val="2EBF26F9"/>
    <w:rsid w:val="2EC63082"/>
    <w:rsid w:val="2EC63725"/>
    <w:rsid w:val="2EC78263"/>
    <w:rsid w:val="2ECA977D"/>
    <w:rsid w:val="2ECA9B46"/>
    <w:rsid w:val="2ED2C633"/>
    <w:rsid w:val="2ED546D4"/>
    <w:rsid w:val="2ED5A6B0"/>
    <w:rsid w:val="2ED71DAE"/>
    <w:rsid w:val="2ED74D44"/>
    <w:rsid w:val="2ED8824A"/>
    <w:rsid w:val="2EDDD74E"/>
    <w:rsid w:val="2EDEB996"/>
    <w:rsid w:val="2EDF96E7"/>
    <w:rsid w:val="2EE004F9"/>
    <w:rsid w:val="2EE06B5A"/>
    <w:rsid w:val="2EE14BBE"/>
    <w:rsid w:val="2EE28E45"/>
    <w:rsid w:val="2EE3477B"/>
    <w:rsid w:val="2EE3778A"/>
    <w:rsid w:val="2EE42A4E"/>
    <w:rsid w:val="2EE5F148"/>
    <w:rsid w:val="2EE5FE31"/>
    <w:rsid w:val="2EE92282"/>
    <w:rsid w:val="2EEB41C0"/>
    <w:rsid w:val="2EEC58A1"/>
    <w:rsid w:val="2EECF2E1"/>
    <w:rsid w:val="2EEE8F61"/>
    <w:rsid w:val="2EEF1709"/>
    <w:rsid w:val="2EEFA923"/>
    <w:rsid w:val="2EEFC89A"/>
    <w:rsid w:val="2EF12D4D"/>
    <w:rsid w:val="2EF23034"/>
    <w:rsid w:val="2EF28841"/>
    <w:rsid w:val="2EF2E349"/>
    <w:rsid w:val="2EF4938F"/>
    <w:rsid w:val="2EF4CE0B"/>
    <w:rsid w:val="2EF575E6"/>
    <w:rsid w:val="2EF5F52D"/>
    <w:rsid w:val="2EFAC72C"/>
    <w:rsid w:val="2EFBC2CF"/>
    <w:rsid w:val="2EFC5381"/>
    <w:rsid w:val="2EFC7414"/>
    <w:rsid w:val="2EFD90CD"/>
    <w:rsid w:val="2EFDD8E2"/>
    <w:rsid w:val="2F041932"/>
    <w:rsid w:val="2F05E3D2"/>
    <w:rsid w:val="2F063402"/>
    <w:rsid w:val="2F080817"/>
    <w:rsid w:val="2F0D7179"/>
    <w:rsid w:val="2F0DFCBA"/>
    <w:rsid w:val="2F0E9FD3"/>
    <w:rsid w:val="2F12EC61"/>
    <w:rsid w:val="2F1446BF"/>
    <w:rsid w:val="2F158ABE"/>
    <w:rsid w:val="2F168C19"/>
    <w:rsid w:val="2F17DD3B"/>
    <w:rsid w:val="2F18309C"/>
    <w:rsid w:val="2F1911B3"/>
    <w:rsid w:val="2F1A2996"/>
    <w:rsid w:val="2F1E1994"/>
    <w:rsid w:val="2F1ED946"/>
    <w:rsid w:val="2F211F79"/>
    <w:rsid w:val="2F219527"/>
    <w:rsid w:val="2F22339A"/>
    <w:rsid w:val="2F2294C9"/>
    <w:rsid w:val="2F254AE9"/>
    <w:rsid w:val="2F262FC3"/>
    <w:rsid w:val="2F289F21"/>
    <w:rsid w:val="2F2E2CEC"/>
    <w:rsid w:val="2F2EA7C2"/>
    <w:rsid w:val="2F2F265B"/>
    <w:rsid w:val="2F33E2BC"/>
    <w:rsid w:val="2F34ED5B"/>
    <w:rsid w:val="2F38D449"/>
    <w:rsid w:val="2F39503C"/>
    <w:rsid w:val="2F399063"/>
    <w:rsid w:val="2F3C54FF"/>
    <w:rsid w:val="2F3D4491"/>
    <w:rsid w:val="2F3E3C37"/>
    <w:rsid w:val="2F3EF359"/>
    <w:rsid w:val="2F3F1196"/>
    <w:rsid w:val="2F4190CE"/>
    <w:rsid w:val="2F41AC6B"/>
    <w:rsid w:val="2F42FD73"/>
    <w:rsid w:val="2F4527F4"/>
    <w:rsid w:val="2F4610D7"/>
    <w:rsid w:val="2F479049"/>
    <w:rsid w:val="2F4825CE"/>
    <w:rsid w:val="2F4BDDD8"/>
    <w:rsid w:val="2F4D6874"/>
    <w:rsid w:val="2F4FAA11"/>
    <w:rsid w:val="2F506274"/>
    <w:rsid w:val="2F51FA2E"/>
    <w:rsid w:val="2F52A2AF"/>
    <w:rsid w:val="2F544C3C"/>
    <w:rsid w:val="2F588D2A"/>
    <w:rsid w:val="2F5A1EF8"/>
    <w:rsid w:val="2F5AFF98"/>
    <w:rsid w:val="2F5D483B"/>
    <w:rsid w:val="2F5E8A97"/>
    <w:rsid w:val="2F6181A5"/>
    <w:rsid w:val="2F61B40D"/>
    <w:rsid w:val="2F65DD67"/>
    <w:rsid w:val="2F69F6F3"/>
    <w:rsid w:val="2F6D165B"/>
    <w:rsid w:val="2F6E81A3"/>
    <w:rsid w:val="2F701EC9"/>
    <w:rsid w:val="2F717344"/>
    <w:rsid w:val="2F722134"/>
    <w:rsid w:val="2F7358AD"/>
    <w:rsid w:val="2F74558F"/>
    <w:rsid w:val="2F759767"/>
    <w:rsid w:val="2F75DA1B"/>
    <w:rsid w:val="2F76A9AF"/>
    <w:rsid w:val="2F77D215"/>
    <w:rsid w:val="2F7A6CCF"/>
    <w:rsid w:val="2F7CCAEF"/>
    <w:rsid w:val="2F80CEE8"/>
    <w:rsid w:val="2F836859"/>
    <w:rsid w:val="2F85C8BB"/>
    <w:rsid w:val="2F8B86DD"/>
    <w:rsid w:val="2F8DC6F7"/>
    <w:rsid w:val="2F8F977D"/>
    <w:rsid w:val="2F8FF30C"/>
    <w:rsid w:val="2F8FF4D0"/>
    <w:rsid w:val="2F9210FA"/>
    <w:rsid w:val="2F95A2C9"/>
    <w:rsid w:val="2F970FAE"/>
    <w:rsid w:val="2F97B860"/>
    <w:rsid w:val="2F9800F0"/>
    <w:rsid w:val="2F983802"/>
    <w:rsid w:val="2F9B613A"/>
    <w:rsid w:val="2F9BAD48"/>
    <w:rsid w:val="2F9D35DA"/>
    <w:rsid w:val="2F9E141A"/>
    <w:rsid w:val="2F9F171B"/>
    <w:rsid w:val="2FA07071"/>
    <w:rsid w:val="2FA2742C"/>
    <w:rsid w:val="2FA71E6D"/>
    <w:rsid w:val="2FA750C4"/>
    <w:rsid w:val="2FAC34C5"/>
    <w:rsid w:val="2FAE021D"/>
    <w:rsid w:val="2FB1833C"/>
    <w:rsid w:val="2FB3B2A7"/>
    <w:rsid w:val="2FB71293"/>
    <w:rsid w:val="2FBD05CC"/>
    <w:rsid w:val="2FC0D0C8"/>
    <w:rsid w:val="2FC12C53"/>
    <w:rsid w:val="2FC2CEBC"/>
    <w:rsid w:val="2FC356CF"/>
    <w:rsid w:val="2FC48AB5"/>
    <w:rsid w:val="2FC96596"/>
    <w:rsid w:val="2FCA6947"/>
    <w:rsid w:val="2FCC448D"/>
    <w:rsid w:val="2FCC92BE"/>
    <w:rsid w:val="2FCD19FA"/>
    <w:rsid w:val="2FCF03A6"/>
    <w:rsid w:val="2FD0EE3D"/>
    <w:rsid w:val="2FD1D1C8"/>
    <w:rsid w:val="2FD1E2D7"/>
    <w:rsid w:val="2FD28141"/>
    <w:rsid w:val="2FD2F073"/>
    <w:rsid w:val="2FD3F123"/>
    <w:rsid w:val="2FD462D5"/>
    <w:rsid w:val="2FD4A65D"/>
    <w:rsid w:val="2FD836B0"/>
    <w:rsid w:val="2FD90C39"/>
    <w:rsid w:val="2FDAB57C"/>
    <w:rsid w:val="2FDAF78E"/>
    <w:rsid w:val="2FDC754E"/>
    <w:rsid w:val="2FE0F29B"/>
    <w:rsid w:val="2FE1413E"/>
    <w:rsid w:val="2FE226E3"/>
    <w:rsid w:val="2FEA7340"/>
    <w:rsid w:val="2FEA8CFF"/>
    <w:rsid w:val="2FEBA21C"/>
    <w:rsid w:val="2FEC441C"/>
    <w:rsid w:val="2FEC8729"/>
    <w:rsid w:val="2FEEE0D0"/>
    <w:rsid w:val="2FEF6B6F"/>
    <w:rsid w:val="2FF1D992"/>
    <w:rsid w:val="2FF58FDB"/>
    <w:rsid w:val="2FF7CDD7"/>
    <w:rsid w:val="2FF9D2AB"/>
    <w:rsid w:val="2FFBCF7E"/>
    <w:rsid w:val="2FFCCE64"/>
    <w:rsid w:val="2FFF1AD5"/>
    <w:rsid w:val="2FFF6475"/>
    <w:rsid w:val="300059CF"/>
    <w:rsid w:val="30028FC9"/>
    <w:rsid w:val="300476DB"/>
    <w:rsid w:val="3005D4B6"/>
    <w:rsid w:val="3006CD2F"/>
    <w:rsid w:val="30098A0B"/>
    <w:rsid w:val="3009F73D"/>
    <w:rsid w:val="3009F847"/>
    <w:rsid w:val="300BE14A"/>
    <w:rsid w:val="300C7F22"/>
    <w:rsid w:val="300FA3DF"/>
    <w:rsid w:val="3011981F"/>
    <w:rsid w:val="30149D21"/>
    <w:rsid w:val="301592A7"/>
    <w:rsid w:val="301776E3"/>
    <w:rsid w:val="3017B9DE"/>
    <w:rsid w:val="3019082F"/>
    <w:rsid w:val="302123F3"/>
    <w:rsid w:val="3023C042"/>
    <w:rsid w:val="3026AA81"/>
    <w:rsid w:val="302815F3"/>
    <w:rsid w:val="3029266D"/>
    <w:rsid w:val="302C2404"/>
    <w:rsid w:val="302D12B5"/>
    <w:rsid w:val="302E6C24"/>
    <w:rsid w:val="30316803"/>
    <w:rsid w:val="3031D225"/>
    <w:rsid w:val="30325EDA"/>
    <w:rsid w:val="3033F080"/>
    <w:rsid w:val="30383A58"/>
    <w:rsid w:val="3038C822"/>
    <w:rsid w:val="303A254F"/>
    <w:rsid w:val="303B1B1F"/>
    <w:rsid w:val="303C7603"/>
    <w:rsid w:val="3042677D"/>
    <w:rsid w:val="304309CB"/>
    <w:rsid w:val="304496E0"/>
    <w:rsid w:val="3046C80F"/>
    <w:rsid w:val="304754B9"/>
    <w:rsid w:val="3047E643"/>
    <w:rsid w:val="30488CBE"/>
    <w:rsid w:val="3049E95A"/>
    <w:rsid w:val="30517BB7"/>
    <w:rsid w:val="3052C33C"/>
    <w:rsid w:val="3054598C"/>
    <w:rsid w:val="3055BA8A"/>
    <w:rsid w:val="30580F51"/>
    <w:rsid w:val="30587F56"/>
    <w:rsid w:val="3058BC99"/>
    <w:rsid w:val="3059BBE2"/>
    <w:rsid w:val="305AA880"/>
    <w:rsid w:val="305B65AD"/>
    <w:rsid w:val="305DB9C2"/>
    <w:rsid w:val="30602DEA"/>
    <w:rsid w:val="3060ED1D"/>
    <w:rsid w:val="3063E094"/>
    <w:rsid w:val="3063F4C9"/>
    <w:rsid w:val="30645E59"/>
    <w:rsid w:val="30670A12"/>
    <w:rsid w:val="306B424A"/>
    <w:rsid w:val="306FD921"/>
    <w:rsid w:val="3070A2FD"/>
    <w:rsid w:val="3071B420"/>
    <w:rsid w:val="3074028C"/>
    <w:rsid w:val="3075886C"/>
    <w:rsid w:val="307BDBD1"/>
    <w:rsid w:val="307F4D92"/>
    <w:rsid w:val="307FABBF"/>
    <w:rsid w:val="30829619"/>
    <w:rsid w:val="308CEB2B"/>
    <w:rsid w:val="308E528A"/>
    <w:rsid w:val="308F732F"/>
    <w:rsid w:val="30903EAC"/>
    <w:rsid w:val="3090CF28"/>
    <w:rsid w:val="30939CEB"/>
    <w:rsid w:val="3094A4AB"/>
    <w:rsid w:val="30951A97"/>
    <w:rsid w:val="3096FC61"/>
    <w:rsid w:val="3099A78F"/>
    <w:rsid w:val="309A5124"/>
    <w:rsid w:val="309A596B"/>
    <w:rsid w:val="309BAB33"/>
    <w:rsid w:val="309DAA52"/>
    <w:rsid w:val="309E1316"/>
    <w:rsid w:val="30A0221E"/>
    <w:rsid w:val="30A1894C"/>
    <w:rsid w:val="30A199CB"/>
    <w:rsid w:val="30A350DB"/>
    <w:rsid w:val="30A48876"/>
    <w:rsid w:val="30A4FEEA"/>
    <w:rsid w:val="30A61D1E"/>
    <w:rsid w:val="30A6EC56"/>
    <w:rsid w:val="30A77BCD"/>
    <w:rsid w:val="30A9A9F9"/>
    <w:rsid w:val="30ADC2D3"/>
    <w:rsid w:val="30AE3445"/>
    <w:rsid w:val="30AE6284"/>
    <w:rsid w:val="30B44139"/>
    <w:rsid w:val="30B4571E"/>
    <w:rsid w:val="30B47CB8"/>
    <w:rsid w:val="30B524F4"/>
    <w:rsid w:val="30B671E1"/>
    <w:rsid w:val="30B76AA9"/>
    <w:rsid w:val="30B7A1E8"/>
    <w:rsid w:val="30B92EAA"/>
    <w:rsid w:val="30BAF996"/>
    <w:rsid w:val="30BE3AD0"/>
    <w:rsid w:val="30C067D9"/>
    <w:rsid w:val="30C3B7A1"/>
    <w:rsid w:val="30C677A1"/>
    <w:rsid w:val="30C82EA2"/>
    <w:rsid w:val="30C8F7AA"/>
    <w:rsid w:val="30CA9401"/>
    <w:rsid w:val="30CD1A19"/>
    <w:rsid w:val="30CDBF9F"/>
    <w:rsid w:val="30CE3139"/>
    <w:rsid w:val="30CEC7CF"/>
    <w:rsid w:val="30CEFF63"/>
    <w:rsid w:val="30CF3F81"/>
    <w:rsid w:val="30D06AA1"/>
    <w:rsid w:val="30D0D504"/>
    <w:rsid w:val="30D28718"/>
    <w:rsid w:val="30D5FAD7"/>
    <w:rsid w:val="30D65222"/>
    <w:rsid w:val="30D6ACB1"/>
    <w:rsid w:val="30D74749"/>
    <w:rsid w:val="30D8CBCA"/>
    <w:rsid w:val="30DD76AA"/>
    <w:rsid w:val="30DE16B5"/>
    <w:rsid w:val="30DF1648"/>
    <w:rsid w:val="30E3B2F0"/>
    <w:rsid w:val="30E5C184"/>
    <w:rsid w:val="30EB801F"/>
    <w:rsid w:val="30ED2825"/>
    <w:rsid w:val="30EF08CE"/>
    <w:rsid w:val="30F32FE7"/>
    <w:rsid w:val="30F347D5"/>
    <w:rsid w:val="30F37337"/>
    <w:rsid w:val="30F824FB"/>
    <w:rsid w:val="30F950D4"/>
    <w:rsid w:val="30FE02E0"/>
    <w:rsid w:val="30FFDA8B"/>
    <w:rsid w:val="3102166E"/>
    <w:rsid w:val="3102DC2E"/>
    <w:rsid w:val="3104168A"/>
    <w:rsid w:val="3106FFAB"/>
    <w:rsid w:val="31076A68"/>
    <w:rsid w:val="3107B42C"/>
    <w:rsid w:val="310A1A74"/>
    <w:rsid w:val="310AA49C"/>
    <w:rsid w:val="310B3094"/>
    <w:rsid w:val="310D3EEB"/>
    <w:rsid w:val="310E0D53"/>
    <w:rsid w:val="310EF6E3"/>
    <w:rsid w:val="31112182"/>
    <w:rsid w:val="31122E82"/>
    <w:rsid w:val="31133A19"/>
    <w:rsid w:val="3115453B"/>
    <w:rsid w:val="311690B0"/>
    <w:rsid w:val="311710F8"/>
    <w:rsid w:val="3117C971"/>
    <w:rsid w:val="311A9D06"/>
    <w:rsid w:val="311AB232"/>
    <w:rsid w:val="311D4EE1"/>
    <w:rsid w:val="31200E02"/>
    <w:rsid w:val="3120F09E"/>
    <w:rsid w:val="31218BC8"/>
    <w:rsid w:val="31252B5B"/>
    <w:rsid w:val="31254716"/>
    <w:rsid w:val="3126371A"/>
    <w:rsid w:val="3127C3CF"/>
    <w:rsid w:val="3129B993"/>
    <w:rsid w:val="312B3FF2"/>
    <w:rsid w:val="31306BBC"/>
    <w:rsid w:val="3132C699"/>
    <w:rsid w:val="3132FA0B"/>
    <w:rsid w:val="3134E533"/>
    <w:rsid w:val="313571A4"/>
    <w:rsid w:val="3136E953"/>
    <w:rsid w:val="313C0A25"/>
    <w:rsid w:val="313C89ED"/>
    <w:rsid w:val="313E05B2"/>
    <w:rsid w:val="313E8545"/>
    <w:rsid w:val="313F1FD2"/>
    <w:rsid w:val="313F3207"/>
    <w:rsid w:val="3141372B"/>
    <w:rsid w:val="31420E6B"/>
    <w:rsid w:val="3142478A"/>
    <w:rsid w:val="31485D06"/>
    <w:rsid w:val="3149FD14"/>
    <w:rsid w:val="314A290C"/>
    <w:rsid w:val="314BCA71"/>
    <w:rsid w:val="314EBD83"/>
    <w:rsid w:val="31508F53"/>
    <w:rsid w:val="3151AF0E"/>
    <w:rsid w:val="3152152E"/>
    <w:rsid w:val="3155B6B9"/>
    <w:rsid w:val="3158AAF3"/>
    <w:rsid w:val="3158DCF9"/>
    <w:rsid w:val="3158FB76"/>
    <w:rsid w:val="3159CF58"/>
    <w:rsid w:val="315A23B9"/>
    <w:rsid w:val="315C92AC"/>
    <w:rsid w:val="3160BCC0"/>
    <w:rsid w:val="3161C6AC"/>
    <w:rsid w:val="3164F963"/>
    <w:rsid w:val="31650055"/>
    <w:rsid w:val="3165A6EE"/>
    <w:rsid w:val="31667ACC"/>
    <w:rsid w:val="316870E3"/>
    <w:rsid w:val="3169112E"/>
    <w:rsid w:val="316B3322"/>
    <w:rsid w:val="317524B7"/>
    <w:rsid w:val="317526C7"/>
    <w:rsid w:val="3176AE76"/>
    <w:rsid w:val="317720AD"/>
    <w:rsid w:val="31780AF4"/>
    <w:rsid w:val="31795C74"/>
    <w:rsid w:val="317D5409"/>
    <w:rsid w:val="317E5938"/>
    <w:rsid w:val="317EE3C8"/>
    <w:rsid w:val="31875DCE"/>
    <w:rsid w:val="3189D5C8"/>
    <w:rsid w:val="318C01C2"/>
    <w:rsid w:val="31900DD6"/>
    <w:rsid w:val="31906256"/>
    <w:rsid w:val="3192F266"/>
    <w:rsid w:val="319580E1"/>
    <w:rsid w:val="3197D73E"/>
    <w:rsid w:val="3198A5D4"/>
    <w:rsid w:val="319ACCBB"/>
    <w:rsid w:val="319F4ED3"/>
    <w:rsid w:val="31A2FFE4"/>
    <w:rsid w:val="31A439A1"/>
    <w:rsid w:val="31AB2464"/>
    <w:rsid w:val="31AC43CF"/>
    <w:rsid w:val="31B4245E"/>
    <w:rsid w:val="31B4F0FE"/>
    <w:rsid w:val="31B5FCBE"/>
    <w:rsid w:val="31B7E70A"/>
    <w:rsid w:val="31B8A90E"/>
    <w:rsid w:val="31C1DED2"/>
    <w:rsid w:val="31C27E80"/>
    <w:rsid w:val="31C2DAE1"/>
    <w:rsid w:val="31C3D054"/>
    <w:rsid w:val="31C4CFE5"/>
    <w:rsid w:val="31C81BE7"/>
    <w:rsid w:val="31C83E8B"/>
    <w:rsid w:val="31CC19A6"/>
    <w:rsid w:val="31CCDEA1"/>
    <w:rsid w:val="31CFFF56"/>
    <w:rsid w:val="31D03109"/>
    <w:rsid w:val="31D09EA5"/>
    <w:rsid w:val="31D0FC85"/>
    <w:rsid w:val="31D1E00F"/>
    <w:rsid w:val="31D213C4"/>
    <w:rsid w:val="31D2406A"/>
    <w:rsid w:val="31D62DE0"/>
    <w:rsid w:val="31D75A3E"/>
    <w:rsid w:val="31D8DEF1"/>
    <w:rsid w:val="31D9A0F2"/>
    <w:rsid w:val="31DB8056"/>
    <w:rsid w:val="31DB8160"/>
    <w:rsid w:val="31DE8CE1"/>
    <w:rsid w:val="31E32F50"/>
    <w:rsid w:val="31E6ABA9"/>
    <w:rsid w:val="31E8DEAF"/>
    <w:rsid w:val="31E94839"/>
    <w:rsid w:val="31EBFD3B"/>
    <w:rsid w:val="31EDF8FC"/>
    <w:rsid w:val="31EFD963"/>
    <w:rsid w:val="31F65AAB"/>
    <w:rsid w:val="31F92DD4"/>
    <w:rsid w:val="31FAB970"/>
    <w:rsid w:val="31FC13F9"/>
    <w:rsid w:val="3204E38B"/>
    <w:rsid w:val="32058271"/>
    <w:rsid w:val="32060146"/>
    <w:rsid w:val="3207DD23"/>
    <w:rsid w:val="3209DD8B"/>
    <w:rsid w:val="320A2289"/>
    <w:rsid w:val="320D3722"/>
    <w:rsid w:val="320D5A45"/>
    <w:rsid w:val="320FF651"/>
    <w:rsid w:val="32124BEE"/>
    <w:rsid w:val="32128661"/>
    <w:rsid w:val="32143CB4"/>
    <w:rsid w:val="3215464A"/>
    <w:rsid w:val="3218A445"/>
    <w:rsid w:val="321F5B4B"/>
    <w:rsid w:val="32203FF0"/>
    <w:rsid w:val="3220FED8"/>
    <w:rsid w:val="32210E74"/>
    <w:rsid w:val="3221A184"/>
    <w:rsid w:val="322342FB"/>
    <w:rsid w:val="322584EA"/>
    <w:rsid w:val="3225CA35"/>
    <w:rsid w:val="3225F935"/>
    <w:rsid w:val="3229676C"/>
    <w:rsid w:val="32298D70"/>
    <w:rsid w:val="322AEBE9"/>
    <w:rsid w:val="322E882E"/>
    <w:rsid w:val="322F3B40"/>
    <w:rsid w:val="322FAD3E"/>
    <w:rsid w:val="3230182B"/>
    <w:rsid w:val="32326B2C"/>
    <w:rsid w:val="3232A3C9"/>
    <w:rsid w:val="32333E17"/>
    <w:rsid w:val="32364FAF"/>
    <w:rsid w:val="32365600"/>
    <w:rsid w:val="32376F55"/>
    <w:rsid w:val="323780FB"/>
    <w:rsid w:val="323952D2"/>
    <w:rsid w:val="323AB569"/>
    <w:rsid w:val="323AC746"/>
    <w:rsid w:val="323B4BA2"/>
    <w:rsid w:val="323C1C71"/>
    <w:rsid w:val="323DF659"/>
    <w:rsid w:val="32410F16"/>
    <w:rsid w:val="324592AF"/>
    <w:rsid w:val="324740DF"/>
    <w:rsid w:val="3247757E"/>
    <w:rsid w:val="324CAB81"/>
    <w:rsid w:val="324D8D1A"/>
    <w:rsid w:val="3250EDC8"/>
    <w:rsid w:val="32519CFE"/>
    <w:rsid w:val="3252288A"/>
    <w:rsid w:val="32551DE5"/>
    <w:rsid w:val="325839C5"/>
    <w:rsid w:val="32586F9E"/>
    <w:rsid w:val="325ABBFF"/>
    <w:rsid w:val="325BF39D"/>
    <w:rsid w:val="325D69C4"/>
    <w:rsid w:val="325DCB5A"/>
    <w:rsid w:val="32624D93"/>
    <w:rsid w:val="3262F703"/>
    <w:rsid w:val="32633BCA"/>
    <w:rsid w:val="32653497"/>
    <w:rsid w:val="3267AF60"/>
    <w:rsid w:val="32693DFD"/>
    <w:rsid w:val="326B745E"/>
    <w:rsid w:val="326E9891"/>
    <w:rsid w:val="3274D751"/>
    <w:rsid w:val="32784AFC"/>
    <w:rsid w:val="327909C4"/>
    <w:rsid w:val="327A4C29"/>
    <w:rsid w:val="327EE402"/>
    <w:rsid w:val="327FC966"/>
    <w:rsid w:val="32808EF0"/>
    <w:rsid w:val="32817354"/>
    <w:rsid w:val="3283047D"/>
    <w:rsid w:val="32844B03"/>
    <w:rsid w:val="3287007D"/>
    <w:rsid w:val="3287FF07"/>
    <w:rsid w:val="328971E3"/>
    <w:rsid w:val="328AA0E2"/>
    <w:rsid w:val="328D497B"/>
    <w:rsid w:val="328FE33E"/>
    <w:rsid w:val="32914BB3"/>
    <w:rsid w:val="32917073"/>
    <w:rsid w:val="3292468A"/>
    <w:rsid w:val="329337E1"/>
    <w:rsid w:val="329382E4"/>
    <w:rsid w:val="32968EBA"/>
    <w:rsid w:val="329894E2"/>
    <w:rsid w:val="3298C531"/>
    <w:rsid w:val="329951FF"/>
    <w:rsid w:val="32996275"/>
    <w:rsid w:val="329C3924"/>
    <w:rsid w:val="329C66EF"/>
    <w:rsid w:val="329D65C9"/>
    <w:rsid w:val="329E320E"/>
    <w:rsid w:val="329F4B71"/>
    <w:rsid w:val="32A0A2FE"/>
    <w:rsid w:val="32A19538"/>
    <w:rsid w:val="32A2AC2F"/>
    <w:rsid w:val="32A382AF"/>
    <w:rsid w:val="32A3BB3D"/>
    <w:rsid w:val="32A776C1"/>
    <w:rsid w:val="32AA6785"/>
    <w:rsid w:val="32B0511E"/>
    <w:rsid w:val="32B0FA6E"/>
    <w:rsid w:val="32B196AF"/>
    <w:rsid w:val="32B4E1CA"/>
    <w:rsid w:val="32B5257C"/>
    <w:rsid w:val="32B7EA46"/>
    <w:rsid w:val="32B84AB1"/>
    <w:rsid w:val="32BA8784"/>
    <w:rsid w:val="32BC0E38"/>
    <w:rsid w:val="32BC3A77"/>
    <w:rsid w:val="32BE0769"/>
    <w:rsid w:val="32BF60F7"/>
    <w:rsid w:val="32C0DF21"/>
    <w:rsid w:val="32C10B58"/>
    <w:rsid w:val="32C14466"/>
    <w:rsid w:val="32C227A6"/>
    <w:rsid w:val="32C42898"/>
    <w:rsid w:val="32C448B6"/>
    <w:rsid w:val="32D01A15"/>
    <w:rsid w:val="32D1AA62"/>
    <w:rsid w:val="32D242ED"/>
    <w:rsid w:val="32D28426"/>
    <w:rsid w:val="32D38D98"/>
    <w:rsid w:val="32D81EFD"/>
    <w:rsid w:val="32DC8CFF"/>
    <w:rsid w:val="32DE79F6"/>
    <w:rsid w:val="32E09964"/>
    <w:rsid w:val="32E0B673"/>
    <w:rsid w:val="32E1B685"/>
    <w:rsid w:val="32E2CC24"/>
    <w:rsid w:val="32E3C5ED"/>
    <w:rsid w:val="32E3DF86"/>
    <w:rsid w:val="32E5261E"/>
    <w:rsid w:val="32E822AE"/>
    <w:rsid w:val="32EF8C81"/>
    <w:rsid w:val="32F06A10"/>
    <w:rsid w:val="32F7FF0A"/>
    <w:rsid w:val="32F806EC"/>
    <w:rsid w:val="32F87B23"/>
    <w:rsid w:val="32FBBA04"/>
    <w:rsid w:val="32FC5B82"/>
    <w:rsid w:val="32FD7AB9"/>
    <w:rsid w:val="32FDBBE7"/>
    <w:rsid w:val="33031D8E"/>
    <w:rsid w:val="33045754"/>
    <w:rsid w:val="33060616"/>
    <w:rsid w:val="33070D6C"/>
    <w:rsid w:val="3310E918"/>
    <w:rsid w:val="33119646"/>
    <w:rsid w:val="3313BE3D"/>
    <w:rsid w:val="331441CC"/>
    <w:rsid w:val="331457CA"/>
    <w:rsid w:val="33196439"/>
    <w:rsid w:val="331A2A8A"/>
    <w:rsid w:val="331C7D2C"/>
    <w:rsid w:val="3321A0DC"/>
    <w:rsid w:val="3321FC2A"/>
    <w:rsid w:val="33233FB7"/>
    <w:rsid w:val="3324DC6D"/>
    <w:rsid w:val="332618A3"/>
    <w:rsid w:val="332703BA"/>
    <w:rsid w:val="3327B102"/>
    <w:rsid w:val="33283065"/>
    <w:rsid w:val="33283915"/>
    <w:rsid w:val="3329009A"/>
    <w:rsid w:val="33292BA9"/>
    <w:rsid w:val="332EF574"/>
    <w:rsid w:val="33320993"/>
    <w:rsid w:val="3332FA04"/>
    <w:rsid w:val="333583FB"/>
    <w:rsid w:val="33383CBB"/>
    <w:rsid w:val="33422417"/>
    <w:rsid w:val="3344B24F"/>
    <w:rsid w:val="334757E7"/>
    <w:rsid w:val="334B15B1"/>
    <w:rsid w:val="334D1DDF"/>
    <w:rsid w:val="334E00D3"/>
    <w:rsid w:val="334ED3E5"/>
    <w:rsid w:val="33553F77"/>
    <w:rsid w:val="33572689"/>
    <w:rsid w:val="3358F4E0"/>
    <w:rsid w:val="335F4158"/>
    <w:rsid w:val="3363C937"/>
    <w:rsid w:val="33659717"/>
    <w:rsid w:val="3365F75D"/>
    <w:rsid w:val="3366F215"/>
    <w:rsid w:val="3368CB1A"/>
    <w:rsid w:val="336CAF3B"/>
    <w:rsid w:val="336D7624"/>
    <w:rsid w:val="33739511"/>
    <w:rsid w:val="33769985"/>
    <w:rsid w:val="33792997"/>
    <w:rsid w:val="33792F0A"/>
    <w:rsid w:val="337943A8"/>
    <w:rsid w:val="33799F38"/>
    <w:rsid w:val="337A6C73"/>
    <w:rsid w:val="337AAA5F"/>
    <w:rsid w:val="33805F27"/>
    <w:rsid w:val="33827B93"/>
    <w:rsid w:val="3383C213"/>
    <w:rsid w:val="33856173"/>
    <w:rsid w:val="33857983"/>
    <w:rsid w:val="33881883"/>
    <w:rsid w:val="33882256"/>
    <w:rsid w:val="33886CAB"/>
    <w:rsid w:val="338D9945"/>
    <w:rsid w:val="338E95E6"/>
    <w:rsid w:val="3392209F"/>
    <w:rsid w:val="3392C9CA"/>
    <w:rsid w:val="3393505D"/>
    <w:rsid w:val="33966A15"/>
    <w:rsid w:val="33969C51"/>
    <w:rsid w:val="33977318"/>
    <w:rsid w:val="33984E14"/>
    <w:rsid w:val="339C99EF"/>
    <w:rsid w:val="339D3615"/>
    <w:rsid w:val="339E5CED"/>
    <w:rsid w:val="339FCEA0"/>
    <w:rsid w:val="33A0049B"/>
    <w:rsid w:val="33A194B6"/>
    <w:rsid w:val="33A1B52D"/>
    <w:rsid w:val="33A1FC76"/>
    <w:rsid w:val="33A3D015"/>
    <w:rsid w:val="33A743A7"/>
    <w:rsid w:val="33AA56BE"/>
    <w:rsid w:val="33ACC309"/>
    <w:rsid w:val="33AD47E7"/>
    <w:rsid w:val="33AFE6CD"/>
    <w:rsid w:val="33B0076A"/>
    <w:rsid w:val="33B42416"/>
    <w:rsid w:val="33B50EE0"/>
    <w:rsid w:val="33B50EF5"/>
    <w:rsid w:val="33B61D40"/>
    <w:rsid w:val="33BAB3AC"/>
    <w:rsid w:val="33BF375B"/>
    <w:rsid w:val="33C069BD"/>
    <w:rsid w:val="33C0BDDA"/>
    <w:rsid w:val="33C229AC"/>
    <w:rsid w:val="33CACCA2"/>
    <w:rsid w:val="33CAE504"/>
    <w:rsid w:val="33CCED09"/>
    <w:rsid w:val="33CD1AD5"/>
    <w:rsid w:val="33CDB8E3"/>
    <w:rsid w:val="33CE9A58"/>
    <w:rsid w:val="33D2DBAD"/>
    <w:rsid w:val="33D3B879"/>
    <w:rsid w:val="33D524FA"/>
    <w:rsid w:val="33D99688"/>
    <w:rsid w:val="33DDF298"/>
    <w:rsid w:val="33DE52DB"/>
    <w:rsid w:val="33DEA196"/>
    <w:rsid w:val="33DEF9D6"/>
    <w:rsid w:val="33E0AE27"/>
    <w:rsid w:val="33E3ADBD"/>
    <w:rsid w:val="33E54E98"/>
    <w:rsid w:val="33E6247E"/>
    <w:rsid w:val="33E6B06B"/>
    <w:rsid w:val="33EA5959"/>
    <w:rsid w:val="33EBB8F9"/>
    <w:rsid w:val="33EBDBD5"/>
    <w:rsid w:val="33EEA86F"/>
    <w:rsid w:val="33F00C21"/>
    <w:rsid w:val="33F024F1"/>
    <w:rsid w:val="33F292AB"/>
    <w:rsid w:val="33F81AA8"/>
    <w:rsid w:val="33F933E4"/>
    <w:rsid w:val="33F9DB94"/>
    <w:rsid w:val="33FCF0A2"/>
    <w:rsid w:val="33FDF14D"/>
    <w:rsid w:val="33FDFBAD"/>
    <w:rsid w:val="3401CB18"/>
    <w:rsid w:val="34024893"/>
    <w:rsid w:val="3403BA55"/>
    <w:rsid w:val="34070575"/>
    <w:rsid w:val="3408D795"/>
    <w:rsid w:val="3409BBDA"/>
    <w:rsid w:val="340A94F7"/>
    <w:rsid w:val="340B6880"/>
    <w:rsid w:val="340C4AE7"/>
    <w:rsid w:val="340DA20C"/>
    <w:rsid w:val="341312A5"/>
    <w:rsid w:val="34159A96"/>
    <w:rsid w:val="34168CE4"/>
    <w:rsid w:val="34187954"/>
    <w:rsid w:val="3419B241"/>
    <w:rsid w:val="3419DB90"/>
    <w:rsid w:val="341B9D2E"/>
    <w:rsid w:val="341C6A84"/>
    <w:rsid w:val="341FF80E"/>
    <w:rsid w:val="34238570"/>
    <w:rsid w:val="34270CAD"/>
    <w:rsid w:val="3428CBA6"/>
    <w:rsid w:val="342A4042"/>
    <w:rsid w:val="342BD998"/>
    <w:rsid w:val="342BF90C"/>
    <w:rsid w:val="342CE34E"/>
    <w:rsid w:val="34304617"/>
    <w:rsid w:val="34316E83"/>
    <w:rsid w:val="3438F1C4"/>
    <w:rsid w:val="343E3486"/>
    <w:rsid w:val="343F7761"/>
    <w:rsid w:val="344101C8"/>
    <w:rsid w:val="34410E4D"/>
    <w:rsid w:val="34437897"/>
    <w:rsid w:val="3446CF94"/>
    <w:rsid w:val="3448DD24"/>
    <w:rsid w:val="344C41B6"/>
    <w:rsid w:val="344D2B63"/>
    <w:rsid w:val="344D9079"/>
    <w:rsid w:val="3450F3CD"/>
    <w:rsid w:val="345283A3"/>
    <w:rsid w:val="3454FF3D"/>
    <w:rsid w:val="34576128"/>
    <w:rsid w:val="3457A2EB"/>
    <w:rsid w:val="34599AF7"/>
    <w:rsid w:val="345A39CE"/>
    <w:rsid w:val="345C4188"/>
    <w:rsid w:val="345C95E5"/>
    <w:rsid w:val="3461FCF6"/>
    <w:rsid w:val="34663C60"/>
    <w:rsid w:val="3466E868"/>
    <w:rsid w:val="34675D95"/>
    <w:rsid w:val="346AD147"/>
    <w:rsid w:val="346C665A"/>
    <w:rsid w:val="346C940E"/>
    <w:rsid w:val="347069A0"/>
    <w:rsid w:val="347249E0"/>
    <w:rsid w:val="3473B96B"/>
    <w:rsid w:val="3474AFD1"/>
    <w:rsid w:val="3476B16A"/>
    <w:rsid w:val="3476D377"/>
    <w:rsid w:val="3479BDF7"/>
    <w:rsid w:val="347B99F8"/>
    <w:rsid w:val="347E4611"/>
    <w:rsid w:val="347F310B"/>
    <w:rsid w:val="34802115"/>
    <w:rsid w:val="34806D8B"/>
    <w:rsid w:val="348156FE"/>
    <w:rsid w:val="3481A2FA"/>
    <w:rsid w:val="3482FB3A"/>
    <w:rsid w:val="3487D682"/>
    <w:rsid w:val="348837B7"/>
    <w:rsid w:val="348BFAB7"/>
    <w:rsid w:val="348F199E"/>
    <w:rsid w:val="34904945"/>
    <w:rsid w:val="349232DF"/>
    <w:rsid w:val="34926C3C"/>
    <w:rsid w:val="3493A1D4"/>
    <w:rsid w:val="349A11B6"/>
    <w:rsid w:val="349BB665"/>
    <w:rsid w:val="349C136A"/>
    <w:rsid w:val="349C97EC"/>
    <w:rsid w:val="34A04326"/>
    <w:rsid w:val="34A57FF4"/>
    <w:rsid w:val="34A5A347"/>
    <w:rsid w:val="34A67044"/>
    <w:rsid w:val="34ABB79D"/>
    <w:rsid w:val="34ABDD2A"/>
    <w:rsid w:val="34ABF886"/>
    <w:rsid w:val="34AC3631"/>
    <w:rsid w:val="34AD3792"/>
    <w:rsid w:val="34AE64BF"/>
    <w:rsid w:val="34B124EB"/>
    <w:rsid w:val="34B13C35"/>
    <w:rsid w:val="34B22713"/>
    <w:rsid w:val="34B2E20E"/>
    <w:rsid w:val="34B358D8"/>
    <w:rsid w:val="34B516D0"/>
    <w:rsid w:val="34B5519A"/>
    <w:rsid w:val="34B5A613"/>
    <w:rsid w:val="34B70FCB"/>
    <w:rsid w:val="34B7263F"/>
    <w:rsid w:val="34B796E7"/>
    <w:rsid w:val="34B9BCCB"/>
    <w:rsid w:val="34BFF2B2"/>
    <w:rsid w:val="34C6C3E4"/>
    <w:rsid w:val="34C72508"/>
    <w:rsid w:val="34C9F8EE"/>
    <w:rsid w:val="34CBC842"/>
    <w:rsid w:val="34CCFA2B"/>
    <w:rsid w:val="34CD2A69"/>
    <w:rsid w:val="34CE60A8"/>
    <w:rsid w:val="34D0AA8E"/>
    <w:rsid w:val="34D6E382"/>
    <w:rsid w:val="34D84788"/>
    <w:rsid w:val="34E20919"/>
    <w:rsid w:val="34E2D373"/>
    <w:rsid w:val="34E5D20E"/>
    <w:rsid w:val="34E6CEF9"/>
    <w:rsid w:val="34E75E21"/>
    <w:rsid w:val="34E76F6E"/>
    <w:rsid w:val="34E9BD12"/>
    <w:rsid w:val="34EA28E4"/>
    <w:rsid w:val="34ECD4D0"/>
    <w:rsid w:val="34F00CF2"/>
    <w:rsid w:val="34F2D29E"/>
    <w:rsid w:val="34F5547D"/>
    <w:rsid w:val="34F76997"/>
    <w:rsid w:val="34F88615"/>
    <w:rsid w:val="34F9D49C"/>
    <w:rsid w:val="34FA6A65"/>
    <w:rsid w:val="34FB4F2A"/>
    <w:rsid w:val="34FBFE04"/>
    <w:rsid w:val="35003E3D"/>
    <w:rsid w:val="3500A213"/>
    <w:rsid w:val="3500B8A4"/>
    <w:rsid w:val="3501C87E"/>
    <w:rsid w:val="350387EA"/>
    <w:rsid w:val="35055A3E"/>
    <w:rsid w:val="35056F1A"/>
    <w:rsid w:val="35065FCD"/>
    <w:rsid w:val="35075104"/>
    <w:rsid w:val="35078D86"/>
    <w:rsid w:val="3509CE3C"/>
    <w:rsid w:val="350ED802"/>
    <w:rsid w:val="350F88AD"/>
    <w:rsid w:val="3511A694"/>
    <w:rsid w:val="35122B54"/>
    <w:rsid w:val="35131849"/>
    <w:rsid w:val="351483CE"/>
    <w:rsid w:val="35180527"/>
    <w:rsid w:val="351F1DFF"/>
    <w:rsid w:val="351F8418"/>
    <w:rsid w:val="3521E0AF"/>
    <w:rsid w:val="35233F41"/>
    <w:rsid w:val="3524A72C"/>
    <w:rsid w:val="3524EAEA"/>
    <w:rsid w:val="3524EF6A"/>
    <w:rsid w:val="3525C37A"/>
    <w:rsid w:val="35286E22"/>
    <w:rsid w:val="352A04ED"/>
    <w:rsid w:val="352C793F"/>
    <w:rsid w:val="3531006E"/>
    <w:rsid w:val="3531E69F"/>
    <w:rsid w:val="35329ECE"/>
    <w:rsid w:val="35360C84"/>
    <w:rsid w:val="3536F503"/>
    <w:rsid w:val="3538312C"/>
    <w:rsid w:val="3538FFD6"/>
    <w:rsid w:val="353DEE5B"/>
    <w:rsid w:val="353F3034"/>
    <w:rsid w:val="35421049"/>
    <w:rsid w:val="35437322"/>
    <w:rsid w:val="3543CAC0"/>
    <w:rsid w:val="3544CCB2"/>
    <w:rsid w:val="3545CB0B"/>
    <w:rsid w:val="35469C5E"/>
    <w:rsid w:val="354C6E58"/>
    <w:rsid w:val="354D4F81"/>
    <w:rsid w:val="3550C012"/>
    <w:rsid w:val="35528D9C"/>
    <w:rsid w:val="35548C66"/>
    <w:rsid w:val="3554EB42"/>
    <w:rsid w:val="355A4E39"/>
    <w:rsid w:val="355BBEF8"/>
    <w:rsid w:val="355CDF8B"/>
    <w:rsid w:val="355DBF61"/>
    <w:rsid w:val="355ED5F2"/>
    <w:rsid w:val="355F4A69"/>
    <w:rsid w:val="355F541E"/>
    <w:rsid w:val="355FE0DA"/>
    <w:rsid w:val="35601966"/>
    <w:rsid w:val="3561658F"/>
    <w:rsid w:val="3561D110"/>
    <w:rsid w:val="3565045C"/>
    <w:rsid w:val="3565C7BD"/>
    <w:rsid w:val="3568E141"/>
    <w:rsid w:val="356ADF39"/>
    <w:rsid w:val="356CF7A2"/>
    <w:rsid w:val="356EC468"/>
    <w:rsid w:val="357083C7"/>
    <w:rsid w:val="35711263"/>
    <w:rsid w:val="3571FB2F"/>
    <w:rsid w:val="357646D8"/>
    <w:rsid w:val="357ABB21"/>
    <w:rsid w:val="357B861F"/>
    <w:rsid w:val="357C7B35"/>
    <w:rsid w:val="357C8B55"/>
    <w:rsid w:val="357CDC36"/>
    <w:rsid w:val="35814FA6"/>
    <w:rsid w:val="3581AB3E"/>
    <w:rsid w:val="35823C87"/>
    <w:rsid w:val="358285DB"/>
    <w:rsid w:val="3583603F"/>
    <w:rsid w:val="3584C9BC"/>
    <w:rsid w:val="358561CD"/>
    <w:rsid w:val="358637D0"/>
    <w:rsid w:val="35883985"/>
    <w:rsid w:val="35888543"/>
    <w:rsid w:val="35895ECF"/>
    <w:rsid w:val="358AA94B"/>
    <w:rsid w:val="358DA33F"/>
    <w:rsid w:val="359171EE"/>
    <w:rsid w:val="35934995"/>
    <w:rsid w:val="359569F1"/>
    <w:rsid w:val="3598634A"/>
    <w:rsid w:val="359BF248"/>
    <w:rsid w:val="35A1D30C"/>
    <w:rsid w:val="35A212A7"/>
    <w:rsid w:val="35A47689"/>
    <w:rsid w:val="35A48B6E"/>
    <w:rsid w:val="35A73C36"/>
    <w:rsid w:val="35A9E5A4"/>
    <w:rsid w:val="35ACA08E"/>
    <w:rsid w:val="35AFE659"/>
    <w:rsid w:val="35AFFEF4"/>
    <w:rsid w:val="35B2113D"/>
    <w:rsid w:val="35B6ACFA"/>
    <w:rsid w:val="35B789DF"/>
    <w:rsid w:val="35B85D09"/>
    <w:rsid w:val="35B95E33"/>
    <w:rsid w:val="35BCE50E"/>
    <w:rsid w:val="35BD3FE4"/>
    <w:rsid w:val="35BF7C38"/>
    <w:rsid w:val="35BFC168"/>
    <w:rsid w:val="35C79990"/>
    <w:rsid w:val="35C93B9E"/>
    <w:rsid w:val="35C9E75E"/>
    <w:rsid w:val="35CD41E3"/>
    <w:rsid w:val="35CF3395"/>
    <w:rsid w:val="35D0CCBE"/>
    <w:rsid w:val="35DAA724"/>
    <w:rsid w:val="35DAD3EF"/>
    <w:rsid w:val="35E0030F"/>
    <w:rsid w:val="35E10CB2"/>
    <w:rsid w:val="35E3A914"/>
    <w:rsid w:val="35E436B1"/>
    <w:rsid w:val="35E46AB5"/>
    <w:rsid w:val="35EC03DB"/>
    <w:rsid w:val="35EC05B7"/>
    <w:rsid w:val="35EFA566"/>
    <w:rsid w:val="35F269DF"/>
    <w:rsid w:val="35F2D11F"/>
    <w:rsid w:val="35F52153"/>
    <w:rsid w:val="35F913C1"/>
    <w:rsid w:val="35FB46DD"/>
    <w:rsid w:val="35FEDED1"/>
    <w:rsid w:val="3600A9D0"/>
    <w:rsid w:val="3600EA2B"/>
    <w:rsid w:val="3602BB81"/>
    <w:rsid w:val="360476C1"/>
    <w:rsid w:val="3605E91A"/>
    <w:rsid w:val="360869D8"/>
    <w:rsid w:val="360A08FE"/>
    <w:rsid w:val="360A369D"/>
    <w:rsid w:val="360AC486"/>
    <w:rsid w:val="360B051C"/>
    <w:rsid w:val="360C3426"/>
    <w:rsid w:val="360CF8EA"/>
    <w:rsid w:val="360D8B23"/>
    <w:rsid w:val="360E4597"/>
    <w:rsid w:val="36165F84"/>
    <w:rsid w:val="36192601"/>
    <w:rsid w:val="361AAB16"/>
    <w:rsid w:val="361C7BA1"/>
    <w:rsid w:val="36253F8E"/>
    <w:rsid w:val="3625EA25"/>
    <w:rsid w:val="3626870F"/>
    <w:rsid w:val="36274298"/>
    <w:rsid w:val="3627E543"/>
    <w:rsid w:val="36299719"/>
    <w:rsid w:val="362AA4B7"/>
    <w:rsid w:val="362ABF24"/>
    <w:rsid w:val="362AF4D7"/>
    <w:rsid w:val="362B167C"/>
    <w:rsid w:val="362DE368"/>
    <w:rsid w:val="362F418C"/>
    <w:rsid w:val="362FE771"/>
    <w:rsid w:val="3631AE60"/>
    <w:rsid w:val="36330780"/>
    <w:rsid w:val="3635B2CE"/>
    <w:rsid w:val="36373A5E"/>
    <w:rsid w:val="36381D1C"/>
    <w:rsid w:val="3639243B"/>
    <w:rsid w:val="363A83ED"/>
    <w:rsid w:val="363B70BA"/>
    <w:rsid w:val="363BE206"/>
    <w:rsid w:val="363ED1CE"/>
    <w:rsid w:val="363F3558"/>
    <w:rsid w:val="364018EA"/>
    <w:rsid w:val="36419613"/>
    <w:rsid w:val="36438B9C"/>
    <w:rsid w:val="36475223"/>
    <w:rsid w:val="3647C5AD"/>
    <w:rsid w:val="36484459"/>
    <w:rsid w:val="364D9843"/>
    <w:rsid w:val="36508EEB"/>
    <w:rsid w:val="36515D12"/>
    <w:rsid w:val="365172A5"/>
    <w:rsid w:val="3652E00D"/>
    <w:rsid w:val="36542B6C"/>
    <w:rsid w:val="36573E7D"/>
    <w:rsid w:val="3657AC3E"/>
    <w:rsid w:val="36588986"/>
    <w:rsid w:val="365A4A9B"/>
    <w:rsid w:val="365CE2C5"/>
    <w:rsid w:val="365D57DD"/>
    <w:rsid w:val="365EF82A"/>
    <w:rsid w:val="366226D9"/>
    <w:rsid w:val="3664F1F1"/>
    <w:rsid w:val="3665B73A"/>
    <w:rsid w:val="366BAB3B"/>
    <w:rsid w:val="366C7836"/>
    <w:rsid w:val="366D72BF"/>
    <w:rsid w:val="366D9A4D"/>
    <w:rsid w:val="366EEDF9"/>
    <w:rsid w:val="366F9E42"/>
    <w:rsid w:val="3670DE77"/>
    <w:rsid w:val="367218B6"/>
    <w:rsid w:val="36753D33"/>
    <w:rsid w:val="36798001"/>
    <w:rsid w:val="367A7F7A"/>
    <w:rsid w:val="367B5A18"/>
    <w:rsid w:val="367BF38E"/>
    <w:rsid w:val="367C036E"/>
    <w:rsid w:val="367E8109"/>
    <w:rsid w:val="36813FF9"/>
    <w:rsid w:val="3681A9D2"/>
    <w:rsid w:val="3682F41F"/>
    <w:rsid w:val="36846448"/>
    <w:rsid w:val="368543F4"/>
    <w:rsid w:val="3688BC9F"/>
    <w:rsid w:val="368965F2"/>
    <w:rsid w:val="3689E223"/>
    <w:rsid w:val="368AED3D"/>
    <w:rsid w:val="3691620E"/>
    <w:rsid w:val="3693A228"/>
    <w:rsid w:val="36969840"/>
    <w:rsid w:val="369700A1"/>
    <w:rsid w:val="369783A3"/>
    <w:rsid w:val="36979259"/>
    <w:rsid w:val="3697F4A1"/>
    <w:rsid w:val="369B0F6D"/>
    <w:rsid w:val="369B1260"/>
    <w:rsid w:val="369D54C0"/>
    <w:rsid w:val="369D74D6"/>
    <w:rsid w:val="369E83B4"/>
    <w:rsid w:val="369FC325"/>
    <w:rsid w:val="36A30515"/>
    <w:rsid w:val="36A813CD"/>
    <w:rsid w:val="36A8A0BC"/>
    <w:rsid w:val="36A969DD"/>
    <w:rsid w:val="36AC85C8"/>
    <w:rsid w:val="36ADD4B1"/>
    <w:rsid w:val="36AFDE65"/>
    <w:rsid w:val="36B01375"/>
    <w:rsid w:val="36B38CCF"/>
    <w:rsid w:val="36B5774D"/>
    <w:rsid w:val="36B704E2"/>
    <w:rsid w:val="36B75482"/>
    <w:rsid w:val="36B859B1"/>
    <w:rsid w:val="36B9E158"/>
    <w:rsid w:val="36B9EECC"/>
    <w:rsid w:val="36BBEB34"/>
    <w:rsid w:val="36BF6C85"/>
    <w:rsid w:val="36C24F9D"/>
    <w:rsid w:val="36C2BCF0"/>
    <w:rsid w:val="36C43407"/>
    <w:rsid w:val="36C50AC5"/>
    <w:rsid w:val="36C6AFC4"/>
    <w:rsid w:val="36C749E8"/>
    <w:rsid w:val="36C88EE2"/>
    <w:rsid w:val="36C8A41E"/>
    <w:rsid w:val="36CB2C45"/>
    <w:rsid w:val="36CB5E45"/>
    <w:rsid w:val="36CD5E0A"/>
    <w:rsid w:val="36CF9B2B"/>
    <w:rsid w:val="36CFB2E1"/>
    <w:rsid w:val="36D0085B"/>
    <w:rsid w:val="36D5882B"/>
    <w:rsid w:val="36DA7236"/>
    <w:rsid w:val="36E0591E"/>
    <w:rsid w:val="36E12E33"/>
    <w:rsid w:val="36E29403"/>
    <w:rsid w:val="36E97CCD"/>
    <w:rsid w:val="36E99DD9"/>
    <w:rsid w:val="36EB2DD1"/>
    <w:rsid w:val="36EC20E5"/>
    <w:rsid w:val="36ECA8F5"/>
    <w:rsid w:val="36EDCD83"/>
    <w:rsid w:val="36EE0F41"/>
    <w:rsid w:val="36EF1ECE"/>
    <w:rsid w:val="36F03700"/>
    <w:rsid w:val="36F2C0F3"/>
    <w:rsid w:val="36F8AAB5"/>
    <w:rsid w:val="36F93435"/>
    <w:rsid w:val="3700365E"/>
    <w:rsid w:val="37008DC8"/>
    <w:rsid w:val="3700C0B9"/>
    <w:rsid w:val="370184F8"/>
    <w:rsid w:val="3701922E"/>
    <w:rsid w:val="37032515"/>
    <w:rsid w:val="37063954"/>
    <w:rsid w:val="3706E8D5"/>
    <w:rsid w:val="3706F9AB"/>
    <w:rsid w:val="3707949B"/>
    <w:rsid w:val="37099DF2"/>
    <w:rsid w:val="370A1549"/>
    <w:rsid w:val="370B331E"/>
    <w:rsid w:val="370D12D8"/>
    <w:rsid w:val="3712E4B1"/>
    <w:rsid w:val="3715079C"/>
    <w:rsid w:val="3715F318"/>
    <w:rsid w:val="37198554"/>
    <w:rsid w:val="371ABB58"/>
    <w:rsid w:val="371B0ADC"/>
    <w:rsid w:val="371B4A41"/>
    <w:rsid w:val="371B9140"/>
    <w:rsid w:val="371BFDF4"/>
    <w:rsid w:val="371F2F96"/>
    <w:rsid w:val="37210E67"/>
    <w:rsid w:val="3721C7E5"/>
    <w:rsid w:val="3722A7B9"/>
    <w:rsid w:val="372787E5"/>
    <w:rsid w:val="372B9F4A"/>
    <w:rsid w:val="372CB596"/>
    <w:rsid w:val="372D654E"/>
    <w:rsid w:val="372DB44D"/>
    <w:rsid w:val="3730275B"/>
    <w:rsid w:val="373182F8"/>
    <w:rsid w:val="3733580C"/>
    <w:rsid w:val="373408D8"/>
    <w:rsid w:val="3736A41B"/>
    <w:rsid w:val="373D4017"/>
    <w:rsid w:val="373E892D"/>
    <w:rsid w:val="3743F164"/>
    <w:rsid w:val="37443DE0"/>
    <w:rsid w:val="3745CC27"/>
    <w:rsid w:val="374729CF"/>
    <w:rsid w:val="37495CC2"/>
    <w:rsid w:val="374C1581"/>
    <w:rsid w:val="374D2120"/>
    <w:rsid w:val="374D5A3D"/>
    <w:rsid w:val="3750ACF6"/>
    <w:rsid w:val="37528555"/>
    <w:rsid w:val="375311B7"/>
    <w:rsid w:val="3753CB30"/>
    <w:rsid w:val="3753E6E6"/>
    <w:rsid w:val="37553285"/>
    <w:rsid w:val="3755C8DB"/>
    <w:rsid w:val="3756F778"/>
    <w:rsid w:val="3758C508"/>
    <w:rsid w:val="375B2DF7"/>
    <w:rsid w:val="375B46F8"/>
    <w:rsid w:val="375C9D7B"/>
    <w:rsid w:val="375E7584"/>
    <w:rsid w:val="375F148D"/>
    <w:rsid w:val="37639E7E"/>
    <w:rsid w:val="3763BE5B"/>
    <w:rsid w:val="37648299"/>
    <w:rsid w:val="3764CE1D"/>
    <w:rsid w:val="37653B22"/>
    <w:rsid w:val="37662AAD"/>
    <w:rsid w:val="3767145E"/>
    <w:rsid w:val="3767CB42"/>
    <w:rsid w:val="3767CCEA"/>
    <w:rsid w:val="37687500"/>
    <w:rsid w:val="376B7753"/>
    <w:rsid w:val="376C4F72"/>
    <w:rsid w:val="376EBDE5"/>
    <w:rsid w:val="37712D59"/>
    <w:rsid w:val="3773D451"/>
    <w:rsid w:val="37756FA1"/>
    <w:rsid w:val="377695E6"/>
    <w:rsid w:val="377A7ABD"/>
    <w:rsid w:val="378215E1"/>
    <w:rsid w:val="37837A1A"/>
    <w:rsid w:val="3787374F"/>
    <w:rsid w:val="3787D45C"/>
    <w:rsid w:val="3790A1A2"/>
    <w:rsid w:val="3792744C"/>
    <w:rsid w:val="37974EE4"/>
    <w:rsid w:val="37977C1A"/>
    <w:rsid w:val="379A698E"/>
    <w:rsid w:val="379D25E1"/>
    <w:rsid w:val="37A107F1"/>
    <w:rsid w:val="37A395F2"/>
    <w:rsid w:val="37A92396"/>
    <w:rsid w:val="37A96FB3"/>
    <w:rsid w:val="37AABC9D"/>
    <w:rsid w:val="37AD307E"/>
    <w:rsid w:val="37AD3A88"/>
    <w:rsid w:val="37AD817E"/>
    <w:rsid w:val="37AE7FA0"/>
    <w:rsid w:val="37AE8CBA"/>
    <w:rsid w:val="37B21776"/>
    <w:rsid w:val="37B23FE0"/>
    <w:rsid w:val="37B2475B"/>
    <w:rsid w:val="37B35607"/>
    <w:rsid w:val="37B48999"/>
    <w:rsid w:val="37B6042B"/>
    <w:rsid w:val="37B64EA3"/>
    <w:rsid w:val="37B67F12"/>
    <w:rsid w:val="37B70292"/>
    <w:rsid w:val="37B77777"/>
    <w:rsid w:val="37B7960E"/>
    <w:rsid w:val="37BCC902"/>
    <w:rsid w:val="37BD8E3D"/>
    <w:rsid w:val="37BE60AA"/>
    <w:rsid w:val="37C07F41"/>
    <w:rsid w:val="37C1885D"/>
    <w:rsid w:val="37C421ED"/>
    <w:rsid w:val="37C4FD96"/>
    <w:rsid w:val="37CAD614"/>
    <w:rsid w:val="37CCB07C"/>
    <w:rsid w:val="37CD6D75"/>
    <w:rsid w:val="37CE6762"/>
    <w:rsid w:val="37D30C2D"/>
    <w:rsid w:val="37D3F24F"/>
    <w:rsid w:val="37D45D94"/>
    <w:rsid w:val="37D46F2A"/>
    <w:rsid w:val="37D4B728"/>
    <w:rsid w:val="37D50248"/>
    <w:rsid w:val="37D62F10"/>
    <w:rsid w:val="37D7E0DD"/>
    <w:rsid w:val="37D84D66"/>
    <w:rsid w:val="37D8E3C6"/>
    <w:rsid w:val="37DA82FC"/>
    <w:rsid w:val="37DAA835"/>
    <w:rsid w:val="37DE587D"/>
    <w:rsid w:val="37E01BE3"/>
    <w:rsid w:val="37E13421"/>
    <w:rsid w:val="37E27C89"/>
    <w:rsid w:val="37E5D924"/>
    <w:rsid w:val="37E6E63D"/>
    <w:rsid w:val="37E72418"/>
    <w:rsid w:val="37E7FE53"/>
    <w:rsid w:val="37E8587F"/>
    <w:rsid w:val="37E87E25"/>
    <w:rsid w:val="37E9742E"/>
    <w:rsid w:val="37EB00E6"/>
    <w:rsid w:val="37ED1C00"/>
    <w:rsid w:val="37EFE248"/>
    <w:rsid w:val="37F11F1A"/>
    <w:rsid w:val="37F234C1"/>
    <w:rsid w:val="37F2AE2F"/>
    <w:rsid w:val="37F4A4A1"/>
    <w:rsid w:val="37F8B442"/>
    <w:rsid w:val="37FAE50F"/>
    <w:rsid w:val="37FAEE34"/>
    <w:rsid w:val="37FC80A5"/>
    <w:rsid w:val="37FD77EA"/>
    <w:rsid w:val="37FEFC5A"/>
    <w:rsid w:val="3800B607"/>
    <w:rsid w:val="380121FF"/>
    <w:rsid w:val="38018B24"/>
    <w:rsid w:val="3802E390"/>
    <w:rsid w:val="38072187"/>
    <w:rsid w:val="3809376D"/>
    <w:rsid w:val="38099C00"/>
    <w:rsid w:val="380A399E"/>
    <w:rsid w:val="380AB4F3"/>
    <w:rsid w:val="380BEA2C"/>
    <w:rsid w:val="3815A50F"/>
    <w:rsid w:val="3817A740"/>
    <w:rsid w:val="3817DE90"/>
    <w:rsid w:val="381A9C52"/>
    <w:rsid w:val="381BC800"/>
    <w:rsid w:val="381BECE8"/>
    <w:rsid w:val="381CA099"/>
    <w:rsid w:val="381DAB5D"/>
    <w:rsid w:val="381EC6D6"/>
    <w:rsid w:val="38213063"/>
    <w:rsid w:val="3821B682"/>
    <w:rsid w:val="3824978C"/>
    <w:rsid w:val="3824E1B1"/>
    <w:rsid w:val="382546B5"/>
    <w:rsid w:val="3828BA10"/>
    <w:rsid w:val="382D91BC"/>
    <w:rsid w:val="382D9ED0"/>
    <w:rsid w:val="38350890"/>
    <w:rsid w:val="383658C0"/>
    <w:rsid w:val="38376926"/>
    <w:rsid w:val="383C44B3"/>
    <w:rsid w:val="383CBF86"/>
    <w:rsid w:val="383DF2E5"/>
    <w:rsid w:val="384073EE"/>
    <w:rsid w:val="3842543A"/>
    <w:rsid w:val="3844AA05"/>
    <w:rsid w:val="3845C246"/>
    <w:rsid w:val="3846B415"/>
    <w:rsid w:val="38487D9E"/>
    <w:rsid w:val="384CE114"/>
    <w:rsid w:val="385A5B8B"/>
    <w:rsid w:val="385B00DF"/>
    <w:rsid w:val="385C4E6C"/>
    <w:rsid w:val="385CAC01"/>
    <w:rsid w:val="385D5101"/>
    <w:rsid w:val="3861BF64"/>
    <w:rsid w:val="3862D11A"/>
    <w:rsid w:val="386340D2"/>
    <w:rsid w:val="38643600"/>
    <w:rsid w:val="3864FB92"/>
    <w:rsid w:val="3866DB54"/>
    <w:rsid w:val="3867A242"/>
    <w:rsid w:val="38688ACD"/>
    <w:rsid w:val="3868CF68"/>
    <w:rsid w:val="3869C0F1"/>
    <w:rsid w:val="386C9AB1"/>
    <w:rsid w:val="386DC353"/>
    <w:rsid w:val="38747F5B"/>
    <w:rsid w:val="387624F7"/>
    <w:rsid w:val="38763D9D"/>
    <w:rsid w:val="387A391C"/>
    <w:rsid w:val="387C94CF"/>
    <w:rsid w:val="387E1F2D"/>
    <w:rsid w:val="3880D1F9"/>
    <w:rsid w:val="38813A3F"/>
    <w:rsid w:val="38835B30"/>
    <w:rsid w:val="38899C91"/>
    <w:rsid w:val="388B65F9"/>
    <w:rsid w:val="388B6BA8"/>
    <w:rsid w:val="388C7227"/>
    <w:rsid w:val="388EC01F"/>
    <w:rsid w:val="38914817"/>
    <w:rsid w:val="3894CED7"/>
    <w:rsid w:val="38950496"/>
    <w:rsid w:val="38953863"/>
    <w:rsid w:val="38958F59"/>
    <w:rsid w:val="38977F81"/>
    <w:rsid w:val="3898C192"/>
    <w:rsid w:val="389B46FF"/>
    <w:rsid w:val="389B9BB4"/>
    <w:rsid w:val="389D24BD"/>
    <w:rsid w:val="38A1EBA3"/>
    <w:rsid w:val="38A5D02B"/>
    <w:rsid w:val="38A61CD3"/>
    <w:rsid w:val="38A74B14"/>
    <w:rsid w:val="38ABED90"/>
    <w:rsid w:val="38ACD623"/>
    <w:rsid w:val="38AD5416"/>
    <w:rsid w:val="38AD69DD"/>
    <w:rsid w:val="38AE57F9"/>
    <w:rsid w:val="38AF8EEC"/>
    <w:rsid w:val="38B0FCAE"/>
    <w:rsid w:val="38B219FE"/>
    <w:rsid w:val="38B4E0FA"/>
    <w:rsid w:val="38BAB19A"/>
    <w:rsid w:val="38BAB485"/>
    <w:rsid w:val="38BBC036"/>
    <w:rsid w:val="38BD1632"/>
    <w:rsid w:val="38C03888"/>
    <w:rsid w:val="38CA44C1"/>
    <w:rsid w:val="38D0EB84"/>
    <w:rsid w:val="38D1FE8C"/>
    <w:rsid w:val="38D2604D"/>
    <w:rsid w:val="38D4CD18"/>
    <w:rsid w:val="38D66E4F"/>
    <w:rsid w:val="38D81AE0"/>
    <w:rsid w:val="38D97A31"/>
    <w:rsid w:val="38DB2052"/>
    <w:rsid w:val="38DB4A58"/>
    <w:rsid w:val="38DDA4BF"/>
    <w:rsid w:val="38DE9432"/>
    <w:rsid w:val="38E1A12A"/>
    <w:rsid w:val="38E233C3"/>
    <w:rsid w:val="38E26C1D"/>
    <w:rsid w:val="38E28254"/>
    <w:rsid w:val="38E2E187"/>
    <w:rsid w:val="38E3E064"/>
    <w:rsid w:val="38E4267C"/>
    <w:rsid w:val="38E585AF"/>
    <w:rsid w:val="38E82F4D"/>
    <w:rsid w:val="38E82F9A"/>
    <w:rsid w:val="38E8F1B9"/>
    <w:rsid w:val="38EAD459"/>
    <w:rsid w:val="38EEF2DA"/>
    <w:rsid w:val="38EFBD96"/>
    <w:rsid w:val="38F0AE6A"/>
    <w:rsid w:val="38F1057A"/>
    <w:rsid w:val="38F18421"/>
    <w:rsid w:val="38F3F740"/>
    <w:rsid w:val="38F40080"/>
    <w:rsid w:val="38F99790"/>
    <w:rsid w:val="38F9B409"/>
    <w:rsid w:val="38F9CF83"/>
    <w:rsid w:val="38F9CFE5"/>
    <w:rsid w:val="38FA463C"/>
    <w:rsid w:val="38FA9DF4"/>
    <w:rsid w:val="38FB8FBF"/>
    <w:rsid w:val="38FC4691"/>
    <w:rsid w:val="39005E88"/>
    <w:rsid w:val="3903E67D"/>
    <w:rsid w:val="3905879C"/>
    <w:rsid w:val="39068ACF"/>
    <w:rsid w:val="3909E90D"/>
    <w:rsid w:val="3909E9D6"/>
    <w:rsid w:val="390D4279"/>
    <w:rsid w:val="39114053"/>
    <w:rsid w:val="39116D25"/>
    <w:rsid w:val="3911DABD"/>
    <w:rsid w:val="391410D2"/>
    <w:rsid w:val="391460C0"/>
    <w:rsid w:val="3915FCC1"/>
    <w:rsid w:val="39198F66"/>
    <w:rsid w:val="391A01D7"/>
    <w:rsid w:val="391E2DD0"/>
    <w:rsid w:val="391EA672"/>
    <w:rsid w:val="391EEC82"/>
    <w:rsid w:val="3922D312"/>
    <w:rsid w:val="39245CF2"/>
    <w:rsid w:val="392510C3"/>
    <w:rsid w:val="39252D71"/>
    <w:rsid w:val="392767FC"/>
    <w:rsid w:val="3929F32B"/>
    <w:rsid w:val="392ACE66"/>
    <w:rsid w:val="392B4A2F"/>
    <w:rsid w:val="392BC56E"/>
    <w:rsid w:val="392C88AC"/>
    <w:rsid w:val="392FD457"/>
    <w:rsid w:val="392FE675"/>
    <w:rsid w:val="3934F548"/>
    <w:rsid w:val="39359019"/>
    <w:rsid w:val="39384A26"/>
    <w:rsid w:val="393A57A6"/>
    <w:rsid w:val="393AB1DF"/>
    <w:rsid w:val="393BB594"/>
    <w:rsid w:val="393C87A1"/>
    <w:rsid w:val="393DBD43"/>
    <w:rsid w:val="393E3872"/>
    <w:rsid w:val="393F6AA0"/>
    <w:rsid w:val="39419708"/>
    <w:rsid w:val="39430847"/>
    <w:rsid w:val="39449549"/>
    <w:rsid w:val="394767E0"/>
    <w:rsid w:val="39479A96"/>
    <w:rsid w:val="39487AF2"/>
    <w:rsid w:val="394C44E9"/>
    <w:rsid w:val="394DC62F"/>
    <w:rsid w:val="394DC8AD"/>
    <w:rsid w:val="394E275E"/>
    <w:rsid w:val="3950292E"/>
    <w:rsid w:val="39521CED"/>
    <w:rsid w:val="39550986"/>
    <w:rsid w:val="3957C882"/>
    <w:rsid w:val="395A9DF0"/>
    <w:rsid w:val="395C28F5"/>
    <w:rsid w:val="395F6206"/>
    <w:rsid w:val="3961D2EF"/>
    <w:rsid w:val="39629101"/>
    <w:rsid w:val="3962ACC5"/>
    <w:rsid w:val="3963E602"/>
    <w:rsid w:val="396424E6"/>
    <w:rsid w:val="396441EE"/>
    <w:rsid w:val="3964C879"/>
    <w:rsid w:val="3969FB86"/>
    <w:rsid w:val="396A6A8F"/>
    <w:rsid w:val="396C9789"/>
    <w:rsid w:val="397186FC"/>
    <w:rsid w:val="39727F3E"/>
    <w:rsid w:val="3972C0C8"/>
    <w:rsid w:val="3973E382"/>
    <w:rsid w:val="39767412"/>
    <w:rsid w:val="39778799"/>
    <w:rsid w:val="397BC1BA"/>
    <w:rsid w:val="397E8E98"/>
    <w:rsid w:val="397EE2DA"/>
    <w:rsid w:val="398001AF"/>
    <w:rsid w:val="39855D78"/>
    <w:rsid w:val="3985B4AD"/>
    <w:rsid w:val="39862DD2"/>
    <w:rsid w:val="39872819"/>
    <w:rsid w:val="3988D5AE"/>
    <w:rsid w:val="398D7F38"/>
    <w:rsid w:val="398E5973"/>
    <w:rsid w:val="398FE29D"/>
    <w:rsid w:val="39912DCA"/>
    <w:rsid w:val="39942793"/>
    <w:rsid w:val="3994DFFC"/>
    <w:rsid w:val="39964D7B"/>
    <w:rsid w:val="39993A9F"/>
    <w:rsid w:val="39998008"/>
    <w:rsid w:val="399DFB88"/>
    <w:rsid w:val="399F8541"/>
    <w:rsid w:val="399FB93A"/>
    <w:rsid w:val="39A6737F"/>
    <w:rsid w:val="39AB6CD2"/>
    <w:rsid w:val="39ADF3E2"/>
    <w:rsid w:val="39AE081E"/>
    <w:rsid w:val="39AF52BF"/>
    <w:rsid w:val="39B025CE"/>
    <w:rsid w:val="39B0C2B3"/>
    <w:rsid w:val="39B18F50"/>
    <w:rsid w:val="39BBA817"/>
    <w:rsid w:val="39BF589D"/>
    <w:rsid w:val="39C06DCF"/>
    <w:rsid w:val="39C0EACF"/>
    <w:rsid w:val="39C1D0D3"/>
    <w:rsid w:val="39C93592"/>
    <w:rsid w:val="39CB3A5F"/>
    <w:rsid w:val="39CB8EC9"/>
    <w:rsid w:val="39CC8B15"/>
    <w:rsid w:val="39D2A3BD"/>
    <w:rsid w:val="39D63BDF"/>
    <w:rsid w:val="39E180EA"/>
    <w:rsid w:val="39E2EDC1"/>
    <w:rsid w:val="39E8C83A"/>
    <w:rsid w:val="39EC2A56"/>
    <w:rsid w:val="39ED28D2"/>
    <w:rsid w:val="39EDC7AB"/>
    <w:rsid w:val="39F1278B"/>
    <w:rsid w:val="39F55AE9"/>
    <w:rsid w:val="39F5E6D6"/>
    <w:rsid w:val="39F7AABF"/>
    <w:rsid w:val="39FA9300"/>
    <w:rsid w:val="3A060459"/>
    <w:rsid w:val="3A06BF27"/>
    <w:rsid w:val="3A07ED60"/>
    <w:rsid w:val="3A0CC50C"/>
    <w:rsid w:val="3A0F052C"/>
    <w:rsid w:val="3A100EAB"/>
    <w:rsid w:val="3A127D4B"/>
    <w:rsid w:val="3A13A7AD"/>
    <w:rsid w:val="3A176563"/>
    <w:rsid w:val="3A1A6A44"/>
    <w:rsid w:val="3A1DB9FF"/>
    <w:rsid w:val="3A1F3791"/>
    <w:rsid w:val="3A223A29"/>
    <w:rsid w:val="3A24F8AF"/>
    <w:rsid w:val="3A2572FB"/>
    <w:rsid w:val="3A258BD2"/>
    <w:rsid w:val="3A2635F1"/>
    <w:rsid w:val="3A26CFD6"/>
    <w:rsid w:val="3A2883F8"/>
    <w:rsid w:val="3A28E976"/>
    <w:rsid w:val="3A290E0E"/>
    <w:rsid w:val="3A2A83E0"/>
    <w:rsid w:val="3A2B7602"/>
    <w:rsid w:val="3A2DC548"/>
    <w:rsid w:val="3A2E9D59"/>
    <w:rsid w:val="3A33302F"/>
    <w:rsid w:val="3A338934"/>
    <w:rsid w:val="3A34F793"/>
    <w:rsid w:val="3A3C49FB"/>
    <w:rsid w:val="3A3D8B68"/>
    <w:rsid w:val="3A3D949E"/>
    <w:rsid w:val="3A4033EC"/>
    <w:rsid w:val="3A42E2D8"/>
    <w:rsid w:val="3A461004"/>
    <w:rsid w:val="3A474169"/>
    <w:rsid w:val="3A499A56"/>
    <w:rsid w:val="3A4B5CD9"/>
    <w:rsid w:val="3A510EE6"/>
    <w:rsid w:val="3A514864"/>
    <w:rsid w:val="3A521293"/>
    <w:rsid w:val="3A536A39"/>
    <w:rsid w:val="3A55BC07"/>
    <w:rsid w:val="3A572DA8"/>
    <w:rsid w:val="3A57AB6E"/>
    <w:rsid w:val="3A5A81B2"/>
    <w:rsid w:val="3A5AADD3"/>
    <w:rsid w:val="3A5D4684"/>
    <w:rsid w:val="3A5E30EA"/>
    <w:rsid w:val="3A5F7077"/>
    <w:rsid w:val="3A5F7DE9"/>
    <w:rsid w:val="3A60A72A"/>
    <w:rsid w:val="3A614E6B"/>
    <w:rsid w:val="3A620E7F"/>
    <w:rsid w:val="3A63AD27"/>
    <w:rsid w:val="3A689DFF"/>
    <w:rsid w:val="3A68BB52"/>
    <w:rsid w:val="3A6CD632"/>
    <w:rsid w:val="3A6EF462"/>
    <w:rsid w:val="3A73B2F2"/>
    <w:rsid w:val="3A73BEE0"/>
    <w:rsid w:val="3A743DF5"/>
    <w:rsid w:val="3A749575"/>
    <w:rsid w:val="3A7A75BF"/>
    <w:rsid w:val="3A7BD354"/>
    <w:rsid w:val="3A7CD4C2"/>
    <w:rsid w:val="3A7FDE0B"/>
    <w:rsid w:val="3A8123F0"/>
    <w:rsid w:val="3A81F872"/>
    <w:rsid w:val="3A872009"/>
    <w:rsid w:val="3A87F8CF"/>
    <w:rsid w:val="3A87FF9E"/>
    <w:rsid w:val="3A8BA815"/>
    <w:rsid w:val="3A8E3939"/>
    <w:rsid w:val="3A8FA4A7"/>
    <w:rsid w:val="3A91382F"/>
    <w:rsid w:val="3A93EB2F"/>
    <w:rsid w:val="3A999492"/>
    <w:rsid w:val="3A99C5D4"/>
    <w:rsid w:val="3A9DD5E4"/>
    <w:rsid w:val="3A9E23BF"/>
    <w:rsid w:val="3AA2156C"/>
    <w:rsid w:val="3AA4894C"/>
    <w:rsid w:val="3AA79463"/>
    <w:rsid w:val="3AA8356A"/>
    <w:rsid w:val="3AAD9D61"/>
    <w:rsid w:val="3AADB4FF"/>
    <w:rsid w:val="3AB0F9E1"/>
    <w:rsid w:val="3AB23471"/>
    <w:rsid w:val="3AB58966"/>
    <w:rsid w:val="3AB6137D"/>
    <w:rsid w:val="3AB6CD32"/>
    <w:rsid w:val="3AB6E924"/>
    <w:rsid w:val="3AB7FC2F"/>
    <w:rsid w:val="3ABB2123"/>
    <w:rsid w:val="3ABB60FD"/>
    <w:rsid w:val="3ABEF558"/>
    <w:rsid w:val="3AC645FC"/>
    <w:rsid w:val="3AC7DFBD"/>
    <w:rsid w:val="3AC82C22"/>
    <w:rsid w:val="3ACAA9A3"/>
    <w:rsid w:val="3ACADCA8"/>
    <w:rsid w:val="3AD12381"/>
    <w:rsid w:val="3AD17C98"/>
    <w:rsid w:val="3AD3C48A"/>
    <w:rsid w:val="3AD4FB28"/>
    <w:rsid w:val="3AD70561"/>
    <w:rsid w:val="3ADCB0B0"/>
    <w:rsid w:val="3ADCDE3C"/>
    <w:rsid w:val="3ADDD64A"/>
    <w:rsid w:val="3ADEAACF"/>
    <w:rsid w:val="3ADF373C"/>
    <w:rsid w:val="3AE06EB1"/>
    <w:rsid w:val="3AE48327"/>
    <w:rsid w:val="3AE59800"/>
    <w:rsid w:val="3AE6F887"/>
    <w:rsid w:val="3AE71FF0"/>
    <w:rsid w:val="3AE9749C"/>
    <w:rsid w:val="3AEBB115"/>
    <w:rsid w:val="3AEE7F21"/>
    <w:rsid w:val="3AEEC517"/>
    <w:rsid w:val="3AEF0C77"/>
    <w:rsid w:val="3AF4F687"/>
    <w:rsid w:val="3AF9C1B0"/>
    <w:rsid w:val="3AF9EDC3"/>
    <w:rsid w:val="3AFB2634"/>
    <w:rsid w:val="3AFBB3F6"/>
    <w:rsid w:val="3AFF2F9F"/>
    <w:rsid w:val="3B001B16"/>
    <w:rsid w:val="3B03EA4C"/>
    <w:rsid w:val="3B06018B"/>
    <w:rsid w:val="3B07415C"/>
    <w:rsid w:val="3B0BC007"/>
    <w:rsid w:val="3B0CFBD3"/>
    <w:rsid w:val="3B0E138D"/>
    <w:rsid w:val="3B125261"/>
    <w:rsid w:val="3B134688"/>
    <w:rsid w:val="3B13DE63"/>
    <w:rsid w:val="3B13EA8A"/>
    <w:rsid w:val="3B1A8B62"/>
    <w:rsid w:val="3B1FD7D3"/>
    <w:rsid w:val="3B24457E"/>
    <w:rsid w:val="3B26807D"/>
    <w:rsid w:val="3B26AE05"/>
    <w:rsid w:val="3B277138"/>
    <w:rsid w:val="3B2789E4"/>
    <w:rsid w:val="3B27DCEE"/>
    <w:rsid w:val="3B291AFB"/>
    <w:rsid w:val="3B2AE509"/>
    <w:rsid w:val="3B2B02AB"/>
    <w:rsid w:val="3B3319FA"/>
    <w:rsid w:val="3B35E814"/>
    <w:rsid w:val="3B385580"/>
    <w:rsid w:val="3B39C9FE"/>
    <w:rsid w:val="3B3A4C17"/>
    <w:rsid w:val="3B3B9248"/>
    <w:rsid w:val="3B3DCC34"/>
    <w:rsid w:val="3B3E3FBD"/>
    <w:rsid w:val="3B3EB942"/>
    <w:rsid w:val="3B3EE54A"/>
    <w:rsid w:val="3B415B2A"/>
    <w:rsid w:val="3B42BE09"/>
    <w:rsid w:val="3B45E89E"/>
    <w:rsid w:val="3B47D289"/>
    <w:rsid w:val="3B47EAED"/>
    <w:rsid w:val="3B4D2ABF"/>
    <w:rsid w:val="3B4ED82A"/>
    <w:rsid w:val="3B54E5E5"/>
    <w:rsid w:val="3B55A3D4"/>
    <w:rsid w:val="3B58CF6E"/>
    <w:rsid w:val="3B592987"/>
    <w:rsid w:val="3B59C5E7"/>
    <w:rsid w:val="3B5C6FF4"/>
    <w:rsid w:val="3B5CE586"/>
    <w:rsid w:val="3B5DEEE1"/>
    <w:rsid w:val="3B604E64"/>
    <w:rsid w:val="3B64259A"/>
    <w:rsid w:val="3B6730F9"/>
    <w:rsid w:val="3B673E5F"/>
    <w:rsid w:val="3B6AAA64"/>
    <w:rsid w:val="3B6DB0E4"/>
    <w:rsid w:val="3B6FBD69"/>
    <w:rsid w:val="3B700AEE"/>
    <w:rsid w:val="3B758C3F"/>
    <w:rsid w:val="3B75AC13"/>
    <w:rsid w:val="3B76B9D1"/>
    <w:rsid w:val="3B7816A6"/>
    <w:rsid w:val="3B7A2927"/>
    <w:rsid w:val="3B7BC61A"/>
    <w:rsid w:val="3B7E9222"/>
    <w:rsid w:val="3B7FF901"/>
    <w:rsid w:val="3B80A6C1"/>
    <w:rsid w:val="3B84ADBF"/>
    <w:rsid w:val="3B89F5F2"/>
    <w:rsid w:val="3B8BEC9F"/>
    <w:rsid w:val="3B90CF49"/>
    <w:rsid w:val="3B968FFC"/>
    <w:rsid w:val="3B988E08"/>
    <w:rsid w:val="3B9B2591"/>
    <w:rsid w:val="3B9CC1AF"/>
    <w:rsid w:val="3B9D3A24"/>
    <w:rsid w:val="3B9DFEC3"/>
    <w:rsid w:val="3BA01A08"/>
    <w:rsid w:val="3BA5826D"/>
    <w:rsid w:val="3BA787ED"/>
    <w:rsid w:val="3BA99792"/>
    <w:rsid w:val="3BAA0F7D"/>
    <w:rsid w:val="3BAE5018"/>
    <w:rsid w:val="3BAEEC77"/>
    <w:rsid w:val="3BB6AD9E"/>
    <w:rsid w:val="3BB9CB0C"/>
    <w:rsid w:val="3BBA0624"/>
    <w:rsid w:val="3BBF2B29"/>
    <w:rsid w:val="3BC0004F"/>
    <w:rsid w:val="3BC2EF5B"/>
    <w:rsid w:val="3BC3A589"/>
    <w:rsid w:val="3BCA9F42"/>
    <w:rsid w:val="3BD0ED86"/>
    <w:rsid w:val="3BD1F7AB"/>
    <w:rsid w:val="3BD320AB"/>
    <w:rsid w:val="3BD47BC0"/>
    <w:rsid w:val="3BD55110"/>
    <w:rsid w:val="3BD91F45"/>
    <w:rsid w:val="3BDAF23C"/>
    <w:rsid w:val="3BDB5B32"/>
    <w:rsid w:val="3BDE33AF"/>
    <w:rsid w:val="3BDEBF0D"/>
    <w:rsid w:val="3BE15B4E"/>
    <w:rsid w:val="3BE1EE2F"/>
    <w:rsid w:val="3BE250D2"/>
    <w:rsid w:val="3BE46E5D"/>
    <w:rsid w:val="3BE50729"/>
    <w:rsid w:val="3BE8355F"/>
    <w:rsid w:val="3BE9B672"/>
    <w:rsid w:val="3BF2219E"/>
    <w:rsid w:val="3BF301C0"/>
    <w:rsid w:val="3BF3C5E7"/>
    <w:rsid w:val="3BF531AB"/>
    <w:rsid w:val="3BF6099A"/>
    <w:rsid w:val="3BF6AE3C"/>
    <w:rsid w:val="3BF9FAA9"/>
    <w:rsid w:val="3BFA25D3"/>
    <w:rsid w:val="3BFBBBB5"/>
    <w:rsid w:val="3BFC9D6B"/>
    <w:rsid w:val="3C0048FD"/>
    <w:rsid w:val="3C04D46F"/>
    <w:rsid w:val="3C06101A"/>
    <w:rsid w:val="3C06FA38"/>
    <w:rsid w:val="3C07B7EE"/>
    <w:rsid w:val="3C07DAC3"/>
    <w:rsid w:val="3C0ABC7C"/>
    <w:rsid w:val="3C0BB8B9"/>
    <w:rsid w:val="3C0BC4AF"/>
    <w:rsid w:val="3C0D18ED"/>
    <w:rsid w:val="3C0D61AF"/>
    <w:rsid w:val="3C0D76FA"/>
    <w:rsid w:val="3C0DFCF1"/>
    <w:rsid w:val="3C0E9350"/>
    <w:rsid w:val="3C0F9942"/>
    <w:rsid w:val="3C147C28"/>
    <w:rsid w:val="3C155F2D"/>
    <w:rsid w:val="3C15EC63"/>
    <w:rsid w:val="3C166D1A"/>
    <w:rsid w:val="3C16E2CF"/>
    <w:rsid w:val="3C175D8F"/>
    <w:rsid w:val="3C1A1C8D"/>
    <w:rsid w:val="3C1C2F7D"/>
    <w:rsid w:val="3C1D21EC"/>
    <w:rsid w:val="3C1DFA30"/>
    <w:rsid w:val="3C1F8F82"/>
    <w:rsid w:val="3C2023A9"/>
    <w:rsid w:val="3C204B1E"/>
    <w:rsid w:val="3C20DFBC"/>
    <w:rsid w:val="3C216B44"/>
    <w:rsid w:val="3C23B498"/>
    <w:rsid w:val="3C243D42"/>
    <w:rsid w:val="3C25A3A5"/>
    <w:rsid w:val="3C267FFC"/>
    <w:rsid w:val="3C2699CF"/>
    <w:rsid w:val="3C2894DF"/>
    <w:rsid w:val="3C28BF0F"/>
    <w:rsid w:val="3C2A2870"/>
    <w:rsid w:val="3C2A512C"/>
    <w:rsid w:val="3C2D041D"/>
    <w:rsid w:val="3C2D85ED"/>
    <w:rsid w:val="3C30B610"/>
    <w:rsid w:val="3C334E10"/>
    <w:rsid w:val="3C344663"/>
    <w:rsid w:val="3C37C6F8"/>
    <w:rsid w:val="3C39DE79"/>
    <w:rsid w:val="3C3D7448"/>
    <w:rsid w:val="3C412E1F"/>
    <w:rsid w:val="3C419A56"/>
    <w:rsid w:val="3C48D06A"/>
    <w:rsid w:val="3C491687"/>
    <w:rsid w:val="3C497246"/>
    <w:rsid w:val="3C4B141A"/>
    <w:rsid w:val="3C4B162A"/>
    <w:rsid w:val="3C4C6C83"/>
    <w:rsid w:val="3C4D16FF"/>
    <w:rsid w:val="3C539AB7"/>
    <w:rsid w:val="3C54C363"/>
    <w:rsid w:val="3C584D71"/>
    <w:rsid w:val="3C597CF4"/>
    <w:rsid w:val="3C5DCF5E"/>
    <w:rsid w:val="3C6053BF"/>
    <w:rsid w:val="3C6145B4"/>
    <w:rsid w:val="3C630F55"/>
    <w:rsid w:val="3C63C74D"/>
    <w:rsid w:val="3C63E14F"/>
    <w:rsid w:val="3C650D97"/>
    <w:rsid w:val="3C662A4C"/>
    <w:rsid w:val="3C6674CE"/>
    <w:rsid w:val="3C6C1749"/>
    <w:rsid w:val="3C6CB42B"/>
    <w:rsid w:val="3C6E17D3"/>
    <w:rsid w:val="3C6EC4CA"/>
    <w:rsid w:val="3C6EEEF0"/>
    <w:rsid w:val="3C721A50"/>
    <w:rsid w:val="3C72E108"/>
    <w:rsid w:val="3C741A19"/>
    <w:rsid w:val="3C78E20D"/>
    <w:rsid w:val="3C79AA28"/>
    <w:rsid w:val="3C7D413E"/>
    <w:rsid w:val="3C7E65FB"/>
    <w:rsid w:val="3C7EFDD2"/>
    <w:rsid w:val="3C7FEB31"/>
    <w:rsid w:val="3C80EBA4"/>
    <w:rsid w:val="3C84BF07"/>
    <w:rsid w:val="3C874FE2"/>
    <w:rsid w:val="3C8A218A"/>
    <w:rsid w:val="3C8B805F"/>
    <w:rsid w:val="3C8BFEEB"/>
    <w:rsid w:val="3C8C789E"/>
    <w:rsid w:val="3C8CFA1E"/>
    <w:rsid w:val="3C8D959E"/>
    <w:rsid w:val="3C8F050C"/>
    <w:rsid w:val="3C901DF5"/>
    <w:rsid w:val="3C90FE64"/>
    <w:rsid w:val="3C919C36"/>
    <w:rsid w:val="3C91C0EE"/>
    <w:rsid w:val="3C91F43D"/>
    <w:rsid w:val="3C950354"/>
    <w:rsid w:val="3C9FD530"/>
    <w:rsid w:val="3CAA8571"/>
    <w:rsid w:val="3CAE7CAE"/>
    <w:rsid w:val="3CAF44DB"/>
    <w:rsid w:val="3CB18206"/>
    <w:rsid w:val="3CB51598"/>
    <w:rsid w:val="3CB647C0"/>
    <w:rsid w:val="3CBCAC37"/>
    <w:rsid w:val="3CBEC97C"/>
    <w:rsid w:val="3CC07858"/>
    <w:rsid w:val="3CC585A6"/>
    <w:rsid w:val="3CC6B265"/>
    <w:rsid w:val="3CCCDCAA"/>
    <w:rsid w:val="3CCCE4DF"/>
    <w:rsid w:val="3CCCF051"/>
    <w:rsid w:val="3CCF2C7C"/>
    <w:rsid w:val="3CD52406"/>
    <w:rsid w:val="3CD69C49"/>
    <w:rsid w:val="3CD71233"/>
    <w:rsid w:val="3CDE1DF6"/>
    <w:rsid w:val="3CE1ABC6"/>
    <w:rsid w:val="3CE2F081"/>
    <w:rsid w:val="3CE51A4D"/>
    <w:rsid w:val="3CE56131"/>
    <w:rsid w:val="3CE5C80E"/>
    <w:rsid w:val="3CE695F9"/>
    <w:rsid w:val="3CE6DACC"/>
    <w:rsid w:val="3CE78A39"/>
    <w:rsid w:val="3CE7C952"/>
    <w:rsid w:val="3CE83E36"/>
    <w:rsid w:val="3CE84632"/>
    <w:rsid w:val="3CE8CA3C"/>
    <w:rsid w:val="3CE946B7"/>
    <w:rsid w:val="3CEC5AE3"/>
    <w:rsid w:val="3CEE47F4"/>
    <w:rsid w:val="3CEF8D32"/>
    <w:rsid w:val="3CF01072"/>
    <w:rsid w:val="3CF31086"/>
    <w:rsid w:val="3CF70FE6"/>
    <w:rsid w:val="3CF7E8C6"/>
    <w:rsid w:val="3CF89D6F"/>
    <w:rsid w:val="3CF929E6"/>
    <w:rsid w:val="3CF97B2E"/>
    <w:rsid w:val="3CFACEB2"/>
    <w:rsid w:val="3CFE85A9"/>
    <w:rsid w:val="3CFF77F8"/>
    <w:rsid w:val="3D017AC6"/>
    <w:rsid w:val="3D0366F1"/>
    <w:rsid w:val="3D042339"/>
    <w:rsid w:val="3D0DB0C9"/>
    <w:rsid w:val="3D10AF9A"/>
    <w:rsid w:val="3D11CAEA"/>
    <w:rsid w:val="3D135F40"/>
    <w:rsid w:val="3D13EF43"/>
    <w:rsid w:val="3D16059B"/>
    <w:rsid w:val="3D18046D"/>
    <w:rsid w:val="3D180CEA"/>
    <w:rsid w:val="3D184A59"/>
    <w:rsid w:val="3D1A3A5A"/>
    <w:rsid w:val="3D1ACFDC"/>
    <w:rsid w:val="3D1B27B8"/>
    <w:rsid w:val="3D1BBF28"/>
    <w:rsid w:val="3D21AC82"/>
    <w:rsid w:val="3D221970"/>
    <w:rsid w:val="3D2347D5"/>
    <w:rsid w:val="3D23EC92"/>
    <w:rsid w:val="3D2769A2"/>
    <w:rsid w:val="3D276A3E"/>
    <w:rsid w:val="3D2A00F6"/>
    <w:rsid w:val="3D2D67CC"/>
    <w:rsid w:val="3D2E3C23"/>
    <w:rsid w:val="3D2E7C25"/>
    <w:rsid w:val="3D2EFE50"/>
    <w:rsid w:val="3D2F0CEB"/>
    <w:rsid w:val="3D2F65F4"/>
    <w:rsid w:val="3D2F8348"/>
    <w:rsid w:val="3D31FCD4"/>
    <w:rsid w:val="3D35BC36"/>
    <w:rsid w:val="3D360307"/>
    <w:rsid w:val="3D393FA4"/>
    <w:rsid w:val="3D3A69C7"/>
    <w:rsid w:val="3D3A8F07"/>
    <w:rsid w:val="3D3B50C7"/>
    <w:rsid w:val="3D435016"/>
    <w:rsid w:val="3D474475"/>
    <w:rsid w:val="3D49D335"/>
    <w:rsid w:val="3D4CCB5F"/>
    <w:rsid w:val="3D4DE29A"/>
    <w:rsid w:val="3D4E5FCA"/>
    <w:rsid w:val="3D5215D2"/>
    <w:rsid w:val="3D529D6A"/>
    <w:rsid w:val="3D5372FC"/>
    <w:rsid w:val="3D55B2F8"/>
    <w:rsid w:val="3D561338"/>
    <w:rsid w:val="3D5660AE"/>
    <w:rsid w:val="3D578858"/>
    <w:rsid w:val="3D5A6BE9"/>
    <w:rsid w:val="3D5A8025"/>
    <w:rsid w:val="3D5BCFCF"/>
    <w:rsid w:val="3D5EDA31"/>
    <w:rsid w:val="3D5F6A94"/>
    <w:rsid w:val="3D63FD08"/>
    <w:rsid w:val="3D6554F6"/>
    <w:rsid w:val="3D656B98"/>
    <w:rsid w:val="3D65B163"/>
    <w:rsid w:val="3D694165"/>
    <w:rsid w:val="3D699F4C"/>
    <w:rsid w:val="3D6A12FF"/>
    <w:rsid w:val="3D6A7D11"/>
    <w:rsid w:val="3D6B6337"/>
    <w:rsid w:val="3D6D5ADD"/>
    <w:rsid w:val="3D6E18C2"/>
    <w:rsid w:val="3D6ED1A5"/>
    <w:rsid w:val="3D747BF7"/>
    <w:rsid w:val="3D74E2FE"/>
    <w:rsid w:val="3D7510F4"/>
    <w:rsid w:val="3D7886BD"/>
    <w:rsid w:val="3D7A1D8B"/>
    <w:rsid w:val="3D7A97C4"/>
    <w:rsid w:val="3D7C9239"/>
    <w:rsid w:val="3D7EDA99"/>
    <w:rsid w:val="3D89055E"/>
    <w:rsid w:val="3D8A0A50"/>
    <w:rsid w:val="3D8B332B"/>
    <w:rsid w:val="3D905902"/>
    <w:rsid w:val="3D959EFE"/>
    <w:rsid w:val="3D95FF7C"/>
    <w:rsid w:val="3D9840B7"/>
    <w:rsid w:val="3D99A14F"/>
    <w:rsid w:val="3D9B18C3"/>
    <w:rsid w:val="3D9C3139"/>
    <w:rsid w:val="3D9D71AB"/>
    <w:rsid w:val="3DA0F62D"/>
    <w:rsid w:val="3DA188D9"/>
    <w:rsid w:val="3DA1FD4C"/>
    <w:rsid w:val="3DA29428"/>
    <w:rsid w:val="3DAB0DB8"/>
    <w:rsid w:val="3DAC58D6"/>
    <w:rsid w:val="3DAD0187"/>
    <w:rsid w:val="3DAF5212"/>
    <w:rsid w:val="3DB07195"/>
    <w:rsid w:val="3DB109C7"/>
    <w:rsid w:val="3DB150F5"/>
    <w:rsid w:val="3DB7BD82"/>
    <w:rsid w:val="3DB843DA"/>
    <w:rsid w:val="3DB8EE15"/>
    <w:rsid w:val="3DB91461"/>
    <w:rsid w:val="3DBA678F"/>
    <w:rsid w:val="3DBD375A"/>
    <w:rsid w:val="3DBDD295"/>
    <w:rsid w:val="3DBF2507"/>
    <w:rsid w:val="3DBFB00B"/>
    <w:rsid w:val="3DC3D910"/>
    <w:rsid w:val="3DC88723"/>
    <w:rsid w:val="3DCB5606"/>
    <w:rsid w:val="3DCDFDFF"/>
    <w:rsid w:val="3DCF77DB"/>
    <w:rsid w:val="3DD1FFA2"/>
    <w:rsid w:val="3DD23EE1"/>
    <w:rsid w:val="3DD450CB"/>
    <w:rsid w:val="3DD487F2"/>
    <w:rsid w:val="3DD5B91A"/>
    <w:rsid w:val="3DD747B5"/>
    <w:rsid w:val="3DD760D2"/>
    <w:rsid w:val="3DD94748"/>
    <w:rsid w:val="3DDB7110"/>
    <w:rsid w:val="3DDBF80B"/>
    <w:rsid w:val="3DDC1492"/>
    <w:rsid w:val="3DDD2368"/>
    <w:rsid w:val="3DDECAB2"/>
    <w:rsid w:val="3DE62A8D"/>
    <w:rsid w:val="3DE63941"/>
    <w:rsid w:val="3DE74565"/>
    <w:rsid w:val="3DE80C12"/>
    <w:rsid w:val="3DE8EF17"/>
    <w:rsid w:val="3DEA67BF"/>
    <w:rsid w:val="3DEA72B8"/>
    <w:rsid w:val="3DEFA5E5"/>
    <w:rsid w:val="3DF00A6C"/>
    <w:rsid w:val="3DF4DCB6"/>
    <w:rsid w:val="3DF9501D"/>
    <w:rsid w:val="3DFF7391"/>
    <w:rsid w:val="3E028D24"/>
    <w:rsid w:val="3E05A8A8"/>
    <w:rsid w:val="3E086187"/>
    <w:rsid w:val="3E086FE3"/>
    <w:rsid w:val="3E08E5CA"/>
    <w:rsid w:val="3E0BEE7E"/>
    <w:rsid w:val="3E0CDB53"/>
    <w:rsid w:val="3E0E8B8C"/>
    <w:rsid w:val="3E111A1F"/>
    <w:rsid w:val="3E11B7E2"/>
    <w:rsid w:val="3E154CD5"/>
    <w:rsid w:val="3E1592C4"/>
    <w:rsid w:val="3E18CE4C"/>
    <w:rsid w:val="3E19D4A2"/>
    <w:rsid w:val="3E1AF2E1"/>
    <w:rsid w:val="3E1CE788"/>
    <w:rsid w:val="3E1E5517"/>
    <w:rsid w:val="3E1FF7BC"/>
    <w:rsid w:val="3E2157D7"/>
    <w:rsid w:val="3E253F1F"/>
    <w:rsid w:val="3E261A16"/>
    <w:rsid w:val="3E2767C1"/>
    <w:rsid w:val="3E29FBE9"/>
    <w:rsid w:val="3E2AB851"/>
    <w:rsid w:val="3E2D5199"/>
    <w:rsid w:val="3E2D79B4"/>
    <w:rsid w:val="3E2EA02D"/>
    <w:rsid w:val="3E320DB0"/>
    <w:rsid w:val="3E346CAF"/>
    <w:rsid w:val="3E3538E3"/>
    <w:rsid w:val="3E3702C5"/>
    <w:rsid w:val="3E388014"/>
    <w:rsid w:val="3E3D9BC4"/>
    <w:rsid w:val="3E40677F"/>
    <w:rsid w:val="3E423EB4"/>
    <w:rsid w:val="3E431713"/>
    <w:rsid w:val="3E467531"/>
    <w:rsid w:val="3E477182"/>
    <w:rsid w:val="3E4BAA0C"/>
    <w:rsid w:val="3E4EDE74"/>
    <w:rsid w:val="3E50C26A"/>
    <w:rsid w:val="3E517C0B"/>
    <w:rsid w:val="3E527611"/>
    <w:rsid w:val="3E53F405"/>
    <w:rsid w:val="3E54AE4E"/>
    <w:rsid w:val="3E5512C7"/>
    <w:rsid w:val="3E57BC4D"/>
    <w:rsid w:val="3E59011A"/>
    <w:rsid w:val="3E5A1BD0"/>
    <w:rsid w:val="3E5FE9E7"/>
    <w:rsid w:val="3E604702"/>
    <w:rsid w:val="3E60C1BA"/>
    <w:rsid w:val="3E611870"/>
    <w:rsid w:val="3E613A05"/>
    <w:rsid w:val="3E627FD7"/>
    <w:rsid w:val="3E640B21"/>
    <w:rsid w:val="3E66A3DB"/>
    <w:rsid w:val="3E688604"/>
    <w:rsid w:val="3E6DABFF"/>
    <w:rsid w:val="3E6FF97D"/>
    <w:rsid w:val="3E70105A"/>
    <w:rsid w:val="3E70E26E"/>
    <w:rsid w:val="3E7122CB"/>
    <w:rsid w:val="3E72C320"/>
    <w:rsid w:val="3E72EBF6"/>
    <w:rsid w:val="3E7304C2"/>
    <w:rsid w:val="3E739DEA"/>
    <w:rsid w:val="3E74B7D6"/>
    <w:rsid w:val="3E74BE8F"/>
    <w:rsid w:val="3E75260D"/>
    <w:rsid w:val="3E7557BC"/>
    <w:rsid w:val="3E765344"/>
    <w:rsid w:val="3E7809B5"/>
    <w:rsid w:val="3E787649"/>
    <w:rsid w:val="3E7B00B1"/>
    <w:rsid w:val="3E7C7F9C"/>
    <w:rsid w:val="3E7D3EEB"/>
    <w:rsid w:val="3E7DDD9C"/>
    <w:rsid w:val="3E7E154D"/>
    <w:rsid w:val="3E7F32C7"/>
    <w:rsid w:val="3E809C69"/>
    <w:rsid w:val="3E8121F5"/>
    <w:rsid w:val="3E8204EF"/>
    <w:rsid w:val="3E84CDE7"/>
    <w:rsid w:val="3E865537"/>
    <w:rsid w:val="3E868756"/>
    <w:rsid w:val="3E86B525"/>
    <w:rsid w:val="3E87F86F"/>
    <w:rsid w:val="3E888D17"/>
    <w:rsid w:val="3E88F226"/>
    <w:rsid w:val="3E89C66D"/>
    <w:rsid w:val="3E8A1E59"/>
    <w:rsid w:val="3E94188D"/>
    <w:rsid w:val="3E95C19F"/>
    <w:rsid w:val="3E97054E"/>
    <w:rsid w:val="3E98421F"/>
    <w:rsid w:val="3E9A3B8F"/>
    <w:rsid w:val="3E9B9E07"/>
    <w:rsid w:val="3E9BB931"/>
    <w:rsid w:val="3E9F50DD"/>
    <w:rsid w:val="3EA0D62E"/>
    <w:rsid w:val="3EA12A73"/>
    <w:rsid w:val="3EA1B091"/>
    <w:rsid w:val="3EA1B4E8"/>
    <w:rsid w:val="3EA1D005"/>
    <w:rsid w:val="3EACDDA5"/>
    <w:rsid w:val="3EAE1626"/>
    <w:rsid w:val="3EAF542F"/>
    <w:rsid w:val="3EB2A36F"/>
    <w:rsid w:val="3EB2DEDF"/>
    <w:rsid w:val="3EB351DF"/>
    <w:rsid w:val="3EB3AC18"/>
    <w:rsid w:val="3EB9D55B"/>
    <w:rsid w:val="3EBAFB13"/>
    <w:rsid w:val="3EBB3F7E"/>
    <w:rsid w:val="3EBC541B"/>
    <w:rsid w:val="3EBCBF51"/>
    <w:rsid w:val="3EBD80C1"/>
    <w:rsid w:val="3EC16892"/>
    <w:rsid w:val="3EC17E1D"/>
    <w:rsid w:val="3EC254CA"/>
    <w:rsid w:val="3EC2EEE3"/>
    <w:rsid w:val="3EC3FFA8"/>
    <w:rsid w:val="3EC44102"/>
    <w:rsid w:val="3EC52CC2"/>
    <w:rsid w:val="3EC55A6E"/>
    <w:rsid w:val="3ECB0715"/>
    <w:rsid w:val="3ECB6FD8"/>
    <w:rsid w:val="3ECD5FB9"/>
    <w:rsid w:val="3ECE754C"/>
    <w:rsid w:val="3ECF2E65"/>
    <w:rsid w:val="3ECF8B62"/>
    <w:rsid w:val="3ED018F8"/>
    <w:rsid w:val="3ED0B610"/>
    <w:rsid w:val="3ED12641"/>
    <w:rsid w:val="3ED269FD"/>
    <w:rsid w:val="3ED3C708"/>
    <w:rsid w:val="3ED5701A"/>
    <w:rsid w:val="3ED5F8A4"/>
    <w:rsid w:val="3ED9176A"/>
    <w:rsid w:val="3ED993BF"/>
    <w:rsid w:val="3EDB1661"/>
    <w:rsid w:val="3EDB352A"/>
    <w:rsid w:val="3EDB5253"/>
    <w:rsid w:val="3EDB93A5"/>
    <w:rsid w:val="3EDCAD92"/>
    <w:rsid w:val="3EE0C1BE"/>
    <w:rsid w:val="3EE10307"/>
    <w:rsid w:val="3EEAA121"/>
    <w:rsid w:val="3EF2AC05"/>
    <w:rsid w:val="3EF48192"/>
    <w:rsid w:val="3EF4AF5C"/>
    <w:rsid w:val="3EF5378E"/>
    <w:rsid w:val="3EF78811"/>
    <w:rsid w:val="3EF7AD1F"/>
    <w:rsid w:val="3EF7B4C0"/>
    <w:rsid w:val="3F034E70"/>
    <w:rsid w:val="3F054480"/>
    <w:rsid w:val="3F069DAE"/>
    <w:rsid w:val="3F06E98A"/>
    <w:rsid w:val="3F08A177"/>
    <w:rsid w:val="3F092B57"/>
    <w:rsid w:val="3F09468D"/>
    <w:rsid w:val="3F09EE06"/>
    <w:rsid w:val="3F0B3B2E"/>
    <w:rsid w:val="3F0DD952"/>
    <w:rsid w:val="3F0DFCE3"/>
    <w:rsid w:val="3F1068B9"/>
    <w:rsid w:val="3F12B7A1"/>
    <w:rsid w:val="3F1328E1"/>
    <w:rsid w:val="3F149E19"/>
    <w:rsid w:val="3F1642B1"/>
    <w:rsid w:val="3F1917B2"/>
    <w:rsid w:val="3F1D7B23"/>
    <w:rsid w:val="3F22B75E"/>
    <w:rsid w:val="3F2313F6"/>
    <w:rsid w:val="3F267C2C"/>
    <w:rsid w:val="3F2726E0"/>
    <w:rsid w:val="3F29616A"/>
    <w:rsid w:val="3F2F6B8F"/>
    <w:rsid w:val="3F30B213"/>
    <w:rsid w:val="3F3431F0"/>
    <w:rsid w:val="3F36DB41"/>
    <w:rsid w:val="3F37F3AE"/>
    <w:rsid w:val="3F391A83"/>
    <w:rsid w:val="3F396440"/>
    <w:rsid w:val="3F3A2A63"/>
    <w:rsid w:val="3F3A440B"/>
    <w:rsid w:val="3F3AD7A5"/>
    <w:rsid w:val="3F3AFA25"/>
    <w:rsid w:val="3F3B1588"/>
    <w:rsid w:val="3F3D0E1E"/>
    <w:rsid w:val="3F3F79C1"/>
    <w:rsid w:val="3F3FE849"/>
    <w:rsid w:val="3F43ECE3"/>
    <w:rsid w:val="3F4426AC"/>
    <w:rsid w:val="3F45600B"/>
    <w:rsid w:val="3F458E0C"/>
    <w:rsid w:val="3F476158"/>
    <w:rsid w:val="3F4917B7"/>
    <w:rsid w:val="3F4C3D87"/>
    <w:rsid w:val="3F4D483F"/>
    <w:rsid w:val="3F4D6274"/>
    <w:rsid w:val="3F4E632E"/>
    <w:rsid w:val="3F5138F6"/>
    <w:rsid w:val="3F514739"/>
    <w:rsid w:val="3F526844"/>
    <w:rsid w:val="3F52C9AD"/>
    <w:rsid w:val="3F5618F0"/>
    <w:rsid w:val="3F577121"/>
    <w:rsid w:val="3F584B74"/>
    <w:rsid w:val="3F5B0F20"/>
    <w:rsid w:val="3F5C1305"/>
    <w:rsid w:val="3F5CBB19"/>
    <w:rsid w:val="3F5EEB8D"/>
    <w:rsid w:val="3F5F8264"/>
    <w:rsid w:val="3F6484C9"/>
    <w:rsid w:val="3F64A6CF"/>
    <w:rsid w:val="3F655323"/>
    <w:rsid w:val="3F66685F"/>
    <w:rsid w:val="3F6C46A8"/>
    <w:rsid w:val="3F70B18A"/>
    <w:rsid w:val="3F721392"/>
    <w:rsid w:val="3F74EBD7"/>
    <w:rsid w:val="3F7664E0"/>
    <w:rsid w:val="3F7A4B53"/>
    <w:rsid w:val="3F7D7BF5"/>
    <w:rsid w:val="3F7F7ACC"/>
    <w:rsid w:val="3F80E66C"/>
    <w:rsid w:val="3F822297"/>
    <w:rsid w:val="3F835447"/>
    <w:rsid w:val="3F83B729"/>
    <w:rsid w:val="3F85B892"/>
    <w:rsid w:val="3F85CF1C"/>
    <w:rsid w:val="3F869A27"/>
    <w:rsid w:val="3F8BD5EC"/>
    <w:rsid w:val="3F8C5ACC"/>
    <w:rsid w:val="3F8D2064"/>
    <w:rsid w:val="3F8F6A6C"/>
    <w:rsid w:val="3F921114"/>
    <w:rsid w:val="3F925BAB"/>
    <w:rsid w:val="3F93ADBA"/>
    <w:rsid w:val="3F94C50F"/>
    <w:rsid w:val="3F999F78"/>
    <w:rsid w:val="3F99E4D8"/>
    <w:rsid w:val="3F9A648E"/>
    <w:rsid w:val="3F9EFC90"/>
    <w:rsid w:val="3F9F50E4"/>
    <w:rsid w:val="3FA288D5"/>
    <w:rsid w:val="3FA4B671"/>
    <w:rsid w:val="3FA5946B"/>
    <w:rsid w:val="3FA668FA"/>
    <w:rsid w:val="3FAA283A"/>
    <w:rsid w:val="3FAC5D41"/>
    <w:rsid w:val="3FAD8C6D"/>
    <w:rsid w:val="3FB167AD"/>
    <w:rsid w:val="3FB2728B"/>
    <w:rsid w:val="3FB2DECD"/>
    <w:rsid w:val="3FB5EFE4"/>
    <w:rsid w:val="3FB6A5F9"/>
    <w:rsid w:val="3FB74632"/>
    <w:rsid w:val="3FB777B6"/>
    <w:rsid w:val="3FBA40EC"/>
    <w:rsid w:val="3FBCE7B4"/>
    <w:rsid w:val="3FBD086F"/>
    <w:rsid w:val="3FBE53F1"/>
    <w:rsid w:val="3FC0F787"/>
    <w:rsid w:val="3FC3DC5F"/>
    <w:rsid w:val="3FC72D30"/>
    <w:rsid w:val="3FC91D02"/>
    <w:rsid w:val="3FC9907B"/>
    <w:rsid w:val="3FCA1DA7"/>
    <w:rsid w:val="3FCB9A14"/>
    <w:rsid w:val="3FCD3FCD"/>
    <w:rsid w:val="3FCD8FF0"/>
    <w:rsid w:val="3FCE41F9"/>
    <w:rsid w:val="3FCF3E36"/>
    <w:rsid w:val="3FCFB3D6"/>
    <w:rsid w:val="3FCFCC92"/>
    <w:rsid w:val="3FD0FC58"/>
    <w:rsid w:val="3FD13CE3"/>
    <w:rsid w:val="3FD1917A"/>
    <w:rsid w:val="3FD33D48"/>
    <w:rsid w:val="3FD47AF3"/>
    <w:rsid w:val="3FD7F674"/>
    <w:rsid w:val="3FD80BD9"/>
    <w:rsid w:val="3FDF1B34"/>
    <w:rsid w:val="3FE0F696"/>
    <w:rsid w:val="3FE41BE5"/>
    <w:rsid w:val="3FE510FF"/>
    <w:rsid w:val="3FE6500E"/>
    <w:rsid w:val="3FEA1DAC"/>
    <w:rsid w:val="3FEA3DCE"/>
    <w:rsid w:val="3FEAA545"/>
    <w:rsid w:val="3FEAB964"/>
    <w:rsid w:val="3FED78E7"/>
    <w:rsid w:val="3FED96EA"/>
    <w:rsid w:val="3FEDFBBA"/>
    <w:rsid w:val="3FEE4220"/>
    <w:rsid w:val="3FF09E4E"/>
    <w:rsid w:val="3FF0BAB7"/>
    <w:rsid w:val="3FF16820"/>
    <w:rsid w:val="3FF1F0AE"/>
    <w:rsid w:val="3FF32377"/>
    <w:rsid w:val="3FF419B9"/>
    <w:rsid w:val="3FF52757"/>
    <w:rsid w:val="3FF7B15B"/>
    <w:rsid w:val="3FF7DDDE"/>
    <w:rsid w:val="3FFA35E6"/>
    <w:rsid w:val="3FFBA17C"/>
    <w:rsid w:val="3FFBB970"/>
    <w:rsid w:val="3FFC0C41"/>
    <w:rsid w:val="3FFC9CA8"/>
    <w:rsid w:val="3FFE31D4"/>
    <w:rsid w:val="3FFF5785"/>
    <w:rsid w:val="40019066"/>
    <w:rsid w:val="400283DF"/>
    <w:rsid w:val="4007D820"/>
    <w:rsid w:val="40092A04"/>
    <w:rsid w:val="400B3A38"/>
    <w:rsid w:val="400FEC54"/>
    <w:rsid w:val="4010C6B0"/>
    <w:rsid w:val="401127CD"/>
    <w:rsid w:val="4016F4EB"/>
    <w:rsid w:val="40173DE9"/>
    <w:rsid w:val="40193FB7"/>
    <w:rsid w:val="401A82AD"/>
    <w:rsid w:val="401AA52D"/>
    <w:rsid w:val="401CD776"/>
    <w:rsid w:val="401D471F"/>
    <w:rsid w:val="401D60E9"/>
    <w:rsid w:val="4021FC66"/>
    <w:rsid w:val="402274B6"/>
    <w:rsid w:val="4022F471"/>
    <w:rsid w:val="402549A9"/>
    <w:rsid w:val="402846CF"/>
    <w:rsid w:val="4029D613"/>
    <w:rsid w:val="402A2AE4"/>
    <w:rsid w:val="402BAA15"/>
    <w:rsid w:val="402E7335"/>
    <w:rsid w:val="402F4271"/>
    <w:rsid w:val="4031817F"/>
    <w:rsid w:val="4031B5D3"/>
    <w:rsid w:val="40344C41"/>
    <w:rsid w:val="40347D6B"/>
    <w:rsid w:val="4034C9E3"/>
    <w:rsid w:val="4039269E"/>
    <w:rsid w:val="403D33FB"/>
    <w:rsid w:val="403EE2FC"/>
    <w:rsid w:val="403FE29B"/>
    <w:rsid w:val="403FEE04"/>
    <w:rsid w:val="40401DFC"/>
    <w:rsid w:val="404085DA"/>
    <w:rsid w:val="4042CA3A"/>
    <w:rsid w:val="4048FED8"/>
    <w:rsid w:val="404CA0DD"/>
    <w:rsid w:val="404F4A40"/>
    <w:rsid w:val="4050725D"/>
    <w:rsid w:val="4055B4DC"/>
    <w:rsid w:val="40572E7D"/>
    <w:rsid w:val="4058A4C1"/>
    <w:rsid w:val="405A060E"/>
    <w:rsid w:val="405CEA35"/>
    <w:rsid w:val="405DD113"/>
    <w:rsid w:val="405E7F48"/>
    <w:rsid w:val="405FA5BB"/>
    <w:rsid w:val="4061FFE6"/>
    <w:rsid w:val="406652DF"/>
    <w:rsid w:val="4068A52D"/>
    <w:rsid w:val="40697FAB"/>
    <w:rsid w:val="406CC4B4"/>
    <w:rsid w:val="4070ADAC"/>
    <w:rsid w:val="40715F8A"/>
    <w:rsid w:val="4072D7F6"/>
    <w:rsid w:val="4073984F"/>
    <w:rsid w:val="4075D894"/>
    <w:rsid w:val="40772BA5"/>
    <w:rsid w:val="4079F6FE"/>
    <w:rsid w:val="407E63FF"/>
    <w:rsid w:val="407ECCB2"/>
    <w:rsid w:val="407EE201"/>
    <w:rsid w:val="4080C443"/>
    <w:rsid w:val="408197CA"/>
    <w:rsid w:val="408576D9"/>
    <w:rsid w:val="408ADB58"/>
    <w:rsid w:val="408D9C5C"/>
    <w:rsid w:val="40918F10"/>
    <w:rsid w:val="4091996F"/>
    <w:rsid w:val="40949F1F"/>
    <w:rsid w:val="4096DB34"/>
    <w:rsid w:val="4097740B"/>
    <w:rsid w:val="4097E975"/>
    <w:rsid w:val="409A5B9A"/>
    <w:rsid w:val="409B59B6"/>
    <w:rsid w:val="409BA3A2"/>
    <w:rsid w:val="409C99A9"/>
    <w:rsid w:val="409E39D1"/>
    <w:rsid w:val="40A0BB88"/>
    <w:rsid w:val="40A1729F"/>
    <w:rsid w:val="40A359A7"/>
    <w:rsid w:val="40A48A15"/>
    <w:rsid w:val="40A4C746"/>
    <w:rsid w:val="40A59DD6"/>
    <w:rsid w:val="40A84883"/>
    <w:rsid w:val="40A84A21"/>
    <w:rsid w:val="40A90553"/>
    <w:rsid w:val="40AC2DF6"/>
    <w:rsid w:val="40AD8B5B"/>
    <w:rsid w:val="40ADF566"/>
    <w:rsid w:val="40AFFF3B"/>
    <w:rsid w:val="40B01FB5"/>
    <w:rsid w:val="40B1C2CA"/>
    <w:rsid w:val="40B27E9A"/>
    <w:rsid w:val="40B4E106"/>
    <w:rsid w:val="40B5D1A9"/>
    <w:rsid w:val="40B6A5E4"/>
    <w:rsid w:val="40BA3865"/>
    <w:rsid w:val="40BA447B"/>
    <w:rsid w:val="40BB581D"/>
    <w:rsid w:val="40BD6E12"/>
    <w:rsid w:val="40C26C4A"/>
    <w:rsid w:val="40C2F68A"/>
    <w:rsid w:val="40C4C14C"/>
    <w:rsid w:val="40C523C5"/>
    <w:rsid w:val="40C7FA68"/>
    <w:rsid w:val="40C8951A"/>
    <w:rsid w:val="40C8B7E1"/>
    <w:rsid w:val="40C9628C"/>
    <w:rsid w:val="40CC526D"/>
    <w:rsid w:val="40CD2545"/>
    <w:rsid w:val="40D03FAF"/>
    <w:rsid w:val="40D6BDC7"/>
    <w:rsid w:val="40D7A0C4"/>
    <w:rsid w:val="40D99F8B"/>
    <w:rsid w:val="40DA6354"/>
    <w:rsid w:val="40DDD938"/>
    <w:rsid w:val="40DFB6FA"/>
    <w:rsid w:val="40E0A3F9"/>
    <w:rsid w:val="40E27D90"/>
    <w:rsid w:val="40E37A09"/>
    <w:rsid w:val="40E4A6F9"/>
    <w:rsid w:val="40E7E0A0"/>
    <w:rsid w:val="40EB5AA3"/>
    <w:rsid w:val="40EB9F75"/>
    <w:rsid w:val="40EBC7A2"/>
    <w:rsid w:val="40EC6D99"/>
    <w:rsid w:val="40F0A110"/>
    <w:rsid w:val="40F236A7"/>
    <w:rsid w:val="40F3AF9C"/>
    <w:rsid w:val="40F7896A"/>
    <w:rsid w:val="40FC8F7C"/>
    <w:rsid w:val="40FD50C4"/>
    <w:rsid w:val="40FDC574"/>
    <w:rsid w:val="40FE240E"/>
    <w:rsid w:val="41012643"/>
    <w:rsid w:val="4101416A"/>
    <w:rsid w:val="4109CC11"/>
    <w:rsid w:val="4109DA45"/>
    <w:rsid w:val="410B4A16"/>
    <w:rsid w:val="410C285C"/>
    <w:rsid w:val="410E0550"/>
    <w:rsid w:val="41119776"/>
    <w:rsid w:val="4112CF05"/>
    <w:rsid w:val="4114F1A2"/>
    <w:rsid w:val="41197C54"/>
    <w:rsid w:val="411D905E"/>
    <w:rsid w:val="411EEBB7"/>
    <w:rsid w:val="411F2CFC"/>
    <w:rsid w:val="411F9E06"/>
    <w:rsid w:val="411FC1DD"/>
    <w:rsid w:val="4120B58B"/>
    <w:rsid w:val="4121E8AD"/>
    <w:rsid w:val="4124C1EF"/>
    <w:rsid w:val="4128EDA6"/>
    <w:rsid w:val="412C56CC"/>
    <w:rsid w:val="41326189"/>
    <w:rsid w:val="4132BA09"/>
    <w:rsid w:val="41332E82"/>
    <w:rsid w:val="41347B59"/>
    <w:rsid w:val="4134FE32"/>
    <w:rsid w:val="413DACA9"/>
    <w:rsid w:val="41424DA1"/>
    <w:rsid w:val="4145B04D"/>
    <w:rsid w:val="41484AA3"/>
    <w:rsid w:val="414884BF"/>
    <w:rsid w:val="4149EC96"/>
    <w:rsid w:val="414AF3A1"/>
    <w:rsid w:val="4153FDF1"/>
    <w:rsid w:val="4157F91E"/>
    <w:rsid w:val="415A6601"/>
    <w:rsid w:val="415BFE39"/>
    <w:rsid w:val="415C83FA"/>
    <w:rsid w:val="415CF55C"/>
    <w:rsid w:val="416195C0"/>
    <w:rsid w:val="41630B80"/>
    <w:rsid w:val="41687481"/>
    <w:rsid w:val="416A0601"/>
    <w:rsid w:val="416B5CF6"/>
    <w:rsid w:val="416B9AB3"/>
    <w:rsid w:val="416BB1FC"/>
    <w:rsid w:val="416E076B"/>
    <w:rsid w:val="416FFDC9"/>
    <w:rsid w:val="41707DDC"/>
    <w:rsid w:val="417173AF"/>
    <w:rsid w:val="41748DED"/>
    <w:rsid w:val="417764DE"/>
    <w:rsid w:val="4177BD26"/>
    <w:rsid w:val="417A32C9"/>
    <w:rsid w:val="417A7DFF"/>
    <w:rsid w:val="417C0D86"/>
    <w:rsid w:val="417F2DA3"/>
    <w:rsid w:val="41827613"/>
    <w:rsid w:val="4183C861"/>
    <w:rsid w:val="4185343D"/>
    <w:rsid w:val="41857B19"/>
    <w:rsid w:val="4186A427"/>
    <w:rsid w:val="4186DAB9"/>
    <w:rsid w:val="41872A0E"/>
    <w:rsid w:val="4188A683"/>
    <w:rsid w:val="418903D1"/>
    <w:rsid w:val="41890860"/>
    <w:rsid w:val="41893CD0"/>
    <w:rsid w:val="4189F98A"/>
    <w:rsid w:val="418A68DE"/>
    <w:rsid w:val="418B1055"/>
    <w:rsid w:val="418DF582"/>
    <w:rsid w:val="418E10BD"/>
    <w:rsid w:val="4192F11B"/>
    <w:rsid w:val="4194A197"/>
    <w:rsid w:val="4195A4EA"/>
    <w:rsid w:val="419AEEDA"/>
    <w:rsid w:val="419AFF45"/>
    <w:rsid w:val="419B4158"/>
    <w:rsid w:val="419C6BA5"/>
    <w:rsid w:val="419CBCEC"/>
    <w:rsid w:val="419D3D5B"/>
    <w:rsid w:val="419DEAB8"/>
    <w:rsid w:val="41A0525A"/>
    <w:rsid w:val="41A1C002"/>
    <w:rsid w:val="41A56CD6"/>
    <w:rsid w:val="41A66E35"/>
    <w:rsid w:val="41A85F42"/>
    <w:rsid w:val="41A925B7"/>
    <w:rsid w:val="41A96938"/>
    <w:rsid w:val="41AA8FB8"/>
    <w:rsid w:val="41AC4C28"/>
    <w:rsid w:val="41AE812C"/>
    <w:rsid w:val="41AFC886"/>
    <w:rsid w:val="41B14D1C"/>
    <w:rsid w:val="41B5EFC1"/>
    <w:rsid w:val="41B758E6"/>
    <w:rsid w:val="41BE9368"/>
    <w:rsid w:val="41BEC64C"/>
    <w:rsid w:val="41BF5829"/>
    <w:rsid w:val="41BF8F11"/>
    <w:rsid w:val="41C141C6"/>
    <w:rsid w:val="41C48A6A"/>
    <w:rsid w:val="41C68CA9"/>
    <w:rsid w:val="41C9F31B"/>
    <w:rsid w:val="41CD523A"/>
    <w:rsid w:val="41CE1E43"/>
    <w:rsid w:val="41CF3550"/>
    <w:rsid w:val="41D16862"/>
    <w:rsid w:val="41D461C2"/>
    <w:rsid w:val="41D7F1DE"/>
    <w:rsid w:val="41DDFEE3"/>
    <w:rsid w:val="41DFB14B"/>
    <w:rsid w:val="41DFB7F3"/>
    <w:rsid w:val="41E77B10"/>
    <w:rsid w:val="41EC619B"/>
    <w:rsid w:val="41EDC422"/>
    <w:rsid w:val="41EEFE72"/>
    <w:rsid w:val="41F122D6"/>
    <w:rsid w:val="41F3DBC8"/>
    <w:rsid w:val="41F3E8CA"/>
    <w:rsid w:val="41F82CBF"/>
    <w:rsid w:val="41FCA3A2"/>
    <w:rsid w:val="41FD061D"/>
    <w:rsid w:val="41FE6E9E"/>
    <w:rsid w:val="41FE7555"/>
    <w:rsid w:val="4201FA91"/>
    <w:rsid w:val="420906E9"/>
    <w:rsid w:val="420A44CC"/>
    <w:rsid w:val="420AFE11"/>
    <w:rsid w:val="420F35A8"/>
    <w:rsid w:val="420FFFC6"/>
    <w:rsid w:val="42130457"/>
    <w:rsid w:val="4213F40B"/>
    <w:rsid w:val="421748C9"/>
    <w:rsid w:val="42178653"/>
    <w:rsid w:val="4219474D"/>
    <w:rsid w:val="421C1EDE"/>
    <w:rsid w:val="421D2F30"/>
    <w:rsid w:val="421F6BD6"/>
    <w:rsid w:val="421FCA31"/>
    <w:rsid w:val="4221796D"/>
    <w:rsid w:val="42218F71"/>
    <w:rsid w:val="4224C1E9"/>
    <w:rsid w:val="4226191F"/>
    <w:rsid w:val="422912E7"/>
    <w:rsid w:val="42297A7F"/>
    <w:rsid w:val="42299299"/>
    <w:rsid w:val="422CAE09"/>
    <w:rsid w:val="422E013C"/>
    <w:rsid w:val="422FFC29"/>
    <w:rsid w:val="4232F296"/>
    <w:rsid w:val="42333358"/>
    <w:rsid w:val="4239D312"/>
    <w:rsid w:val="423B518D"/>
    <w:rsid w:val="423B7360"/>
    <w:rsid w:val="423BC4FC"/>
    <w:rsid w:val="423E8604"/>
    <w:rsid w:val="42412817"/>
    <w:rsid w:val="424175B6"/>
    <w:rsid w:val="4242011E"/>
    <w:rsid w:val="4245ABB9"/>
    <w:rsid w:val="42478DDB"/>
    <w:rsid w:val="42490653"/>
    <w:rsid w:val="424AF5B6"/>
    <w:rsid w:val="424C8E23"/>
    <w:rsid w:val="424E4D3A"/>
    <w:rsid w:val="424ED6C8"/>
    <w:rsid w:val="424F450D"/>
    <w:rsid w:val="424F8A48"/>
    <w:rsid w:val="42539710"/>
    <w:rsid w:val="42568ADD"/>
    <w:rsid w:val="425A05D2"/>
    <w:rsid w:val="425AB945"/>
    <w:rsid w:val="425C255E"/>
    <w:rsid w:val="425F140A"/>
    <w:rsid w:val="425F68C2"/>
    <w:rsid w:val="425FE857"/>
    <w:rsid w:val="42654A70"/>
    <w:rsid w:val="42658C8E"/>
    <w:rsid w:val="42695AB2"/>
    <w:rsid w:val="426B1F04"/>
    <w:rsid w:val="426CC892"/>
    <w:rsid w:val="426D024A"/>
    <w:rsid w:val="426E5B33"/>
    <w:rsid w:val="426E5C2E"/>
    <w:rsid w:val="426F7B8A"/>
    <w:rsid w:val="42736EB9"/>
    <w:rsid w:val="4273A0C3"/>
    <w:rsid w:val="4274CDB3"/>
    <w:rsid w:val="427678C0"/>
    <w:rsid w:val="42784C48"/>
    <w:rsid w:val="4278B8ED"/>
    <w:rsid w:val="4279899C"/>
    <w:rsid w:val="427E2362"/>
    <w:rsid w:val="427E4BAF"/>
    <w:rsid w:val="4280ABFD"/>
    <w:rsid w:val="42820FF0"/>
    <w:rsid w:val="428485CD"/>
    <w:rsid w:val="42862A56"/>
    <w:rsid w:val="42889A29"/>
    <w:rsid w:val="428CBAB9"/>
    <w:rsid w:val="428ED40F"/>
    <w:rsid w:val="4291CB9A"/>
    <w:rsid w:val="4294A84C"/>
    <w:rsid w:val="429E2227"/>
    <w:rsid w:val="429F3408"/>
    <w:rsid w:val="429FB3F7"/>
    <w:rsid w:val="42A14432"/>
    <w:rsid w:val="42A1A60C"/>
    <w:rsid w:val="42A2F0E6"/>
    <w:rsid w:val="42A4A9CE"/>
    <w:rsid w:val="42A51DDE"/>
    <w:rsid w:val="42AA1D2D"/>
    <w:rsid w:val="42AD3082"/>
    <w:rsid w:val="42AFAC24"/>
    <w:rsid w:val="42B211BA"/>
    <w:rsid w:val="42B288BB"/>
    <w:rsid w:val="42B4448E"/>
    <w:rsid w:val="42B4BF1B"/>
    <w:rsid w:val="42B91E89"/>
    <w:rsid w:val="42B9A4E3"/>
    <w:rsid w:val="42B9E7CE"/>
    <w:rsid w:val="42BA354C"/>
    <w:rsid w:val="42BC3304"/>
    <w:rsid w:val="42BD31AD"/>
    <w:rsid w:val="42BD86D8"/>
    <w:rsid w:val="42BDD035"/>
    <w:rsid w:val="42C09F46"/>
    <w:rsid w:val="42C0D792"/>
    <w:rsid w:val="42C1164D"/>
    <w:rsid w:val="42C3F2FB"/>
    <w:rsid w:val="42C56C38"/>
    <w:rsid w:val="42C69CAB"/>
    <w:rsid w:val="42C6B6FD"/>
    <w:rsid w:val="42CBB095"/>
    <w:rsid w:val="42CE0AC2"/>
    <w:rsid w:val="42CE10FF"/>
    <w:rsid w:val="42CE76B6"/>
    <w:rsid w:val="42D08617"/>
    <w:rsid w:val="42D1E2A8"/>
    <w:rsid w:val="42D20B8B"/>
    <w:rsid w:val="42D2C9DF"/>
    <w:rsid w:val="42D320BE"/>
    <w:rsid w:val="42D65CDF"/>
    <w:rsid w:val="42D81FAC"/>
    <w:rsid w:val="42D86F53"/>
    <w:rsid w:val="42D97013"/>
    <w:rsid w:val="42DA743E"/>
    <w:rsid w:val="42DAB017"/>
    <w:rsid w:val="42DC23BB"/>
    <w:rsid w:val="42DCC844"/>
    <w:rsid w:val="42DD6091"/>
    <w:rsid w:val="42DD80AA"/>
    <w:rsid w:val="42E0D877"/>
    <w:rsid w:val="42E17EE2"/>
    <w:rsid w:val="42E51D86"/>
    <w:rsid w:val="42E616CB"/>
    <w:rsid w:val="42E64632"/>
    <w:rsid w:val="42E80D44"/>
    <w:rsid w:val="42E8A427"/>
    <w:rsid w:val="42ED910E"/>
    <w:rsid w:val="42EDD145"/>
    <w:rsid w:val="42EE12E2"/>
    <w:rsid w:val="42EE8029"/>
    <w:rsid w:val="42F75229"/>
    <w:rsid w:val="42F97FE0"/>
    <w:rsid w:val="42FA3476"/>
    <w:rsid w:val="42FAE2F8"/>
    <w:rsid w:val="42FBBC5A"/>
    <w:rsid w:val="42FDE2B0"/>
    <w:rsid w:val="42FED867"/>
    <w:rsid w:val="42FF7325"/>
    <w:rsid w:val="4301B1D7"/>
    <w:rsid w:val="430263A4"/>
    <w:rsid w:val="43032B41"/>
    <w:rsid w:val="4304C1C1"/>
    <w:rsid w:val="4305D57A"/>
    <w:rsid w:val="430649FF"/>
    <w:rsid w:val="430BA8F2"/>
    <w:rsid w:val="430D5C89"/>
    <w:rsid w:val="430DB29A"/>
    <w:rsid w:val="430DC97B"/>
    <w:rsid w:val="430FBF08"/>
    <w:rsid w:val="4314E0F0"/>
    <w:rsid w:val="43154FD4"/>
    <w:rsid w:val="43166B9B"/>
    <w:rsid w:val="431683D6"/>
    <w:rsid w:val="4318AD96"/>
    <w:rsid w:val="4319D70B"/>
    <w:rsid w:val="431BE53D"/>
    <w:rsid w:val="431EFDD5"/>
    <w:rsid w:val="431F6CA8"/>
    <w:rsid w:val="43211AAD"/>
    <w:rsid w:val="4322ABE3"/>
    <w:rsid w:val="4324F6CB"/>
    <w:rsid w:val="4325C022"/>
    <w:rsid w:val="4326DDCC"/>
    <w:rsid w:val="432843EA"/>
    <w:rsid w:val="432947CA"/>
    <w:rsid w:val="432F7B56"/>
    <w:rsid w:val="43307144"/>
    <w:rsid w:val="433078D8"/>
    <w:rsid w:val="4337D01F"/>
    <w:rsid w:val="4338EE35"/>
    <w:rsid w:val="43395102"/>
    <w:rsid w:val="43399DEC"/>
    <w:rsid w:val="433BB237"/>
    <w:rsid w:val="433BB529"/>
    <w:rsid w:val="433C1BCE"/>
    <w:rsid w:val="433D0A07"/>
    <w:rsid w:val="433D2485"/>
    <w:rsid w:val="433D4510"/>
    <w:rsid w:val="433D9F5E"/>
    <w:rsid w:val="43407CB0"/>
    <w:rsid w:val="43410232"/>
    <w:rsid w:val="434C9869"/>
    <w:rsid w:val="434DD4A5"/>
    <w:rsid w:val="434F8E18"/>
    <w:rsid w:val="435092E4"/>
    <w:rsid w:val="4350C740"/>
    <w:rsid w:val="43514C2F"/>
    <w:rsid w:val="4351DD32"/>
    <w:rsid w:val="4352AA1F"/>
    <w:rsid w:val="4356E953"/>
    <w:rsid w:val="43574589"/>
    <w:rsid w:val="43585B84"/>
    <w:rsid w:val="435B1F96"/>
    <w:rsid w:val="435EC971"/>
    <w:rsid w:val="435F8BED"/>
    <w:rsid w:val="43603FAB"/>
    <w:rsid w:val="43610CE8"/>
    <w:rsid w:val="43628378"/>
    <w:rsid w:val="4364F7B4"/>
    <w:rsid w:val="436745D0"/>
    <w:rsid w:val="4367F208"/>
    <w:rsid w:val="43695145"/>
    <w:rsid w:val="436AAFF0"/>
    <w:rsid w:val="436AE38D"/>
    <w:rsid w:val="436B7E38"/>
    <w:rsid w:val="436E3AF3"/>
    <w:rsid w:val="436E4A18"/>
    <w:rsid w:val="436EEA52"/>
    <w:rsid w:val="436EF845"/>
    <w:rsid w:val="436F8E50"/>
    <w:rsid w:val="436F9831"/>
    <w:rsid w:val="43701857"/>
    <w:rsid w:val="437229DE"/>
    <w:rsid w:val="43724C24"/>
    <w:rsid w:val="43731271"/>
    <w:rsid w:val="4373E8BB"/>
    <w:rsid w:val="43759352"/>
    <w:rsid w:val="437593EE"/>
    <w:rsid w:val="437D9678"/>
    <w:rsid w:val="437FCE22"/>
    <w:rsid w:val="4380DF7F"/>
    <w:rsid w:val="4382A31C"/>
    <w:rsid w:val="438437A8"/>
    <w:rsid w:val="438A536A"/>
    <w:rsid w:val="438AE599"/>
    <w:rsid w:val="438C44D5"/>
    <w:rsid w:val="43909B63"/>
    <w:rsid w:val="43954D93"/>
    <w:rsid w:val="439816CE"/>
    <w:rsid w:val="439A2761"/>
    <w:rsid w:val="439E24F3"/>
    <w:rsid w:val="439E577A"/>
    <w:rsid w:val="439F5440"/>
    <w:rsid w:val="43A0423A"/>
    <w:rsid w:val="43A11F9E"/>
    <w:rsid w:val="43A1B90C"/>
    <w:rsid w:val="43A4764B"/>
    <w:rsid w:val="43A597C3"/>
    <w:rsid w:val="43A61109"/>
    <w:rsid w:val="43A83BE3"/>
    <w:rsid w:val="43AB641C"/>
    <w:rsid w:val="43AC1B4D"/>
    <w:rsid w:val="43AD99B5"/>
    <w:rsid w:val="43AFEEE1"/>
    <w:rsid w:val="43B271F4"/>
    <w:rsid w:val="43B2EE3E"/>
    <w:rsid w:val="43B40566"/>
    <w:rsid w:val="43B56A78"/>
    <w:rsid w:val="43B6044A"/>
    <w:rsid w:val="43B72CB5"/>
    <w:rsid w:val="43B9680C"/>
    <w:rsid w:val="43B98285"/>
    <w:rsid w:val="43B9E94E"/>
    <w:rsid w:val="43BB24F2"/>
    <w:rsid w:val="43BF6283"/>
    <w:rsid w:val="43C1AB08"/>
    <w:rsid w:val="43C21195"/>
    <w:rsid w:val="43C39AA8"/>
    <w:rsid w:val="43C49CFD"/>
    <w:rsid w:val="43C5077E"/>
    <w:rsid w:val="43C70A56"/>
    <w:rsid w:val="43C76BE6"/>
    <w:rsid w:val="43C96AB9"/>
    <w:rsid w:val="43CB0F73"/>
    <w:rsid w:val="43CB80BF"/>
    <w:rsid w:val="43CD32D5"/>
    <w:rsid w:val="43CE71CA"/>
    <w:rsid w:val="43D32476"/>
    <w:rsid w:val="43D40335"/>
    <w:rsid w:val="43D42732"/>
    <w:rsid w:val="43D441E8"/>
    <w:rsid w:val="43D56DE5"/>
    <w:rsid w:val="43D65336"/>
    <w:rsid w:val="43D66213"/>
    <w:rsid w:val="43DA96F8"/>
    <w:rsid w:val="43DC50BE"/>
    <w:rsid w:val="43DDD390"/>
    <w:rsid w:val="43DF6B2A"/>
    <w:rsid w:val="43DFE363"/>
    <w:rsid w:val="43DFF5E2"/>
    <w:rsid w:val="43E1E337"/>
    <w:rsid w:val="43E297DB"/>
    <w:rsid w:val="43E36618"/>
    <w:rsid w:val="43E70E60"/>
    <w:rsid w:val="43E99708"/>
    <w:rsid w:val="43ED80F5"/>
    <w:rsid w:val="43F28A7E"/>
    <w:rsid w:val="43F30CA2"/>
    <w:rsid w:val="43F3665B"/>
    <w:rsid w:val="43F775B6"/>
    <w:rsid w:val="43F8B8CB"/>
    <w:rsid w:val="43FD92DD"/>
    <w:rsid w:val="43FDDC3D"/>
    <w:rsid w:val="43FE4E0D"/>
    <w:rsid w:val="43FE8689"/>
    <w:rsid w:val="4405AC52"/>
    <w:rsid w:val="440667B7"/>
    <w:rsid w:val="4408FC97"/>
    <w:rsid w:val="4414208B"/>
    <w:rsid w:val="44161756"/>
    <w:rsid w:val="4416C935"/>
    <w:rsid w:val="4416FE69"/>
    <w:rsid w:val="441CE053"/>
    <w:rsid w:val="4423D991"/>
    <w:rsid w:val="44244E32"/>
    <w:rsid w:val="44249C96"/>
    <w:rsid w:val="44256040"/>
    <w:rsid w:val="44262318"/>
    <w:rsid w:val="44273075"/>
    <w:rsid w:val="442D22D6"/>
    <w:rsid w:val="442F8C81"/>
    <w:rsid w:val="4435C871"/>
    <w:rsid w:val="4436D51E"/>
    <w:rsid w:val="44389250"/>
    <w:rsid w:val="44395C6A"/>
    <w:rsid w:val="443979B4"/>
    <w:rsid w:val="443CC0B7"/>
    <w:rsid w:val="443E769A"/>
    <w:rsid w:val="443EA71D"/>
    <w:rsid w:val="443F3E9F"/>
    <w:rsid w:val="4440142B"/>
    <w:rsid w:val="44417F41"/>
    <w:rsid w:val="44446B55"/>
    <w:rsid w:val="444663B2"/>
    <w:rsid w:val="444BCC25"/>
    <w:rsid w:val="444C619C"/>
    <w:rsid w:val="444DBB60"/>
    <w:rsid w:val="444EA548"/>
    <w:rsid w:val="444FE37B"/>
    <w:rsid w:val="4451D0DC"/>
    <w:rsid w:val="44531666"/>
    <w:rsid w:val="445366CA"/>
    <w:rsid w:val="44538B31"/>
    <w:rsid w:val="4456D860"/>
    <w:rsid w:val="445A24FB"/>
    <w:rsid w:val="445D368A"/>
    <w:rsid w:val="44611E9D"/>
    <w:rsid w:val="44616EDC"/>
    <w:rsid w:val="44641A63"/>
    <w:rsid w:val="44642EEE"/>
    <w:rsid w:val="4464628F"/>
    <w:rsid w:val="4464B90A"/>
    <w:rsid w:val="4464D079"/>
    <w:rsid w:val="44650040"/>
    <w:rsid w:val="4466B021"/>
    <w:rsid w:val="4466FDB1"/>
    <w:rsid w:val="44671698"/>
    <w:rsid w:val="446AB7E8"/>
    <w:rsid w:val="446E05C2"/>
    <w:rsid w:val="446EE8FD"/>
    <w:rsid w:val="446FECA1"/>
    <w:rsid w:val="447073D7"/>
    <w:rsid w:val="4471D12C"/>
    <w:rsid w:val="4477E990"/>
    <w:rsid w:val="4479779C"/>
    <w:rsid w:val="447BE0E9"/>
    <w:rsid w:val="447F7751"/>
    <w:rsid w:val="4480764F"/>
    <w:rsid w:val="4480CCA5"/>
    <w:rsid w:val="4482417C"/>
    <w:rsid w:val="44850890"/>
    <w:rsid w:val="44858B43"/>
    <w:rsid w:val="44877EBB"/>
    <w:rsid w:val="44884230"/>
    <w:rsid w:val="44887D27"/>
    <w:rsid w:val="448F7768"/>
    <w:rsid w:val="449052FA"/>
    <w:rsid w:val="4492D55B"/>
    <w:rsid w:val="44974B30"/>
    <w:rsid w:val="449C1330"/>
    <w:rsid w:val="449D0A6F"/>
    <w:rsid w:val="449D16FD"/>
    <w:rsid w:val="449E5D4B"/>
    <w:rsid w:val="449ED5C3"/>
    <w:rsid w:val="449FA7F2"/>
    <w:rsid w:val="44A0254B"/>
    <w:rsid w:val="44A04C5C"/>
    <w:rsid w:val="44A056F1"/>
    <w:rsid w:val="44A62271"/>
    <w:rsid w:val="44A6F457"/>
    <w:rsid w:val="44A7E966"/>
    <w:rsid w:val="44AB5BDD"/>
    <w:rsid w:val="44AB82DB"/>
    <w:rsid w:val="44AF7A11"/>
    <w:rsid w:val="44B179CD"/>
    <w:rsid w:val="44B5D3F0"/>
    <w:rsid w:val="44B672B6"/>
    <w:rsid w:val="44B7B1E5"/>
    <w:rsid w:val="44BE59E8"/>
    <w:rsid w:val="44BE7ED3"/>
    <w:rsid w:val="44C23117"/>
    <w:rsid w:val="44C3D595"/>
    <w:rsid w:val="44C412C5"/>
    <w:rsid w:val="44C5A1AE"/>
    <w:rsid w:val="44CB80AA"/>
    <w:rsid w:val="44CE65E1"/>
    <w:rsid w:val="44D17D56"/>
    <w:rsid w:val="44D2C4D9"/>
    <w:rsid w:val="44D3DF31"/>
    <w:rsid w:val="44D432AD"/>
    <w:rsid w:val="44D60457"/>
    <w:rsid w:val="44D6ECCD"/>
    <w:rsid w:val="44D88BBD"/>
    <w:rsid w:val="44E128CF"/>
    <w:rsid w:val="44E17745"/>
    <w:rsid w:val="44E4219F"/>
    <w:rsid w:val="44E50D6A"/>
    <w:rsid w:val="44E70A61"/>
    <w:rsid w:val="44E926E5"/>
    <w:rsid w:val="44EADFD1"/>
    <w:rsid w:val="44EB7E20"/>
    <w:rsid w:val="44EC254D"/>
    <w:rsid w:val="44EE4D94"/>
    <w:rsid w:val="44EF4CE7"/>
    <w:rsid w:val="44F0A9C0"/>
    <w:rsid w:val="44F1A884"/>
    <w:rsid w:val="44F52C08"/>
    <w:rsid w:val="44F5C444"/>
    <w:rsid w:val="44F6F569"/>
    <w:rsid w:val="44F902D1"/>
    <w:rsid w:val="44F94F63"/>
    <w:rsid w:val="44FB0285"/>
    <w:rsid w:val="44FBD74E"/>
    <w:rsid w:val="44FFC68A"/>
    <w:rsid w:val="45033077"/>
    <w:rsid w:val="45045C55"/>
    <w:rsid w:val="4509D973"/>
    <w:rsid w:val="450DFF03"/>
    <w:rsid w:val="450FB31A"/>
    <w:rsid w:val="4513A99C"/>
    <w:rsid w:val="451C7ECD"/>
    <w:rsid w:val="451D9A73"/>
    <w:rsid w:val="451E21CA"/>
    <w:rsid w:val="452411F0"/>
    <w:rsid w:val="4525A511"/>
    <w:rsid w:val="4525B7DB"/>
    <w:rsid w:val="45293C43"/>
    <w:rsid w:val="452EADB1"/>
    <w:rsid w:val="453051BB"/>
    <w:rsid w:val="4530C9B1"/>
    <w:rsid w:val="4531D4E5"/>
    <w:rsid w:val="45334B8A"/>
    <w:rsid w:val="45337C4B"/>
    <w:rsid w:val="453523A1"/>
    <w:rsid w:val="45353522"/>
    <w:rsid w:val="4535780B"/>
    <w:rsid w:val="4535D874"/>
    <w:rsid w:val="453715E7"/>
    <w:rsid w:val="4537BA53"/>
    <w:rsid w:val="45399661"/>
    <w:rsid w:val="453BB268"/>
    <w:rsid w:val="453C17C1"/>
    <w:rsid w:val="453D1122"/>
    <w:rsid w:val="453D14B2"/>
    <w:rsid w:val="453FFBDF"/>
    <w:rsid w:val="45412559"/>
    <w:rsid w:val="45428E23"/>
    <w:rsid w:val="45452850"/>
    <w:rsid w:val="4545994F"/>
    <w:rsid w:val="45479CE1"/>
    <w:rsid w:val="45489ADA"/>
    <w:rsid w:val="454E2E36"/>
    <w:rsid w:val="45528848"/>
    <w:rsid w:val="45549C4C"/>
    <w:rsid w:val="4554C498"/>
    <w:rsid w:val="4559FA6E"/>
    <w:rsid w:val="455AF1E7"/>
    <w:rsid w:val="455B10EC"/>
    <w:rsid w:val="455C4742"/>
    <w:rsid w:val="455D3645"/>
    <w:rsid w:val="455ECEFA"/>
    <w:rsid w:val="455FC758"/>
    <w:rsid w:val="45611E25"/>
    <w:rsid w:val="45640D0D"/>
    <w:rsid w:val="45664CE1"/>
    <w:rsid w:val="456A6D21"/>
    <w:rsid w:val="456AB854"/>
    <w:rsid w:val="456B488A"/>
    <w:rsid w:val="456B737F"/>
    <w:rsid w:val="456CDA68"/>
    <w:rsid w:val="456DA36B"/>
    <w:rsid w:val="456F9183"/>
    <w:rsid w:val="457239C8"/>
    <w:rsid w:val="45729377"/>
    <w:rsid w:val="45729AB6"/>
    <w:rsid w:val="457721B1"/>
    <w:rsid w:val="457778DE"/>
    <w:rsid w:val="457DCB1F"/>
    <w:rsid w:val="457E62C4"/>
    <w:rsid w:val="458019F8"/>
    <w:rsid w:val="45806606"/>
    <w:rsid w:val="458077EB"/>
    <w:rsid w:val="4580D1CD"/>
    <w:rsid w:val="45814E2B"/>
    <w:rsid w:val="4583DC82"/>
    <w:rsid w:val="4583FFEB"/>
    <w:rsid w:val="4584AA6F"/>
    <w:rsid w:val="458A96E7"/>
    <w:rsid w:val="458BE212"/>
    <w:rsid w:val="458DD04E"/>
    <w:rsid w:val="45915674"/>
    <w:rsid w:val="4593132C"/>
    <w:rsid w:val="4594B0A8"/>
    <w:rsid w:val="4599F3BB"/>
    <w:rsid w:val="459B5AE2"/>
    <w:rsid w:val="459C3C87"/>
    <w:rsid w:val="459CFCF1"/>
    <w:rsid w:val="45A09553"/>
    <w:rsid w:val="45A3D914"/>
    <w:rsid w:val="45A57EBA"/>
    <w:rsid w:val="45A5D0E1"/>
    <w:rsid w:val="45A5FBD5"/>
    <w:rsid w:val="45A73FC8"/>
    <w:rsid w:val="45A9CD1D"/>
    <w:rsid w:val="45ADF09D"/>
    <w:rsid w:val="45B4B679"/>
    <w:rsid w:val="45B5619F"/>
    <w:rsid w:val="45B72F19"/>
    <w:rsid w:val="45BE3157"/>
    <w:rsid w:val="45BF2628"/>
    <w:rsid w:val="45BFD8F9"/>
    <w:rsid w:val="45C08559"/>
    <w:rsid w:val="45C4B8D4"/>
    <w:rsid w:val="45C4D5CE"/>
    <w:rsid w:val="45C5FC47"/>
    <w:rsid w:val="45C60561"/>
    <w:rsid w:val="45C943EC"/>
    <w:rsid w:val="45CAC4E7"/>
    <w:rsid w:val="45CC4B5F"/>
    <w:rsid w:val="45D2C683"/>
    <w:rsid w:val="45D43FB6"/>
    <w:rsid w:val="45D49925"/>
    <w:rsid w:val="45D7A81F"/>
    <w:rsid w:val="45D7ADF9"/>
    <w:rsid w:val="45D9BB5B"/>
    <w:rsid w:val="45DC1E62"/>
    <w:rsid w:val="45DDBD2F"/>
    <w:rsid w:val="45DF8FA8"/>
    <w:rsid w:val="45E3388D"/>
    <w:rsid w:val="45E38C9E"/>
    <w:rsid w:val="45E68476"/>
    <w:rsid w:val="45E96C70"/>
    <w:rsid w:val="45EC5620"/>
    <w:rsid w:val="45ED9226"/>
    <w:rsid w:val="45EE2B48"/>
    <w:rsid w:val="45F0C8B7"/>
    <w:rsid w:val="45F142C4"/>
    <w:rsid w:val="45F1F891"/>
    <w:rsid w:val="45F38407"/>
    <w:rsid w:val="45F397EE"/>
    <w:rsid w:val="45F49944"/>
    <w:rsid w:val="45F49F45"/>
    <w:rsid w:val="45F9B1A7"/>
    <w:rsid w:val="45FB219C"/>
    <w:rsid w:val="45FB7E8B"/>
    <w:rsid w:val="45FE8DBF"/>
    <w:rsid w:val="46029EDA"/>
    <w:rsid w:val="4602A6F2"/>
    <w:rsid w:val="4608519A"/>
    <w:rsid w:val="460A1F59"/>
    <w:rsid w:val="460AF55B"/>
    <w:rsid w:val="460D19D0"/>
    <w:rsid w:val="460DCA94"/>
    <w:rsid w:val="460F824E"/>
    <w:rsid w:val="461145B6"/>
    <w:rsid w:val="4613C336"/>
    <w:rsid w:val="46170C2B"/>
    <w:rsid w:val="46175C5C"/>
    <w:rsid w:val="46198E4B"/>
    <w:rsid w:val="461F0092"/>
    <w:rsid w:val="461F4D60"/>
    <w:rsid w:val="461FD8B7"/>
    <w:rsid w:val="462091FB"/>
    <w:rsid w:val="4620990C"/>
    <w:rsid w:val="4620C244"/>
    <w:rsid w:val="46213537"/>
    <w:rsid w:val="4621FFD5"/>
    <w:rsid w:val="4622AD1B"/>
    <w:rsid w:val="4622E427"/>
    <w:rsid w:val="462393A2"/>
    <w:rsid w:val="46287AE2"/>
    <w:rsid w:val="462909FC"/>
    <w:rsid w:val="46297CC5"/>
    <w:rsid w:val="462C4C39"/>
    <w:rsid w:val="462D3188"/>
    <w:rsid w:val="4630DFEF"/>
    <w:rsid w:val="463125E8"/>
    <w:rsid w:val="4631EF8D"/>
    <w:rsid w:val="4634A648"/>
    <w:rsid w:val="46385C2B"/>
    <w:rsid w:val="463B6B13"/>
    <w:rsid w:val="463BC93B"/>
    <w:rsid w:val="4642C8DA"/>
    <w:rsid w:val="4643A3BF"/>
    <w:rsid w:val="46441EF8"/>
    <w:rsid w:val="4645C28B"/>
    <w:rsid w:val="46481B5E"/>
    <w:rsid w:val="46487D45"/>
    <w:rsid w:val="464B383E"/>
    <w:rsid w:val="464C8147"/>
    <w:rsid w:val="464DEDFC"/>
    <w:rsid w:val="4656B6DF"/>
    <w:rsid w:val="465D7212"/>
    <w:rsid w:val="465D842B"/>
    <w:rsid w:val="46609C77"/>
    <w:rsid w:val="46615E00"/>
    <w:rsid w:val="4662F56E"/>
    <w:rsid w:val="46647F7B"/>
    <w:rsid w:val="46657D5E"/>
    <w:rsid w:val="466CF0F2"/>
    <w:rsid w:val="466E4207"/>
    <w:rsid w:val="4670EFA4"/>
    <w:rsid w:val="467205A1"/>
    <w:rsid w:val="4673E4A3"/>
    <w:rsid w:val="46788999"/>
    <w:rsid w:val="4679CACC"/>
    <w:rsid w:val="467AC7AF"/>
    <w:rsid w:val="467C50A3"/>
    <w:rsid w:val="467E46D2"/>
    <w:rsid w:val="46802406"/>
    <w:rsid w:val="46834A7F"/>
    <w:rsid w:val="46837E9C"/>
    <w:rsid w:val="4685CA76"/>
    <w:rsid w:val="4685D458"/>
    <w:rsid w:val="4686D81E"/>
    <w:rsid w:val="468DA5C6"/>
    <w:rsid w:val="46929929"/>
    <w:rsid w:val="4692A938"/>
    <w:rsid w:val="4692D512"/>
    <w:rsid w:val="4694088C"/>
    <w:rsid w:val="4694412F"/>
    <w:rsid w:val="469562A5"/>
    <w:rsid w:val="46982B4F"/>
    <w:rsid w:val="469EC606"/>
    <w:rsid w:val="469ECE0C"/>
    <w:rsid w:val="469F3E92"/>
    <w:rsid w:val="46A115B9"/>
    <w:rsid w:val="46A15833"/>
    <w:rsid w:val="46A24576"/>
    <w:rsid w:val="46A5A2CA"/>
    <w:rsid w:val="46A65A78"/>
    <w:rsid w:val="46A812A6"/>
    <w:rsid w:val="46A8D560"/>
    <w:rsid w:val="46A981FE"/>
    <w:rsid w:val="46A98D2A"/>
    <w:rsid w:val="46AC7B68"/>
    <w:rsid w:val="46B3F22A"/>
    <w:rsid w:val="46B407C0"/>
    <w:rsid w:val="46B413F3"/>
    <w:rsid w:val="46B49EDC"/>
    <w:rsid w:val="46B505C3"/>
    <w:rsid w:val="46B60007"/>
    <w:rsid w:val="46B75A91"/>
    <w:rsid w:val="46B78464"/>
    <w:rsid w:val="46B786F7"/>
    <w:rsid w:val="46B93DA6"/>
    <w:rsid w:val="46B98468"/>
    <w:rsid w:val="46BB8FCD"/>
    <w:rsid w:val="46BC5066"/>
    <w:rsid w:val="46BCD996"/>
    <w:rsid w:val="46C39D40"/>
    <w:rsid w:val="46C4CA3E"/>
    <w:rsid w:val="46C4EB71"/>
    <w:rsid w:val="46C531A2"/>
    <w:rsid w:val="46C5326E"/>
    <w:rsid w:val="46C6174F"/>
    <w:rsid w:val="46CAF29A"/>
    <w:rsid w:val="46CE4D42"/>
    <w:rsid w:val="46D73565"/>
    <w:rsid w:val="46D75FA6"/>
    <w:rsid w:val="46D7B1C8"/>
    <w:rsid w:val="46D8FBDA"/>
    <w:rsid w:val="46D930C9"/>
    <w:rsid w:val="46DEE6D7"/>
    <w:rsid w:val="46E2E410"/>
    <w:rsid w:val="46E41BF4"/>
    <w:rsid w:val="46E839AB"/>
    <w:rsid w:val="46EA4C0D"/>
    <w:rsid w:val="46EBD93F"/>
    <w:rsid w:val="46EC160E"/>
    <w:rsid w:val="46EC3FFA"/>
    <w:rsid w:val="46ECAD7A"/>
    <w:rsid w:val="46F55B85"/>
    <w:rsid w:val="46F59550"/>
    <w:rsid w:val="46F67739"/>
    <w:rsid w:val="46F71069"/>
    <w:rsid w:val="46F7E783"/>
    <w:rsid w:val="46F96FA2"/>
    <w:rsid w:val="46F98921"/>
    <w:rsid w:val="46FAB9B3"/>
    <w:rsid w:val="46FAFA75"/>
    <w:rsid w:val="46FB7618"/>
    <w:rsid w:val="4702E384"/>
    <w:rsid w:val="4708BA2A"/>
    <w:rsid w:val="470B2529"/>
    <w:rsid w:val="470BA3B9"/>
    <w:rsid w:val="470D13FF"/>
    <w:rsid w:val="4711B4BE"/>
    <w:rsid w:val="47149F22"/>
    <w:rsid w:val="4717B08A"/>
    <w:rsid w:val="4719A685"/>
    <w:rsid w:val="471AD3CC"/>
    <w:rsid w:val="471C1CCF"/>
    <w:rsid w:val="471EF485"/>
    <w:rsid w:val="471FD0E9"/>
    <w:rsid w:val="47200CCE"/>
    <w:rsid w:val="4720F53C"/>
    <w:rsid w:val="4722B3F5"/>
    <w:rsid w:val="47275410"/>
    <w:rsid w:val="4727EA15"/>
    <w:rsid w:val="47284829"/>
    <w:rsid w:val="47296130"/>
    <w:rsid w:val="4729AE3B"/>
    <w:rsid w:val="472A8517"/>
    <w:rsid w:val="472B28EC"/>
    <w:rsid w:val="472F7D9D"/>
    <w:rsid w:val="4730C37E"/>
    <w:rsid w:val="4731DC39"/>
    <w:rsid w:val="47347257"/>
    <w:rsid w:val="4736A936"/>
    <w:rsid w:val="47384782"/>
    <w:rsid w:val="473AE3C7"/>
    <w:rsid w:val="473FB426"/>
    <w:rsid w:val="474426F4"/>
    <w:rsid w:val="4744270B"/>
    <w:rsid w:val="474588C9"/>
    <w:rsid w:val="474589C6"/>
    <w:rsid w:val="47466B3C"/>
    <w:rsid w:val="4747423C"/>
    <w:rsid w:val="474B183E"/>
    <w:rsid w:val="474B5FD3"/>
    <w:rsid w:val="474D0FAC"/>
    <w:rsid w:val="474D425A"/>
    <w:rsid w:val="47504BBA"/>
    <w:rsid w:val="4750596E"/>
    <w:rsid w:val="47506208"/>
    <w:rsid w:val="4750ECE4"/>
    <w:rsid w:val="475478E7"/>
    <w:rsid w:val="47574301"/>
    <w:rsid w:val="47581959"/>
    <w:rsid w:val="47583930"/>
    <w:rsid w:val="475B188B"/>
    <w:rsid w:val="475C7E59"/>
    <w:rsid w:val="475C8D75"/>
    <w:rsid w:val="475CE8B6"/>
    <w:rsid w:val="475D75D1"/>
    <w:rsid w:val="475E4042"/>
    <w:rsid w:val="475E80D9"/>
    <w:rsid w:val="476022D0"/>
    <w:rsid w:val="47614DA1"/>
    <w:rsid w:val="47625369"/>
    <w:rsid w:val="4762D15F"/>
    <w:rsid w:val="4762F8A0"/>
    <w:rsid w:val="47638D00"/>
    <w:rsid w:val="4763EB7F"/>
    <w:rsid w:val="4764265F"/>
    <w:rsid w:val="47642C48"/>
    <w:rsid w:val="4764E26C"/>
    <w:rsid w:val="4765A443"/>
    <w:rsid w:val="4767C904"/>
    <w:rsid w:val="47694234"/>
    <w:rsid w:val="47699866"/>
    <w:rsid w:val="476D08A9"/>
    <w:rsid w:val="476D7DBC"/>
    <w:rsid w:val="476E0273"/>
    <w:rsid w:val="476F0B7D"/>
    <w:rsid w:val="47701CAF"/>
    <w:rsid w:val="4773FA03"/>
    <w:rsid w:val="47742361"/>
    <w:rsid w:val="477703F2"/>
    <w:rsid w:val="4777F187"/>
    <w:rsid w:val="477AE488"/>
    <w:rsid w:val="477E024E"/>
    <w:rsid w:val="47807543"/>
    <w:rsid w:val="4781C2FC"/>
    <w:rsid w:val="4782D4D7"/>
    <w:rsid w:val="4783B734"/>
    <w:rsid w:val="4787EA75"/>
    <w:rsid w:val="47889CAC"/>
    <w:rsid w:val="478990BE"/>
    <w:rsid w:val="4789A5AD"/>
    <w:rsid w:val="478A3337"/>
    <w:rsid w:val="478AFBA5"/>
    <w:rsid w:val="478B23AF"/>
    <w:rsid w:val="478D012B"/>
    <w:rsid w:val="478D9C3B"/>
    <w:rsid w:val="478F50D8"/>
    <w:rsid w:val="479070AA"/>
    <w:rsid w:val="47953F28"/>
    <w:rsid w:val="4798B521"/>
    <w:rsid w:val="4798D7A4"/>
    <w:rsid w:val="4798DE41"/>
    <w:rsid w:val="47992A07"/>
    <w:rsid w:val="4799C70F"/>
    <w:rsid w:val="47A2D5C8"/>
    <w:rsid w:val="47A4E676"/>
    <w:rsid w:val="47A521A3"/>
    <w:rsid w:val="47A67530"/>
    <w:rsid w:val="47A699E0"/>
    <w:rsid w:val="47A8173F"/>
    <w:rsid w:val="47A8F423"/>
    <w:rsid w:val="47A8FC0C"/>
    <w:rsid w:val="47A9D0D1"/>
    <w:rsid w:val="47AA240C"/>
    <w:rsid w:val="47AB954A"/>
    <w:rsid w:val="47ACA1EE"/>
    <w:rsid w:val="47AE7A8B"/>
    <w:rsid w:val="47B01DF9"/>
    <w:rsid w:val="47B15041"/>
    <w:rsid w:val="47B35B14"/>
    <w:rsid w:val="47B40C53"/>
    <w:rsid w:val="47BB0B7D"/>
    <w:rsid w:val="47BC1ECC"/>
    <w:rsid w:val="47BD4FEA"/>
    <w:rsid w:val="47C06EB6"/>
    <w:rsid w:val="47C36D46"/>
    <w:rsid w:val="47C3F939"/>
    <w:rsid w:val="47C4C538"/>
    <w:rsid w:val="47C5B3FE"/>
    <w:rsid w:val="47C76D1D"/>
    <w:rsid w:val="47C7F3BD"/>
    <w:rsid w:val="47C7F75C"/>
    <w:rsid w:val="47CABA3C"/>
    <w:rsid w:val="47CD3EC2"/>
    <w:rsid w:val="47D0A8EE"/>
    <w:rsid w:val="47D104D5"/>
    <w:rsid w:val="47D224AB"/>
    <w:rsid w:val="47D5F500"/>
    <w:rsid w:val="47D633EA"/>
    <w:rsid w:val="47D6A551"/>
    <w:rsid w:val="47D6C75E"/>
    <w:rsid w:val="47D7B762"/>
    <w:rsid w:val="47DA1965"/>
    <w:rsid w:val="47DB3F80"/>
    <w:rsid w:val="47DC77F4"/>
    <w:rsid w:val="47DF81DA"/>
    <w:rsid w:val="47DF94D6"/>
    <w:rsid w:val="47DFB055"/>
    <w:rsid w:val="47E1FFA2"/>
    <w:rsid w:val="47E6D74F"/>
    <w:rsid w:val="47E87789"/>
    <w:rsid w:val="47E8F452"/>
    <w:rsid w:val="47E978F0"/>
    <w:rsid w:val="47EC4C53"/>
    <w:rsid w:val="47ED0FA1"/>
    <w:rsid w:val="47EE333D"/>
    <w:rsid w:val="47EF1759"/>
    <w:rsid w:val="47EFEE5F"/>
    <w:rsid w:val="47F23531"/>
    <w:rsid w:val="47F88515"/>
    <w:rsid w:val="47F8E982"/>
    <w:rsid w:val="47FB24A7"/>
    <w:rsid w:val="47FBB671"/>
    <w:rsid w:val="47FF3841"/>
    <w:rsid w:val="48020F33"/>
    <w:rsid w:val="4802AD10"/>
    <w:rsid w:val="4803056B"/>
    <w:rsid w:val="4803EA07"/>
    <w:rsid w:val="4805576E"/>
    <w:rsid w:val="48068320"/>
    <w:rsid w:val="480750D2"/>
    <w:rsid w:val="480D0F92"/>
    <w:rsid w:val="480D5985"/>
    <w:rsid w:val="480EB5E1"/>
    <w:rsid w:val="4810A328"/>
    <w:rsid w:val="4811BFF0"/>
    <w:rsid w:val="481474A1"/>
    <w:rsid w:val="481A6EDE"/>
    <w:rsid w:val="481C0CB6"/>
    <w:rsid w:val="481D9BA2"/>
    <w:rsid w:val="482247A4"/>
    <w:rsid w:val="48281F9D"/>
    <w:rsid w:val="4828823B"/>
    <w:rsid w:val="48298A25"/>
    <w:rsid w:val="482C1439"/>
    <w:rsid w:val="482D4D2A"/>
    <w:rsid w:val="4830457F"/>
    <w:rsid w:val="4835B39E"/>
    <w:rsid w:val="48363A0F"/>
    <w:rsid w:val="48381F8D"/>
    <w:rsid w:val="48384710"/>
    <w:rsid w:val="48395D5A"/>
    <w:rsid w:val="483DD90C"/>
    <w:rsid w:val="483E32C4"/>
    <w:rsid w:val="484020F8"/>
    <w:rsid w:val="48434E2D"/>
    <w:rsid w:val="4846A304"/>
    <w:rsid w:val="4847B731"/>
    <w:rsid w:val="484C235E"/>
    <w:rsid w:val="484CB670"/>
    <w:rsid w:val="484F1EC1"/>
    <w:rsid w:val="48500C75"/>
    <w:rsid w:val="485158C8"/>
    <w:rsid w:val="48550C54"/>
    <w:rsid w:val="4855DE77"/>
    <w:rsid w:val="485780D5"/>
    <w:rsid w:val="485785EC"/>
    <w:rsid w:val="48594361"/>
    <w:rsid w:val="485E2373"/>
    <w:rsid w:val="4861D9A8"/>
    <w:rsid w:val="486582CE"/>
    <w:rsid w:val="4866878F"/>
    <w:rsid w:val="48668EE9"/>
    <w:rsid w:val="4867C144"/>
    <w:rsid w:val="48682434"/>
    <w:rsid w:val="486A63FB"/>
    <w:rsid w:val="486AC49F"/>
    <w:rsid w:val="486AE752"/>
    <w:rsid w:val="486D9BC2"/>
    <w:rsid w:val="487229BD"/>
    <w:rsid w:val="48733B70"/>
    <w:rsid w:val="4873CE34"/>
    <w:rsid w:val="487550E5"/>
    <w:rsid w:val="4876FD7A"/>
    <w:rsid w:val="487BA0B4"/>
    <w:rsid w:val="487E363D"/>
    <w:rsid w:val="48804618"/>
    <w:rsid w:val="48806306"/>
    <w:rsid w:val="4880F357"/>
    <w:rsid w:val="4881A791"/>
    <w:rsid w:val="4881ABF1"/>
    <w:rsid w:val="4881DED3"/>
    <w:rsid w:val="4882E19E"/>
    <w:rsid w:val="4882FFF5"/>
    <w:rsid w:val="48836416"/>
    <w:rsid w:val="48844AF7"/>
    <w:rsid w:val="488697A7"/>
    <w:rsid w:val="48871FFD"/>
    <w:rsid w:val="4887F5C0"/>
    <w:rsid w:val="48886B7A"/>
    <w:rsid w:val="488940D7"/>
    <w:rsid w:val="488B1176"/>
    <w:rsid w:val="488B4043"/>
    <w:rsid w:val="488B53B1"/>
    <w:rsid w:val="488BFC7B"/>
    <w:rsid w:val="488DDEE5"/>
    <w:rsid w:val="488ED6C4"/>
    <w:rsid w:val="488F892B"/>
    <w:rsid w:val="48920FDE"/>
    <w:rsid w:val="4893F5A0"/>
    <w:rsid w:val="489EBAF7"/>
    <w:rsid w:val="48A30B75"/>
    <w:rsid w:val="48A3500C"/>
    <w:rsid w:val="48A3FC93"/>
    <w:rsid w:val="48A4FE8A"/>
    <w:rsid w:val="48A5F6A5"/>
    <w:rsid w:val="48A8612D"/>
    <w:rsid w:val="48A8FA55"/>
    <w:rsid w:val="48AA0EC6"/>
    <w:rsid w:val="48ACC83D"/>
    <w:rsid w:val="48ACEC51"/>
    <w:rsid w:val="48AD0614"/>
    <w:rsid w:val="48AE3BEA"/>
    <w:rsid w:val="48B35634"/>
    <w:rsid w:val="48B3BEED"/>
    <w:rsid w:val="48B7CB4E"/>
    <w:rsid w:val="48B7F726"/>
    <w:rsid w:val="48BB5DE3"/>
    <w:rsid w:val="48BE7FC3"/>
    <w:rsid w:val="48BFF408"/>
    <w:rsid w:val="48C0723B"/>
    <w:rsid w:val="48C12780"/>
    <w:rsid w:val="48C1E584"/>
    <w:rsid w:val="48C1F581"/>
    <w:rsid w:val="48C2236D"/>
    <w:rsid w:val="48C2A147"/>
    <w:rsid w:val="48C667F1"/>
    <w:rsid w:val="48C7A6AE"/>
    <w:rsid w:val="48C7B686"/>
    <w:rsid w:val="48C9EAF3"/>
    <w:rsid w:val="48CB80DE"/>
    <w:rsid w:val="48CC0981"/>
    <w:rsid w:val="48CC1B91"/>
    <w:rsid w:val="48CE5AC5"/>
    <w:rsid w:val="48CFBA83"/>
    <w:rsid w:val="48D25967"/>
    <w:rsid w:val="48D27369"/>
    <w:rsid w:val="48D494B3"/>
    <w:rsid w:val="48D4E7C8"/>
    <w:rsid w:val="48D5448E"/>
    <w:rsid w:val="48D56A3D"/>
    <w:rsid w:val="48DCDA9D"/>
    <w:rsid w:val="48E10F87"/>
    <w:rsid w:val="48E223BA"/>
    <w:rsid w:val="48E23AAE"/>
    <w:rsid w:val="48E44833"/>
    <w:rsid w:val="48E8576F"/>
    <w:rsid w:val="48EB4609"/>
    <w:rsid w:val="48EC598D"/>
    <w:rsid w:val="48ECAACC"/>
    <w:rsid w:val="48F07C26"/>
    <w:rsid w:val="48F0A24B"/>
    <w:rsid w:val="48F3203B"/>
    <w:rsid w:val="48F4ADBC"/>
    <w:rsid w:val="48F688FF"/>
    <w:rsid w:val="48F6BD7E"/>
    <w:rsid w:val="48F747C1"/>
    <w:rsid w:val="48F9FAB1"/>
    <w:rsid w:val="48FD8FB3"/>
    <w:rsid w:val="48FDEB75"/>
    <w:rsid w:val="48FE1C93"/>
    <w:rsid w:val="4901884A"/>
    <w:rsid w:val="4904DD8E"/>
    <w:rsid w:val="4906EDA7"/>
    <w:rsid w:val="4907EDEC"/>
    <w:rsid w:val="490B0579"/>
    <w:rsid w:val="490F0115"/>
    <w:rsid w:val="4911A7F1"/>
    <w:rsid w:val="4912C4E0"/>
    <w:rsid w:val="4915B8B7"/>
    <w:rsid w:val="4917783E"/>
    <w:rsid w:val="491DB9A8"/>
    <w:rsid w:val="491DFFD4"/>
    <w:rsid w:val="4921D59A"/>
    <w:rsid w:val="49236362"/>
    <w:rsid w:val="49240CAC"/>
    <w:rsid w:val="49241E5E"/>
    <w:rsid w:val="4924A438"/>
    <w:rsid w:val="4925A064"/>
    <w:rsid w:val="4928758C"/>
    <w:rsid w:val="492A76D8"/>
    <w:rsid w:val="492C8201"/>
    <w:rsid w:val="492D50F2"/>
    <w:rsid w:val="492E66AF"/>
    <w:rsid w:val="492FB934"/>
    <w:rsid w:val="4932D4DD"/>
    <w:rsid w:val="49365DAF"/>
    <w:rsid w:val="493700E7"/>
    <w:rsid w:val="493B55BD"/>
    <w:rsid w:val="493C0CBA"/>
    <w:rsid w:val="493D2565"/>
    <w:rsid w:val="49448ECC"/>
    <w:rsid w:val="4947D374"/>
    <w:rsid w:val="49488B91"/>
    <w:rsid w:val="4948E752"/>
    <w:rsid w:val="494B3091"/>
    <w:rsid w:val="49506C20"/>
    <w:rsid w:val="495575D3"/>
    <w:rsid w:val="495716D1"/>
    <w:rsid w:val="49573B2F"/>
    <w:rsid w:val="4957BABF"/>
    <w:rsid w:val="495B6960"/>
    <w:rsid w:val="495B6E31"/>
    <w:rsid w:val="495C3486"/>
    <w:rsid w:val="495E48D2"/>
    <w:rsid w:val="49637C49"/>
    <w:rsid w:val="4964891E"/>
    <w:rsid w:val="4966D859"/>
    <w:rsid w:val="4968C3C1"/>
    <w:rsid w:val="49692848"/>
    <w:rsid w:val="496BF4B0"/>
    <w:rsid w:val="4974B5CE"/>
    <w:rsid w:val="4977455F"/>
    <w:rsid w:val="4978689F"/>
    <w:rsid w:val="497A11CA"/>
    <w:rsid w:val="497B4BD4"/>
    <w:rsid w:val="497B77FA"/>
    <w:rsid w:val="497D22C0"/>
    <w:rsid w:val="497F5508"/>
    <w:rsid w:val="498160F6"/>
    <w:rsid w:val="49827A7F"/>
    <w:rsid w:val="49837063"/>
    <w:rsid w:val="4985065A"/>
    <w:rsid w:val="49850F8C"/>
    <w:rsid w:val="4985799E"/>
    <w:rsid w:val="4986361F"/>
    <w:rsid w:val="4987A574"/>
    <w:rsid w:val="498A9859"/>
    <w:rsid w:val="498C1317"/>
    <w:rsid w:val="498D969D"/>
    <w:rsid w:val="499029B7"/>
    <w:rsid w:val="4991A07F"/>
    <w:rsid w:val="4992EF2B"/>
    <w:rsid w:val="49937504"/>
    <w:rsid w:val="4994665C"/>
    <w:rsid w:val="49960C3F"/>
    <w:rsid w:val="4996510C"/>
    <w:rsid w:val="4997481B"/>
    <w:rsid w:val="4999E3F8"/>
    <w:rsid w:val="499A5E9D"/>
    <w:rsid w:val="499B0E05"/>
    <w:rsid w:val="499F7868"/>
    <w:rsid w:val="49A4B48F"/>
    <w:rsid w:val="49AA5C24"/>
    <w:rsid w:val="49AA962B"/>
    <w:rsid w:val="49ACC1FB"/>
    <w:rsid w:val="49AE6BD7"/>
    <w:rsid w:val="49B043B6"/>
    <w:rsid w:val="49B42AFB"/>
    <w:rsid w:val="49B49121"/>
    <w:rsid w:val="49B6531D"/>
    <w:rsid w:val="49B6F7BC"/>
    <w:rsid w:val="49BAC3AB"/>
    <w:rsid w:val="49BAEC09"/>
    <w:rsid w:val="49BB73EE"/>
    <w:rsid w:val="49BC33E3"/>
    <w:rsid w:val="49C0BE90"/>
    <w:rsid w:val="49C71076"/>
    <w:rsid w:val="49CDEBA3"/>
    <w:rsid w:val="49D18E78"/>
    <w:rsid w:val="49D32332"/>
    <w:rsid w:val="49D67868"/>
    <w:rsid w:val="49D6C8B0"/>
    <w:rsid w:val="49D709EF"/>
    <w:rsid w:val="49DA11DD"/>
    <w:rsid w:val="49DB4087"/>
    <w:rsid w:val="49DC09A0"/>
    <w:rsid w:val="49DF66A6"/>
    <w:rsid w:val="49DFAACC"/>
    <w:rsid w:val="49E297ED"/>
    <w:rsid w:val="49E2CA02"/>
    <w:rsid w:val="49E397D6"/>
    <w:rsid w:val="49E3A6C4"/>
    <w:rsid w:val="49E6262C"/>
    <w:rsid w:val="49E62D8B"/>
    <w:rsid w:val="49E8C180"/>
    <w:rsid w:val="49E8DC1E"/>
    <w:rsid w:val="49E93DE5"/>
    <w:rsid w:val="49EDFD45"/>
    <w:rsid w:val="49F1A890"/>
    <w:rsid w:val="49F2E328"/>
    <w:rsid w:val="49F3AF95"/>
    <w:rsid w:val="49F98150"/>
    <w:rsid w:val="49FC3A8A"/>
    <w:rsid w:val="49FDC8FE"/>
    <w:rsid w:val="49FE907F"/>
    <w:rsid w:val="4A03020E"/>
    <w:rsid w:val="4A0310D4"/>
    <w:rsid w:val="4A073C0A"/>
    <w:rsid w:val="4A07559E"/>
    <w:rsid w:val="4A080A30"/>
    <w:rsid w:val="4A085D6A"/>
    <w:rsid w:val="4A0A00B9"/>
    <w:rsid w:val="4A0AC852"/>
    <w:rsid w:val="4A0CDD67"/>
    <w:rsid w:val="4A0D0779"/>
    <w:rsid w:val="4A1150F2"/>
    <w:rsid w:val="4A13D2C3"/>
    <w:rsid w:val="4A15D742"/>
    <w:rsid w:val="4A15F19B"/>
    <w:rsid w:val="4A1AF5F3"/>
    <w:rsid w:val="4A1EE931"/>
    <w:rsid w:val="4A2217FF"/>
    <w:rsid w:val="4A22ADD0"/>
    <w:rsid w:val="4A29C79C"/>
    <w:rsid w:val="4A2A51A8"/>
    <w:rsid w:val="4A2DDF6D"/>
    <w:rsid w:val="4A2E0763"/>
    <w:rsid w:val="4A2E83E6"/>
    <w:rsid w:val="4A308790"/>
    <w:rsid w:val="4A313EF4"/>
    <w:rsid w:val="4A34BAC5"/>
    <w:rsid w:val="4A38AEC8"/>
    <w:rsid w:val="4A38BF49"/>
    <w:rsid w:val="4A3A12F8"/>
    <w:rsid w:val="4A3A77C0"/>
    <w:rsid w:val="4A3C360A"/>
    <w:rsid w:val="4A413874"/>
    <w:rsid w:val="4A413D1C"/>
    <w:rsid w:val="4A441919"/>
    <w:rsid w:val="4A460884"/>
    <w:rsid w:val="4A46B969"/>
    <w:rsid w:val="4A477B1E"/>
    <w:rsid w:val="4A4AD60D"/>
    <w:rsid w:val="4A4C38AE"/>
    <w:rsid w:val="4A4EED5F"/>
    <w:rsid w:val="4A4EEDF8"/>
    <w:rsid w:val="4A513E4B"/>
    <w:rsid w:val="4A514E4A"/>
    <w:rsid w:val="4A530FAB"/>
    <w:rsid w:val="4A535310"/>
    <w:rsid w:val="4A549918"/>
    <w:rsid w:val="4A59FC3E"/>
    <w:rsid w:val="4A5AC619"/>
    <w:rsid w:val="4A5FFC26"/>
    <w:rsid w:val="4A60F591"/>
    <w:rsid w:val="4A6274FF"/>
    <w:rsid w:val="4A633AB8"/>
    <w:rsid w:val="4A64D9FC"/>
    <w:rsid w:val="4A6585ED"/>
    <w:rsid w:val="4A68A8AE"/>
    <w:rsid w:val="4A68D83A"/>
    <w:rsid w:val="4A69FBCD"/>
    <w:rsid w:val="4A72942D"/>
    <w:rsid w:val="4A77660D"/>
    <w:rsid w:val="4A78390D"/>
    <w:rsid w:val="4A78BA44"/>
    <w:rsid w:val="4A79739D"/>
    <w:rsid w:val="4A7BCD7C"/>
    <w:rsid w:val="4A7D3BE2"/>
    <w:rsid w:val="4A816BD5"/>
    <w:rsid w:val="4A81BD1B"/>
    <w:rsid w:val="4A826C1F"/>
    <w:rsid w:val="4A835488"/>
    <w:rsid w:val="4A85D517"/>
    <w:rsid w:val="4A86C56F"/>
    <w:rsid w:val="4A8769A5"/>
    <w:rsid w:val="4A89044E"/>
    <w:rsid w:val="4A8D4A9D"/>
    <w:rsid w:val="4A8E9583"/>
    <w:rsid w:val="4A8FEAB5"/>
    <w:rsid w:val="4A915DD0"/>
    <w:rsid w:val="4A946BEF"/>
    <w:rsid w:val="4A959A67"/>
    <w:rsid w:val="4A98073E"/>
    <w:rsid w:val="4A9827DE"/>
    <w:rsid w:val="4A983123"/>
    <w:rsid w:val="4A989C00"/>
    <w:rsid w:val="4A98F5DB"/>
    <w:rsid w:val="4A992E78"/>
    <w:rsid w:val="4A9AE440"/>
    <w:rsid w:val="4A9B5F62"/>
    <w:rsid w:val="4A9CC43B"/>
    <w:rsid w:val="4A9D6EC8"/>
    <w:rsid w:val="4AA173F8"/>
    <w:rsid w:val="4AA56EB4"/>
    <w:rsid w:val="4AA729DD"/>
    <w:rsid w:val="4AA86D62"/>
    <w:rsid w:val="4AA9B307"/>
    <w:rsid w:val="4AA9C2D9"/>
    <w:rsid w:val="4AAC3FCE"/>
    <w:rsid w:val="4AAD1E9B"/>
    <w:rsid w:val="4AAE62E2"/>
    <w:rsid w:val="4AB17FF5"/>
    <w:rsid w:val="4AB242F8"/>
    <w:rsid w:val="4AB312B8"/>
    <w:rsid w:val="4AB5CBCA"/>
    <w:rsid w:val="4ABC23E2"/>
    <w:rsid w:val="4AC2C41C"/>
    <w:rsid w:val="4AC3FFF8"/>
    <w:rsid w:val="4AC42F2F"/>
    <w:rsid w:val="4ACE7C29"/>
    <w:rsid w:val="4ACFB40E"/>
    <w:rsid w:val="4AD100F0"/>
    <w:rsid w:val="4AD16B54"/>
    <w:rsid w:val="4AD3D4BB"/>
    <w:rsid w:val="4AD50EFE"/>
    <w:rsid w:val="4AD56949"/>
    <w:rsid w:val="4ADD4CB1"/>
    <w:rsid w:val="4ADDFBEA"/>
    <w:rsid w:val="4ADE19F6"/>
    <w:rsid w:val="4AE0A376"/>
    <w:rsid w:val="4AE1192C"/>
    <w:rsid w:val="4AE1EEBB"/>
    <w:rsid w:val="4AE3826D"/>
    <w:rsid w:val="4AE3B525"/>
    <w:rsid w:val="4AE58A7D"/>
    <w:rsid w:val="4AE7730A"/>
    <w:rsid w:val="4AE7F6BD"/>
    <w:rsid w:val="4AE938F3"/>
    <w:rsid w:val="4AE9835A"/>
    <w:rsid w:val="4AEA0E17"/>
    <w:rsid w:val="4AEACD87"/>
    <w:rsid w:val="4AF2718D"/>
    <w:rsid w:val="4AF66691"/>
    <w:rsid w:val="4AFA07FB"/>
    <w:rsid w:val="4AFA792D"/>
    <w:rsid w:val="4AFB8E90"/>
    <w:rsid w:val="4AFBEA8F"/>
    <w:rsid w:val="4AFD40DB"/>
    <w:rsid w:val="4B01074E"/>
    <w:rsid w:val="4B034CFD"/>
    <w:rsid w:val="4B0819D5"/>
    <w:rsid w:val="4B08A430"/>
    <w:rsid w:val="4B09992D"/>
    <w:rsid w:val="4B0B5BDE"/>
    <w:rsid w:val="4B0E5059"/>
    <w:rsid w:val="4B10689C"/>
    <w:rsid w:val="4B130750"/>
    <w:rsid w:val="4B135E67"/>
    <w:rsid w:val="4B180445"/>
    <w:rsid w:val="4B19184C"/>
    <w:rsid w:val="4B1A7B3E"/>
    <w:rsid w:val="4B231B52"/>
    <w:rsid w:val="4B240401"/>
    <w:rsid w:val="4B27138E"/>
    <w:rsid w:val="4B2A6E62"/>
    <w:rsid w:val="4B2E6F28"/>
    <w:rsid w:val="4B2E96A8"/>
    <w:rsid w:val="4B2FED0B"/>
    <w:rsid w:val="4B34F0DF"/>
    <w:rsid w:val="4B36B9DE"/>
    <w:rsid w:val="4B3BC747"/>
    <w:rsid w:val="4B3D03AA"/>
    <w:rsid w:val="4B3D60B9"/>
    <w:rsid w:val="4B3F4BDF"/>
    <w:rsid w:val="4B422BDA"/>
    <w:rsid w:val="4B430790"/>
    <w:rsid w:val="4B43C796"/>
    <w:rsid w:val="4B473CFE"/>
    <w:rsid w:val="4B480110"/>
    <w:rsid w:val="4B49C150"/>
    <w:rsid w:val="4B4CEC6A"/>
    <w:rsid w:val="4B504F72"/>
    <w:rsid w:val="4B51A2A9"/>
    <w:rsid w:val="4B51F889"/>
    <w:rsid w:val="4B5322D8"/>
    <w:rsid w:val="4B56A92B"/>
    <w:rsid w:val="4B56CC78"/>
    <w:rsid w:val="4B585BE8"/>
    <w:rsid w:val="4B5AEA15"/>
    <w:rsid w:val="4B5B24A3"/>
    <w:rsid w:val="4B5B6791"/>
    <w:rsid w:val="4B5F8259"/>
    <w:rsid w:val="4B6646A0"/>
    <w:rsid w:val="4B66AF29"/>
    <w:rsid w:val="4B6784B4"/>
    <w:rsid w:val="4B67F8C2"/>
    <w:rsid w:val="4B6839AE"/>
    <w:rsid w:val="4B6BF0A5"/>
    <w:rsid w:val="4B6D423E"/>
    <w:rsid w:val="4B6F4ED5"/>
    <w:rsid w:val="4B6FBE0A"/>
    <w:rsid w:val="4B70A9E1"/>
    <w:rsid w:val="4B726DA2"/>
    <w:rsid w:val="4B73BD39"/>
    <w:rsid w:val="4B7422BE"/>
    <w:rsid w:val="4B75598B"/>
    <w:rsid w:val="4B758C45"/>
    <w:rsid w:val="4B773EE1"/>
    <w:rsid w:val="4B7AADE7"/>
    <w:rsid w:val="4B7B8667"/>
    <w:rsid w:val="4B7C708B"/>
    <w:rsid w:val="4B7D310F"/>
    <w:rsid w:val="4B7E638C"/>
    <w:rsid w:val="4B7E6610"/>
    <w:rsid w:val="4B7FBA6B"/>
    <w:rsid w:val="4B81E043"/>
    <w:rsid w:val="4B8275F2"/>
    <w:rsid w:val="4B8748E7"/>
    <w:rsid w:val="4B87BDA9"/>
    <w:rsid w:val="4B89F9BB"/>
    <w:rsid w:val="4B8F1513"/>
    <w:rsid w:val="4B9130AD"/>
    <w:rsid w:val="4B932BEF"/>
    <w:rsid w:val="4B94AB7C"/>
    <w:rsid w:val="4B94E7C6"/>
    <w:rsid w:val="4B9595B5"/>
    <w:rsid w:val="4B9933A6"/>
    <w:rsid w:val="4B9ADF32"/>
    <w:rsid w:val="4B9C1B5B"/>
    <w:rsid w:val="4B9D5A48"/>
    <w:rsid w:val="4B9D9469"/>
    <w:rsid w:val="4B9DBC2C"/>
    <w:rsid w:val="4B9E2200"/>
    <w:rsid w:val="4B9E64C5"/>
    <w:rsid w:val="4B9F2F25"/>
    <w:rsid w:val="4BA084DC"/>
    <w:rsid w:val="4BA23E58"/>
    <w:rsid w:val="4BA5281F"/>
    <w:rsid w:val="4BA60E91"/>
    <w:rsid w:val="4BA814AF"/>
    <w:rsid w:val="4BA8D1EC"/>
    <w:rsid w:val="4BA94426"/>
    <w:rsid w:val="4BAA2E54"/>
    <w:rsid w:val="4BAC2147"/>
    <w:rsid w:val="4BADC9B5"/>
    <w:rsid w:val="4BAE9DB2"/>
    <w:rsid w:val="4BAF353C"/>
    <w:rsid w:val="4BB7254D"/>
    <w:rsid w:val="4BB77E86"/>
    <w:rsid w:val="4BB7EC9F"/>
    <w:rsid w:val="4BB81B51"/>
    <w:rsid w:val="4BBAF848"/>
    <w:rsid w:val="4BC0791A"/>
    <w:rsid w:val="4BC1FDC6"/>
    <w:rsid w:val="4BC29463"/>
    <w:rsid w:val="4BC3ACA7"/>
    <w:rsid w:val="4BC3E47E"/>
    <w:rsid w:val="4BC628A4"/>
    <w:rsid w:val="4BC634BC"/>
    <w:rsid w:val="4BC991DD"/>
    <w:rsid w:val="4BCA5F59"/>
    <w:rsid w:val="4BCB8736"/>
    <w:rsid w:val="4BCC50C9"/>
    <w:rsid w:val="4BCC7726"/>
    <w:rsid w:val="4BCDF900"/>
    <w:rsid w:val="4BD01A7D"/>
    <w:rsid w:val="4BD25EC7"/>
    <w:rsid w:val="4BD296A2"/>
    <w:rsid w:val="4BD2C4F8"/>
    <w:rsid w:val="4BD33B41"/>
    <w:rsid w:val="4BD9965E"/>
    <w:rsid w:val="4BDC33BE"/>
    <w:rsid w:val="4BDF3287"/>
    <w:rsid w:val="4BE06A81"/>
    <w:rsid w:val="4BE0C7F5"/>
    <w:rsid w:val="4BE27BD2"/>
    <w:rsid w:val="4BE2E9BA"/>
    <w:rsid w:val="4BE553D0"/>
    <w:rsid w:val="4BE663E4"/>
    <w:rsid w:val="4BE6F1EE"/>
    <w:rsid w:val="4BEC4B4B"/>
    <w:rsid w:val="4BEE5B96"/>
    <w:rsid w:val="4BEFF7E0"/>
    <w:rsid w:val="4BF1AF08"/>
    <w:rsid w:val="4BF250C0"/>
    <w:rsid w:val="4BF46A56"/>
    <w:rsid w:val="4BF5A66A"/>
    <w:rsid w:val="4BF9D98E"/>
    <w:rsid w:val="4BFF8DF7"/>
    <w:rsid w:val="4C01E3F6"/>
    <w:rsid w:val="4C02D328"/>
    <w:rsid w:val="4C03BA3D"/>
    <w:rsid w:val="4C03E21C"/>
    <w:rsid w:val="4C055EE7"/>
    <w:rsid w:val="4C0792A3"/>
    <w:rsid w:val="4C07A35A"/>
    <w:rsid w:val="4C089FD3"/>
    <w:rsid w:val="4C094F55"/>
    <w:rsid w:val="4C09B8FA"/>
    <w:rsid w:val="4C0C9B2A"/>
    <w:rsid w:val="4C0EEE93"/>
    <w:rsid w:val="4C0F8F8E"/>
    <w:rsid w:val="4C10DCD0"/>
    <w:rsid w:val="4C1139E4"/>
    <w:rsid w:val="4C11B629"/>
    <w:rsid w:val="4C15444B"/>
    <w:rsid w:val="4C164347"/>
    <w:rsid w:val="4C1C3BD1"/>
    <w:rsid w:val="4C1D48DD"/>
    <w:rsid w:val="4C1E98CB"/>
    <w:rsid w:val="4C2150EF"/>
    <w:rsid w:val="4C2516C0"/>
    <w:rsid w:val="4C25DA60"/>
    <w:rsid w:val="4C26AFAF"/>
    <w:rsid w:val="4C2762B8"/>
    <w:rsid w:val="4C27D140"/>
    <w:rsid w:val="4C29CFF5"/>
    <w:rsid w:val="4C2B3B57"/>
    <w:rsid w:val="4C2C7486"/>
    <w:rsid w:val="4C2F032A"/>
    <w:rsid w:val="4C325F46"/>
    <w:rsid w:val="4C328F00"/>
    <w:rsid w:val="4C34EED9"/>
    <w:rsid w:val="4C379B6C"/>
    <w:rsid w:val="4C38BF2E"/>
    <w:rsid w:val="4C3B4475"/>
    <w:rsid w:val="4C3C5679"/>
    <w:rsid w:val="4C3C696C"/>
    <w:rsid w:val="4C3D87F5"/>
    <w:rsid w:val="4C3DFDC4"/>
    <w:rsid w:val="4C3EF6CA"/>
    <w:rsid w:val="4C438B03"/>
    <w:rsid w:val="4C442976"/>
    <w:rsid w:val="4C4528DB"/>
    <w:rsid w:val="4C460401"/>
    <w:rsid w:val="4C494727"/>
    <w:rsid w:val="4C4C61B6"/>
    <w:rsid w:val="4C4CAD4B"/>
    <w:rsid w:val="4C4F56E5"/>
    <w:rsid w:val="4C50D5B1"/>
    <w:rsid w:val="4C58CAA7"/>
    <w:rsid w:val="4C5E10E4"/>
    <w:rsid w:val="4C5E4B6E"/>
    <w:rsid w:val="4C60A4A2"/>
    <w:rsid w:val="4C62FB1E"/>
    <w:rsid w:val="4C637411"/>
    <w:rsid w:val="4C658ECA"/>
    <w:rsid w:val="4C65CAE3"/>
    <w:rsid w:val="4C65D469"/>
    <w:rsid w:val="4C665EA4"/>
    <w:rsid w:val="4C696034"/>
    <w:rsid w:val="4C6A1C0C"/>
    <w:rsid w:val="4C6BD2B2"/>
    <w:rsid w:val="4C716BB1"/>
    <w:rsid w:val="4C7267A2"/>
    <w:rsid w:val="4C7400BA"/>
    <w:rsid w:val="4C7A4BF0"/>
    <w:rsid w:val="4C7AC9CB"/>
    <w:rsid w:val="4C7C720F"/>
    <w:rsid w:val="4C7CAA12"/>
    <w:rsid w:val="4C7CD504"/>
    <w:rsid w:val="4C7CEF2E"/>
    <w:rsid w:val="4C7D0B4C"/>
    <w:rsid w:val="4C7D3161"/>
    <w:rsid w:val="4C7F4E46"/>
    <w:rsid w:val="4C829711"/>
    <w:rsid w:val="4C82D1A7"/>
    <w:rsid w:val="4C8C9587"/>
    <w:rsid w:val="4C8EF223"/>
    <w:rsid w:val="4C8FE0BE"/>
    <w:rsid w:val="4C939FD1"/>
    <w:rsid w:val="4C947E06"/>
    <w:rsid w:val="4C94C4F1"/>
    <w:rsid w:val="4C957F1B"/>
    <w:rsid w:val="4C98540D"/>
    <w:rsid w:val="4C989E47"/>
    <w:rsid w:val="4C9A6C4E"/>
    <w:rsid w:val="4C9D6EAE"/>
    <w:rsid w:val="4C9D96BE"/>
    <w:rsid w:val="4C9E3296"/>
    <w:rsid w:val="4CA01D4B"/>
    <w:rsid w:val="4CA22681"/>
    <w:rsid w:val="4CA346EF"/>
    <w:rsid w:val="4CA4CC8E"/>
    <w:rsid w:val="4CA7F44B"/>
    <w:rsid w:val="4CAA30C4"/>
    <w:rsid w:val="4CAAA493"/>
    <w:rsid w:val="4CAAC5C7"/>
    <w:rsid w:val="4CAAEA33"/>
    <w:rsid w:val="4CAF4E86"/>
    <w:rsid w:val="4CB487DB"/>
    <w:rsid w:val="4CB5A31E"/>
    <w:rsid w:val="4CB97228"/>
    <w:rsid w:val="4CBB62F0"/>
    <w:rsid w:val="4CBD5DAF"/>
    <w:rsid w:val="4CBD8555"/>
    <w:rsid w:val="4CBDA91A"/>
    <w:rsid w:val="4CBF1B0A"/>
    <w:rsid w:val="4CC0E7F8"/>
    <w:rsid w:val="4CC23001"/>
    <w:rsid w:val="4CC242F2"/>
    <w:rsid w:val="4CC6DE31"/>
    <w:rsid w:val="4CC7A3B2"/>
    <w:rsid w:val="4CCCEBFB"/>
    <w:rsid w:val="4CCD996A"/>
    <w:rsid w:val="4CD97A09"/>
    <w:rsid w:val="4CDA1C4D"/>
    <w:rsid w:val="4CDBE63E"/>
    <w:rsid w:val="4CDE480D"/>
    <w:rsid w:val="4CE5380D"/>
    <w:rsid w:val="4CEBFD68"/>
    <w:rsid w:val="4CEC5026"/>
    <w:rsid w:val="4CEC9466"/>
    <w:rsid w:val="4CED5183"/>
    <w:rsid w:val="4CEDB598"/>
    <w:rsid w:val="4CF14FB2"/>
    <w:rsid w:val="4CF19191"/>
    <w:rsid w:val="4CF1CEBB"/>
    <w:rsid w:val="4CF3BD81"/>
    <w:rsid w:val="4CF45566"/>
    <w:rsid w:val="4CF643D2"/>
    <w:rsid w:val="4CF8400D"/>
    <w:rsid w:val="4CF850E8"/>
    <w:rsid w:val="4CFC7934"/>
    <w:rsid w:val="4CFC7E80"/>
    <w:rsid w:val="4CFCE616"/>
    <w:rsid w:val="4CFD4302"/>
    <w:rsid w:val="4CFE91E0"/>
    <w:rsid w:val="4D0433A3"/>
    <w:rsid w:val="4D04FDF4"/>
    <w:rsid w:val="4D05B127"/>
    <w:rsid w:val="4D07FCCA"/>
    <w:rsid w:val="4D0A7077"/>
    <w:rsid w:val="4D0ABA04"/>
    <w:rsid w:val="4D0AC991"/>
    <w:rsid w:val="4D0C7678"/>
    <w:rsid w:val="4D0CE9D8"/>
    <w:rsid w:val="4D0E38E1"/>
    <w:rsid w:val="4D0E49F5"/>
    <w:rsid w:val="4D0EE8A0"/>
    <w:rsid w:val="4D10D55E"/>
    <w:rsid w:val="4D126DEA"/>
    <w:rsid w:val="4D158757"/>
    <w:rsid w:val="4D16FF40"/>
    <w:rsid w:val="4D1908B1"/>
    <w:rsid w:val="4D1DAE3B"/>
    <w:rsid w:val="4D1F8927"/>
    <w:rsid w:val="4D239E5E"/>
    <w:rsid w:val="4D24F690"/>
    <w:rsid w:val="4D278135"/>
    <w:rsid w:val="4D27ED63"/>
    <w:rsid w:val="4D2974D5"/>
    <w:rsid w:val="4D2AD43E"/>
    <w:rsid w:val="4D2AE27B"/>
    <w:rsid w:val="4D2BEAB3"/>
    <w:rsid w:val="4D2D3FE3"/>
    <w:rsid w:val="4D2D64A8"/>
    <w:rsid w:val="4D2D6BB5"/>
    <w:rsid w:val="4D30B497"/>
    <w:rsid w:val="4D30C05D"/>
    <w:rsid w:val="4D30D14F"/>
    <w:rsid w:val="4D329B57"/>
    <w:rsid w:val="4D33C60B"/>
    <w:rsid w:val="4D359353"/>
    <w:rsid w:val="4D374723"/>
    <w:rsid w:val="4D381E29"/>
    <w:rsid w:val="4D39664A"/>
    <w:rsid w:val="4D3C6DBF"/>
    <w:rsid w:val="4D3D0133"/>
    <w:rsid w:val="4D3DF818"/>
    <w:rsid w:val="4D3F9DF7"/>
    <w:rsid w:val="4D3FC516"/>
    <w:rsid w:val="4D4043D6"/>
    <w:rsid w:val="4D4414F6"/>
    <w:rsid w:val="4D4710BA"/>
    <w:rsid w:val="4D48C9CA"/>
    <w:rsid w:val="4D494644"/>
    <w:rsid w:val="4D4BA0B4"/>
    <w:rsid w:val="4D4C7A1D"/>
    <w:rsid w:val="4D4F6501"/>
    <w:rsid w:val="4D52ACA5"/>
    <w:rsid w:val="4D550428"/>
    <w:rsid w:val="4D561211"/>
    <w:rsid w:val="4D58C7ED"/>
    <w:rsid w:val="4D5A0376"/>
    <w:rsid w:val="4D5C34CC"/>
    <w:rsid w:val="4D5C4DB7"/>
    <w:rsid w:val="4D5D7662"/>
    <w:rsid w:val="4D5D77CA"/>
    <w:rsid w:val="4D5F307B"/>
    <w:rsid w:val="4D60BF87"/>
    <w:rsid w:val="4D61A580"/>
    <w:rsid w:val="4D66DCAB"/>
    <w:rsid w:val="4D6860AC"/>
    <w:rsid w:val="4D6B2A59"/>
    <w:rsid w:val="4D6C979D"/>
    <w:rsid w:val="4D6D53C1"/>
    <w:rsid w:val="4D6D9F6D"/>
    <w:rsid w:val="4D75E7D5"/>
    <w:rsid w:val="4D788796"/>
    <w:rsid w:val="4D791FE1"/>
    <w:rsid w:val="4D7D36C3"/>
    <w:rsid w:val="4D7D3F9D"/>
    <w:rsid w:val="4D7E4C3D"/>
    <w:rsid w:val="4D7F524D"/>
    <w:rsid w:val="4D8149BB"/>
    <w:rsid w:val="4D81819C"/>
    <w:rsid w:val="4D81CF3A"/>
    <w:rsid w:val="4D8416CD"/>
    <w:rsid w:val="4D868BFD"/>
    <w:rsid w:val="4D888B10"/>
    <w:rsid w:val="4D89E50F"/>
    <w:rsid w:val="4D8A2361"/>
    <w:rsid w:val="4D8D5CB1"/>
    <w:rsid w:val="4D8E38CF"/>
    <w:rsid w:val="4D8F29FF"/>
    <w:rsid w:val="4D901CC2"/>
    <w:rsid w:val="4D904D45"/>
    <w:rsid w:val="4D92C199"/>
    <w:rsid w:val="4D932A62"/>
    <w:rsid w:val="4D93385D"/>
    <w:rsid w:val="4D93D46F"/>
    <w:rsid w:val="4D942AB5"/>
    <w:rsid w:val="4D9C5310"/>
    <w:rsid w:val="4D9D74D3"/>
    <w:rsid w:val="4D9E6E3E"/>
    <w:rsid w:val="4DA0DD91"/>
    <w:rsid w:val="4DA13725"/>
    <w:rsid w:val="4DA5FDFD"/>
    <w:rsid w:val="4DA6BE89"/>
    <w:rsid w:val="4DAD282B"/>
    <w:rsid w:val="4DAE478F"/>
    <w:rsid w:val="4DB1D6BE"/>
    <w:rsid w:val="4DB1F169"/>
    <w:rsid w:val="4DB2905D"/>
    <w:rsid w:val="4DB2A977"/>
    <w:rsid w:val="4DB6FEFF"/>
    <w:rsid w:val="4DB73B86"/>
    <w:rsid w:val="4DB7E723"/>
    <w:rsid w:val="4DB90E5B"/>
    <w:rsid w:val="4DBC8BE6"/>
    <w:rsid w:val="4DBED4A6"/>
    <w:rsid w:val="4DC0F980"/>
    <w:rsid w:val="4DC1113E"/>
    <w:rsid w:val="4DC3DD91"/>
    <w:rsid w:val="4DC43460"/>
    <w:rsid w:val="4DC4B9AA"/>
    <w:rsid w:val="4DC5288C"/>
    <w:rsid w:val="4DC66504"/>
    <w:rsid w:val="4DCC413D"/>
    <w:rsid w:val="4DD0E2C8"/>
    <w:rsid w:val="4DD1E336"/>
    <w:rsid w:val="4DD4AC71"/>
    <w:rsid w:val="4DD53CB0"/>
    <w:rsid w:val="4DD643FD"/>
    <w:rsid w:val="4DD650E0"/>
    <w:rsid w:val="4DD6B55C"/>
    <w:rsid w:val="4DDD623E"/>
    <w:rsid w:val="4DDDC185"/>
    <w:rsid w:val="4DE04804"/>
    <w:rsid w:val="4DE2B68B"/>
    <w:rsid w:val="4DE3E4F7"/>
    <w:rsid w:val="4DE56ED7"/>
    <w:rsid w:val="4DE70D5A"/>
    <w:rsid w:val="4DEBB0A1"/>
    <w:rsid w:val="4DF1E568"/>
    <w:rsid w:val="4DF7F4EF"/>
    <w:rsid w:val="4DF8E7D2"/>
    <w:rsid w:val="4DFB6CC3"/>
    <w:rsid w:val="4DFB8739"/>
    <w:rsid w:val="4DFDFFC7"/>
    <w:rsid w:val="4DFED29D"/>
    <w:rsid w:val="4DFF4392"/>
    <w:rsid w:val="4E04203D"/>
    <w:rsid w:val="4E04D271"/>
    <w:rsid w:val="4E09734E"/>
    <w:rsid w:val="4E0B83C7"/>
    <w:rsid w:val="4E1149BD"/>
    <w:rsid w:val="4E11D158"/>
    <w:rsid w:val="4E12A538"/>
    <w:rsid w:val="4E14C40C"/>
    <w:rsid w:val="4E15731E"/>
    <w:rsid w:val="4E17F7DD"/>
    <w:rsid w:val="4E1856AF"/>
    <w:rsid w:val="4E1B3C0A"/>
    <w:rsid w:val="4E1BBD1A"/>
    <w:rsid w:val="4E221CB5"/>
    <w:rsid w:val="4E224DF4"/>
    <w:rsid w:val="4E245FD9"/>
    <w:rsid w:val="4E25046C"/>
    <w:rsid w:val="4E264304"/>
    <w:rsid w:val="4E27329B"/>
    <w:rsid w:val="4E295D88"/>
    <w:rsid w:val="4E2B5506"/>
    <w:rsid w:val="4E2C41EB"/>
    <w:rsid w:val="4E2CE7AF"/>
    <w:rsid w:val="4E2D8E1F"/>
    <w:rsid w:val="4E308991"/>
    <w:rsid w:val="4E30B964"/>
    <w:rsid w:val="4E358F16"/>
    <w:rsid w:val="4E35C226"/>
    <w:rsid w:val="4E3636C1"/>
    <w:rsid w:val="4E37CD2A"/>
    <w:rsid w:val="4E380911"/>
    <w:rsid w:val="4E3A8594"/>
    <w:rsid w:val="4E3C68B7"/>
    <w:rsid w:val="4E3D9E81"/>
    <w:rsid w:val="4E3E1678"/>
    <w:rsid w:val="4E41609B"/>
    <w:rsid w:val="4E4274CB"/>
    <w:rsid w:val="4E42801B"/>
    <w:rsid w:val="4E4505ED"/>
    <w:rsid w:val="4E49618A"/>
    <w:rsid w:val="4E4AF927"/>
    <w:rsid w:val="4E4D83A5"/>
    <w:rsid w:val="4E4DC8BC"/>
    <w:rsid w:val="4E4E7047"/>
    <w:rsid w:val="4E518ED0"/>
    <w:rsid w:val="4E5432E8"/>
    <w:rsid w:val="4E5461DB"/>
    <w:rsid w:val="4E59AE47"/>
    <w:rsid w:val="4E5D342F"/>
    <w:rsid w:val="4E65CED2"/>
    <w:rsid w:val="4E67FC56"/>
    <w:rsid w:val="4E696CF4"/>
    <w:rsid w:val="4E6ABE0A"/>
    <w:rsid w:val="4E6AC2BD"/>
    <w:rsid w:val="4E6DDA70"/>
    <w:rsid w:val="4E70198D"/>
    <w:rsid w:val="4E7443E0"/>
    <w:rsid w:val="4E74955C"/>
    <w:rsid w:val="4E76614B"/>
    <w:rsid w:val="4E76EA1A"/>
    <w:rsid w:val="4E7842AA"/>
    <w:rsid w:val="4E7A2814"/>
    <w:rsid w:val="4E7D8ED1"/>
    <w:rsid w:val="4E7E8F4E"/>
    <w:rsid w:val="4E7FE010"/>
    <w:rsid w:val="4E7FFD68"/>
    <w:rsid w:val="4E805E4B"/>
    <w:rsid w:val="4E83949F"/>
    <w:rsid w:val="4E87B3FF"/>
    <w:rsid w:val="4E89111D"/>
    <w:rsid w:val="4E8A6514"/>
    <w:rsid w:val="4E8B7238"/>
    <w:rsid w:val="4E8E138E"/>
    <w:rsid w:val="4E8ED333"/>
    <w:rsid w:val="4E8F8433"/>
    <w:rsid w:val="4E949672"/>
    <w:rsid w:val="4E99226B"/>
    <w:rsid w:val="4E99C721"/>
    <w:rsid w:val="4E9A8391"/>
    <w:rsid w:val="4E9D3175"/>
    <w:rsid w:val="4E9D4FEC"/>
    <w:rsid w:val="4E9DCD2E"/>
    <w:rsid w:val="4E9E783E"/>
    <w:rsid w:val="4EA1B161"/>
    <w:rsid w:val="4EA68B5C"/>
    <w:rsid w:val="4EACF16E"/>
    <w:rsid w:val="4EAF6C68"/>
    <w:rsid w:val="4EB65E72"/>
    <w:rsid w:val="4EB930BD"/>
    <w:rsid w:val="4EBA6045"/>
    <w:rsid w:val="4EBE6F5B"/>
    <w:rsid w:val="4EBF355E"/>
    <w:rsid w:val="4EC2678D"/>
    <w:rsid w:val="4EC2CE69"/>
    <w:rsid w:val="4EC5A967"/>
    <w:rsid w:val="4EC75234"/>
    <w:rsid w:val="4EC89C8B"/>
    <w:rsid w:val="4EC9A84E"/>
    <w:rsid w:val="4ECA7A41"/>
    <w:rsid w:val="4ECDF473"/>
    <w:rsid w:val="4ECE2170"/>
    <w:rsid w:val="4ECE8716"/>
    <w:rsid w:val="4ECEAE0E"/>
    <w:rsid w:val="4ED05CBD"/>
    <w:rsid w:val="4ED354F5"/>
    <w:rsid w:val="4ED63BF4"/>
    <w:rsid w:val="4EDA40D9"/>
    <w:rsid w:val="4EDCE6C1"/>
    <w:rsid w:val="4EDD05AF"/>
    <w:rsid w:val="4EDF5D21"/>
    <w:rsid w:val="4EE0F967"/>
    <w:rsid w:val="4EE4372C"/>
    <w:rsid w:val="4EE4A071"/>
    <w:rsid w:val="4EE6B4F7"/>
    <w:rsid w:val="4EE74F94"/>
    <w:rsid w:val="4EE75507"/>
    <w:rsid w:val="4EEA35CC"/>
    <w:rsid w:val="4EEA4661"/>
    <w:rsid w:val="4EEB5787"/>
    <w:rsid w:val="4EECB588"/>
    <w:rsid w:val="4EEE3143"/>
    <w:rsid w:val="4EEE7B9B"/>
    <w:rsid w:val="4EEFA05F"/>
    <w:rsid w:val="4EEFBBAE"/>
    <w:rsid w:val="4EEFEA49"/>
    <w:rsid w:val="4EF1B6A3"/>
    <w:rsid w:val="4EF2521A"/>
    <w:rsid w:val="4EF2C7A8"/>
    <w:rsid w:val="4EF40218"/>
    <w:rsid w:val="4EF41F51"/>
    <w:rsid w:val="4EF614F9"/>
    <w:rsid w:val="4EF663C3"/>
    <w:rsid w:val="4EF7780A"/>
    <w:rsid w:val="4EF7CDDC"/>
    <w:rsid w:val="4EFAA5DF"/>
    <w:rsid w:val="4EFEB46C"/>
    <w:rsid w:val="4EFECD5D"/>
    <w:rsid w:val="4F092B1B"/>
    <w:rsid w:val="4F094CED"/>
    <w:rsid w:val="4F0A73B3"/>
    <w:rsid w:val="4F0BC8AA"/>
    <w:rsid w:val="4F0D6330"/>
    <w:rsid w:val="4F0D6D62"/>
    <w:rsid w:val="4F0DB34F"/>
    <w:rsid w:val="4F0E877E"/>
    <w:rsid w:val="4F118E3A"/>
    <w:rsid w:val="4F142C31"/>
    <w:rsid w:val="4F1A9122"/>
    <w:rsid w:val="4F1E04CB"/>
    <w:rsid w:val="4F1F6C84"/>
    <w:rsid w:val="4F1FF43C"/>
    <w:rsid w:val="4F207E37"/>
    <w:rsid w:val="4F20D38E"/>
    <w:rsid w:val="4F21F3D9"/>
    <w:rsid w:val="4F2384DE"/>
    <w:rsid w:val="4F2728C6"/>
    <w:rsid w:val="4F27A971"/>
    <w:rsid w:val="4F28DBA6"/>
    <w:rsid w:val="4F296718"/>
    <w:rsid w:val="4F2978B4"/>
    <w:rsid w:val="4F29B132"/>
    <w:rsid w:val="4F2BB891"/>
    <w:rsid w:val="4F2D4B2B"/>
    <w:rsid w:val="4F2DA8BE"/>
    <w:rsid w:val="4F300D0E"/>
    <w:rsid w:val="4F302A1C"/>
    <w:rsid w:val="4F309B62"/>
    <w:rsid w:val="4F343744"/>
    <w:rsid w:val="4F35B22B"/>
    <w:rsid w:val="4F35C2AB"/>
    <w:rsid w:val="4F361EF8"/>
    <w:rsid w:val="4F38F1BA"/>
    <w:rsid w:val="4F3C34F0"/>
    <w:rsid w:val="4F3C7ED9"/>
    <w:rsid w:val="4F3C8F68"/>
    <w:rsid w:val="4F3CCDE2"/>
    <w:rsid w:val="4F3CFBB7"/>
    <w:rsid w:val="4F4018AB"/>
    <w:rsid w:val="4F4070ED"/>
    <w:rsid w:val="4F410929"/>
    <w:rsid w:val="4F41B055"/>
    <w:rsid w:val="4F44416A"/>
    <w:rsid w:val="4F45304B"/>
    <w:rsid w:val="4F45C869"/>
    <w:rsid w:val="4F46A486"/>
    <w:rsid w:val="4F4848CE"/>
    <w:rsid w:val="4F48FDDD"/>
    <w:rsid w:val="4F49E65D"/>
    <w:rsid w:val="4F4B9152"/>
    <w:rsid w:val="4F520BB5"/>
    <w:rsid w:val="4F5751B1"/>
    <w:rsid w:val="4F5990CB"/>
    <w:rsid w:val="4F5A28F4"/>
    <w:rsid w:val="4F5E33BF"/>
    <w:rsid w:val="4F5FDE71"/>
    <w:rsid w:val="4F601C04"/>
    <w:rsid w:val="4F6603CD"/>
    <w:rsid w:val="4F66A31E"/>
    <w:rsid w:val="4F6B1CF1"/>
    <w:rsid w:val="4F6CB6A9"/>
    <w:rsid w:val="4F6D7EB8"/>
    <w:rsid w:val="4F70536E"/>
    <w:rsid w:val="4F720585"/>
    <w:rsid w:val="4F7243BD"/>
    <w:rsid w:val="4F76CF5A"/>
    <w:rsid w:val="4F77CDBA"/>
    <w:rsid w:val="4F7DF005"/>
    <w:rsid w:val="4F824CCE"/>
    <w:rsid w:val="4F82A61B"/>
    <w:rsid w:val="4F83481B"/>
    <w:rsid w:val="4F83FC5D"/>
    <w:rsid w:val="4F8707C2"/>
    <w:rsid w:val="4F89A478"/>
    <w:rsid w:val="4F8C58F9"/>
    <w:rsid w:val="4F90E92D"/>
    <w:rsid w:val="4F915C3E"/>
    <w:rsid w:val="4F928421"/>
    <w:rsid w:val="4F92A880"/>
    <w:rsid w:val="4F935076"/>
    <w:rsid w:val="4F9780C1"/>
    <w:rsid w:val="4F9ACFFE"/>
    <w:rsid w:val="4F9AE7B6"/>
    <w:rsid w:val="4F9C8752"/>
    <w:rsid w:val="4F9CA9CD"/>
    <w:rsid w:val="4F9CEE35"/>
    <w:rsid w:val="4FA1A6F2"/>
    <w:rsid w:val="4FA1D3E8"/>
    <w:rsid w:val="4FA4740D"/>
    <w:rsid w:val="4FA634C3"/>
    <w:rsid w:val="4FA6BCB0"/>
    <w:rsid w:val="4FA75A14"/>
    <w:rsid w:val="4FA76917"/>
    <w:rsid w:val="4FA82C58"/>
    <w:rsid w:val="4FA86DA0"/>
    <w:rsid w:val="4FAAAA6E"/>
    <w:rsid w:val="4FADC85A"/>
    <w:rsid w:val="4FADCADB"/>
    <w:rsid w:val="4FB082C1"/>
    <w:rsid w:val="4FB0D58F"/>
    <w:rsid w:val="4FB1FAE9"/>
    <w:rsid w:val="4FB28C52"/>
    <w:rsid w:val="4FB6114F"/>
    <w:rsid w:val="4FB91EC1"/>
    <w:rsid w:val="4FBC0456"/>
    <w:rsid w:val="4FBECF44"/>
    <w:rsid w:val="4FC01026"/>
    <w:rsid w:val="4FC30F92"/>
    <w:rsid w:val="4FC37785"/>
    <w:rsid w:val="4FC4FEE1"/>
    <w:rsid w:val="4FC628F9"/>
    <w:rsid w:val="4FC8BF55"/>
    <w:rsid w:val="4FC96DE8"/>
    <w:rsid w:val="4FCA19D1"/>
    <w:rsid w:val="4FCD7207"/>
    <w:rsid w:val="4FD5A5A4"/>
    <w:rsid w:val="4FD67D93"/>
    <w:rsid w:val="4FD6FC2F"/>
    <w:rsid w:val="4FD7158A"/>
    <w:rsid w:val="4FD8E324"/>
    <w:rsid w:val="4FD9D261"/>
    <w:rsid w:val="4FDE6367"/>
    <w:rsid w:val="4FE0351C"/>
    <w:rsid w:val="4FE0434D"/>
    <w:rsid w:val="4FE14B9D"/>
    <w:rsid w:val="4FE15B19"/>
    <w:rsid w:val="4FE15B87"/>
    <w:rsid w:val="4FE41591"/>
    <w:rsid w:val="4FE4585D"/>
    <w:rsid w:val="4FE46280"/>
    <w:rsid w:val="4FE7A3B0"/>
    <w:rsid w:val="4FE7D5B0"/>
    <w:rsid w:val="4FE8308F"/>
    <w:rsid w:val="4FE9DEBF"/>
    <w:rsid w:val="4FEA7579"/>
    <w:rsid w:val="4FEA8B26"/>
    <w:rsid w:val="4FEB170A"/>
    <w:rsid w:val="4FEC02D7"/>
    <w:rsid w:val="4FEC5BEE"/>
    <w:rsid w:val="4FEC7CA8"/>
    <w:rsid w:val="4FED7F64"/>
    <w:rsid w:val="4FEFAD25"/>
    <w:rsid w:val="4FEFC59E"/>
    <w:rsid w:val="4FF0D86A"/>
    <w:rsid w:val="4FF133DC"/>
    <w:rsid w:val="4FF1A3EF"/>
    <w:rsid w:val="4FF1AAC6"/>
    <w:rsid w:val="4FF315A9"/>
    <w:rsid w:val="4FF40A67"/>
    <w:rsid w:val="4FFA0A97"/>
    <w:rsid w:val="4FFBAC6F"/>
    <w:rsid w:val="50005A51"/>
    <w:rsid w:val="50062057"/>
    <w:rsid w:val="50065E36"/>
    <w:rsid w:val="5008D9CE"/>
    <w:rsid w:val="500A85E7"/>
    <w:rsid w:val="500DC045"/>
    <w:rsid w:val="500E51E8"/>
    <w:rsid w:val="500FBA0E"/>
    <w:rsid w:val="5011AE11"/>
    <w:rsid w:val="5013374F"/>
    <w:rsid w:val="501456CB"/>
    <w:rsid w:val="5015F8AF"/>
    <w:rsid w:val="501A7FDB"/>
    <w:rsid w:val="501B5123"/>
    <w:rsid w:val="501C1669"/>
    <w:rsid w:val="501E28AF"/>
    <w:rsid w:val="501E2CE6"/>
    <w:rsid w:val="501F36D5"/>
    <w:rsid w:val="5025810F"/>
    <w:rsid w:val="5025FE0B"/>
    <w:rsid w:val="50269B5A"/>
    <w:rsid w:val="50282CF0"/>
    <w:rsid w:val="502B87C3"/>
    <w:rsid w:val="502D7482"/>
    <w:rsid w:val="502EED93"/>
    <w:rsid w:val="502F9D96"/>
    <w:rsid w:val="502FDCA4"/>
    <w:rsid w:val="5030AFF7"/>
    <w:rsid w:val="5031FDBE"/>
    <w:rsid w:val="5033020E"/>
    <w:rsid w:val="5033F07D"/>
    <w:rsid w:val="50345013"/>
    <w:rsid w:val="5037A8CF"/>
    <w:rsid w:val="5038C103"/>
    <w:rsid w:val="503AE225"/>
    <w:rsid w:val="503C4010"/>
    <w:rsid w:val="503EDCB4"/>
    <w:rsid w:val="5041C976"/>
    <w:rsid w:val="5042E1AC"/>
    <w:rsid w:val="5044CCAB"/>
    <w:rsid w:val="50479623"/>
    <w:rsid w:val="50479A11"/>
    <w:rsid w:val="504CFE5B"/>
    <w:rsid w:val="504E76E6"/>
    <w:rsid w:val="505018EC"/>
    <w:rsid w:val="50510C32"/>
    <w:rsid w:val="5051389D"/>
    <w:rsid w:val="50513D0D"/>
    <w:rsid w:val="5053BE75"/>
    <w:rsid w:val="5056F0F8"/>
    <w:rsid w:val="5057A239"/>
    <w:rsid w:val="505C626C"/>
    <w:rsid w:val="505D9624"/>
    <w:rsid w:val="505F4C20"/>
    <w:rsid w:val="50603CEA"/>
    <w:rsid w:val="5060477A"/>
    <w:rsid w:val="50608217"/>
    <w:rsid w:val="50629223"/>
    <w:rsid w:val="506360F8"/>
    <w:rsid w:val="5064564F"/>
    <w:rsid w:val="5064C5E8"/>
    <w:rsid w:val="5066B90A"/>
    <w:rsid w:val="506A32AA"/>
    <w:rsid w:val="506C287C"/>
    <w:rsid w:val="5073C6E4"/>
    <w:rsid w:val="50762D10"/>
    <w:rsid w:val="5078FDB2"/>
    <w:rsid w:val="507DD863"/>
    <w:rsid w:val="5081493B"/>
    <w:rsid w:val="508340FF"/>
    <w:rsid w:val="5085034A"/>
    <w:rsid w:val="50856DE0"/>
    <w:rsid w:val="5086CB2A"/>
    <w:rsid w:val="50884326"/>
    <w:rsid w:val="50894372"/>
    <w:rsid w:val="5089F56A"/>
    <w:rsid w:val="5089F888"/>
    <w:rsid w:val="508E0FA1"/>
    <w:rsid w:val="508F81B1"/>
    <w:rsid w:val="5090FFE5"/>
    <w:rsid w:val="5091A027"/>
    <w:rsid w:val="50950A53"/>
    <w:rsid w:val="509528FA"/>
    <w:rsid w:val="509703D0"/>
    <w:rsid w:val="5098558C"/>
    <w:rsid w:val="50992860"/>
    <w:rsid w:val="509B498D"/>
    <w:rsid w:val="509B85BB"/>
    <w:rsid w:val="509DA406"/>
    <w:rsid w:val="509E21DD"/>
    <w:rsid w:val="509EE11D"/>
    <w:rsid w:val="50A32FE8"/>
    <w:rsid w:val="50A49695"/>
    <w:rsid w:val="50A5630A"/>
    <w:rsid w:val="50A927F2"/>
    <w:rsid w:val="50A9AF82"/>
    <w:rsid w:val="50A9C2EC"/>
    <w:rsid w:val="50AAF48A"/>
    <w:rsid w:val="50ABE5D3"/>
    <w:rsid w:val="50ACB130"/>
    <w:rsid w:val="50AE29F4"/>
    <w:rsid w:val="50AE6A5A"/>
    <w:rsid w:val="50AEE694"/>
    <w:rsid w:val="50AF187F"/>
    <w:rsid w:val="50AF28C6"/>
    <w:rsid w:val="50B19944"/>
    <w:rsid w:val="50B1B6F0"/>
    <w:rsid w:val="50B52C68"/>
    <w:rsid w:val="50B6A7DE"/>
    <w:rsid w:val="50B7582C"/>
    <w:rsid w:val="50BA0B56"/>
    <w:rsid w:val="50BC331D"/>
    <w:rsid w:val="50BD0E69"/>
    <w:rsid w:val="50BDBDE0"/>
    <w:rsid w:val="50C267BB"/>
    <w:rsid w:val="50C3B7AB"/>
    <w:rsid w:val="50CA829A"/>
    <w:rsid w:val="50CAF362"/>
    <w:rsid w:val="50CE1507"/>
    <w:rsid w:val="50D020D7"/>
    <w:rsid w:val="50D0B589"/>
    <w:rsid w:val="50D2F3EC"/>
    <w:rsid w:val="50D36465"/>
    <w:rsid w:val="50D7BE9B"/>
    <w:rsid w:val="50DB87AF"/>
    <w:rsid w:val="50DC1911"/>
    <w:rsid w:val="50DD6860"/>
    <w:rsid w:val="50DF67B1"/>
    <w:rsid w:val="50E05010"/>
    <w:rsid w:val="50E36903"/>
    <w:rsid w:val="50E531DA"/>
    <w:rsid w:val="50E709F9"/>
    <w:rsid w:val="50EACFFB"/>
    <w:rsid w:val="50ED1F60"/>
    <w:rsid w:val="50EE24B4"/>
    <w:rsid w:val="50F306BE"/>
    <w:rsid w:val="50F409C1"/>
    <w:rsid w:val="50F80968"/>
    <w:rsid w:val="50F89BF4"/>
    <w:rsid w:val="50FD5DEC"/>
    <w:rsid w:val="50FF9836"/>
    <w:rsid w:val="51027D8A"/>
    <w:rsid w:val="5102E7FC"/>
    <w:rsid w:val="51032A22"/>
    <w:rsid w:val="5106633B"/>
    <w:rsid w:val="51067241"/>
    <w:rsid w:val="5106BF1D"/>
    <w:rsid w:val="5106E378"/>
    <w:rsid w:val="5106FA83"/>
    <w:rsid w:val="510887B0"/>
    <w:rsid w:val="5109D3B6"/>
    <w:rsid w:val="510C5868"/>
    <w:rsid w:val="510CB1A8"/>
    <w:rsid w:val="510DD77F"/>
    <w:rsid w:val="51113755"/>
    <w:rsid w:val="5112CCA7"/>
    <w:rsid w:val="5114517B"/>
    <w:rsid w:val="5114C757"/>
    <w:rsid w:val="51174A6F"/>
    <w:rsid w:val="5117F60D"/>
    <w:rsid w:val="51187288"/>
    <w:rsid w:val="51198E57"/>
    <w:rsid w:val="5119F050"/>
    <w:rsid w:val="511B264F"/>
    <w:rsid w:val="511F0EA6"/>
    <w:rsid w:val="511F2484"/>
    <w:rsid w:val="5120E845"/>
    <w:rsid w:val="51215DA1"/>
    <w:rsid w:val="512491D2"/>
    <w:rsid w:val="512C3CA7"/>
    <w:rsid w:val="512CD42F"/>
    <w:rsid w:val="512E8BC8"/>
    <w:rsid w:val="512F9801"/>
    <w:rsid w:val="51323ECE"/>
    <w:rsid w:val="5134E6DD"/>
    <w:rsid w:val="513DAA67"/>
    <w:rsid w:val="513F65C1"/>
    <w:rsid w:val="513F7D00"/>
    <w:rsid w:val="513F90E7"/>
    <w:rsid w:val="51427C20"/>
    <w:rsid w:val="514466BA"/>
    <w:rsid w:val="5145D4F0"/>
    <w:rsid w:val="51485FDC"/>
    <w:rsid w:val="51495CBD"/>
    <w:rsid w:val="514A8752"/>
    <w:rsid w:val="514C08B3"/>
    <w:rsid w:val="514CE8ED"/>
    <w:rsid w:val="514CFC3E"/>
    <w:rsid w:val="515062BF"/>
    <w:rsid w:val="51518073"/>
    <w:rsid w:val="51545731"/>
    <w:rsid w:val="5155E84C"/>
    <w:rsid w:val="5155FB72"/>
    <w:rsid w:val="5158E412"/>
    <w:rsid w:val="51599D5A"/>
    <w:rsid w:val="515A1B7D"/>
    <w:rsid w:val="515A5776"/>
    <w:rsid w:val="515B4323"/>
    <w:rsid w:val="515DB20B"/>
    <w:rsid w:val="516314D5"/>
    <w:rsid w:val="51671BA8"/>
    <w:rsid w:val="5167D7DE"/>
    <w:rsid w:val="516CD2EF"/>
    <w:rsid w:val="5171EFB2"/>
    <w:rsid w:val="5173396A"/>
    <w:rsid w:val="5173D2C9"/>
    <w:rsid w:val="5174F7BB"/>
    <w:rsid w:val="5176F716"/>
    <w:rsid w:val="517711B8"/>
    <w:rsid w:val="5179C87E"/>
    <w:rsid w:val="517CC2EE"/>
    <w:rsid w:val="517D988F"/>
    <w:rsid w:val="517E2E4B"/>
    <w:rsid w:val="5180E544"/>
    <w:rsid w:val="518236D8"/>
    <w:rsid w:val="51833595"/>
    <w:rsid w:val="5184426B"/>
    <w:rsid w:val="518456C8"/>
    <w:rsid w:val="51863C82"/>
    <w:rsid w:val="5186ADD7"/>
    <w:rsid w:val="5186C32E"/>
    <w:rsid w:val="51894C5A"/>
    <w:rsid w:val="518C5ECF"/>
    <w:rsid w:val="518CDE4D"/>
    <w:rsid w:val="518D0BBF"/>
    <w:rsid w:val="518DF510"/>
    <w:rsid w:val="519113BC"/>
    <w:rsid w:val="5193CB50"/>
    <w:rsid w:val="51968C9A"/>
    <w:rsid w:val="519B0CFA"/>
    <w:rsid w:val="519BB8A5"/>
    <w:rsid w:val="519CF8DD"/>
    <w:rsid w:val="519E4DD3"/>
    <w:rsid w:val="519F028A"/>
    <w:rsid w:val="51A26DA6"/>
    <w:rsid w:val="51A30B19"/>
    <w:rsid w:val="51A3F33E"/>
    <w:rsid w:val="51A57E27"/>
    <w:rsid w:val="51A6371D"/>
    <w:rsid w:val="51A6FD87"/>
    <w:rsid w:val="51A7A5AB"/>
    <w:rsid w:val="51A82A74"/>
    <w:rsid w:val="51A8BF1E"/>
    <w:rsid w:val="51AA5EAA"/>
    <w:rsid w:val="51B0B5E9"/>
    <w:rsid w:val="51B1B35F"/>
    <w:rsid w:val="51B50BC8"/>
    <w:rsid w:val="51B83314"/>
    <w:rsid w:val="51B8F48F"/>
    <w:rsid w:val="51B9ED96"/>
    <w:rsid w:val="51BA55EF"/>
    <w:rsid w:val="51BA917F"/>
    <w:rsid w:val="51BE0319"/>
    <w:rsid w:val="51C2CA5C"/>
    <w:rsid w:val="51C51265"/>
    <w:rsid w:val="51C58C7C"/>
    <w:rsid w:val="51C739CF"/>
    <w:rsid w:val="51C911A9"/>
    <w:rsid w:val="51C919D6"/>
    <w:rsid w:val="51CAA541"/>
    <w:rsid w:val="51CD98EA"/>
    <w:rsid w:val="51CFD394"/>
    <w:rsid w:val="51D3C76E"/>
    <w:rsid w:val="51D52D45"/>
    <w:rsid w:val="51D655EB"/>
    <w:rsid w:val="51D8FF27"/>
    <w:rsid w:val="51D99C1A"/>
    <w:rsid w:val="51D9CF69"/>
    <w:rsid w:val="51DB7097"/>
    <w:rsid w:val="51DBA469"/>
    <w:rsid w:val="51E074F4"/>
    <w:rsid w:val="51E73D46"/>
    <w:rsid w:val="51EC2A3F"/>
    <w:rsid w:val="51EFE691"/>
    <w:rsid w:val="51F1C30F"/>
    <w:rsid w:val="51F4779E"/>
    <w:rsid w:val="51F50F5E"/>
    <w:rsid w:val="51F53638"/>
    <w:rsid w:val="51F79685"/>
    <w:rsid w:val="51F7ABF4"/>
    <w:rsid w:val="51FAFE77"/>
    <w:rsid w:val="51FB156B"/>
    <w:rsid w:val="51FC6191"/>
    <w:rsid w:val="51FEF0AA"/>
    <w:rsid w:val="51FF22E3"/>
    <w:rsid w:val="5201EE2E"/>
    <w:rsid w:val="5202CE96"/>
    <w:rsid w:val="5204218C"/>
    <w:rsid w:val="520509BC"/>
    <w:rsid w:val="5205A5CC"/>
    <w:rsid w:val="520623C4"/>
    <w:rsid w:val="5206273D"/>
    <w:rsid w:val="52097C88"/>
    <w:rsid w:val="5209DF93"/>
    <w:rsid w:val="52124263"/>
    <w:rsid w:val="5213AAE5"/>
    <w:rsid w:val="52175B58"/>
    <w:rsid w:val="5219659D"/>
    <w:rsid w:val="5221BDB0"/>
    <w:rsid w:val="5221E703"/>
    <w:rsid w:val="5224C5D4"/>
    <w:rsid w:val="5225D999"/>
    <w:rsid w:val="5227D732"/>
    <w:rsid w:val="52297180"/>
    <w:rsid w:val="522BB5D3"/>
    <w:rsid w:val="522C0DE7"/>
    <w:rsid w:val="522CF004"/>
    <w:rsid w:val="522D9153"/>
    <w:rsid w:val="522D923C"/>
    <w:rsid w:val="522ECA90"/>
    <w:rsid w:val="52312D54"/>
    <w:rsid w:val="523285C2"/>
    <w:rsid w:val="52343916"/>
    <w:rsid w:val="52361016"/>
    <w:rsid w:val="523A160F"/>
    <w:rsid w:val="523DB80C"/>
    <w:rsid w:val="52403EB1"/>
    <w:rsid w:val="52405130"/>
    <w:rsid w:val="524083A7"/>
    <w:rsid w:val="52423C72"/>
    <w:rsid w:val="5243D71C"/>
    <w:rsid w:val="5246F3B0"/>
    <w:rsid w:val="5248E5E0"/>
    <w:rsid w:val="52498C18"/>
    <w:rsid w:val="524BFCDE"/>
    <w:rsid w:val="524D6868"/>
    <w:rsid w:val="524E1DD7"/>
    <w:rsid w:val="5253B87B"/>
    <w:rsid w:val="5254A605"/>
    <w:rsid w:val="52568123"/>
    <w:rsid w:val="525E6823"/>
    <w:rsid w:val="525E8390"/>
    <w:rsid w:val="5261B458"/>
    <w:rsid w:val="5263B8BA"/>
    <w:rsid w:val="5264F313"/>
    <w:rsid w:val="52669505"/>
    <w:rsid w:val="5268C53B"/>
    <w:rsid w:val="526B14CA"/>
    <w:rsid w:val="526BAE69"/>
    <w:rsid w:val="526BED62"/>
    <w:rsid w:val="526F9A19"/>
    <w:rsid w:val="5271230C"/>
    <w:rsid w:val="52728388"/>
    <w:rsid w:val="527430BE"/>
    <w:rsid w:val="52745A08"/>
    <w:rsid w:val="52758AD5"/>
    <w:rsid w:val="52760488"/>
    <w:rsid w:val="52777E9F"/>
    <w:rsid w:val="5277CBB6"/>
    <w:rsid w:val="5277DD81"/>
    <w:rsid w:val="527ECD3B"/>
    <w:rsid w:val="52850EFD"/>
    <w:rsid w:val="52858AB6"/>
    <w:rsid w:val="5285A613"/>
    <w:rsid w:val="52866AD2"/>
    <w:rsid w:val="5286C2DF"/>
    <w:rsid w:val="5286FE7F"/>
    <w:rsid w:val="528800C1"/>
    <w:rsid w:val="52885F47"/>
    <w:rsid w:val="5289B44F"/>
    <w:rsid w:val="528B3A4F"/>
    <w:rsid w:val="528BF86C"/>
    <w:rsid w:val="528E0FFC"/>
    <w:rsid w:val="528F6DD9"/>
    <w:rsid w:val="528F8FE3"/>
    <w:rsid w:val="528FA3D1"/>
    <w:rsid w:val="5291CA4B"/>
    <w:rsid w:val="529484AE"/>
    <w:rsid w:val="5294D760"/>
    <w:rsid w:val="5295E1DF"/>
    <w:rsid w:val="5295FC87"/>
    <w:rsid w:val="5296CE82"/>
    <w:rsid w:val="52973E66"/>
    <w:rsid w:val="529B2547"/>
    <w:rsid w:val="529CFAEE"/>
    <w:rsid w:val="529E643F"/>
    <w:rsid w:val="529F250B"/>
    <w:rsid w:val="529F7F49"/>
    <w:rsid w:val="52A4C6E4"/>
    <w:rsid w:val="52A634AD"/>
    <w:rsid w:val="52ACBC1E"/>
    <w:rsid w:val="52B1BA7D"/>
    <w:rsid w:val="52B33706"/>
    <w:rsid w:val="52B3C870"/>
    <w:rsid w:val="52B3C9ED"/>
    <w:rsid w:val="52B7B419"/>
    <w:rsid w:val="52BAA936"/>
    <w:rsid w:val="52BB420E"/>
    <w:rsid w:val="52C16B72"/>
    <w:rsid w:val="52C3EA9F"/>
    <w:rsid w:val="52C7A3BD"/>
    <w:rsid w:val="52C8629C"/>
    <w:rsid w:val="52CB61BE"/>
    <w:rsid w:val="52CB7C8D"/>
    <w:rsid w:val="52CCF6FC"/>
    <w:rsid w:val="52CE5934"/>
    <w:rsid w:val="52D21EF5"/>
    <w:rsid w:val="52D6106D"/>
    <w:rsid w:val="52D6B5F4"/>
    <w:rsid w:val="52D85014"/>
    <w:rsid w:val="52D9FB66"/>
    <w:rsid w:val="52DBBC47"/>
    <w:rsid w:val="52DC26E9"/>
    <w:rsid w:val="52DCBC17"/>
    <w:rsid w:val="52DE6E61"/>
    <w:rsid w:val="52DFB181"/>
    <w:rsid w:val="52DFC975"/>
    <w:rsid w:val="52E3BB8A"/>
    <w:rsid w:val="52E74E92"/>
    <w:rsid w:val="52E89BCF"/>
    <w:rsid w:val="52E9F9F0"/>
    <w:rsid w:val="52F19C3B"/>
    <w:rsid w:val="52F4C4EF"/>
    <w:rsid w:val="52F4DC36"/>
    <w:rsid w:val="52F5A5C7"/>
    <w:rsid w:val="52F5CEF9"/>
    <w:rsid w:val="52F9B42E"/>
    <w:rsid w:val="52FBD045"/>
    <w:rsid w:val="53045FC7"/>
    <w:rsid w:val="5306409B"/>
    <w:rsid w:val="5308A8F7"/>
    <w:rsid w:val="5308BB41"/>
    <w:rsid w:val="530B7F61"/>
    <w:rsid w:val="530C301C"/>
    <w:rsid w:val="530C9CC8"/>
    <w:rsid w:val="53111872"/>
    <w:rsid w:val="5313FD07"/>
    <w:rsid w:val="5317B984"/>
    <w:rsid w:val="5319EDA1"/>
    <w:rsid w:val="531BEFBE"/>
    <w:rsid w:val="531F0BF6"/>
    <w:rsid w:val="532008AF"/>
    <w:rsid w:val="53228653"/>
    <w:rsid w:val="5324DF44"/>
    <w:rsid w:val="53269F33"/>
    <w:rsid w:val="532A040D"/>
    <w:rsid w:val="532A5E7F"/>
    <w:rsid w:val="532BB988"/>
    <w:rsid w:val="532C0865"/>
    <w:rsid w:val="532DA35F"/>
    <w:rsid w:val="5330EC7F"/>
    <w:rsid w:val="53323209"/>
    <w:rsid w:val="53332827"/>
    <w:rsid w:val="533729F4"/>
    <w:rsid w:val="533748E1"/>
    <w:rsid w:val="53393635"/>
    <w:rsid w:val="533BD5CF"/>
    <w:rsid w:val="533CCCA6"/>
    <w:rsid w:val="5340149D"/>
    <w:rsid w:val="5341B11D"/>
    <w:rsid w:val="5341CFD0"/>
    <w:rsid w:val="53428FD0"/>
    <w:rsid w:val="5342F602"/>
    <w:rsid w:val="5343BD0C"/>
    <w:rsid w:val="53464DB0"/>
    <w:rsid w:val="534B75F7"/>
    <w:rsid w:val="534EC2AF"/>
    <w:rsid w:val="534F3E30"/>
    <w:rsid w:val="53531AD5"/>
    <w:rsid w:val="53533365"/>
    <w:rsid w:val="5354213C"/>
    <w:rsid w:val="535476A8"/>
    <w:rsid w:val="5354F602"/>
    <w:rsid w:val="5357FCCD"/>
    <w:rsid w:val="535B596A"/>
    <w:rsid w:val="535B799A"/>
    <w:rsid w:val="535FB36F"/>
    <w:rsid w:val="53629F0C"/>
    <w:rsid w:val="5362D452"/>
    <w:rsid w:val="53633E8C"/>
    <w:rsid w:val="53650B12"/>
    <w:rsid w:val="536659D4"/>
    <w:rsid w:val="5369AED4"/>
    <w:rsid w:val="536BED24"/>
    <w:rsid w:val="536C0147"/>
    <w:rsid w:val="536C5622"/>
    <w:rsid w:val="536D2971"/>
    <w:rsid w:val="536EBCA9"/>
    <w:rsid w:val="5372C22C"/>
    <w:rsid w:val="53756E5F"/>
    <w:rsid w:val="5379937D"/>
    <w:rsid w:val="537A0890"/>
    <w:rsid w:val="537F68B4"/>
    <w:rsid w:val="5381CC5A"/>
    <w:rsid w:val="538457D5"/>
    <w:rsid w:val="5385EF8A"/>
    <w:rsid w:val="5389E6D7"/>
    <w:rsid w:val="538AD7C8"/>
    <w:rsid w:val="538C3DDE"/>
    <w:rsid w:val="538F90B9"/>
    <w:rsid w:val="5393FA43"/>
    <w:rsid w:val="53945698"/>
    <w:rsid w:val="53956166"/>
    <w:rsid w:val="53959DF1"/>
    <w:rsid w:val="5399D510"/>
    <w:rsid w:val="539B07D5"/>
    <w:rsid w:val="539B56F2"/>
    <w:rsid w:val="539E8D24"/>
    <w:rsid w:val="53A08559"/>
    <w:rsid w:val="53A26509"/>
    <w:rsid w:val="53A2EA3B"/>
    <w:rsid w:val="53A34AAE"/>
    <w:rsid w:val="53A3912A"/>
    <w:rsid w:val="53A4ED94"/>
    <w:rsid w:val="53A659BF"/>
    <w:rsid w:val="53A7E495"/>
    <w:rsid w:val="53A91E5F"/>
    <w:rsid w:val="53A9A983"/>
    <w:rsid w:val="53AAAAB9"/>
    <w:rsid w:val="53AB789D"/>
    <w:rsid w:val="53AC521A"/>
    <w:rsid w:val="53ACA5CB"/>
    <w:rsid w:val="53AF08A4"/>
    <w:rsid w:val="53B250DC"/>
    <w:rsid w:val="53B3A39D"/>
    <w:rsid w:val="53B625F8"/>
    <w:rsid w:val="53B6F0B8"/>
    <w:rsid w:val="53B75A03"/>
    <w:rsid w:val="53BBD03C"/>
    <w:rsid w:val="53BBF4A9"/>
    <w:rsid w:val="53BD97D2"/>
    <w:rsid w:val="53C00DD6"/>
    <w:rsid w:val="53C601DE"/>
    <w:rsid w:val="53C6D70D"/>
    <w:rsid w:val="53C783C7"/>
    <w:rsid w:val="53C87B35"/>
    <w:rsid w:val="53CC7A8A"/>
    <w:rsid w:val="53CFDEB3"/>
    <w:rsid w:val="53D12B70"/>
    <w:rsid w:val="53D23B33"/>
    <w:rsid w:val="53D38998"/>
    <w:rsid w:val="53D723DC"/>
    <w:rsid w:val="53D9E9C6"/>
    <w:rsid w:val="53DB367B"/>
    <w:rsid w:val="53DBD7C9"/>
    <w:rsid w:val="53DD899B"/>
    <w:rsid w:val="53DF434A"/>
    <w:rsid w:val="53E1BBB4"/>
    <w:rsid w:val="53E39D3F"/>
    <w:rsid w:val="53E563D7"/>
    <w:rsid w:val="53E872AB"/>
    <w:rsid w:val="53EA6B68"/>
    <w:rsid w:val="53EC9DD8"/>
    <w:rsid w:val="53F11D9A"/>
    <w:rsid w:val="53F1370A"/>
    <w:rsid w:val="53F3EE85"/>
    <w:rsid w:val="53F65ADE"/>
    <w:rsid w:val="53F7EB55"/>
    <w:rsid w:val="53FAD004"/>
    <w:rsid w:val="53FAE7A3"/>
    <w:rsid w:val="53FB3E8E"/>
    <w:rsid w:val="53FBB200"/>
    <w:rsid w:val="53FBB877"/>
    <w:rsid w:val="53FBCFEA"/>
    <w:rsid w:val="53FEDB45"/>
    <w:rsid w:val="53FF606A"/>
    <w:rsid w:val="54020838"/>
    <w:rsid w:val="54027457"/>
    <w:rsid w:val="54036547"/>
    <w:rsid w:val="5404ECAA"/>
    <w:rsid w:val="5404F674"/>
    <w:rsid w:val="5405CE78"/>
    <w:rsid w:val="540626F4"/>
    <w:rsid w:val="54076FA7"/>
    <w:rsid w:val="5409E193"/>
    <w:rsid w:val="540A4630"/>
    <w:rsid w:val="540D0354"/>
    <w:rsid w:val="54114262"/>
    <w:rsid w:val="5412DD14"/>
    <w:rsid w:val="54141E0A"/>
    <w:rsid w:val="54194791"/>
    <w:rsid w:val="541B71FB"/>
    <w:rsid w:val="541BE937"/>
    <w:rsid w:val="541DA861"/>
    <w:rsid w:val="541FB57D"/>
    <w:rsid w:val="5420A854"/>
    <w:rsid w:val="5421040F"/>
    <w:rsid w:val="54219AF2"/>
    <w:rsid w:val="54225087"/>
    <w:rsid w:val="5424DBC8"/>
    <w:rsid w:val="542EF5A3"/>
    <w:rsid w:val="542F7003"/>
    <w:rsid w:val="543138CD"/>
    <w:rsid w:val="5431A7F3"/>
    <w:rsid w:val="5434EAC9"/>
    <w:rsid w:val="5435B03C"/>
    <w:rsid w:val="54368F7B"/>
    <w:rsid w:val="5437254B"/>
    <w:rsid w:val="54389FD4"/>
    <w:rsid w:val="5438D822"/>
    <w:rsid w:val="5439C1A3"/>
    <w:rsid w:val="543C874B"/>
    <w:rsid w:val="543FD932"/>
    <w:rsid w:val="5442655A"/>
    <w:rsid w:val="5443A23F"/>
    <w:rsid w:val="544613C1"/>
    <w:rsid w:val="5447FFED"/>
    <w:rsid w:val="54489FCA"/>
    <w:rsid w:val="54490408"/>
    <w:rsid w:val="5449C89D"/>
    <w:rsid w:val="544BBC05"/>
    <w:rsid w:val="54509C93"/>
    <w:rsid w:val="54579185"/>
    <w:rsid w:val="54609A0B"/>
    <w:rsid w:val="546165BF"/>
    <w:rsid w:val="54625690"/>
    <w:rsid w:val="5464C752"/>
    <w:rsid w:val="5465C7A8"/>
    <w:rsid w:val="5466D8AF"/>
    <w:rsid w:val="5469BB71"/>
    <w:rsid w:val="546B711E"/>
    <w:rsid w:val="546CBFDF"/>
    <w:rsid w:val="546F445C"/>
    <w:rsid w:val="546F4971"/>
    <w:rsid w:val="5472C3BA"/>
    <w:rsid w:val="54730223"/>
    <w:rsid w:val="5477B300"/>
    <w:rsid w:val="54786C03"/>
    <w:rsid w:val="5478D3AF"/>
    <w:rsid w:val="5478FC4E"/>
    <w:rsid w:val="547BAAA8"/>
    <w:rsid w:val="54807C2A"/>
    <w:rsid w:val="5480A6C6"/>
    <w:rsid w:val="5481D9EA"/>
    <w:rsid w:val="54823D01"/>
    <w:rsid w:val="54849280"/>
    <w:rsid w:val="548B178A"/>
    <w:rsid w:val="548C124B"/>
    <w:rsid w:val="548D1EF0"/>
    <w:rsid w:val="548D9A77"/>
    <w:rsid w:val="548F2C35"/>
    <w:rsid w:val="548FE61B"/>
    <w:rsid w:val="5491A38F"/>
    <w:rsid w:val="5491FF91"/>
    <w:rsid w:val="5493284A"/>
    <w:rsid w:val="54954D77"/>
    <w:rsid w:val="5496DD93"/>
    <w:rsid w:val="54972EB4"/>
    <w:rsid w:val="54985168"/>
    <w:rsid w:val="549C5126"/>
    <w:rsid w:val="549DD7AE"/>
    <w:rsid w:val="549EA79A"/>
    <w:rsid w:val="549F2C51"/>
    <w:rsid w:val="54A2AA67"/>
    <w:rsid w:val="54A4C53B"/>
    <w:rsid w:val="54A556C7"/>
    <w:rsid w:val="54ABAA93"/>
    <w:rsid w:val="54ABE85E"/>
    <w:rsid w:val="54ABF556"/>
    <w:rsid w:val="54AE21DC"/>
    <w:rsid w:val="54AFF7F9"/>
    <w:rsid w:val="54B0532F"/>
    <w:rsid w:val="54B09241"/>
    <w:rsid w:val="54B0AA49"/>
    <w:rsid w:val="54B18792"/>
    <w:rsid w:val="54B66A8C"/>
    <w:rsid w:val="54B838EB"/>
    <w:rsid w:val="54B8E1C5"/>
    <w:rsid w:val="54B95CC5"/>
    <w:rsid w:val="54B97759"/>
    <w:rsid w:val="54B995B4"/>
    <w:rsid w:val="54BA7FF5"/>
    <w:rsid w:val="54BEF456"/>
    <w:rsid w:val="54BF992F"/>
    <w:rsid w:val="54C083ED"/>
    <w:rsid w:val="54C4DED5"/>
    <w:rsid w:val="54C6F176"/>
    <w:rsid w:val="54C70865"/>
    <w:rsid w:val="54CA47D1"/>
    <w:rsid w:val="54CA621D"/>
    <w:rsid w:val="54CA875B"/>
    <w:rsid w:val="54CB9AFD"/>
    <w:rsid w:val="54CD125A"/>
    <w:rsid w:val="54CDC0BA"/>
    <w:rsid w:val="54CE10D3"/>
    <w:rsid w:val="54D2C09E"/>
    <w:rsid w:val="54D3FE54"/>
    <w:rsid w:val="54D3FEC6"/>
    <w:rsid w:val="54D470BF"/>
    <w:rsid w:val="54D4B92E"/>
    <w:rsid w:val="54D5FED4"/>
    <w:rsid w:val="54D69D02"/>
    <w:rsid w:val="54D71276"/>
    <w:rsid w:val="54D8B7DD"/>
    <w:rsid w:val="54D9BDBA"/>
    <w:rsid w:val="54D9CD88"/>
    <w:rsid w:val="54DAA7C9"/>
    <w:rsid w:val="54DB41A0"/>
    <w:rsid w:val="54DD0C81"/>
    <w:rsid w:val="54DE2CDC"/>
    <w:rsid w:val="54E2E728"/>
    <w:rsid w:val="54E6C356"/>
    <w:rsid w:val="54E98F54"/>
    <w:rsid w:val="54EA80C8"/>
    <w:rsid w:val="54EB1E34"/>
    <w:rsid w:val="54ED278D"/>
    <w:rsid w:val="54EDC55C"/>
    <w:rsid w:val="54EE27FF"/>
    <w:rsid w:val="54EECA7D"/>
    <w:rsid w:val="54F6BF8C"/>
    <w:rsid w:val="54F9B322"/>
    <w:rsid w:val="54FC1296"/>
    <w:rsid w:val="54FC86B5"/>
    <w:rsid w:val="54FCE889"/>
    <w:rsid w:val="54FE3BFF"/>
    <w:rsid w:val="54FE5EFF"/>
    <w:rsid w:val="54FED084"/>
    <w:rsid w:val="5500982A"/>
    <w:rsid w:val="5502EDEF"/>
    <w:rsid w:val="5504BAF2"/>
    <w:rsid w:val="55073D12"/>
    <w:rsid w:val="550775A7"/>
    <w:rsid w:val="55083E35"/>
    <w:rsid w:val="550AFED3"/>
    <w:rsid w:val="550B7336"/>
    <w:rsid w:val="5510C791"/>
    <w:rsid w:val="55129B25"/>
    <w:rsid w:val="551420A9"/>
    <w:rsid w:val="5515355C"/>
    <w:rsid w:val="5516EEC2"/>
    <w:rsid w:val="551861E5"/>
    <w:rsid w:val="551E544C"/>
    <w:rsid w:val="551ECF93"/>
    <w:rsid w:val="551ED23B"/>
    <w:rsid w:val="551FC425"/>
    <w:rsid w:val="5520005F"/>
    <w:rsid w:val="55224D47"/>
    <w:rsid w:val="5522E675"/>
    <w:rsid w:val="5524A469"/>
    <w:rsid w:val="5525F817"/>
    <w:rsid w:val="55273BFA"/>
    <w:rsid w:val="55273DCA"/>
    <w:rsid w:val="55278D0B"/>
    <w:rsid w:val="5528B0E9"/>
    <w:rsid w:val="552CB283"/>
    <w:rsid w:val="552DBFB8"/>
    <w:rsid w:val="552E3838"/>
    <w:rsid w:val="552E8D74"/>
    <w:rsid w:val="5534A797"/>
    <w:rsid w:val="5535B986"/>
    <w:rsid w:val="5537EBFD"/>
    <w:rsid w:val="5539C484"/>
    <w:rsid w:val="553C0066"/>
    <w:rsid w:val="553C64F0"/>
    <w:rsid w:val="553F5429"/>
    <w:rsid w:val="5542590D"/>
    <w:rsid w:val="5547137A"/>
    <w:rsid w:val="55472B99"/>
    <w:rsid w:val="554784F6"/>
    <w:rsid w:val="55493465"/>
    <w:rsid w:val="554A7C5E"/>
    <w:rsid w:val="554BA932"/>
    <w:rsid w:val="554C01F6"/>
    <w:rsid w:val="554D3C9D"/>
    <w:rsid w:val="554E611D"/>
    <w:rsid w:val="554F473A"/>
    <w:rsid w:val="55500E7D"/>
    <w:rsid w:val="5550E48C"/>
    <w:rsid w:val="55516349"/>
    <w:rsid w:val="5551647D"/>
    <w:rsid w:val="55564DAA"/>
    <w:rsid w:val="5557EEEB"/>
    <w:rsid w:val="555AF43D"/>
    <w:rsid w:val="555F3E7B"/>
    <w:rsid w:val="5560A13C"/>
    <w:rsid w:val="55611C6B"/>
    <w:rsid w:val="5561B7F7"/>
    <w:rsid w:val="5563E0E5"/>
    <w:rsid w:val="5565DC29"/>
    <w:rsid w:val="55675E8E"/>
    <w:rsid w:val="5567BB76"/>
    <w:rsid w:val="556A6D53"/>
    <w:rsid w:val="556AAFAC"/>
    <w:rsid w:val="556B822A"/>
    <w:rsid w:val="556C6965"/>
    <w:rsid w:val="556DECB1"/>
    <w:rsid w:val="556F5162"/>
    <w:rsid w:val="556FB7FC"/>
    <w:rsid w:val="55714E9E"/>
    <w:rsid w:val="55740A05"/>
    <w:rsid w:val="55742002"/>
    <w:rsid w:val="55755A6A"/>
    <w:rsid w:val="557595D7"/>
    <w:rsid w:val="557705CA"/>
    <w:rsid w:val="55798BEE"/>
    <w:rsid w:val="557C9D64"/>
    <w:rsid w:val="558005A8"/>
    <w:rsid w:val="55804ADF"/>
    <w:rsid w:val="5580E98A"/>
    <w:rsid w:val="5582D642"/>
    <w:rsid w:val="5585DA2C"/>
    <w:rsid w:val="55864A86"/>
    <w:rsid w:val="558782CD"/>
    <w:rsid w:val="558A68DB"/>
    <w:rsid w:val="558C06A0"/>
    <w:rsid w:val="558E34FA"/>
    <w:rsid w:val="558ED551"/>
    <w:rsid w:val="558F6E8F"/>
    <w:rsid w:val="55900562"/>
    <w:rsid w:val="55958345"/>
    <w:rsid w:val="5596742E"/>
    <w:rsid w:val="5596904D"/>
    <w:rsid w:val="55973A91"/>
    <w:rsid w:val="5597D45F"/>
    <w:rsid w:val="55982735"/>
    <w:rsid w:val="559AF941"/>
    <w:rsid w:val="559C91E0"/>
    <w:rsid w:val="559EAAC8"/>
    <w:rsid w:val="55A08530"/>
    <w:rsid w:val="55A1C6F8"/>
    <w:rsid w:val="55A3055A"/>
    <w:rsid w:val="55A3905F"/>
    <w:rsid w:val="55A39827"/>
    <w:rsid w:val="55A589B0"/>
    <w:rsid w:val="55A77B66"/>
    <w:rsid w:val="55A9C5A3"/>
    <w:rsid w:val="55ABFE3C"/>
    <w:rsid w:val="55ACB843"/>
    <w:rsid w:val="55AD3EE6"/>
    <w:rsid w:val="55AE2E6D"/>
    <w:rsid w:val="55AE5D53"/>
    <w:rsid w:val="55AFBBD4"/>
    <w:rsid w:val="55B3F28D"/>
    <w:rsid w:val="55B483CD"/>
    <w:rsid w:val="55B49A86"/>
    <w:rsid w:val="55B5CECE"/>
    <w:rsid w:val="55B5E81B"/>
    <w:rsid w:val="55B9F969"/>
    <w:rsid w:val="55BB55A5"/>
    <w:rsid w:val="55BBB380"/>
    <w:rsid w:val="55BE2E97"/>
    <w:rsid w:val="55BED663"/>
    <w:rsid w:val="55C09083"/>
    <w:rsid w:val="55C096E5"/>
    <w:rsid w:val="55C6FEE0"/>
    <w:rsid w:val="55C8CBA5"/>
    <w:rsid w:val="55C93B88"/>
    <w:rsid w:val="55CABA87"/>
    <w:rsid w:val="55CD1328"/>
    <w:rsid w:val="55D19191"/>
    <w:rsid w:val="55D2B9FF"/>
    <w:rsid w:val="55D3DF13"/>
    <w:rsid w:val="55D5260D"/>
    <w:rsid w:val="55D63E95"/>
    <w:rsid w:val="55D6CA59"/>
    <w:rsid w:val="55D708E2"/>
    <w:rsid w:val="55D90B91"/>
    <w:rsid w:val="55D923E5"/>
    <w:rsid w:val="55DD2BD4"/>
    <w:rsid w:val="55DF1551"/>
    <w:rsid w:val="55DF3A86"/>
    <w:rsid w:val="55DF6E5D"/>
    <w:rsid w:val="55E1A4AD"/>
    <w:rsid w:val="55E39FF5"/>
    <w:rsid w:val="55E4517D"/>
    <w:rsid w:val="55E5DC41"/>
    <w:rsid w:val="55F2475C"/>
    <w:rsid w:val="55F28987"/>
    <w:rsid w:val="55F4326E"/>
    <w:rsid w:val="55F47C44"/>
    <w:rsid w:val="55F7A021"/>
    <w:rsid w:val="55FA4A0D"/>
    <w:rsid w:val="55FB68AD"/>
    <w:rsid w:val="55FC8811"/>
    <w:rsid w:val="56024EB9"/>
    <w:rsid w:val="5604309F"/>
    <w:rsid w:val="56057536"/>
    <w:rsid w:val="56065B86"/>
    <w:rsid w:val="5606B48B"/>
    <w:rsid w:val="5606E987"/>
    <w:rsid w:val="560826D5"/>
    <w:rsid w:val="560B3F6F"/>
    <w:rsid w:val="5610CCCC"/>
    <w:rsid w:val="56141AE6"/>
    <w:rsid w:val="56142777"/>
    <w:rsid w:val="5614E724"/>
    <w:rsid w:val="5618B3B5"/>
    <w:rsid w:val="5619DC13"/>
    <w:rsid w:val="561CF1FA"/>
    <w:rsid w:val="561DCDAF"/>
    <w:rsid w:val="561DD283"/>
    <w:rsid w:val="561F879A"/>
    <w:rsid w:val="5621004B"/>
    <w:rsid w:val="5621DA85"/>
    <w:rsid w:val="56225D43"/>
    <w:rsid w:val="562421E1"/>
    <w:rsid w:val="56252BA9"/>
    <w:rsid w:val="562A3639"/>
    <w:rsid w:val="562BFB7E"/>
    <w:rsid w:val="562D0BB3"/>
    <w:rsid w:val="562EF11C"/>
    <w:rsid w:val="562F7333"/>
    <w:rsid w:val="562FD406"/>
    <w:rsid w:val="56303E40"/>
    <w:rsid w:val="5634CA06"/>
    <w:rsid w:val="5635BC73"/>
    <w:rsid w:val="5635F860"/>
    <w:rsid w:val="5636C6D8"/>
    <w:rsid w:val="5639F791"/>
    <w:rsid w:val="563AE7F9"/>
    <w:rsid w:val="563AF0F4"/>
    <w:rsid w:val="563B8BC3"/>
    <w:rsid w:val="563CF0F0"/>
    <w:rsid w:val="563E8114"/>
    <w:rsid w:val="564013DC"/>
    <w:rsid w:val="5645CDF3"/>
    <w:rsid w:val="564F02C6"/>
    <w:rsid w:val="56524EF0"/>
    <w:rsid w:val="5654DA74"/>
    <w:rsid w:val="56555082"/>
    <w:rsid w:val="5655B329"/>
    <w:rsid w:val="56577983"/>
    <w:rsid w:val="565A9A0B"/>
    <w:rsid w:val="565B3365"/>
    <w:rsid w:val="565CA1D8"/>
    <w:rsid w:val="566276A3"/>
    <w:rsid w:val="5664E638"/>
    <w:rsid w:val="56685ED1"/>
    <w:rsid w:val="5669D907"/>
    <w:rsid w:val="5669F81C"/>
    <w:rsid w:val="566A5F14"/>
    <w:rsid w:val="566C7D13"/>
    <w:rsid w:val="566CD500"/>
    <w:rsid w:val="566D634E"/>
    <w:rsid w:val="5672E5B8"/>
    <w:rsid w:val="56744373"/>
    <w:rsid w:val="5678EB3A"/>
    <w:rsid w:val="567A8350"/>
    <w:rsid w:val="567AB107"/>
    <w:rsid w:val="567E0B8E"/>
    <w:rsid w:val="568076C7"/>
    <w:rsid w:val="568120EE"/>
    <w:rsid w:val="5683DF88"/>
    <w:rsid w:val="56846579"/>
    <w:rsid w:val="568A00A5"/>
    <w:rsid w:val="568B43D8"/>
    <w:rsid w:val="568BA79B"/>
    <w:rsid w:val="568D9605"/>
    <w:rsid w:val="568E05A6"/>
    <w:rsid w:val="568E4021"/>
    <w:rsid w:val="568F7BC0"/>
    <w:rsid w:val="5690BF11"/>
    <w:rsid w:val="56918A6B"/>
    <w:rsid w:val="5691D357"/>
    <w:rsid w:val="5691F954"/>
    <w:rsid w:val="56938E17"/>
    <w:rsid w:val="5696DC85"/>
    <w:rsid w:val="569C9E7D"/>
    <w:rsid w:val="569E7447"/>
    <w:rsid w:val="56A154D8"/>
    <w:rsid w:val="56A30987"/>
    <w:rsid w:val="56A356E9"/>
    <w:rsid w:val="56A4937F"/>
    <w:rsid w:val="56A4A3E6"/>
    <w:rsid w:val="56A7E6AE"/>
    <w:rsid w:val="56A87221"/>
    <w:rsid w:val="56A88C63"/>
    <w:rsid w:val="56AB2ED7"/>
    <w:rsid w:val="56AE111C"/>
    <w:rsid w:val="56AEF0D4"/>
    <w:rsid w:val="56AFB8CB"/>
    <w:rsid w:val="56B36189"/>
    <w:rsid w:val="56B41D6C"/>
    <w:rsid w:val="56B53FE7"/>
    <w:rsid w:val="56B8361F"/>
    <w:rsid w:val="56B986C1"/>
    <w:rsid w:val="56BD2C05"/>
    <w:rsid w:val="56BF9F8A"/>
    <w:rsid w:val="56C1CD0E"/>
    <w:rsid w:val="56C329F5"/>
    <w:rsid w:val="56C5C2AA"/>
    <w:rsid w:val="56C5EE4E"/>
    <w:rsid w:val="56C688BD"/>
    <w:rsid w:val="56CB767C"/>
    <w:rsid w:val="56CC1211"/>
    <w:rsid w:val="56CD82B7"/>
    <w:rsid w:val="56CDB9F9"/>
    <w:rsid w:val="56CE3836"/>
    <w:rsid w:val="56CEFB70"/>
    <w:rsid w:val="56D0202E"/>
    <w:rsid w:val="56DA710F"/>
    <w:rsid w:val="56DA9594"/>
    <w:rsid w:val="56DB42FE"/>
    <w:rsid w:val="56E156DF"/>
    <w:rsid w:val="56E20380"/>
    <w:rsid w:val="56E27BE7"/>
    <w:rsid w:val="56E4566A"/>
    <w:rsid w:val="56E70E97"/>
    <w:rsid w:val="56E94E55"/>
    <w:rsid w:val="56E97DD1"/>
    <w:rsid w:val="56ED2273"/>
    <w:rsid w:val="56ED5B3E"/>
    <w:rsid w:val="56EDD534"/>
    <w:rsid w:val="56EEFCC2"/>
    <w:rsid w:val="56F0A9F8"/>
    <w:rsid w:val="56F2004C"/>
    <w:rsid w:val="56F20412"/>
    <w:rsid w:val="56F20C44"/>
    <w:rsid w:val="56F53F55"/>
    <w:rsid w:val="56F58B81"/>
    <w:rsid w:val="56FB4173"/>
    <w:rsid w:val="56FB43DB"/>
    <w:rsid w:val="56FD21E3"/>
    <w:rsid w:val="56FDE417"/>
    <w:rsid w:val="57012A4F"/>
    <w:rsid w:val="57017E59"/>
    <w:rsid w:val="5702D687"/>
    <w:rsid w:val="57052815"/>
    <w:rsid w:val="5705D430"/>
    <w:rsid w:val="5707E5D6"/>
    <w:rsid w:val="5708C7F5"/>
    <w:rsid w:val="570AD265"/>
    <w:rsid w:val="570B881D"/>
    <w:rsid w:val="570BED71"/>
    <w:rsid w:val="570C546B"/>
    <w:rsid w:val="570EEA6A"/>
    <w:rsid w:val="57109825"/>
    <w:rsid w:val="5710CC0E"/>
    <w:rsid w:val="57126902"/>
    <w:rsid w:val="5712A3CB"/>
    <w:rsid w:val="571338C8"/>
    <w:rsid w:val="571588D8"/>
    <w:rsid w:val="5716BE4B"/>
    <w:rsid w:val="57190657"/>
    <w:rsid w:val="5719E8FB"/>
    <w:rsid w:val="571A0CC3"/>
    <w:rsid w:val="571A86E1"/>
    <w:rsid w:val="571AD475"/>
    <w:rsid w:val="571BADE8"/>
    <w:rsid w:val="5720C950"/>
    <w:rsid w:val="572367F7"/>
    <w:rsid w:val="5723C0CF"/>
    <w:rsid w:val="5725765A"/>
    <w:rsid w:val="5728CE8D"/>
    <w:rsid w:val="57296F89"/>
    <w:rsid w:val="57298B1D"/>
    <w:rsid w:val="572EDA23"/>
    <w:rsid w:val="572F3337"/>
    <w:rsid w:val="572F5811"/>
    <w:rsid w:val="572F9963"/>
    <w:rsid w:val="57304570"/>
    <w:rsid w:val="57319FCA"/>
    <w:rsid w:val="5731B449"/>
    <w:rsid w:val="57327D00"/>
    <w:rsid w:val="57341A22"/>
    <w:rsid w:val="57350598"/>
    <w:rsid w:val="573645CE"/>
    <w:rsid w:val="573B22E0"/>
    <w:rsid w:val="573D13CC"/>
    <w:rsid w:val="573D5C0B"/>
    <w:rsid w:val="573F5636"/>
    <w:rsid w:val="57418398"/>
    <w:rsid w:val="574214B7"/>
    <w:rsid w:val="57422245"/>
    <w:rsid w:val="57436CCE"/>
    <w:rsid w:val="5743D3F1"/>
    <w:rsid w:val="57458FE2"/>
    <w:rsid w:val="57496FEE"/>
    <w:rsid w:val="5749DF0D"/>
    <w:rsid w:val="574AE189"/>
    <w:rsid w:val="574DB96B"/>
    <w:rsid w:val="574EA0F2"/>
    <w:rsid w:val="574F95A4"/>
    <w:rsid w:val="575044B6"/>
    <w:rsid w:val="57512EC9"/>
    <w:rsid w:val="5753DA27"/>
    <w:rsid w:val="57558F99"/>
    <w:rsid w:val="57569677"/>
    <w:rsid w:val="5757970D"/>
    <w:rsid w:val="575E55A8"/>
    <w:rsid w:val="575E7143"/>
    <w:rsid w:val="5767AEDF"/>
    <w:rsid w:val="57687D36"/>
    <w:rsid w:val="5769ECDA"/>
    <w:rsid w:val="576DBDC8"/>
    <w:rsid w:val="576E8002"/>
    <w:rsid w:val="576E8CA6"/>
    <w:rsid w:val="576F16C3"/>
    <w:rsid w:val="576F1CEE"/>
    <w:rsid w:val="5770CEC2"/>
    <w:rsid w:val="5772A68E"/>
    <w:rsid w:val="5772BE03"/>
    <w:rsid w:val="5772D6CC"/>
    <w:rsid w:val="577546DC"/>
    <w:rsid w:val="57768D41"/>
    <w:rsid w:val="57771605"/>
    <w:rsid w:val="577E388C"/>
    <w:rsid w:val="577EF140"/>
    <w:rsid w:val="5780FF46"/>
    <w:rsid w:val="5782C6D1"/>
    <w:rsid w:val="578374E5"/>
    <w:rsid w:val="57839DCC"/>
    <w:rsid w:val="5783C0BB"/>
    <w:rsid w:val="57853965"/>
    <w:rsid w:val="578871F0"/>
    <w:rsid w:val="5789557F"/>
    <w:rsid w:val="578B3064"/>
    <w:rsid w:val="578BDBEF"/>
    <w:rsid w:val="578C71CA"/>
    <w:rsid w:val="578D26D1"/>
    <w:rsid w:val="578E8FB1"/>
    <w:rsid w:val="578FD8D9"/>
    <w:rsid w:val="579255E5"/>
    <w:rsid w:val="5793B4B5"/>
    <w:rsid w:val="5793E913"/>
    <w:rsid w:val="579665CA"/>
    <w:rsid w:val="5799D285"/>
    <w:rsid w:val="579A8DBB"/>
    <w:rsid w:val="579B9EC2"/>
    <w:rsid w:val="579BFB09"/>
    <w:rsid w:val="579C015C"/>
    <w:rsid w:val="579FDE95"/>
    <w:rsid w:val="57A117F4"/>
    <w:rsid w:val="57A1B0D2"/>
    <w:rsid w:val="57A20CDB"/>
    <w:rsid w:val="57A4744B"/>
    <w:rsid w:val="57A683C0"/>
    <w:rsid w:val="57A8A079"/>
    <w:rsid w:val="57A8E4B0"/>
    <w:rsid w:val="57A8E90E"/>
    <w:rsid w:val="57AB2292"/>
    <w:rsid w:val="57ACC08E"/>
    <w:rsid w:val="57B1355A"/>
    <w:rsid w:val="57B16EE4"/>
    <w:rsid w:val="57B2F3C5"/>
    <w:rsid w:val="57B2FC7C"/>
    <w:rsid w:val="57B53B00"/>
    <w:rsid w:val="57B76AC8"/>
    <w:rsid w:val="57B8486B"/>
    <w:rsid w:val="57B89789"/>
    <w:rsid w:val="57BE8FD2"/>
    <w:rsid w:val="57C048EB"/>
    <w:rsid w:val="57C343C2"/>
    <w:rsid w:val="57C4BF02"/>
    <w:rsid w:val="57C7967C"/>
    <w:rsid w:val="57C7EC28"/>
    <w:rsid w:val="57C87C05"/>
    <w:rsid w:val="57C9088E"/>
    <w:rsid w:val="57CA9BAE"/>
    <w:rsid w:val="57CAF18D"/>
    <w:rsid w:val="57CC2550"/>
    <w:rsid w:val="57CD721D"/>
    <w:rsid w:val="57D0A358"/>
    <w:rsid w:val="57D108AC"/>
    <w:rsid w:val="57D22D85"/>
    <w:rsid w:val="57D740E9"/>
    <w:rsid w:val="57E042DE"/>
    <w:rsid w:val="57E07027"/>
    <w:rsid w:val="57E29DD9"/>
    <w:rsid w:val="57E2EED8"/>
    <w:rsid w:val="57E3BB72"/>
    <w:rsid w:val="57E5A3BC"/>
    <w:rsid w:val="57E64D70"/>
    <w:rsid w:val="57E94527"/>
    <w:rsid w:val="57E9F4B3"/>
    <w:rsid w:val="57EB095B"/>
    <w:rsid w:val="57EDA9C5"/>
    <w:rsid w:val="57EEA56B"/>
    <w:rsid w:val="57EF1BD2"/>
    <w:rsid w:val="57F0BE6C"/>
    <w:rsid w:val="57F6E21E"/>
    <w:rsid w:val="57F83503"/>
    <w:rsid w:val="57F846F9"/>
    <w:rsid w:val="57F99AC3"/>
    <w:rsid w:val="57FA13CF"/>
    <w:rsid w:val="57FAA197"/>
    <w:rsid w:val="57FACE8D"/>
    <w:rsid w:val="5801CD83"/>
    <w:rsid w:val="5802F301"/>
    <w:rsid w:val="58062A84"/>
    <w:rsid w:val="5807367D"/>
    <w:rsid w:val="5810BBEA"/>
    <w:rsid w:val="58117960"/>
    <w:rsid w:val="58133606"/>
    <w:rsid w:val="5816FDC8"/>
    <w:rsid w:val="58185128"/>
    <w:rsid w:val="58195F12"/>
    <w:rsid w:val="581AAF33"/>
    <w:rsid w:val="581C0A5A"/>
    <w:rsid w:val="581C91F8"/>
    <w:rsid w:val="581D6BD5"/>
    <w:rsid w:val="581E0ADC"/>
    <w:rsid w:val="581EB52B"/>
    <w:rsid w:val="58207051"/>
    <w:rsid w:val="58213284"/>
    <w:rsid w:val="5826BB81"/>
    <w:rsid w:val="5833A89A"/>
    <w:rsid w:val="5833F984"/>
    <w:rsid w:val="5834B80B"/>
    <w:rsid w:val="583946CD"/>
    <w:rsid w:val="583A4361"/>
    <w:rsid w:val="583B23AF"/>
    <w:rsid w:val="583CF370"/>
    <w:rsid w:val="583D3A14"/>
    <w:rsid w:val="583FC32A"/>
    <w:rsid w:val="58405C99"/>
    <w:rsid w:val="5841F006"/>
    <w:rsid w:val="58425D29"/>
    <w:rsid w:val="58428B9A"/>
    <w:rsid w:val="58430056"/>
    <w:rsid w:val="5843AFAC"/>
    <w:rsid w:val="584939BC"/>
    <w:rsid w:val="584A8745"/>
    <w:rsid w:val="584C7D70"/>
    <w:rsid w:val="584CB8E8"/>
    <w:rsid w:val="584CCEB9"/>
    <w:rsid w:val="584DA588"/>
    <w:rsid w:val="584E24D4"/>
    <w:rsid w:val="584F4073"/>
    <w:rsid w:val="5850B6CB"/>
    <w:rsid w:val="5854AA79"/>
    <w:rsid w:val="58563A9C"/>
    <w:rsid w:val="5856E7AF"/>
    <w:rsid w:val="585A4020"/>
    <w:rsid w:val="585D455F"/>
    <w:rsid w:val="586169B4"/>
    <w:rsid w:val="58639B76"/>
    <w:rsid w:val="58675A69"/>
    <w:rsid w:val="58679F2A"/>
    <w:rsid w:val="586C20AE"/>
    <w:rsid w:val="586C7B74"/>
    <w:rsid w:val="586CC3EC"/>
    <w:rsid w:val="586E2056"/>
    <w:rsid w:val="5870280E"/>
    <w:rsid w:val="58725CF3"/>
    <w:rsid w:val="587768C4"/>
    <w:rsid w:val="5877E8BF"/>
    <w:rsid w:val="58780246"/>
    <w:rsid w:val="58781098"/>
    <w:rsid w:val="58783A00"/>
    <w:rsid w:val="587A0222"/>
    <w:rsid w:val="587DBBED"/>
    <w:rsid w:val="58818F11"/>
    <w:rsid w:val="5881F6E2"/>
    <w:rsid w:val="5882724C"/>
    <w:rsid w:val="5883BEDD"/>
    <w:rsid w:val="5884341B"/>
    <w:rsid w:val="58849043"/>
    <w:rsid w:val="58850C00"/>
    <w:rsid w:val="58859B73"/>
    <w:rsid w:val="5887D8C5"/>
    <w:rsid w:val="58885902"/>
    <w:rsid w:val="58892F16"/>
    <w:rsid w:val="58896B88"/>
    <w:rsid w:val="588CDAEF"/>
    <w:rsid w:val="588D4CCD"/>
    <w:rsid w:val="58901A4D"/>
    <w:rsid w:val="58985D53"/>
    <w:rsid w:val="589A0C01"/>
    <w:rsid w:val="589CD54F"/>
    <w:rsid w:val="58A0FB79"/>
    <w:rsid w:val="58A7BD09"/>
    <w:rsid w:val="58AA5BE2"/>
    <w:rsid w:val="58AAF125"/>
    <w:rsid w:val="58AB1F21"/>
    <w:rsid w:val="58ABA368"/>
    <w:rsid w:val="58B129C3"/>
    <w:rsid w:val="58B204BE"/>
    <w:rsid w:val="58B8B789"/>
    <w:rsid w:val="58B9C0C6"/>
    <w:rsid w:val="58BDBB93"/>
    <w:rsid w:val="58C0240B"/>
    <w:rsid w:val="58C29370"/>
    <w:rsid w:val="58C29D9F"/>
    <w:rsid w:val="58C4079D"/>
    <w:rsid w:val="58C4E579"/>
    <w:rsid w:val="58C631FD"/>
    <w:rsid w:val="58C9E3FC"/>
    <w:rsid w:val="58CDA28E"/>
    <w:rsid w:val="58CDD683"/>
    <w:rsid w:val="58D28558"/>
    <w:rsid w:val="58D42471"/>
    <w:rsid w:val="58D42CA3"/>
    <w:rsid w:val="58D730A2"/>
    <w:rsid w:val="58D91FEF"/>
    <w:rsid w:val="58DC9E23"/>
    <w:rsid w:val="58DEF0AA"/>
    <w:rsid w:val="58E0607B"/>
    <w:rsid w:val="58E27511"/>
    <w:rsid w:val="58ECAF97"/>
    <w:rsid w:val="58EDE5BB"/>
    <w:rsid w:val="58EF60A8"/>
    <w:rsid w:val="58EFB539"/>
    <w:rsid w:val="58F13104"/>
    <w:rsid w:val="58F471E3"/>
    <w:rsid w:val="58F4CAF8"/>
    <w:rsid w:val="58F4DD33"/>
    <w:rsid w:val="58FA6E9E"/>
    <w:rsid w:val="58FA9177"/>
    <w:rsid w:val="58FAFC9E"/>
    <w:rsid w:val="58FBF1F0"/>
    <w:rsid w:val="58FC1ECA"/>
    <w:rsid w:val="58FE881E"/>
    <w:rsid w:val="5901DAB1"/>
    <w:rsid w:val="59036441"/>
    <w:rsid w:val="59044701"/>
    <w:rsid w:val="5906C709"/>
    <w:rsid w:val="590A5424"/>
    <w:rsid w:val="590AF53E"/>
    <w:rsid w:val="590B60D9"/>
    <w:rsid w:val="590CDF55"/>
    <w:rsid w:val="590D73AC"/>
    <w:rsid w:val="590E2CA8"/>
    <w:rsid w:val="5910295C"/>
    <w:rsid w:val="59108423"/>
    <w:rsid w:val="591145F2"/>
    <w:rsid w:val="5912570F"/>
    <w:rsid w:val="5914C752"/>
    <w:rsid w:val="5914C845"/>
    <w:rsid w:val="59153C7C"/>
    <w:rsid w:val="59179295"/>
    <w:rsid w:val="591A9D49"/>
    <w:rsid w:val="591EEBF6"/>
    <w:rsid w:val="5923632F"/>
    <w:rsid w:val="5924DD73"/>
    <w:rsid w:val="5924E1EA"/>
    <w:rsid w:val="5925322D"/>
    <w:rsid w:val="5927592F"/>
    <w:rsid w:val="592B1EAC"/>
    <w:rsid w:val="592B63F4"/>
    <w:rsid w:val="592FABCE"/>
    <w:rsid w:val="59324405"/>
    <w:rsid w:val="5936793B"/>
    <w:rsid w:val="59388E97"/>
    <w:rsid w:val="59416A7F"/>
    <w:rsid w:val="5941E603"/>
    <w:rsid w:val="59440DB2"/>
    <w:rsid w:val="5944709F"/>
    <w:rsid w:val="5945AA78"/>
    <w:rsid w:val="5945CF06"/>
    <w:rsid w:val="5946E821"/>
    <w:rsid w:val="5947AF1C"/>
    <w:rsid w:val="594811F2"/>
    <w:rsid w:val="594D71CE"/>
    <w:rsid w:val="594FADC5"/>
    <w:rsid w:val="59505A82"/>
    <w:rsid w:val="5950BAE4"/>
    <w:rsid w:val="59530951"/>
    <w:rsid w:val="5956A682"/>
    <w:rsid w:val="5959A687"/>
    <w:rsid w:val="595D7EEE"/>
    <w:rsid w:val="595DE604"/>
    <w:rsid w:val="59601550"/>
    <w:rsid w:val="596476DA"/>
    <w:rsid w:val="5965C2DD"/>
    <w:rsid w:val="5967C749"/>
    <w:rsid w:val="5969D26F"/>
    <w:rsid w:val="5969D640"/>
    <w:rsid w:val="596BF368"/>
    <w:rsid w:val="596E4544"/>
    <w:rsid w:val="596E77CA"/>
    <w:rsid w:val="596FBBDD"/>
    <w:rsid w:val="59708A5C"/>
    <w:rsid w:val="59725A9E"/>
    <w:rsid w:val="59745C8A"/>
    <w:rsid w:val="5977F40D"/>
    <w:rsid w:val="597B6225"/>
    <w:rsid w:val="597CAD48"/>
    <w:rsid w:val="597F122B"/>
    <w:rsid w:val="5980E81E"/>
    <w:rsid w:val="598140C3"/>
    <w:rsid w:val="598490E8"/>
    <w:rsid w:val="5985607A"/>
    <w:rsid w:val="598DA56E"/>
    <w:rsid w:val="598E3DE7"/>
    <w:rsid w:val="598E4DBA"/>
    <w:rsid w:val="598E50D7"/>
    <w:rsid w:val="598E5EF0"/>
    <w:rsid w:val="59912A00"/>
    <w:rsid w:val="599436E2"/>
    <w:rsid w:val="59977287"/>
    <w:rsid w:val="5998BB45"/>
    <w:rsid w:val="59996088"/>
    <w:rsid w:val="59996E0E"/>
    <w:rsid w:val="599A85C4"/>
    <w:rsid w:val="599B27D3"/>
    <w:rsid w:val="599EE1AF"/>
    <w:rsid w:val="59A2267F"/>
    <w:rsid w:val="59A5ED4F"/>
    <w:rsid w:val="59A844C2"/>
    <w:rsid w:val="59A92FB6"/>
    <w:rsid w:val="59A94593"/>
    <w:rsid w:val="59ACE052"/>
    <w:rsid w:val="59ADAEED"/>
    <w:rsid w:val="59AE8FB7"/>
    <w:rsid w:val="59B36349"/>
    <w:rsid w:val="59B3D228"/>
    <w:rsid w:val="59B70C2D"/>
    <w:rsid w:val="59BC3A78"/>
    <w:rsid w:val="59BE7963"/>
    <w:rsid w:val="59C1B2E3"/>
    <w:rsid w:val="59C31F62"/>
    <w:rsid w:val="59C3FFAA"/>
    <w:rsid w:val="59C62E34"/>
    <w:rsid w:val="59C72C4C"/>
    <w:rsid w:val="59C8DCD7"/>
    <w:rsid w:val="59C9920F"/>
    <w:rsid w:val="59CAB0C1"/>
    <w:rsid w:val="59CCD6D0"/>
    <w:rsid w:val="59CE1AE7"/>
    <w:rsid w:val="59CE7B4C"/>
    <w:rsid w:val="59CE890C"/>
    <w:rsid w:val="59CED431"/>
    <w:rsid w:val="59D43930"/>
    <w:rsid w:val="59D67BAB"/>
    <w:rsid w:val="59DC0B57"/>
    <w:rsid w:val="59E05C89"/>
    <w:rsid w:val="59E123DE"/>
    <w:rsid w:val="59E258D0"/>
    <w:rsid w:val="59E7F35C"/>
    <w:rsid w:val="59E81F4F"/>
    <w:rsid w:val="59EC15DB"/>
    <w:rsid w:val="59EC35A8"/>
    <w:rsid w:val="59ED0191"/>
    <w:rsid w:val="59ED1595"/>
    <w:rsid w:val="59ED8B7D"/>
    <w:rsid w:val="59EFC0EA"/>
    <w:rsid w:val="59F1FB22"/>
    <w:rsid w:val="59F3B5C1"/>
    <w:rsid w:val="59F6C66B"/>
    <w:rsid w:val="59F84E62"/>
    <w:rsid w:val="59FB4314"/>
    <w:rsid w:val="59FC171C"/>
    <w:rsid w:val="59FDB235"/>
    <w:rsid w:val="59FFFB53"/>
    <w:rsid w:val="5A018CCD"/>
    <w:rsid w:val="5A033D79"/>
    <w:rsid w:val="5A040A28"/>
    <w:rsid w:val="5A0A102C"/>
    <w:rsid w:val="5A0BB9D8"/>
    <w:rsid w:val="5A0F40C8"/>
    <w:rsid w:val="5A1374CE"/>
    <w:rsid w:val="5A148EE3"/>
    <w:rsid w:val="5A14C2DA"/>
    <w:rsid w:val="5A152F02"/>
    <w:rsid w:val="5A16ADEF"/>
    <w:rsid w:val="5A17535F"/>
    <w:rsid w:val="5A19CB5D"/>
    <w:rsid w:val="5A1B4E5C"/>
    <w:rsid w:val="5A1D6ECD"/>
    <w:rsid w:val="5A1E143D"/>
    <w:rsid w:val="5A1E3402"/>
    <w:rsid w:val="5A1EC476"/>
    <w:rsid w:val="5A215436"/>
    <w:rsid w:val="5A2222A4"/>
    <w:rsid w:val="5A2367C0"/>
    <w:rsid w:val="5A250CFF"/>
    <w:rsid w:val="5A25D189"/>
    <w:rsid w:val="5A2657CC"/>
    <w:rsid w:val="5A26603B"/>
    <w:rsid w:val="5A26CC63"/>
    <w:rsid w:val="5A2827A8"/>
    <w:rsid w:val="5A2830E1"/>
    <w:rsid w:val="5A2A3812"/>
    <w:rsid w:val="5A2AACB8"/>
    <w:rsid w:val="5A2DFC7A"/>
    <w:rsid w:val="5A31923A"/>
    <w:rsid w:val="5A364A6B"/>
    <w:rsid w:val="5A376987"/>
    <w:rsid w:val="5A3AF7EB"/>
    <w:rsid w:val="5A405468"/>
    <w:rsid w:val="5A436B65"/>
    <w:rsid w:val="5A466FD1"/>
    <w:rsid w:val="5A4AC1AA"/>
    <w:rsid w:val="5A50A50A"/>
    <w:rsid w:val="5A514B64"/>
    <w:rsid w:val="5A5168EE"/>
    <w:rsid w:val="5A53EC2D"/>
    <w:rsid w:val="5A54CA9D"/>
    <w:rsid w:val="5A589FBE"/>
    <w:rsid w:val="5A58D491"/>
    <w:rsid w:val="5A5C8C04"/>
    <w:rsid w:val="5A5C91CB"/>
    <w:rsid w:val="5A5CA245"/>
    <w:rsid w:val="5A5FC7CD"/>
    <w:rsid w:val="5A6067C8"/>
    <w:rsid w:val="5A62F368"/>
    <w:rsid w:val="5A680090"/>
    <w:rsid w:val="5A6A134F"/>
    <w:rsid w:val="5A6A6858"/>
    <w:rsid w:val="5A6BF18E"/>
    <w:rsid w:val="5A6C4CCF"/>
    <w:rsid w:val="5A6C85B4"/>
    <w:rsid w:val="5A6D1FE7"/>
    <w:rsid w:val="5A6D352A"/>
    <w:rsid w:val="5A6DE45F"/>
    <w:rsid w:val="5A6F8BB1"/>
    <w:rsid w:val="5A75A079"/>
    <w:rsid w:val="5A77189F"/>
    <w:rsid w:val="5A774869"/>
    <w:rsid w:val="5A7776C5"/>
    <w:rsid w:val="5A78A4D3"/>
    <w:rsid w:val="5A7A25BB"/>
    <w:rsid w:val="5A7A640D"/>
    <w:rsid w:val="5A7BB5CA"/>
    <w:rsid w:val="5A7BD074"/>
    <w:rsid w:val="5A7C5D44"/>
    <w:rsid w:val="5A7EDBB8"/>
    <w:rsid w:val="5A7F049D"/>
    <w:rsid w:val="5A7F2D92"/>
    <w:rsid w:val="5A81D953"/>
    <w:rsid w:val="5A8AD334"/>
    <w:rsid w:val="5A8DB0EF"/>
    <w:rsid w:val="5A8E716F"/>
    <w:rsid w:val="5A8EAD16"/>
    <w:rsid w:val="5A902065"/>
    <w:rsid w:val="5A90C879"/>
    <w:rsid w:val="5A92646C"/>
    <w:rsid w:val="5A97A8C6"/>
    <w:rsid w:val="5A996F95"/>
    <w:rsid w:val="5A9A954C"/>
    <w:rsid w:val="5A9ABF2A"/>
    <w:rsid w:val="5A9C410D"/>
    <w:rsid w:val="5A9DEEC4"/>
    <w:rsid w:val="5A9F0819"/>
    <w:rsid w:val="5AA45D3B"/>
    <w:rsid w:val="5AA4A8E3"/>
    <w:rsid w:val="5AA5B51A"/>
    <w:rsid w:val="5AA6EEA5"/>
    <w:rsid w:val="5AA75711"/>
    <w:rsid w:val="5AAAC7C2"/>
    <w:rsid w:val="5AABD76F"/>
    <w:rsid w:val="5AAD6AF7"/>
    <w:rsid w:val="5AAE97A3"/>
    <w:rsid w:val="5AAFB7D3"/>
    <w:rsid w:val="5AB028E0"/>
    <w:rsid w:val="5AB20A58"/>
    <w:rsid w:val="5AB5AB79"/>
    <w:rsid w:val="5AB5C0E8"/>
    <w:rsid w:val="5ABA42ED"/>
    <w:rsid w:val="5ABA96EC"/>
    <w:rsid w:val="5ABCF238"/>
    <w:rsid w:val="5AC388B9"/>
    <w:rsid w:val="5AC4AB29"/>
    <w:rsid w:val="5AC556FF"/>
    <w:rsid w:val="5AC978CC"/>
    <w:rsid w:val="5ACAA3E1"/>
    <w:rsid w:val="5ACB0EE3"/>
    <w:rsid w:val="5ACB745E"/>
    <w:rsid w:val="5ACEC39B"/>
    <w:rsid w:val="5AD07105"/>
    <w:rsid w:val="5AD17B80"/>
    <w:rsid w:val="5AD27713"/>
    <w:rsid w:val="5AD31F73"/>
    <w:rsid w:val="5AD3E8AD"/>
    <w:rsid w:val="5AD57356"/>
    <w:rsid w:val="5AD6FD3D"/>
    <w:rsid w:val="5ADB51EB"/>
    <w:rsid w:val="5ADD5EAE"/>
    <w:rsid w:val="5ADE5175"/>
    <w:rsid w:val="5ADE7459"/>
    <w:rsid w:val="5ADFD67C"/>
    <w:rsid w:val="5AE1E7BF"/>
    <w:rsid w:val="5AE219F2"/>
    <w:rsid w:val="5AE39F75"/>
    <w:rsid w:val="5AE3D2F2"/>
    <w:rsid w:val="5AE5C0C8"/>
    <w:rsid w:val="5AE73F11"/>
    <w:rsid w:val="5AE92B58"/>
    <w:rsid w:val="5AEA3660"/>
    <w:rsid w:val="5AEA4938"/>
    <w:rsid w:val="5AEBD247"/>
    <w:rsid w:val="5AED20DB"/>
    <w:rsid w:val="5AEF021F"/>
    <w:rsid w:val="5AEF0A27"/>
    <w:rsid w:val="5AEFE334"/>
    <w:rsid w:val="5AF0D011"/>
    <w:rsid w:val="5AF4A000"/>
    <w:rsid w:val="5AF70151"/>
    <w:rsid w:val="5AF7B6FE"/>
    <w:rsid w:val="5AF8A835"/>
    <w:rsid w:val="5AFD1F46"/>
    <w:rsid w:val="5AFD380D"/>
    <w:rsid w:val="5AFF2B20"/>
    <w:rsid w:val="5AFFB193"/>
    <w:rsid w:val="5B026BBA"/>
    <w:rsid w:val="5B03CD18"/>
    <w:rsid w:val="5B04C094"/>
    <w:rsid w:val="5B056DFC"/>
    <w:rsid w:val="5B06A33A"/>
    <w:rsid w:val="5B06D114"/>
    <w:rsid w:val="5B06F305"/>
    <w:rsid w:val="5B0C00D7"/>
    <w:rsid w:val="5B10EEF2"/>
    <w:rsid w:val="5B121A4C"/>
    <w:rsid w:val="5B1509E5"/>
    <w:rsid w:val="5B1526E5"/>
    <w:rsid w:val="5B15505A"/>
    <w:rsid w:val="5B15FDCE"/>
    <w:rsid w:val="5B181ED4"/>
    <w:rsid w:val="5B1A364C"/>
    <w:rsid w:val="5B1B4B1C"/>
    <w:rsid w:val="5B1BA63F"/>
    <w:rsid w:val="5B1DD96E"/>
    <w:rsid w:val="5B1DF6D3"/>
    <w:rsid w:val="5B20F85F"/>
    <w:rsid w:val="5B22BD88"/>
    <w:rsid w:val="5B264A3E"/>
    <w:rsid w:val="5B284807"/>
    <w:rsid w:val="5B2AB1A2"/>
    <w:rsid w:val="5B3081CF"/>
    <w:rsid w:val="5B34292F"/>
    <w:rsid w:val="5B35B3B9"/>
    <w:rsid w:val="5B39D71E"/>
    <w:rsid w:val="5B3ACD7F"/>
    <w:rsid w:val="5B3F6CB0"/>
    <w:rsid w:val="5B402C90"/>
    <w:rsid w:val="5B412F4F"/>
    <w:rsid w:val="5B414885"/>
    <w:rsid w:val="5B468C24"/>
    <w:rsid w:val="5B46ED68"/>
    <w:rsid w:val="5B4B28A3"/>
    <w:rsid w:val="5B4D8ADD"/>
    <w:rsid w:val="5B52736E"/>
    <w:rsid w:val="5B534066"/>
    <w:rsid w:val="5B554395"/>
    <w:rsid w:val="5B578FFA"/>
    <w:rsid w:val="5B594B72"/>
    <w:rsid w:val="5B5C2E85"/>
    <w:rsid w:val="5B5E5098"/>
    <w:rsid w:val="5B633AFA"/>
    <w:rsid w:val="5B66E098"/>
    <w:rsid w:val="5B66E7E0"/>
    <w:rsid w:val="5B6AF6E0"/>
    <w:rsid w:val="5B6CD4E5"/>
    <w:rsid w:val="5B6CDD85"/>
    <w:rsid w:val="5B70F20A"/>
    <w:rsid w:val="5B7299AD"/>
    <w:rsid w:val="5B754412"/>
    <w:rsid w:val="5B754428"/>
    <w:rsid w:val="5B75DB82"/>
    <w:rsid w:val="5B776EEC"/>
    <w:rsid w:val="5B77E04B"/>
    <w:rsid w:val="5B7BD2F7"/>
    <w:rsid w:val="5B80CCCA"/>
    <w:rsid w:val="5B824113"/>
    <w:rsid w:val="5B82D8AA"/>
    <w:rsid w:val="5B8456D3"/>
    <w:rsid w:val="5B847DD3"/>
    <w:rsid w:val="5B856D09"/>
    <w:rsid w:val="5B86062B"/>
    <w:rsid w:val="5B895788"/>
    <w:rsid w:val="5B8A59C6"/>
    <w:rsid w:val="5B8A8D4E"/>
    <w:rsid w:val="5B8BAEAF"/>
    <w:rsid w:val="5B8EAEBC"/>
    <w:rsid w:val="5B8F49C3"/>
    <w:rsid w:val="5B8FE398"/>
    <w:rsid w:val="5B90A10E"/>
    <w:rsid w:val="5B916D98"/>
    <w:rsid w:val="5B942C89"/>
    <w:rsid w:val="5B9C91F8"/>
    <w:rsid w:val="5B9DDC9A"/>
    <w:rsid w:val="5B9E0F01"/>
    <w:rsid w:val="5BA0A41F"/>
    <w:rsid w:val="5BA1FDA7"/>
    <w:rsid w:val="5BA312B7"/>
    <w:rsid w:val="5BA328C4"/>
    <w:rsid w:val="5BA3671F"/>
    <w:rsid w:val="5BA3F52B"/>
    <w:rsid w:val="5BA63AA6"/>
    <w:rsid w:val="5BA6458B"/>
    <w:rsid w:val="5BA66C38"/>
    <w:rsid w:val="5BA6BF6C"/>
    <w:rsid w:val="5BA6FE69"/>
    <w:rsid w:val="5BA80B33"/>
    <w:rsid w:val="5BA94402"/>
    <w:rsid w:val="5BAA5B63"/>
    <w:rsid w:val="5BAD0624"/>
    <w:rsid w:val="5BAD4298"/>
    <w:rsid w:val="5BAFC282"/>
    <w:rsid w:val="5BB041A0"/>
    <w:rsid w:val="5BB1BA15"/>
    <w:rsid w:val="5BB47015"/>
    <w:rsid w:val="5BB9517E"/>
    <w:rsid w:val="5BB9594A"/>
    <w:rsid w:val="5BBA3798"/>
    <w:rsid w:val="5BBB4974"/>
    <w:rsid w:val="5BC1A212"/>
    <w:rsid w:val="5BC30B86"/>
    <w:rsid w:val="5BC87C0A"/>
    <w:rsid w:val="5BC8AA26"/>
    <w:rsid w:val="5BCE208A"/>
    <w:rsid w:val="5BD128DA"/>
    <w:rsid w:val="5BD1D1CB"/>
    <w:rsid w:val="5BD6445E"/>
    <w:rsid w:val="5BD8B034"/>
    <w:rsid w:val="5BDB2F7F"/>
    <w:rsid w:val="5BDBCD32"/>
    <w:rsid w:val="5BDD2C73"/>
    <w:rsid w:val="5BDD42E7"/>
    <w:rsid w:val="5BDDE3B8"/>
    <w:rsid w:val="5BE0848B"/>
    <w:rsid w:val="5BE15491"/>
    <w:rsid w:val="5BE4877E"/>
    <w:rsid w:val="5BE4D90C"/>
    <w:rsid w:val="5BECE405"/>
    <w:rsid w:val="5BED7533"/>
    <w:rsid w:val="5BEF1513"/>
    <w:rsid w:val="5BF2BF7D"/>
    <w:rsid w:val="5BF37D53"/>
    <w:rsid w:val="5BF6200E"/>
    <w:rsid w:val="5BF6B797"/>
    <w:rsid w:val="5BF70DA5"/>
    <w:rsid w:val="5BF9066A"/>
    <w:rsid w:val="5BFF8858"/>
    <w:rsid w:val="5C0054CD"/>
    <w:rsid w:val="5C01A8B6"/>
    <w:rsid w:val="5C01F74D"/>
    <w:rsid w:val="5C06481A"/>
    <w:rsid w:val="5C086D3E"/>
    <w:rsid w:val="5C0A5712"/>
    <w:rsid w:val="5C0B94EF"/>
    <w:rsid w:val="5C0CC49C"/>
    <w:rsid w:val="5C0CD7B9"/>
    <w:rsid w:val="5C0D4060"/>
    <w:rsid w:val="5C0D73CF"/>
    <w:rsid w:val="5C0F6B4D"/>
    <w:rsid w:val="5C0FEBE3"/>
    <w:rsid w:val="5C156876"/>
    <w:rsid w:val="5C16CF82"/>
    <w:rsid w:val="5C172677"/>
    <w:rsid w:val="5C17FF4F"/>
    <w:rsid w:val="5C194121"/>
    <w:rsid w:val="5C1A2CD8"/>
    <w:rsid w:val="5C1AAE2B"/>
    <w:rsid w:val="5C1B0449"/>
    <w:rsid w:val="5C1B2913"/>
    <w:rsid w:val="5C1BD22C"/>
    <w:rsid w:val="5C1CE2A8"/>
    <w:rsid w:val="5C1D0560"/>
    <w:rsid w:val="5C1EF857"/>
    <w:rsid w:val="5C2050FB"/>
    <w:rsid w:val="5C232AA3"/>
    <w:rsid w:val="5C260465"/>
    <w:rsid w:val="5C283B99"/>
    <w:rsid w:val="5C295D74"/>
    <w:rsid w:val="5C2E5E11"/>
    <w:rsid w:val="5C2F794F"/>
    <w:rsid w:val="5C309758"/>
    <w:rsid w:val="5C30F0B6"/>
    <w:rsid w:val="5C32DA5F"/>
    <w:rsid w:val="5C32EDD1"/>
    <w:rsid w:val="5C352505"/>
    <w:rsid w:val="5C37FCCB"/>
    <w:rsid w:val="5C3A4DC6"/>
    <w:rsid w:val="5C3E773B"/>
    <w:rsid w:val="5C3F1EF3"/>
    <w:rsid w:val="5C43A44C"/>
    <w:rsid w:val="5C443A33"/>
    <w:rsid w:val="5C4904D0"/>
    <w:rsid w:val="5C49D5EC"/>
    <w:rsid w:val="5C4A6391"/>
    <w:rsid w:val="5C4A857F"/>
    <w:rsid w:val="5C4BE913"/>
    <w:rsid w:val="5C4D743C"/>
    <w:rsid w:val="5C4F4722"/>
    <w:rsid w:val="5C511994"/>
    <w:rsid w:val="5C57ABD9"/>
    <w:rsid w:val="5C5A5A58"/>
    <w:rsid w:val="5C5C94A1"/>
    <w:rsid w:val="5C5D6F6B"/>
    <w:rsid w:val="5C5F2949"/>
    <w:rsid w:val="5C606CCD"/>
    <w:rsid w:val="5C668873"/>
    <w:rsid w:val="5C672888"/>
    <w:rsid w:val="5C678B37"/>
    <w:rsid w:val="5C67BC11"/>
    <w:rsid w:val="5C696D8C"/>
    <w:rsid w:val="5C69EED7"/>
    <w:rsid w:val="5C7166DC"/>
    <w:rsid w:val="5C726D16"/>
    <w:rsid w:val="5C737782"/>
    <w:rsid w:val="5C751204"/>
    <w:rsid w:val="5C77F49E"/>
    <w:rsid w:val="5C79AF02"/>
    <w:rsid w:val="5C7F64D6"/>
    <w:rsid w:val="5C87169D"/>
    <w:rsid w:val="5C8C6192"/>
    <w:rsid w:val="5C8CF409"/>
    <w:rsid w:val="5C8D2CD1"/>
    <w:rsid w:val="5C8E33DC"/>
    <w:rsid w:val="5C8E8707"/>
    <w:rsid w:val="5C8F58AA"/>
    <w:rsid w:val="5C91B88F"/>
    <w:rsid w:val="5C987584"/>
    <w:rsid w:val="5C996F78"/>
    <w:rsid w:val="5C9D01F1"/>
    <w:rsid w:val="5C9E0ADC"/>
    <w:rsid w:val="5C9E6165"/>
    <w:rsid w:val="5C9EA818"/>
    <w:rsid w:val="5CA43CAE"/>
    <w:rsid w:val="5CA54A02"/>
    <w:rsid w:val="5CA84B36"/>
    <w:rsid w:val="5CA97C28"/>
    <w:rsid w:val="5CAA3339"/>
    <w:rsid w:val="5CAB1A7C"/>
    <w:rsid w:val="5CAC12A5"/>
    <w:rsid w:val="5CAE792F"/>
    <w:rsid w:val="5CB0018B"/>
    <w:rsid w:val="5CB1F6CC"/>
    <w:rsid w:val="5CB594C8"/>
    <w:rsid w:val="5CB5DBEA"/>
    <w:rsid w:val="5CB6586B"/>
    <w:rsid w:val="5CB6FA90"/>
    <w:rsid w:val="5CB85A4F"/>
    <w:rsid w:val="5CBC7131"/>
    <w:rsid w:val="5CBC7F09"/>
    <w:rsid w:val="5CBE7ADA"/>
    <w:rsid w:val="5CBFB964"/>
    <w:rsid w:val="5CC86493"/>
    <w:rsid w:val="5CC8672A"/>
    <w:rsid w:val="5CC8B7CF"/>
    <w:rsid w:val="5CCA15C4"/>
    <w:rsid w:val="5CCB289B"/>
    <w:rsid w:val="5CCFA8E8"/>
    <w:rsid w:val="5CD3A50A"/>
    <w:rsid w:val="5CDB2007"/>
    <w:rsid w:val="5CDBD67D"/>
    <w:rsid w:val="5CDE66C5"/>
    <w:rsid w:val="5CDFCBDC"/>
    <w:rsid w:val="5CE1DB65"/>
    <w:rsid w:val="5CE4AF1B"/>
    <w:rsid w:val="5CE502B0"/>
    <w:rsid w:val="5CE6654D"/>
    <w:rsid w:val="5CE6FBF7"/>
    <w:rsid w:val="5CE987C7"/>
    <w:rsid w:val="5CEAB8AD"/>
    <w:rsid w:val="5CEC20F6"/>
    <w:rsid w:val="5CEC3C42"/>
    <w:rsid w:val="5CEC5524"/>
    <w:rsid w:val="5CEE187E"/>
    <w:rsid w:val="5CEE9277"/>
    <w:rsid w:val="5CF0FC7F"/>
    <w:rsid w:val="5CF13A10"/>
    <w:rsid w:val="5CF2E682"/>
    <w:rsid w:val="5CF335FF"/>
    <w:rsid w:val="5CF4C32A"/>
    <w:rsid w:val="5CF53230"/>
    <w:rsid w:val="5CF7583F"/>
    <w:rsid w:val="5CF77D46"/>
    <w:rsid w:val="5CF87A0D"/>
    <w:rsid w:val="5CFA9AB3"/>
    <w:rsid w:val="5CFACC34"/>
    <w:rsid w:val="5CFE6248"/>
    <w:rsid w:val="5CFFB87C"/>
    <w:rsid w:val="5D003123"/>
    <w:rsid w:val="5D016A59"/>
    <w:rsid w:val="5D0351D6"/>
    <w:rsid w:val="5D04BE78"/>
    <w:rsid w:val="5D05A740"/>
    <w:rsid w:val="5D05B854"/>
    <w:rsid w:val="5D05C86E"/>
    <w:rsid w:val="5D06CE9B"/>
    <w:rsid w:val="5D0A7C2C"/>
    <w:rsid w:val="5D0B8645"/>
    <w:rsid w:val="5D0BD321"/>
    <w:rsid w:val="5D0C2F6B"/>
    <w:rsid w:val="5D0E954B"/>
    <w:rsid w:val="5D0F41A5"/>
    <w:rsid w:val="5D0F6D15"/>
    <w:rsid w:val="5D1124CE"/>
    <w:rsid w:val="5D1172E6"/>
    <w:rsid w:val="5D170F95"/>
    <w:rsid w:val="5D1928A6"/>
    <w:rsid w:val="5D1A14AC"/>
    <w:rsid w:val="5D1D1567"/>
    <w:rsid w:val="5D200550"/>
    <w:rsid w:val="5D2052BD"/>
    <w:rsid w:val="5D20867F"/>
    <w:rsid w:val="5D24283B"/>
    <w:rsid w:val="5D253CB4"/>
    <w:rsid w:val="5D2A07ED"/>
    <w:rsid w:val="5D2F4122"/>
    <w:rsid w:val="5D332C38"/>
    <w:rsid w:val="5D3459F3"/>
    <w:rsid w:val="5D349DCF"/>
    <w:rsid w:val="5D359281"/>
    <w:rsid w:val="5D3733C2"/>
    <w:rsid w:val="5D377314"/>
    <w:rsid w:val="5D38FB62"/>
    <w:rsid w:val="5D3A4C99"/>
    <w:rsid w:val="5D3A4CE4"/>
    <w:rsid w:val="5D3AE8F5"/>
    <w:rsid w:val="5D3B3C17"/>
    <w:rsid w:val="5D3D39DE"/>
    <w:rsid w:val="5D3EBBC1"/>
    <w:rsid w:val="5D4061D6"/>
    <w:rsid w:val="5D4159A7"/>
    <w:rsid w:val="5D44D8D9"/>
    <w:rsid w:val="5D4688DE"/>
    <w:rsid w:val="5D46E406"/>
    <w:rsid w:val="5D48DD9E"/>
    <w:rsid w:val="5D4938C6"/>
    <w:rsid w:val="5D4B0293"/>
    <w:rsid w:val="5D4C0FF0"/>
    <w:rsid w:val="5D4F0BDA"/>
    <w:rsid w:val="5D52C9F6"/>
    <w:rsid w:val="5D533D52"/>
    <w:rsid w:val="5D55AFFC"/>
    <w:rsid w:val="5D56984B"/>
    <w:rsid w:val="5D58EF5A"/>
    <w:rsid w:val="5D5AD731"/>
    <w:rsid w:val="5D5D960C"/>
    <w:rsid w:val="5D5EC1B1"/>
    <w:rsid w:val="5D5F3F55"/>
    <w:rsid w:val="5D619B35"/>
    <w:rsid w:val="5D620281"/>
    <w:rsid w:val="5D63CA5B"/>
    <w:rsid w:val="5D66DDAA"/>
    <w:rsid w:val="5D6A324A"/>
    <w:rsid w:val="5D6A7151"/>
    <w:rsid w:val="5D6CC506"/>
    <w:rsid w:val="5D6E616D"/>
    <w:rsid w:val="5D6F1B73"/>
    <w:rsid w:val="5D702430"/>
    <w:rsid w:val="5D72F3D4"/>
    <w:rsid w:val="5D734303"/>
    <w:rsid w:val="5D749630"/>
    <w:rsid w:val="5D75DDE7"/>
    <w:rsid w:val="5D7C0A8F"/>
    <w:rsid w:val="5D7C9FF3"/>
    <w:rsid w:val="5D7D8F08"/>
    <w:rsid w:val="5D7DC33A"/>
    <w:rsid w:val="5D7EC1E5"/>
    <w:rsid w:val="5D803EC3"/>
    <w:rsid w:val="5D80B76A"/>
    <w:rsid w:val="5D80FD27"/>
    <w:rsid w:val="5D84F9FF"/>
    <w:rsid w:val="5D86CCC1"/>
    <w:rsid w:val="5D8ACEF9"/>
    <w:rsid w:val="5D8B8CB2"/>
    <w:rsid w:val="5D8D798F"/>
    <w:rsid w:val="5D8E637F"/>
    <w:rsid w:val="5D954590"/>
    <w:rsid w:val="5D9721B3"/>
    <w:rsid w:val="5D97CD68"/>
    <w:rsid w:val="5D99606F"/>
    <w:rsid w:val="5D9AB0BD"/>
    <w:rsid w:val="5D9CAC7C"/>
    <w:rsid w:val="5DA324ED"/>
    <w:rsid w:val="5DA4CB58"/>
    <w:rsid w:val="5DA70AF0"/>
    <w:rsid w:val="5DA87DD4"/>
    <w:rsid w:val="5DB112FA"/>
    <w:rsid w:val="5DB11571"/>
    <w:rsid w:val="5DB23B31"/>
    <w:rsid w:val="5DB51600"/>
    <w:rsid w:val="5DBAF72A"/>
    <w:rsid w:val="5DBBAACF"/>
    <w:rsid w:val="5DBC0394"/>
    <w:rsid w:val="5DBEEF48"/>
    <w:rsid w:val="5DC408C1"/>
    <w:rsid w:val="5DC43931"/>
    <w:rsid w:val="5DC5DD89"/>
    <w:rsid w:val="5DC88918"/>
    <w:rsid w:val="5DC8C012"/>
    <w:rsid w:val="5DC8E2B3"/>
    <w:rsid w:val="5DCCC70F"/>
    <w:rsid w:val="5DCDAC13"/>
    <w:rsid w:val="5DCEFEC7"/>
    <w:rsid w:val="5DCFE3C9"/>
    <w:rsid w:val="5DD0AF15"/>
    <w:rsid w:val="5DD0E5F4"/>
    <w:rsid w:val="5DD1274A"/>
    <w:rsid w:val="5DD18B07"/>
    <w:rsid w:val="5DD38F25"/>
    <w:rsid w:val="5DD52EE3"/>
    <w:rsid w:val="5DD858E4"/>
    <w:rsid w:val="5DDC92EA"/>
    <w:rsid w:val="5DDDC521"/>
    <w:rsid w:val="5DDEF376"/>
    <w:rsid w:val="5DDFB6CF"/>
    <w:rsid w:val="5DDFBA94"/>
    <w:rsid w:val="5DE220E5"/>
    <w:rsid w:val="5DE3D951"/>
    <w:rsid w:val="5DE5256E"/>
    <w:rsid w:val="5DE569F3"/>
    <w:rsid w:val="5DE8F7B1"/>
    <w:rsid w:val="5DE91B35"/>
    <w:rsid w:val="5DE99CE6"/>
    <w:rsid w:val="5DEB34F8"/>
    <w:rsid w:val="5DED8613"/>
    <w:rsid w:val="5DEF5D62"/>
    <w:rsid w:val="5DF7D53F"/>
    <w:rsid w:val="5DF848C1"/>
    <w:rsid w:val="5DF9C1C4"/>
    <w:rsid w:val="5DFC7C44"/>
    <w:rsid w:val="5DFCB8D9"/>
    <w:rsid w:val="5DFD4032"/>
    <w:rsid w:val="5DFE3BC9"/>
    <w:rsid w:val="5DFE464D"/>
    <w:rsid w:val="5DFEF39F"/>
    <w:rsid w:val="5E027D93"/>
    <w:rsid w:val="5E02F8F9"/>
    <w:rsid w:val="5E034207"/>
    <w:rsid w:val="5E057C6A"/>
    <w:rsid w:val="5E05BCC3"/>
    <w:rsid w:val="5E05D5F0"/>
    <w:rsid w:val="5E0C55D8"/>
    <w:rsid w:val="5E0E31D1"/>
    <w:rsid w:val="5E0F42A9"/>
    <w:rsid w:val="5E10C1E3"/>
    <w:rsid w:val="5E128329"/>
    <w:rsid w:val="5E153572"/>
    <w:rsid w:val="5E15F944"/>
    <w:rsid w:val="5E16816E"/>
    <w:rsid w:val="5E16D9F2"/>
    <w:rsid w:val="5E17A6F1"/>
    <w:rsid w:val="5E190736"/>
    <w:rsid w:val="5E1BAD0E"/>
    <w:rsid w:val="5E1CE6F4"/>
    <w:rsid w:val="5E1D7C3B"/>
    <w:rsid w:val="5E1DA5FC"/>
    <w:rsid w:val="5E1EF450"/>
    <w:rsid w:val="5E232098"/>
    <w:rsid w:val="5E23969E"/>
    <w:rsid w:val="5E255A84"/>
    <w:rsid w:val="5E25B7CA"/>
    <w:rsid w:val="5E29006C"/>
    <w:rsid w:val="5E2C3261"/>
    <w:rsid w:val="5E2F37DD"/>
    <w:rsid w:val="5E2FB403"/>
    <w:rsid w:val="5E306A9C"/>
    <w:rsid w:val="5E312B08"/>
    <w:rsid w:val="5E320588"/>
    <w:rsid w:val="5E3796CF"/>
    <w:rsid w:val="5E37D84E"/>
    <w:rsid w:val="5E39C115"/>
    <w:rsid w:val="5E3A7F0C"/>
    <w:rsid w:val="5E402DF7"/>
    <w:rsid w:val="5E426EE7"/>
    <w:rsid w:val="5E47DEAE"/>
    <w:rsid w:val="5E49CC89"/>
    <w:rsid w:val="5E4E2660"/>
    <w:rsid w:val="5E4F5294"/>
    <w:rsid w:val="5E5032E1"/>
    <w:rsid w:val="5E5097EC"/>
    <w:rsid w:val="5E52CEF4"/>
    <w:rsid w:val="5E53F843"/>
    <w:rsid w:val="5E556778"/>
    <w:rsid w:val="5E56FA3C"/>
    <w:rsid w:val="5E576517"/>
    <w:rsid w:val="5E58AE21"/>
    <w:rsid w:val="5E58F9B2"/>
    <w:rsid w:val="5E5B9341"/>
    <w:rsid w:val="5E5BFBE1"/>
    <w:rsid w:val="5E5CBE2B"/>
    <w:rsid w:val="5E6436BA"/>
    <w:rsid w:val="5E644D06"/>
    <w:rsid w:val="5E665EA8"/>
    <w:rsid w:val="5E68E055"/>
    <w:rsid w:val="5E720BA5"/>
    <w:rsid w:val="5E73B234"/>
    <w:rsid w:val="5E743EEE"/>
    <w:rsid w:val="5E75275B"/>
    <w:rsid w:val="5E7715D8"/>
    <w:rsid w:val="5E78DEB4"/>
    <w:rsid w:val="5E78F30D"/>
    <w:rsid w:val="5E7D2F7D"/>
    <w:rsid w:val="5E7E551B"/>
    <w:rsid w:val="5E7EBD82"/>
    <w:rsid w:val="5E7EF327"/>
    <w:rsid w:val="5E7F9FD4"/>
    <w:rsid w:val="5E831924"/>
    <w:rsid w:val="5E8617F7"/>
    <w:rsid w:val="5E887E13"/>
    <w:rsid w:val="5E8DCA75"/>
    <w:rsid w:val="5E91A3CE"/>
    <w:rsid w:val="5E9348EB"/>
    <w:rsid w:val="5E93D7B3"/>
    <w:rsid w:val="5E96F86A"/>
    <w:rsid w:val="5E97D909"/>
    <w:rsid w:val="5E998DEB"/>
    <w:rsid w:val="5E9A5AAF"/>
    <w:rsid w:val="5E9DBCAF"/>
    <w:rsid w:val="5EA03727"/>
    <w:rsid w:val="5EA1147E"/>
    <w:rsid w:val="5EA925B7"/>
    <w:rsid w:val="5EAC540C"/>
    <w:rsid w:val="5EAD46C7"/>
    <w:rsid w:val="5EAD6372"/>
    <w:rsid w:val="5EAECAF0"/>
    <w:rsid w:val="5EAECC30"/>
    <w:rsid w:val="5EB01F0F"/>
    <w:rsid w:val="5EB22DB0"/>
    <w:rsid w:val="5EB40F84"/>
    <w:rsid w:val="5EB556FD"/>
    <w:rsid w:val="5EB82A0F"/>
    <w:rsid w:val="5EBB50D7"/>
    <w:rsid w:val="5EBBAAED"/>
    <w:rsid w:val="5EBEACC9"/>
    <w:rsid w:val="5EC08611"/>
    <w:rsid w:val="5EC13949"/>
    <w:rsid w:val="5EC2DDCA"/>
    <w:rsid w:val="5EC4B46A"/>
    <w:rsid w:val="5EC7DD7A"/>
    <w:rsid w:val="5EC85E21"/>
    <w:rsid w:val="5EC8863D"/>
    <w:rsid w:val="5ECBE922"/>
    <w:rsid w:val="5ECDA88D"/>
    <w:rsid w:val="5ECEE255"/>
    <w:rsid w:val="5ECFAD06"/>
    <w:rsid w:val="5ED01326"/>
    <w:rsid w:val="5ED21ECB"/>
    <w:rsid w:val="5ED35497"/>
    <w:rsid w:val="5ED418CB"/>
    <w:rsid w:val="5ED68C04"/>
    <w:rsid w:val="5ED9ACA1"/>
    <w:rsid w:val="5EDA3617"/>
    <w:rsid w:val="5EDFCD26"/>
    <w:rsid w:val="5EE02334"/>
    <w:rsid w:val="5EE047C7"/>
    <w:rsid w:val="5EE16CDD"/>
    <w:rsid w:val="5EE31AD7"/>
    <w:rsid w:val="5EE811DA"/>
    <w:rsid w:val="5EE91D1A"/>
    <w:rsid w:val="5EED61AB"/>
    <w:rsid w:val="5EEE34A5"/>
    <w:rsid w:val="5EF0FB77"/>
    <w:rsid w:val="5EF1D97B"/>
    <w:rsid w:val="5EF3C8D8"/>
    <w:rsid w:val="5EF7D84E"/>
    <w:rsid w:val="5EF8C78F"/>
    <w:rsid w:val="5EFA039C"/>
    <w:rsid w:val="5EFC6F93"/>
    <w:rsid w:val="5EFFCF8D"/>
    <w:rsid w:val="5F0121BC"/>
    <w:rsid w:val="5F02BCFF"/>
    <w:rsid w:val="5F05278E"/>
    <w:rsid w:val="5F077147"/>
    <w:rsid w:val="5F08C0D7"/>
    <w:rsid w:val="5F09D453"/>
    <w:rsid w:val="5F0B804B"/>
    <w:rsid w:val="5F0B97C7"/>
    <w:rsid w:val="5F0C1212"/>
    <w:rsid w:val="5F0CB045"/>
    <w:rsid w:val="5F0F09D6"/>
    <w:rsid w:val="5F105440"/>
    <w:rsid w:val="5F1157D2"/>
    <w:rsid w:val="5F1158EA"/>
    <w:rsid w:val="5F153E54"/>
    <w:rsid w:val="5F16EA4F"/>
    <w:rsid w:val="5F17506D"/>
    <w:rsid w:val="5F1785E3"/>
    <w:rsid w:val="5F1B2914"/>
    <w:rsid w:val="5F1B3183"/>
    <w:rsid w:val="5F1B89A3"/>
    <w:rsid w:val="5F1E4B9A"/>
    <w:rsid w:val="5F20E194"/>
    <w:rsid w:val="5F212AC1"/>
    <w:rsid w:val="5F21A3EB"/>
    <w:rsid w:val="5F269008"/>
    <w:rsid w:val="5F26A31D"/>
    <w:rsid w:val="5F27EF53"/>
    <w:rsid w:val="5F293A44"/>
    <w:rsid w:val="5F2953A2"/>
    <w:rsid w:val="5F2A0EFF"/>
    <w:rsid w:val="5F2E1C6A"/>
    <w:rsid w:val="5F318143"/>
    <w:rsid w:val="5F32E40D"/>
    <w:rsid w:val="5F330E25"/>
    <w:rsid w:val="5F346DE3"/>
    <w:rsid w:val="5F35DD5E"/>
    <w:rsid w:val="5F366AE0"/>
    <w:rsid w:val="5F37FF80"/>
    <w:rsid w:val="5F38B3E8"/>
    <w:rsid w:val="5F41F5A6"/>
    <w:rsid w:val="5F4309BB"/>
    <w:rsid w:val="5F4449E4"/>
    <w:rsid w:val="5F454F94"/>
    <w:rsid w:val="5F45C8E7"/>
    <w:rsid w:val="5F4A0425"/>
    <w:rsid w:val="5F4BC02F"/>
    <w:rsid w:val="5F4CF93D"/>
    <w:rsid w:val="5F4E0607"/>
    <w:rsid w:val="5F4F38B3"/>
    <w:rsid w:val="5F510DD8"/>
    <w:rsid w:val="5F51134F"/>
    <w:rsid w:val="5F52014A"/>
    <w:rsid w:val="5F56F7E4"/>
    <w:rsid w:val="5F57310E"/>
    <w:rsid w:val="5F588732"/>
    <w:rsid w:val="5F59A150"/>
    <w:rsid w:val="5F5B8795"/>
    <w:rsid w:val="5F5D833C"/>
    <w:rsid w:val="5F5E032C"/>
    <w:rsid w:val="5F5E7E88"/>
    <w:rsid w:val="5F5F94F4"/>
    <w:rsid w:val="5F5F9832"/>
    <w:rsid w:val="5F60C3C9"/>
    <w:rsid w:val="5F67314D"/>
    <w:rsid w:val="5F697A53"/>
    <w:rsid w:val="5F6AC0E0"/>
    <w:rsid w:val="5F6D6546"/>
    <w:rsid w:val="5F6DE578"/>
    <w:rsid w:val="5F6EBA48"/>
    <w:rsid w:val="5F70EFA1"/>
    <w:rsid w:val="5F72D6F5"/>
    <w:rsid w:val="5F73E257"/>
    <w:rsid w:val="5F75A02D"/>
    <w:rsid w:val="5F76A732"/>
    <w:rsid w:val="5F77E2AE"/>
    <w:rsid w:val="5F7B3B55"/>
    <w:rsid w:val="5F7E25AF"/>
    <w:rsid w:val="5F7F3297"/>
    <w:rsid w:val="5F8008A4"/>
    <w:rsid w:val="5F85ADAD"/>
    <w:rsid w:val="5F86318A"/>
    <w:rsid w:val="5F868CC9"/>
    <w:rsid w:val="5F8942C2"/>
    <w:rsid w:val="5F89FE4E"/>
    <w:rsid w:val="5F8C125C"/>
    <w:rsid w:val="5F8C4ED6"/>
    <w:rsid w:val="5F945588"/>
    <w:rsid w:val="5F96DC99"/>
    <w:rsid w:val="5F97D638"/>
    <w:rsid w:val="5F9D783C"/>
    <w:rsid w:val="5FA38B63"/>
    <w:rsid w:val="5FA74C67"/>
    <w:rsid w:val="5FA8BC3E"/>
    <w:rsid w:val="5FA97413"/>
    <w:rsid w:val="5FA9CD04"/>
    <w:rsid w:val="5FAB2B66"/>
    <w:rsid w:val="5FAB312E"/>
    <w:rsid w:val="5FACC5C9"/>
    <w:rsid w:val="5FAD67AE"/>
    <w:rsid w:val="5FADED24"/>
    <w:rsid w:val="5FAF8BCE"/>
    <w:rsid w:val="5FB5AC7D"/>
    <w:rsid w:val="5FB709DF"/>
    <w:rsid w:val="5FB88A69"/>
    <w:rsid w:val="5FBAF7CB"/>
    <w:rsid w:val="5FBBC339"/>
    <w:rsid w:val="5FBEC11D"/>
    <w:rsid w:val="5FBF2DC4"/>
    <w:rsid w:val="5FC45E12"/>
    <w:rsid w:val="5FC47569"/>
    <w:rsid w:val="5FC48A55"/>
    <w:rsid w:val="5FC48B7C"/>
    <w:rsid w:val="5FC4B536"/>
    <w:rsid w:val="5FC58538"/>
    <w:rsid w:val="5FC64C54"/>
    <w:rsid w:val="5FC73D3A"/>
    <w:rsid w:val="5FC801AA"/>
    <w:rsid w:val="5FC92FFE"/>
    <w:rsid w:val="5FC9DB91"/>
    <w:rsid w:val="5FCA85A9"/>
    <w:rsid w:val="5FCB46F0"/>
    <w:rsid w:val="5FCEBD4B"/>
    <w:rsid w:val="5FD2A2BC"/>
    <w:rsid w:val="5FD2E14C"/>
    <w:rsid w:val="5FD54B4D"/>
    <w:rsid w:val="5FD64DB5"/>
    <w:rsid w:val="5FD8AB73"/>
    <w:rsid w:val="5FDB0D5D"/>
    <w:rsid w:val="5FE240BD"/>
    <w:rsid w:val="5FE2F891"/>
    <w:rsid w:val="5FE4303D"/>
    <w:rsid w:val="5FE4DC10"/>
    <w:rsid w:val="5FE56677"/>
    <w:rsid w:val="5FE5F4F9"/>
    <w:rsid w:val="5FE7AC2F"/>
    <w:rsid w:val="5FEA9365"/>
    <w:rsid w:val="5FEACE7B"/>
    <w:rsid w:val="5FEBBBB5"/>
    <w:rsid w:val="5FEBFC1F"/>
    <w:rsid w:val="5FEF302D"/>
    <w:rsid w:val="5FF1AE6E"/>
    <w:rsid w:val="5FF1FF76"/>
    <w:rsid w:val="5FF249F3"/>
    <w:rsid w:val="5FF3BBDB"/>
    <w:rsid w:val="5FF3EF9C"/>
    <w:rsid w:val="5FF5230D"/>
    <w:rsid w:val="5FF704F7"/>
    <w:rsid w:val="5FFAEC2B"/>
    <w:rsid w:val="5FFB6803"/>
    <w:rsid w:val="5FFBDB1B"/>
    <w:rsid w:val="5FFC231D"/>
    <w:rsid w:val="5FFD0FA5"/>
    <w:rsid w:val="5FFD1159"/>
    <w:rsid w:val="5FFD51CF"/>
    <w:rsid w:val="5FFEE161"/>
    <w:rsid w:val="5FFF0AAF"/>
    <w:rsid w:val="600565E3"/>
    <w:rsid w:val="60059E86"/>
    <w:rsid w:val="6007F004"/>
    <w:rsid w:val="6008B8F8"/>
    <w:rsid w:val="6008CEDA"/>
    <w:rsid w:val="6009BAFA"/>
    <w:rsid w:val="600B01EC"/>
    <w:rsid w:val="600B0749"/>
    <w:rsid w:val="601357E8"/>
    <w:rsid w:val="601C2DEE"/>
    <w:rsid w:val="601C9658"/>
    <w:rsid w:val="601F8D28"/>
    <w:rsid w:val="60252FCD"/>
    <w:rsid w:val="6026EDD3"/>
    <w:rsid w:val="6029DFDF"/>
    <w:rsid w:val="602E594F"/>
    <w:rsid w:val="602E6ADB"/>
    <w:rsid w:val="603212D9"/>
    <w:rsid w:val="603325EC"/>
    <w:rsid w:val="6037F7B8"/>
    <w:rsid w:val="60380713"/>
    <w:rsid w:val="603A8E51"/>
    <w:rsid w:val="603D42F7"/>
    <w:rsid w:val="60435E3D"/>
    <w:rsid w:val="60455933"/>
    <w:rsid w:val="6045EE2F"/>
    <w:rsid w:val="60497FF3"/>
    <w:rsid w:val="6049F4B0"/>
    <w:rsid w:val="604A9E99"/>
    <w:rsid w:val="604BB263"/>
    <w:rsid w:val="604CBFE9"/>
    <w:rsid w:val="604D3BF2"/>
    <w:rsid w:val="604DE369"/>
    <w:rsid w:val="604E31CF"/>
    <w:rsid w:val="604F1F5D"/>
    <w:rsid w:val="60523A8A"/>
    <w:rsid w:val="605410B6"/>
    <w:rsid w:val="605A385F"/>
    <w:rsid w:val="605AFFD8"/>
    <w:rsid w:val="605D1889"/>
    <w:rsid w:val="605F651B"/>
    <w:rsid w:val="605F9F18"/>
    <w:rsid w:val="605FA1E1"/>
    <w:rsid w:val="60603728"/>
    <w:rsid w:val="6060AAC1"/>
    <w:rsid w:val="60614CAF"/>
    <w:rsid w:val="60618299"/>
    <w:rsid w:val="60642D1D"/>
    <w:rsid w:val="606A7C15"/>
    <w:rsid w:val="606D2ABF"/>
    <w:rsid w:val="606E148E"/>
    <w:rsid w:val="606E462D"/>
    <w:rsid w:val="606EE581"/>
    <w:rsid w:val="606EF6C8"/>
    <w:rsid w:val="606F4F81"/>
    <w:rsid w:val="606F5719"/>
    <w:rsid w:val="6071F1A1"/>
    <w:rsid w:val="6072BEC5"/>
    <w:rsid w:val="60741077"/>
    <w:rsid w:val="60771F4F"/>
    <w:rsid w:val="6078813F"/>
    <w:rsid w:val="607F98E7"/>
    <w:rsid w:val="60824CA3"/>
    <w:rsid w:val="6083E012"/>
    <w:rsid w:val="60862BB2"/>
    <w:rsid w:val="608A690D"/>
    <w:rsid w:val="608CABCB"/>
    <w:rsid w:val="608FA1AA"/>
    <w:rsid w:val="6095DBFD"/>
    <w:rsid w:val="609AE246"/>
    <w:rsid w:val="609BC4C9"/>
    <w:rsid w:val="609C11D8"/>
    <w:rsid w:val="609D0DCA"/>
    <w:rsid w:val="609F5C82"/>
    <w:rsid w:val="609FC914"/>
    <w:rsid w:val="60A07680"/>
    <w:rsid w:val="60A17D2C"/>
    <w:rsid w:val="60A3E9B9"/>
    <w:rsid w:val="60A4A1E7"/>
    <w:rsid w:val="60AC3859"/>
    <w:rsid w:val="60AE207D"/>
    <w:rsid w:val="60AE5EEE"/>
    <w:rsid w:val="60B08F13"/>
    <w:rsid w:val="60B2B94C"/>
    <w:rsid w:val="60B2D937"/>
    <w:rsid w:val="60B676A4"/>
    <w:rsid w:val="60B89B41"/>
    <w:rsid w:val="60B8DBC3"/>
    <w:rsid w:val="60B8F2D8"/>
    <w:rsid w:val="60BB9E95"/>
    <w:rsid w:val="60BE0F82"/>
    <w:rsid w:val="60BF7812"/>
    <w:rsid w:val="60C33321"/>
    <w:rsid w:val="60C99A4F"/>
    <w:rsid w:val="60CB7BBC"/>
    <w:rsid w:val="60CBEA65"/>
    <w:rsid w:val="60CCFAB4"/>
    <w:rsid w:val="60CD1AFD"/>
    <w:rsid w:val="60CE202F"/>
    <w:rsid w:val="60CE2C7D"/>
    <w:rsid w:val="60D03D71"/>
    <w:rsid w:val="60D73FF2"/>
    <w:rsid w:val="60D8A222"/>
    <w:rsid w:val="60D8F7AA"/>
    <w:rsid w:val="60DBB9C0"/>
    <w:rsid w:val="60DDA823"/>
    <w:rsid w:val="60E0F570"/>
    <w:rsid w:val="60E24850"/>
    <w:rsid w:val="60E2F568"/>
    <w:rsid w:val="60E32F3D"/>
    <w:rsid w:val="60E33C67"/>
    <w:rsid w:val="60E4519B"/>
    <w:rsid w:val="60E474AD"/>
    <w:rsid w:val="60E4F5B9"/>
    <w:rsid w:val="60E54124"/>
    <w:rsid w:val="60E7537E"/>
    <w:rsid w:val="60E7A299"/>
    <w:rsid w:val="60ECBF75"/>
    <w:rsid w:val="60ECFEAC"/>
    <w:rsid w:val="60EE8EDF"/>
    <w:rsid w:val="60F2892E"/>
    <w:rsid w:val="60F39E0D"/>
    <w:rsid w:val="60F57A29"/>
    <w:rsid w:val="60F5F59E"/>
    <w:rsid w:val="60F6176E"/>
    <w:rsid w:val="60F9F5E7"/>
    <w:rsid w:val="61037096"/>
    <w:rsid w:val="61048027"/>
    <w:rsid w:val="6105EA81"/>
    <w:rsid w:val="61068632"/>
    <w:rsid w:val="6107672F"/>
    <w:rsid w:val="61084128"/>
    <w:rsid w:val="6109F7A4"/>
    <w:rsid w:val="610A92D4"/>
    <w:rsid w:val="610DBCD7"/>
    <w:rsid w:val="610DD4E7"/>
    <w:rsid w:val="610DDE74"/>
    <w:rsid w:val="610F669F"/>
    <w:rsid w:val="611107D6"/>
    <w:rsid w:val="6114E256"/>
    <w:rsid w:val="611875C1"/>
    <w:rsid w:val="61198EA7"/>
    <w:rsid w:val="611AEC7B"/>
    <w:rsid w:val="611E56DF"/>
    <w:rsid w:val="611E8EED"/>
    <w:rsid w:val="611F9E1B"/>
    <w:rsid w:val="6120C8EC"/>
    <w:rsid w:val="612167EC"/>
    <w:rsid w:val="61237378"/>
    <w:rsid w:val="6123B8DB"/>
    <w:rsid w:val="61256C06"/>
    <w:rsid w:val="61260BF3"/>
    <w:rsid w:val="612A3CAF"/>
    <w:rsid w:val="612E8BF8"/>
    <w:rsid w:val="612FBFA4"/>
    <w:rsid w:val="613024EC"/>
    <w:rsid w:val="61313467"/>
    <w:rsid w:val="61328AB8"/>
    <w:rsid w:val="6132E5A6"/>
    <w:rsid w:val="61336BBB"/>
    <w:rsid w:val="61346D6A"/>
    <w:rsid w:val="61386570"/>
    <w:rsid w:val="61389A78"/>
    <w:rsid w:val="613B5E4B"/>
    <w:rsid w:val="613CD229"/>
    <w:rsid w:val="613EB7D6"/>
    <w:rsid w:val="613F8BA2"/>
    <w:rsid w:val="614082C3"/>
    <w:rsid w:val="6141DFA7"/>
    <w:rsid w:val="6142B029"/>
    <w:rsid w:val="61457BC5"/>
    <w:rsid w:val="6145A83F"/>
    <w:rsid w:val="6145BF95"/>
    <w:rsid w:val="6146C345"/>
    <w:rsid w:val="6148F98B"/>
    <w:rsid w:val="61491A34"/>
    <w:rsid w:val="61492633"/>
    <w:rsid w:val="6149F241"/>
    <w:rsid w:val="614D7CA7"/>
    <w:rsid w:val="614FC6F3"/>
    <w:rsid w:val="61532ED0"/>
    <w:rsid w:val="6153D1AA"/>
    <w:rsid w:val="61544298"/>
    <w:rsid w:val="6156DBC0"/>
    <w:rsid w:val="61570777"/>
    <w:rsid w:val="615765EE"/>
    <w:rsid w:val="6157F7CE"/>
    <w:rsid w:val="61589080"/>
    <w:rsid w:val="6159D0FA"/>
    <w:rsid w:val="615B253B"/>
    <w:rsid w:val="6160DEFB"/>
    <w:rsid w:val="61633540"/>
    <w:rsid w:val="6163825F"/>
    <w:rsid w:val="6163C88D"/>
    <w:rsid w:val="616AA996"/>
    <w:rsid w:val="616AE964"/>
    <w:rsid w:val="616C5ABC"/>
    <w:rsid w:val="616EFD87"/>
    <w:rsid w:val="61706AA1"/>
    <w:rsid w:val="61708A70"/>
    <w:rsid w:val="6173C3B1"/>
    <w:rsid w:val="6174AD85"/>
    <w:rsid w:val="6175C725"/>
    <w:rsid w:val="6175F837"/>
    <w:rsid w:val="6176C4F7"/>
    <w:rsid w:val="61773BFA"/>
    <w:rsid w:val="6177E1FD"/>
    <w:rsid w:val="61782C50"/>
    <w:rsid w:val="617BB890"/>
    <w:rsid w:val="617CE28B"/>
    <w:rsid w:val="617E92D1"/>
    <w:rsid w:val="61805D01"/>
    <w:rsid w:val="61818319"/>
    <w:rsid w:val="6185C1A4"/>
    <w:rsid w:val="618762EB"/>
    <w:rsid w:val="61896755"/>
    <w:rsid w:val="618D2CE5"/>
    <w:rsid w:val="618D9A8E"/>
    <w:rsid w:val="618F1881"/>
    <w:rsid w:val="61910624"/>
    <w:rsid w:val="61927C91"/>
    <w:rsid w:val="6195DB3A"/>
    <w:rsid w:val="6195DE8E"/>
    <w:rsid w:val="6197C7DD"/>
    <w:rsid w:val="619DAF67"/>
    <w:rsid w:val="619DB00B"/>
    <w:rsid w:val="619F7119"/>
    <w:rsid w:val="619FB9B8"/>
    <w:rsid w:val="61A0FF79"/>
    <w:rsid w:val="61A19264"/>
    <w:rsid w:val="61A50C1C"/>
    <w:rsid w:val="61A67CC1"/>
    <w:rsid w:val="61A7E3AC"/>
    <w:rsid w:val="61A9D09A"/>
    <w:rsid w:val="61AD69BE"/>
    <w:rsid w:val="61AF88CE"/>
    <w:rsid w:val="61B1646D"/>
    <w:rsid w:val="61B25D46"/>
    <w:rsid w:val="61B37A65"/>
    <w:rsid w:val="61B6B349"/>
    <w:rsid w:val="61B76497"/>
    <w:rsid w:val="61B80CED"/>
    <w:rsid w:val="61B8535B"/>
    <w:rsid w:val="61B96CDB"/>
    <w:rsid w:val="61B9C0BB"/>
    <w:rsid w:val="61BB2B97"/>
    <w:rsid w:val="61BE9867"/>
    <w:rsid w:val="61BEC2B2"/>
    <w:rsid w:val="61C427F4"/>
    <w:rsid w:val="61C5F59C"/>
    <w:rsid w:val="61C87755"/>
    <w:rsid w:val="61C89C64"/>
    <w:rsid w:val="61CD4491"/>
    <w:rsid w:val="61D001CC"/>
    <w:rsid w:val="61D015E9"/>
    <w:rsid w:val="61D18CE3"/>
    <w:rsid w:val="61D1B39D"/>
    <w:rsid w:val="61D89F8A"/>
    <w:rsid w:val="61DA7FA1"/>
    <w:rsid w:val="61DB6435"/>
    <w:rsid w:val="61DB7AAA"/>
    <w:rsid w:val="61DBA607"/>
    <w:rsid w:val="61DDD18A"/>
    <w:rsid w:val="61E3B996"/>
    <w:rsid w:val="61E3C2B9"/>
    <w:rsid w:val="61E542DC"/>
    <w:rsid w:val="61E732A6"/>
    <w:rsid w:val="61E76D4E"/>
    <w:rsid w:val="61E7F4F7"/>
    <w:rsid w:val="61EB838B"/>
    <w:rsid w:val="61EC3CA2"/>
    <w:rsid w:val="61ED7021"/>
    <w:rsid w:val="61EDC7C2"/>
    <w:rsid w:val="61EE3102"/>
    <w:rsid w:val="61EEC340"/>
    <w:rsid w:val="61EEF91A"/>
    <w:rsid w:val="61F0C134"/>
    <w:rsid w:val="61F22613"/>
    <w:rsid w:val="61F323F7"/>
    <w:rsid w:val="61F3CC38"/>
    <w:rsid w:val="61F46B4F"/>
    <w:rsid w:val="61F5EC1A"/>
    <w:rsid w:val="61F614BA"/>
    <w:rsid w:val="61F72D59"/>
    <w:rsid w:val="61F8E568"/>
    <w:rsid w:val="61FF9702"/>
    <w:rsid w:val="61FFE4B6"/>
    <w:rsid w:val="62007CDB"/>
    <w:rsid w:val="62013B50"/>
    <w:rsid w:val="6204752E"/>
    <w:rsid w:val="62050C36"/>
    <w:rsid w:val="62054A9C"/>
    <w:rsid w:val="62062BA3"/>
    <w:rsid w:val="6208191C"/>
    <w:rsid w:val="62092D7F"/>
    <w:rsid w:val="620998FF"/>
    <w:rsid w:val="620CF6A8"/>
    <w:rsid w:val="6210938E"/>
    <w:rsid w:val="6211529C"/>
    <w:rsid w:val="6213A464"/>
    <w:rsid w:val="6213CAAB"/>
    <w:rsid w:val="62140A5C"/>
    <w:rsid w:val="621532EB"/>
    <w:rsid w:val="6215A4CC"/>
    <w:rsid w:val="6215DCC3"/>
    <w:rsid w:val="621846E8"/>
    <w:rsid w:val="621904B2"/>
    <w:rsid w:val="622041A0"/>
    <w:rsid w:val="6220832C"/>
    <w:rsid w:val="62219C3C"/>
    <w:rsid w:val="6224FD8F"/>
    <w:rsid w:val="62272EC8"/>
    <w:rsid w:val="622B9313"/>
    <w:rsid w:val="622C8871"/>
    <w:rsid w:val="6230FFC2"/>
    <w:rsid w:val="6233AB16"/>
    <w:rsid w:val="623403DE"/>
    <w:rsid w:val="6234277C"/>
    <w:rsid w:val="62374BDC"/>
    <w:rsid w:val="6238E23F"/>
    <w:rsid w:val="623912F1"/>
    <w:rsid w:val="623A9952"/>
    <w:rsid w:val="623B1D02"/>
    <w:rsid w:val="623BC088"/>
    <w:rsid w:val="623C1797"/>
    <w:rsid w:val="623FCFA4"/>
    <w:rsid w:val="6242845C"/>
    <w:rsid w:val="624331F1"/>
    <w:rsid w:val="62467420"/>
    <w:rsid w:val="62472B34"/>
    <w:rsid w:val="624A477C"/>
    <w:rsid w:val="624CDDA8"/>
    <w:rsid w:val="624D3E27"/>
    <w:rsid w:val="624D9B25"/>
    <w:rsid w:val="62512D21"/>
    <w:rsid w:val="625315DD"/>
    <w:rsid w:val="62540EE3"/>
    <w:rsid w:val="6254DDC4"/>
    <w:rsid w:val="6255C0AA"/>
    <w:rsid w:val="62579713"/>
    <w:rsid w:val="6257A75E"/>
    <w:rsid w:val="6257BE7C"/>
    <w:rsid w:val="6258CF5A"/>
    <w:rsid w:val="625D0A5C"/>
    <w:rsid w:val="6260EDC1"/>
    <w:rsid w:val="6261D6F3"/>
    <w:rsid w:val="6263A45D"/>
    <w:rsid w:val="626A20FD"/>
    <w:rsid w:val="62741FA2"/>
    <w:rsid w:val="627420D5"/>
    <w:rsid w:val="627626EF"/>
    <w:rsid w:val="6278DEF0"/>
    <w:rsid w:val="627B305B"/>
    <w:rsid w:val="6280ED11"/>
    <w:rsid w:val="62816B09"/>
    <w:rsid w:val="6281CF69"/>
    <w:rsid w:val="62820CDA"/>
    <w:rsid w:val="6284E5E1"/>
    <w:rsid w:val="6286D475"/>
    <w:rsid w:val="6288A664"/>
    <w:rsid w:val="628A0564"/>
    <w:rsid w:val="628D1AB4"/>
    <w:rsid w:val="62912693"/>
    <w:rsid w:val="62937F3B"/>
    <w:rsid w:val="62942D5F"/>
    <w:rsid w:val="62951B0A"/>
    <w:rsid w:val="629B7987"/>
    <w:rsid w:val="629F60CB"/>
    <w:rsid w:val="62A02516"/>
    <w:rsid w:val="62A08548"/>
    <w:rsid w:val="62A1A410"/>
    <w:rsid w:val="62A2859E"/>
    <w:rsid w:val="62A5175E"/>
    <w:rsid w:val="62A53964"/>
    <w:rsid w:val="62A7538F"/>
    <w:rsid w:val="62A85B69"/>
    <w:rsid w:val="62AA99F0"/>
    <w:rsid w:val="62AB26D3"/>
    <w:rsid w:val="62ACAD95"/>
    <w:rsid w:val="62AF120B"/>
    <w:rsid w:val="62B0780E"/>
    <w:rsid w:val="62B16A4C"/>
    <w:rsid w:val="62B31979"/>
    <w:rsid w:val="62B3B61B"/>
    <w:rsid w:val="62B6DC6E"/>
    <w:rsid w:val="62B6E622"/>
    <w:rsid w:val="62B88233"/>
    <w:rsid w:val="62B8BA37"/>
    <w:rsid w:val="62B9018C"/>
    <w:rsid w:val="62B96D92"/>
    <w:rsid w:val="62B97B45"/>
    <w:rsid w:val="62BD0935"/>
    <w:rsid w:val="62BE8CE7"/>
    <w:rsid w:val="62BFC3A0"/>
    <w:rsid w:val="62BFD2D6"/>
    <w:rsid w:val="62C3CD39"/>
    <w:rsid w:val="62C4A53A"/>
    <w:rsid w:val="62C77AF1"/>
    <w:rsid w:val="62C7C856"/>
    <w:rsid w:val="62C91A97"/>
    <w:rsid w:val="62CD0FE6"/>
    <w:rsid w:val="62CDA3E6"/>
    <w:rsid w:val="62CDC979"/>
    <w:rsid w:val="62CF3A5F"/>
    <w:rsid w:val="62D009B4"/>
    <w:rsid w:val="62D116FD"/>
    <w:rsid w:val="62D14BBF"/>
    <w:rsid w:val="62D31DB8"/>
    <w:rsid w:val="62D32293"/>
    <w:rsid w:val="62D3C893"/>
    <w:rsid w:val="62D4B1C7"/>
    <w:rsid w:val="62D5644F"/>
    <w:rsid w:val="62D8410F"/>
    <w:rsid w:val="62D93E46"/>
    <w:rsid w:val="62DE9D3E"/>
    <w:rsid w:val="62E0C612"/>
    <w:rsid w:val="62E2BFE5"/>
    <w:rsid w:val="62E6E4F8"/>
    <w:rsid w:val="62E7B8B9"/>
    <w:rsid w:val="62E84E6E"/>
    <w:rsid w:val="62E91239"/>
    <w:rsid w:val="62E95489"/>
    <w:rsid w:val="62EA05BB"/>
    <w:rsid w:val="62EBA993"/>
    <w:rsid w:val="62EE86A8"/>
    <w:rsid w:val="62EF9F0D"/>
    <w:rsid w:val="62F399DF"/>
    <w:rsid w:val="62F44CDA"/>
    <w:rsid w:val="62F51523"/>
    <w:rsid w:val="62F55527"/>
    <w:rsid w:val="62FA8609"/>
    <w:rsid w:val="62FC5D86"/>
    <w:rsid w:val="62FEE95C"/>
    <w:rsid w:val="6302E68B"/>
    <w:rsid w:val="6306D4E6"/>
    <w:rsid w:val="630B4651"/>
    <w:rsid w:val="630F2656"/>
    <w:rsid w:val="6314A3CF"/>
    <w:rsid w:val="631650EE"/>
    <w:rsid w:val="631742FE"/>
    <w:rsid w:val="6317CB22"/>
    <w:rsid w:val="631A95E8"/>
    <w:rsid w:val="631C3024"/>
    <w:rsid w:val="6321ACF0"/>
    <w:rsid w:val="63223E11"/>
    <w:rsid w:val="6322DA50"/>
    <w:rsid w:val="6325A4A6"/>
    <w:rsid w:val="632BE684"/>
    <w:rsid w:val="633099F2"/>
    <w:rsid w:val="6331E322"/>
    <w:rsid w:val="63330B04"/>
    <w:rsid w:val="633605D8"/>
    <w:rsid w:val="63371DE1"/>
    <w:rsid w:val="633817FC"/>
    <w:rsid w:val="6338C5C3"/>
    <w:rsid w:val="633CE308"/>
    <w:rsid w:val="633DE07E"/>
    <w:rsid w:val="633E7A9A"/>
    <w:rsid w:val="634265B1"/>
    <w:rsid w:val="6343C12C"/>
    <w:rsid w:val="63457C0F"/>
    <w:rsid w:val="63464BB9"/>
    <w:rsid w:val="634A1E48"/>
    <w:rsid w:val="634AA3EE"/>
    <w:rsid w:val="634B4DE0"/>
    <w:rsid w:val="634BC2AD"/>
    <w:rsid w:val="63535556"/>
    <w:rsid w:val="6353FBE9"/>
    <w:rsid w:val="63578509"/>
    <w:rsid w:val="6357C8A4"/>
    <w:rsid w:val="6357FE0C"/>
    <w:rsid w:val="6359EBCC"/>
    <w:rsid w:val="635A3403"/>
    <w:rsid w:val="635B616F"/>
    <w:rsid w:val="635ED293"/>
    <w:rsid w:val="635F777D"/>
    <w:rsid w:val="635F8503"/>
    <w:rsid w:val="635FBF7E"/>
    <w:rsid w:val="6365970F"/>
    <w:rsid w:val="6368DF62"/>
    <w:rsid w:val="636D3ED6"/>
    <w:rsid w:val="636FEE02"/>
    <w:rsid w:val="637357E0"/>
    <w:rsid w:val="63749958"/>
    <w:rsid w:val="6375F08E"/>
    <w:rsid w:val="63777250"/>
    <w:rsid w:val="6377B434"/>
    <w:rsid w:val="637D755A"/>
    <w:rsid w:val="637EFDFF"/>
    <w:rsid w:val="63845790"/>
    <w:rsid w:val="63862856"/>
    <w:rsid w:val="638686BB"/>
    <w:rsid w:val="6389170A"/>
    <w:rsid w:val="63894695"/>
    <w:rsid w:val="6389C520"/>
    <w:rsid w:val="6389EDA8"/>
    <w:rsid w:val="638D8834"/>
    <w:rsid w:val="638E60C0"/>
    <w:rsid w:val="638F2FAE"/>
    <w:rsid w:val="63916727"/>
    <w:rsid w:val="63921D61"/>
    <w:rsid w:val="63938F71"/>
    <w:rsid w:val="63946AEF"/>
    <w:rsid w:val="6395866C"/>
    <w:rsid w:val="6395E51C"/>
    <w:rsid w:val="639873AB"/>
    <w:rsid w:val="639A37CE"/>
    <w:rsid w:val="639BB46D"/>
    <w:rsid w:val="639BBCAD"/>
    <w:rsid w:val="639BD374"/>
    <w:rsid w:val="639C24E1"/>
    <w:rsid w:val="639CAED5"/>
    <w:rsid w:val="639F327E"/>
    <w:rsid w:val="639FECD2"/>
    <w:rsid w:val="63A15C58"/>
    <w:rsid w:val="63A3D3E4"/>
    <w:rsid w:val="63A4D803"/>
    <w:rsid w:val="63A77185"/>
    <w:rsid w:val="63A817AA"/>
    <w:rsid w:val="63AAB04B"/>
    <w:rsid w:val="63ABA442"/>
    <w:rsid w:val="63ABD780"/>
    <w:rsid w:val="63AF9D67"/>
    <w:rsid w:val="63B0FADB"/>
    <w:rsid w:val="63B433D4"/>
    <w:rsid w:val="63B435D6"/>
    <w:rsid w:val="63B4D4F4"/>
    <w:rsid w:val="63B65704"/>
    <w:rsid w:val="63B6B737"/>
    <w:rsid w:val="63BA7488"/>
    <w:rsid w:val="63BB6E00"/>
    <w:rsid w:val="63BDDFFD"/>
    <w:rsid w:val="63BE773B"/>
    <w:rsid w:val="63C6F450"/>
    <w:rsid w:val="63C8746F"/>
    <w:rsid w:val="63CA4B37"/>
    <w:rsid w:val="63CBA2C6"/>
    <w:rsid w:val="63CBD30A"/>
    <w:rsid w:val="63CEF27A"/>
    <w:rsid w:val="63D23B67"/>
    <w:rsid w:val="63D6549C"/>
    <w:rsid w:val="63D6B92C"/>
    <w:rsid w:val="63D70A8D"/>
    <w:rsid w:val="63D81A46"/>
    <w:rsid w:val="63DB6E95"/>
    <w:rsid w:val="63E02936"/>
    <w:rsid w:val="63E05578"/>
    <w:rsid w:val="63E0E12D"/>
    <w:rsid w:val="63E13E87"/>
    <w:rsid w:val="63E15F3C"/>
    <w:rsid w:val="63E3376C"/>
    <w:rsid w:val="63E56CE9"/>
    <w:rsid w:val="63E62D71"/>
    <w:rsid w:val="63E7C912"/>
    <w:rsid w:val="63ED2F7C"/>
    <w:rsid w:val="63ED9B71"/>
    <w:rsid w:val="63EDA9D9"/>
    <w:rsid w:val="63EEC6F6"/>
    <w:rsid w:val="63EF6424"/>
    <w:rsid w:val="63F2C69E"/>
    <w:rsid w:val="63F2CE21"/>
    <w:rsid w:val="63F6AD23"/>
    <w:rsid w:val="63F75965"/>
    <w:rsid w:val="63F894EF"/>
    <w:rsid w:val="63F9E27A"/>
    <w:rsid w:val="63FA3BAD"/>
    <w:rsid w:val="63FA6D76"/>
    <w:rsid w:val="63FED982"/>
    <w:rsid w:val="640B4938"/>
    <w:rsid w:val="640DEF54"/>
    <w:rsid w:val="64151CCF"/>
    <w:rsid w:val="64170099"/>
    <w:rsid w:val="64197C5A"/>
    <w:rsid w:val="641B10B2"/>
    <w:rsid w:val="64229F38"/>
    <w:rsid w:val="64235340"/>
    <w:rsid w:val="6424C0F4"/>
    <w:rsid w:val="6426A151"/>
    <w:rsid w:val="6427D9D6"/>
    <w:rsid w:val="6427F958"/>
    <w:rsid w:val="6429304F"/>
    <w:rsid w:val="642944C1"/>
    <w:rsid w:val="6429C9E4"/>
    <w:rsid w:val="642AFC0C"/>
    <w:rsid w:val="642C3857"/>
    <w:rsid w:val="642C52DC"/>
    <w:rsid w:val="642D9300"/>
    <w:rsid w:val="64326D6C"/>
    <w:rsid w:val="643326DC"/>
    <w:rsid w:val="64338AB6"/>
    <w:rsid w:val="64363701"/>
    <w:rsid w:val="64395AF6"/>
    <w:rsid w:val="643BACB6"/>
    <w:rsid w:val="643C12DC"/>
    <w:rsid w:val="643F0386"/>
    <w:rsid w:val="643F04F4"/>
    <w:rsid w:val="64405392"/>
    <w:rsid w:val="64407269"/>
    <w:rsid w:val="6441CD25"/>
    <w:rsid w:val="6442A9FE"/>
    <w:rsid w:val="64432434"/>
    <w:rsid w:val="64434A5D"/>
    <w:rsid w:val="644602C5"/>
    <w:rsid w:val="64464CFE"/>
    <w:rsid w:val="64481914"/>
    <w:rsid w:val="64487F83"/>
    <w:rsid w:val="644E1775"/>
    <w:rsid w:val="644EFFF3"/>
    <w:rsid w:val="644F6028"/>
    <w:rsid w:val="64552949"/>
    <w:rsid w:val="64567279"/>
    <w:rsid w:val="6458DAEA"/>
    <w:rsid w:val="645AB1EB"/>
    <w:rsid w:val="645D8808"/>
    <w:rsid w:val="645DC295"/>
    <w:rsid w:val="645DE233"/>
    <w:rsid w:val="645E6532"/>
    <w:rsid w:val="64613238"/>
    <w:rsid w:val="64619FFD"/>
    <w:rsid w:val="646468F7"/>
    <w:rsid w:val="64657872"/>
    <w:rsid w:val="64687711"/>
    <w:rsid w:val="64688924"/>
    <w:rsid w:val="646DE922"/>
    <w:rsid w:val="646EB1C5"/>
    <w:rsid w:val="646F1FDA"/>
    <w:rsid w:val="64712CC0"/>
    <w:rsid w:val="6472E0D7"/>
    <w:rsid w:val="64740689"/>
    <w:rsid w:val="6475092E"/>
    <w:rsid w:val="6477EE24"/>
    <w:rsid w:val="64781024"/>
    <w:rsid w:val="647E6284"/>
    <w:rsid w:val="647EF1D3"/>
    <w:rsid w:val="648020FE"/>
    <w:rsid w:val="64877ED7"/>
    <w:rsid w:val="648BDF9B"/>
    <w:rsid w:val="64920A4B"/>
    <w:rsid w:val="64931035"/>
    <w:rsid w:val="64954B6B"/>
    <w:rsid w:val="6496266A"/>
    <w:rsid w:val="64973A1F"/>
    <w:rsid w:val="6497AD6E"/>
    <w:rsid w:val="64982AF2"/>
    <w:rsid w:val="649A1C2D"/>
    <w:rsid w:val="649A8574"/>
    <w:rsid w:val="649E10B2"/>
    <w:rsid w:val="64A01382"/>
    <w:rsid w:val="64A14071"/>
    <w:rsid w:val="64A51CE5"/>
    <w:rsid w:val="64A80706"/>
    <w:rsid w:val="64A91012"/>
    <w:rsid w:val="64ADD1E5"/>
    <w:rsid w:val="64B200CE"/>
    <w:rsid w:val="64B2D61B"/>
    <w:rsid w:val="64B76306"/>
    <w:rsid w:val="64B7D83C"/>
    <w:rsid w:val="64B8C72F"/>
    <w:rsid w:val="64B9602F"/>
    <w:rsid w:val="64BBF1C6"/>
    <w:rsid w:val="64BCCE4F"/>
    <w:rsid w:val="64C3ED52"/>
    <w:rsid w:val="64C4FAC3"/>
    <w:rsid w:val="64C5E545"/>
    <w:rsid w:val="64C75C68"/>
    <w:rsid w:val="64CB0EFE"/>
    <w:rsid w:val="64CD6753"/>
    <w:rsid w:val="64CF412F"/>
    <w:rsid w:val="64D01E15"/>
    <w:rsid w:val="64D21955"/>
    <w:rsid w:val="64D2F9A6"/>
    <w:rsid w:val="64D4058E"/>
    <w:rsid w:val="64D82AD7"/>
    <w:rsid w:val="64DCC9C8"/>
    <w:rsid w:val="64E0646E"/>
    <w:rsid w:val="64E3051D"/>
    <w:rsid w:val="64E5F402"/>
    <w:rsid w:val="64E67FF1"/>
    <w:rsid w:val="64E8BBD8"/>
    <w:rsid w:val="64E920D5"/>
    <w:rsid w:val="64EAEA88"/>
    <w:rsid w:val="64ED7988"/>
    <w:rsid w:val="64EE12E9"/>
    <w:rsid w:val="64EE1923"/>
    <w:rsid w:val="64F00EF1"/>
    <w:rsid w:val="64F5DA9C"/>
    <w:rsid w:val="64F8FA08"/>
    <w:rsid w:val="64F977D1"/>
    <w:rsid w:val="64FBD0A2"/>
    <w:rsid w:val="64FC5FB9"/>
    <w:rsid w:val="64FE7FDE"/>
    <w:rsid w:val="64FEFE3C"/>
    <w:rsid w:val="65019F94"/>
    <w:rsid w:val="6501EC0B"/>
    <w:rsid w:val="6509542A"/>
    <w:rsid w:val="65097E23"/>
    <w:rsid w:val="650AB5F9"/>
    <w:rsid w:val="650B8F60"/>
    <w:rsid w:val="650CF4A3"/>
    <w:rsid w:val="650E1735"/>
    <w:rsid w:val="650E2583"/>
    <w:rsid w:val="650F743B"/>
    <w:rsid w:val="65104040"/>
    <w:rsid w:val="6519081D"/>
    <w:rsid w:val="651C9045"/>
    <w:rsid w:val="651CBCD9"/>
    <w:rsid w:val="651CD121"/>
    <w:rsid w:val="651D460D"/>
    <w:rsid w:val="651E0FA3"/>
    <w:rsid w:val="651F66CB"/>
    <w:rsid w:val="651FFBBE"/>
    <w:rsid w:val="652060F0"/>
    <w:rsid w:val="6520EDCC"/>
    <w:rsid w:val="6523EA75"/>
    <w:rsid w:val="6524A508"/>
    <w:rsid w:val="652688FA"/>
    <w:rsid w:val="65271BE7"/>
    <w:rsid w:val="6528AA62"/>
    <w:rsid w:val="652A2441"/>
    <w:rsid w:val="652AD8B5"/>
    <w:rsid w:val="652B092C"/>
    <w:rsid w:val="652B0E28"/>
    <w:rsid w:val="652B2B23"/>
    <w:rsid w:val="653357F2"/>
    <w:rsid w:val="653473B7"/>
    <w:rsid w:val="6535A471"/>
    <w:rsid w:val="65368907"/>
    <w:rsid w:val="6538142B"/>
    <w:rsid w:val="6538A042"/>
    <w:rsid w:val="65390EAD"/>
    <w:rsid w:val="653A3FD8"/>
    <w:rsid w:val="653A4268"/>
    <w:rsid w:val="653ACC2E"/>
    <w:rsid w:val="653BE18A"/>
    <w:rsid w:val="653C94D6"/>
    <w:rsid w:val="65404CF1"/>
    <w:rsid w:val="65408327"/>
    <w:rsid w:val="654127FD"/>
    <w:rsid w:val="654135C8"/>
    <w:rsid w:val="65465454"/>
    <w:rsid w:val="65471006"/>
    <w:rsid w:val="65487C84"/>
    <w:rsid w:val="654A98C7"/>
    <w:rsid w:val="654B6CBC"/>
    <w:rsid w:val="654D17E2"/>
    <w:rsid w:val="654FED2B"/>
    <w:rsid w:val="655760F3"/>
    <w:rsid w:val="655A6DB6"/>
    <w:rsid w:val="655EA165"/>
    <w:rsid w:val="6560EE12"/>
    <w:rsid w:val="6567EA95"/>
    <w:rsid w:val="65696713"/>
    <w:rsid w:val="656BDADD"/>
    <w:rsid w:val="656C4899"/>
    <w:rsid w:val="656D9482"/>
    <w:rsid w:val="656FB5AE"/>
    <w:rsid w:val="657110B0"/>
    <w:rsid w:val="65750A1B"/>
    <w:rsid w:val="65752E12"/>
    <w:rsid w:val="657A597B"/>
    <w:rsid w:val="657B2861"/>
    <w:rsid w:val="657EC8DB"/>
    <w:rsid w:val="657F496E"/>
    <w:rsid w:val="6580AAC7"/>
    <w:rsid w:val="6584B56B"/>
    <w:rsid w:val="6585F50A"/>
    <w:rsid w:val="65863519"/>
    <w:rsid w:val="65875111"/>
    <w:rsid w:val="658868D5"/>
    <w:rsid w:val="658A05E4"/>
    <w:rsid w:val="658A1EE6"/>
    <w:rsid w:val="658B2131"/>
    <w:rsid w:val="658E00D2"/>
    <w:rsid w:val="658E71DD"/>
    <w:rsid w:val="659100BA"/>
    <w:rsid w:val="6593FC13"/>
    <w:rsid w:val="65954A62"/>
    <w:rsid w:val="6595E17A"/>
    <w:rsid w:val="65984DEE"/>
    <w:rsid w:val="6598C313"/>
    <w:rsid w:val="6599AF01"/>
    <w:rsid w:val="659A6897"/>
    <w:rsid w:val="659C94BD"/>
    <w:rsid w:val="65A19A16"/>
    <w:rsid w:val="65A2498C"/>
    <w:rsid w:val="65A61FB9"/>
    <w:rsid w:val="65AB6373"/>
    <w:rsid w:val="65AEEBE7"/>
    <w:rsid w:val="65AEF117"/>
    <w:rsid w:val="65B3D150"/>
    <w:rsid w:val="65B53637"/>
    <w:rsid w:val="65B8A91D"/>
    <w:rsid w:val="65B9A46E"/>
    <w:rsid w:val="65B9DE07"/>
    <w:rsid w:val="65B9DF4C"/>
    <w:rsid w:val="65BBCFA3"/>
    <w:rsid w:val="65BCF6B4"/>
    <w:rsid w:val="65BD1FF3"/>
    <w:rsid w:val="65C0A73F"/>
    <w:rsid w:val="65C0E33B"/>
    <w:rsid w:val="65C10AE3"/>
    <w:rsid w:val="65C3F7B2"/>
    <w:rsid w:val="65C6819A"/>
    <w:rsid w:val="65C89F75"/>
    <w:rsid w:val="65C92DDA"/>
    <w:rsid w:val="65CB0220"/>
    <w:rsid w:val="65CDB8B9"/>
    <w:rsid w:val="65D0D541"/>
    <w:rsid w:val="65D22022"/>
    <w:rsid w:val="65D2267C"/>
    <w:rsid w:val="65D28C2C"/>
    <w:rsid w:val="65D2C86D"/>
    <w:rsid w:val="65D674A2"/>
    <w:rsid w:val="65D8BDA8"/>
    <w:rsid w:val="65D96453"/>
    <w:rsid w:val="65DC6432"/>
    <w:rsid w:val="65DC658B"/>
    <w:rsid w:val="65DD59E1"/>
    <w:rsid w:val="65E0E198"/>
    <w:rsid w:val="65E139D9"/>
    <w:rsid w:val="65E27051"/>
    <w:rsid w:val="65E62EC1"/>
    <w:rsid w:val="65E68D9C"/>
    <w:rsid w:val="65E6926A"/>
    <w:rsid w:val="65EB43D2"/>
    <w:rsid w:val="65ED24BF"/>
    <w:rsid w:val="65EFC31D"/>
    <w:rsid w:val="65F033FD"/>
    <w:rsid w:val="65F1C7DD"/>
    <w:rsid w:val="65FD1F6A"/>
    <w:rsid w:val="65FD462C"/>
    <w:rsid w:val="65FD7039"/>
    <w:rsid w:val="65FF5101"/>
    <w:rsid w:val="660298C0"/>
    <w:rsid w:val="6605DA85"/>
    <w:rsid w:val="66062990"/>
    <w:rsid w:val="660B6C58"/>
    <w:rsid w:val="660EE431"/>
    <w:rsid w:val="660FFFDF"/>
    <w:rsid w:val="661030B0"/>
    <w:rsid w:val="66108A3D"/>
    <w:rsid w:val="66137A38"/>
    <w:rsid w:val="6616497D"/>
    <w:rsid w:val="661861AF"/>
    <w:rsid w:val="661BEB89"/>
    <w:rsid w:val="661D4590"/>
    <w:rsid w:val="661F2605"/>
    <w:rsid w:val="66200E0E"/>
    <w:rsid w:val="66205C4B"/>
    <w:rsid w:val="66217E1E"/>
    <w:rsid w:val="6625DBBF"/>
    <w:rsid w:val="6625FDD1"/>
    <w:rsid w:val="6627219D"/>
    <w:rsid w:val="662B0132"/>
    <w:rsid w:val="662BBC21"/>
    <w:rsid w:val="662D06DA"/>
    <w:rsid w:val="662DAEDF"/>
    <w:rsid w:val="662EC2D7"/>
    <w:rsid w:val="6630A64E"/>
    <w:rsid w:val="6631CDBF"/>
    <w:rsid w:val="66321D8A"/>
    <w:rsid w:val="663453A4"/>
    <w:rsid w:val="6635F7C9"/>
    <w:rsid w:val="66366485"/>
    <w:rsid w:val="663C1D5F"/>
    <w:rsid w:val="663D5C6B"/>
    <w:rsid w:val="663F667A"/>
    <w:rsid w:val="66454359"/>
    <w:rsid w:val="6647B5DD"/>
    <w:rsid w:val="664935D5"/>
    <w:rsid w:val="664C8803"/>
    <w:rsid w:val="664EDCF2"/>
    <w:rsid w:val="6651203B"/>
    <w:rsid w:val="66515B2C"/>
    <w:rsid w:val="6654BC54"/>
    <w:rsid w:val="66569B21"/>
    <w:rsid w:val="6657FCCC"/>
    <w:rsid w:val="6658B364"/>
    <w:rsid w:val="665985FA"/>
    <w:rsid w:val="6659FE45"/>
    <w:rsid w:val="665D68D0"/>
    <w:rsid w:val="665D7337"/>
    <w:rsid w:val="665FEC31"/>
    <w:rsid w:val="6662AE1F"/>
    <w:rsid w:val="6665497A"/>
    <w:rsid w:val="66678445"/>
    <w:rsid w:val="66689E6B"/>
    <w:rsid w:val="6668BA6D"/>
    <w:rsid w:val="6669E622"/>
    <w:rsid w:val="666A209E"/>
    <w:rsid w:val="666C59BF"/>
    <w:rsid w:val="6670900D"/>
    <w:rsid w:val="667271BA"/>
    <w:rsid w:val="66729934"/>
    <w:rsid w:val="66738125"/>
    <w:rsid w:val="6676C1AF"/>
    <w:rsid w:val="6678F815"/>
    <w:rsid w:val="66794099"/>
    <w:rsid w:val="66795DFB"/>
    <w:rsid w:val="667ACB4A"/>
    <w:rsid w:val="667CD707"/>
    <w:rsid w:val="667D7073"/>
    <w:rsid w:val="667F31CC"/>
    <w:rsid w:val="667F32F2"/>
    <w:rsid w:val="6680C469"/>
    <w:rsid w:val="66821CFF"/>
    <w:rsid w:val="668236A9"/>
    <w:rsid w:val="66859EC4"/>
    <w:rsid w:val="668762E2"/>
    <w:rsid w:val="6689147B"/>
    <w:rsid w:val="66892DEF"/>
    <w:rsid w:val="668B92C0"/>
    <w:rsid w:val="668B9CAB"/>
    <w:rsid w:val="668CACD2"/>
    <w:rsid w:val="668EA7F4"/>
    <w:rsid w:val="668F690E"/>
    <w:rsid w:val="669209CB"/>
    <w:rsid w:val="6692EA1A"/>
    <w:rsid w:val="6695BD0A"/>
    <w:rsid w:val="66961C5A"/>
    <w:rsid w:val="66967F9C"/>
    <w:rsid w:val="669B6110"/>
    <w:rsid w:val="669F49EF"/>
    <w:rsid w:val="66A02EB0"/>
    <w:rsid w:val="66A45C7B"/>
    <w:rsid w:val="66A53ABE"/>
    <w:rsid w:val="66A657C6"/>
    <w:rsid w:val="66A6E2E0"/>
    <w:rsid w:val="66A85C76"/>
    <w:rsid w:val="66A88A51"/>
    <w:rsid w:val="66AA0EDE"/>
    <w:rsid w:val="66B2536D"/>
    <w:rsid w:val="66B8BD6F"/>
    <w:rsid w:val="66B8E319"/>
    <w:rsid w:val="66B8FEB2"/>
    <w:rsid w:val="66BA02FF"/>
    <w:rsid w:val="66BB2E82"/>
    <w:rsid w:val="66BC3D39"/>
    <w:rsid w:val="66BC7748"/>
    <w:rsid w:val="66BC9B04"/>
    <w:rsid w:val="66BD18C4"/>
    <w:rsid w:val="66BF5F89"/>
    <w:rsid w:val="66BFA744"/>
    <w:rsid w:val="66C06EC0"/>
    <w:rsid w:val="66C08E8C"/>
    <w:rsid w:val="66C2273E"/>
    <w:rsid w:val="66C2EECB"/>
    <w:rsid w:val="66C64DBB"/>
    <w:rsid w:val="66C74C28"/>
    <w:rsid w:val="66C7C9E6"/>
    <w:rsid w:val="66C85FFB"/>
    <w:rsid w:val="66C9048F"/>
    <w:rsid w:val="66CEE034"/>
    <w:rsid w:val="66CF2124"/>
    <w:rsid w:val="66CF9F2E"/>
    <w:rsid w:val="66D504FD"/>
    <w:rsid w:val="66D6472D"/>
    <w:rsid w:val="66D68443"/>
    <w:rsid w:val="66D952D5"/>
    <w:rsid w:val="66DB19D8"/>
    <w:rsid w:val="66DB5745"/>
    <w:rsid w:val="66DE901C"/>
    <w:rsid w:val="66DEA341"/>
    <w:rsid w:val="66DEF619"/>
    <w:rsid w:val="66DFE81A"/>
    <w:rsid w:val="66E541A9"/>
    <w:rsid w:val="66E57DD2"/>
    <w:rsid w:val="66E6FA33"/>
    <w:rsid w:val="66E8BD0F"/>
    <w:rsid w:val="66EAD54E"/>
    <w:rsid w:val="66ED8779"/>
    <w:rsid w:val="66EE67E9"/>
    <w:rsid w:val="66EFF9E6"/>
    <w:rsid w:val="66F3F0E4"/>
    <w:rsid w:val="66F65CA8"/>
    <w:rsid w:val="66F7E861"/>
    <w:rsid w:val="66FAB219"/>
    <w:rsid w:val="66FB74E6"/>
    <w:rsid w:val="66FE7B25"/>
    <w:rsid w:val="670031B5"/>
    <w:rsid w:val="67078C76"/>
    <w:rsid w:val="670913FD"/>
    <w:rsid w:val="670B0934"/>
    <w:rsid w:val="670D6DAE"/>
    <w:rsid w:val="6712577E"/>
    <w:rsid w:val="6714DD92"/>
    <w:rsid w:val="67157A1D"/>
    <w:rsid w:val="671659B1"/>
    <w:rsid w:val="671735FA"/>
    <w:rsid w:val="67182419"/>
    <w:rsid w:val="6718B506"/>
    <w:rsid w:val="671945F1"/>
    <w:rsid w:val="671B2C75"/>
    <w:rsid w:val="671DA3C7"/>
    <w:rsid w:val="67213CDC"/>
    <w:rsid w:val="67226758"/>
    <w:rsid w:val="6723D13A"/>
    <w:rsid w:val="6726896C"/>
    <w:rsid w:val="67269BD4"/>
    <w:rsid w:val="6726DE13"/>
    <w:rsid w:val="672EE875"/>
    <w:rsid w:val="672F3DA5"/>
    <w:rsid w:val="6730D16D"/>
    <w:rsid w:val="6734D025"/>
    <w:rsid w:val="6734E3A1"/>
    <w:rsid w:val="673710A6"/>
    <w:rsid w:val="673A1979"/>
    <w:rsid w:val="673A99FC"/>
    <w:rsid w:val="673BDF47"/>
    <w:rsid w:val="673E2207"/>
    <w:rsid w:val="673E78C0"/>
    <w:rsid w:val="673F1308"/>
    <w:rsid w:val="67405F90"/>
    <w:rsid w:val="67431DBF"/>
    <w:rsid w:val="674457F9"/>
    <w:rsid w:val="67455E9F"/>
    <w:rsid w:val="674AAF60"/>
    <w:rsid w:val="674BF8DB"/>
    <w:rsid w:val="674F6621"/>
    <w:rsid w:val="675054FE"/>
    <w:rsid w:val="675242E0"/>
    <w:rsid w:val="67540FB1"/>
    <w:rsid w:val="6754ED24"/>
    <w:rsid w:val="675BDC19"/>
    <w:rsid w:val="675D1B94"/>
    <w:rsid w:val="67640E2F"/>
    <w:rsid w:val="6766059D"/>
    <w:rsid w:val="67675FC2"/>
    <w:rsid w:val="676D8978"/>
    <w:rsid w:val="67713A2F"/>
    <w:rsid w:val="6775E17D"/>
    <w:rsid w:val="6776CABC"/>
    <w:rsid w:val="677879ED"/>
    <w:rsid w:val="6778A0B9"/>
    <w:rsid w:val="677B6CFB"/>
    <w:rsid w:val="677C4FA5"/>
    <w:rsid w:val="677F586B"/>
    <w:rsid w:val="677FBD18"/>
    <w:rsid w:val="6780EE87"/>
    <w:rsid w:val="67820ABF"/>
    <w:rsid w:val="6782DF6A"/>
    <w:rsid w:val="6782E833"/>
    <w:rsid w:val="678469FE"/>
    <w:rsid w:val="6785F882"/>
    <w:rsid w:val="6787D4D5"/>
    <w:rsid w:val="67882FAC"/>
    <w:rsid w:val="6789BFC0"/>
    <w:rsid w:val="678C0DFF"/>
    <w:rsid w:val="678F58AF"/>
    <w:rsid w:val="678FEB26"/>
    <w:rsid w:val="67910209"/>
    <w:rsid w:val="6791FF6F"/>
    <w:rsid w:val="679EA75A"/>
    <w:rsid w:val="679EC070"/>
    <w:rsid w:val="67A11F3B"/>
    <w:rsid w:val="67A270DC"/>
    <w:rsid w:val="67A27489"/>
    <w:rsid w:val="67A28448"/>
    <w:rsid w:val="67A361FB"/>
    <w:rsid w:val="67A92B21"/>
    <w:rsid w:val="67ADC9C8"/>
    <w:rsid w:val="67AF80F2"/>
    <w:rsid w:val="67AFA9E8"/>
    <w:rsid w:val="67B174F7"/>
    <w:rsid w:val="67B37C89"/>
    <w:rsid w:val="67B51812"/>
    <w:rsid w:val="67B61AF4"/>
    <w:rsid w:val="67B825DE"/>
    <w:rsid w:val="67B84230"/>
    <w:rsid w:val="67BB254B"/>
    <w:rsid w:val="67BC08D6"/>
    <w:rsid w:val="67C11432"/>
    <w:rsid w:val="67C1181D"/>
    <w:rsid w:val="67C1C156"/>
    <w:rsid w:val="67C8196D"/>
    <w:rsid w:val="67C9B047"/>
    <w:rsid w:val="67CB5559"/>
    <w:rsid w:val="67D02C04"/>
    <w:rsid w:val="67D11260"/>
    <w:rsid w:val="67D1EAA4"/>
    <w:rsid w:val="67D6A26F"/>
    <w:rsid w:val="67D6A91B"/>
    <w:rsid w:val="67D6B946"/>
    <w:rsid w:val="67D70D0D"/>
    <w:rsid w:val="67DBC10B"/>
    <w:rsid w:val="67DD62AC"/>
    <w:rsid w:val="67DE7CD1"/>
    <w:rsid w:val="67DE90FA"/>
    <w:rsid w:val="67E39F28"/>
    <w:rsid w:val="67E59EBD"/>
    <w:rsid w:val="67E931F3"/>
    <w:rsid w:val="67ECCECE"/>
    <w:rsid w:val="67ED731D"/>
    <w:rsid w:val="67EE1D00"/>
    <w:rsid w:val="67EE85BB"/>
    <w:rsid w:val="67EFE5ED"/>
    <w:rsid w:val="67F0DD38"/>
    <w:rsid w:val="67F27B24"/>
    <w:rsid w:val="67F29FEE"/>
    <w:rsid w:val="67F3D213"/>
    <w:rsid w:val="67F5291B"/>
    <w:rsid w:val="67F7A44D"/>
    <w:rsid w:val="67F92212"/>
    <w:rsid w:val="67FA5AA4"/>
    <w:rsid w:val="67FCEE3F"/>
    <w:rsid w:val="67FDC070"/>
    <w:rsid w:val="67FEED9F"/>
    <w:rsid w:val="67FF15B4"/>
    <w:rsid w:val="67FFD566"/>
    <w:rsid w:val="6800033D"/>
    <w:rsid w:val="6800BF5C"/>
    <w:rsid w:val="68041D66"/>
    <w:rsid w:val="6806BBF4"/>
    <w:rsid w:val="68077B81"/>
    <w:rsid w:val="680B2415"/>
    <w:rsid w:val="680D9184"/>
    <w:rsid w:val="680E0519"/>
    <w:rsid w:val="680F70A7"/>
    <w:rsid w:val="680FA044"/>
    <w:rsid w:val="6811EEF1"/>
    <w:rsid w:val="6812D3D5"/>
    <w:rsid w:val="6815E361"/>
    <w:rsid w:val="68180C03"/>
    <w:rsid w:val="68184190"/>
    <w:rsid w:val="681BFC4C"/>
    <w:rsid w:val="681C8AB2"/>
    <w:rsid w:val="681EE36C"/>
    <w:rsid w:val="6820FCFD"/>
    <w:rsid w:val="6821C906"/>
    <w:rsid w:val="6827CE05"/>
    <w:rsid w:val="6827D477"/>
    <w:rsid w:val="682AC065"/>
    <w:rsid w:val="682EE898"/>
    <w:rsid w:val="6830B16E"/>
    <w:rsid w:val="6830FBF0"/>
    <w:rsid w:val="68326068"/>
    <w:rsid w:val="68352A1E"/>
    <w:rsid w:val="6836E78C"/>
    <w:rsid w:val="68377F1A"/>
    <w:rsid w:val="683874BA"/>
    <w:rsid w:val="683C74EA"/>
    <w:rsid w:val="683DF9AA"/>
    <w:rsid w:val="683E25CE"/>
    <w:rsid w:val="683EB677"/>
    <w:rsid w:val="6841DEAF"/>
    <w:rsid w:val="684533F9"/>
    <w:rsid w:val="68459CDF"/>
    <w:rsid w:val="68461E7B"/>
    <w:rsid w:val="68474BEF"/>
    <w:rsid w:val="684817EA"/>
    <w:rsid w:val="6848B9E3"/>
    <w:rsid w:val="6850CB33"/>
    <w:rsid w:val="685111C1"/>
    <w:rsid w:val="6853AB63"/>
    <w:rsid w:val="6855812B"/>
    <w:rsid w:val="685594F2"/>
    <w:rsid w:val="685982FC"/>
    <w:rsid w:val="685A3D8B"/>
    <w:rsid w:val="685BC36E"/>
    <w:rsid w:val="685C102F"/>
    <w:rsid w:val="685C3CC4"/>
    <w:rsid w:val="685FA223"/>
    <w:rsid w:val="686064CD"/>
    <w:rsid w:val="6860A0E9"/>
    <w:rsid w:val="6867E2E3"/>
    <w:rsid w:val="6869C19F"/>
    <w:rsid w:val="686A78F3"/>
    <w:rsid w:val="686C1A16"/>
    <w:rsid w:val="686C3AA5"/>
    <w:rsid w:val="686C96A3"/>
    <w:rsid w:val="686CEDEF"/>
    <w:rsid w:val="686D99D2"/>
    <w:rsid w:val="687104BC"/>
    <w:rsid w:val="687650DD"/>
    <w:rsid w:val="6878DC5A"/>
    <w:rsid w:val="687A8150"/>
    <w:rsid w:val="687D1760"/>
    <w:rsid w:val="687ED2AC"/>
    <w:rsid w:val="6883F40B"/>
    <w:rsid w:val="6887F265"/>
    <w:rsid w:val="68894B7D"/>
    <w:rsid w:val="68895FFC"/>
    <w:rsid w:val="6889F959"/>
    <w:rsid w:val="688DA12F"/>
    <w:rsid w:val="688EA586"/>
    <w:rsid w:val="6890D8B0"/>
    <w:rsid w:val="68928DE5"/>
    <w:rsid w:val="68958AA5"/>
    <w:rsid w:val="6896B520"/>
    <w:rsid w:val="6896DBF0"/>
    <w:rsid w:val="68989FE2"/>
    <w:rsid w:val="68990562"/>
    <w:rsid w:val="689A701B"/>
    <w:rsid w:val="689DA094"/>
    <w:rsid w:val="68A0D145"/>
    <w:rsid w:val="68A14894"/>
    <w:rsid w:val="68A20FD6"/>
    <w:rsid w:val="68A4789F"/>
    <w:rsid w:val="68A55204"/>
    <w:rsid w:val="68A73345"/>
    <w:rsid w:val="68A82F91"/>
    <w:rsid w:val="68A8321A"/>
    <w:rsid w:val="68AA926C"/>
    <w:rsid w:val="68AB5770"/>
    <w:rsid w:val="68AFBB08"/>
    <w:rsid w:val="68B09D26"/>
    <w:rsid w:val="68B11AC9"/>
    <w:rsid w:val="68B124E3"/>
    <w:rsid w:val="68B2EAB9"/>
    <w:rsid w:val="68B3FADC"/>
    <w:rsid w:val="68B4FDF7"/>
    <w:rsid w:val="68B8F147"/>
    <w:rsid w:val="68B973BB"/>
    <w:rsid w:val="68BC20E3"/>
    <w:rsid w:val="68BC6764"/>
    <w:rsid w:val="68C10554"/>
    <w:rsid w:val="68C1C76D"/>
    <w:rsid w:val="68C2D3D5"/>
    <w:rsid w:val="68C50972"/>
    <w:rsid w:val="68C56547"/>
    <w:rsid w:val="68C56E57"/>
    <w:rsid w:val="68C818B3"/>
    <w:rsid w:val="68CD0344"/>
    <w:rsid w:val="68CE14E2"/>
    <w:rsid w:val="68CF7FEC"/>
    <w:rsid w:val="68D13A1C"/>
    <w:rsid w:val="68D55FE6"/>
    <w:rsid w:val="68D59B4D"/>
    <w:rsid w:val="68D5A6E4"/>
    <w:rsid w:val="68D5E31D"/>
    <w:rsid w:val="68D892E2"/>
    <w:rsid w:val="68D8A989"/>
    <w:rsid w:val="68D9A0D7"/>
    <w:rsid w:val="68DA01C1"/>
    <w:rsid w:val="68DB0646"/>
    <w:rsid w:val="68DB88FE"/>
    <w:rsid w:val="68DBDADE"/>
    <w:rsid w:val="68DC525D"/>
    <w:rsid w:val="68E05075"/>
    <w:rsid w:val="68E23606"/>
    <w:rsid w:val="68E538F6"/>
    <w:rsid w:val="68E61EDA"/>
    <w:rsid w:val="68E724B4"/>
    <w:rsid w:val="68E84282"/>
    <w:rsid w:val="68E87D48"/>
    <w:rsid w:val="68EA4CFA"/>
    <w:rsid w:val="68EC9743"/>
    <w:rsid w:val="68ECE2B4"/>
    <w:rsid w:val="68F0547B"/>
    <w:rsid w:val="68F23FA2"/>
    <w:rsid w:val="68F26293"/>
    <w:rsid w:val="68F3F10F"/>
    <w:rsid w:val="68F5ECEB"/>
    <w:rsid w:val="68F6C966"/>
    <w:rsid w:val="68F92FD9"/>
    <w:rsid w:val="68FE77F6"/>
    <w:rsid w:val="68FFD5B3"/>
    <w:rsid w:val="6901EE8E"/>
    <w:rsid w:val="6902167D"/>
    <w:rsid w:val="690377D3"/>
    <w:rsid w:val="69060D6D"/>
    <w:rsid w:val="69072E9C"/>
    <w:rsid w:val="6909BAFE"/>
    <w:rsid w:val="690B6804"/>
    <w:rsid w:val="690BC4B7"/>
    <w:rsid w:val="690C4E13"/>
    <w:rsid w:val="690C7705"/>
    <w:rsid w:val="690F5EEC"/>
    <w:rsid w:val="690FD7BC"/>
    <w:rsid w:val="69117E64"/>
    <w:rsid w:val="6911D0F5"/>
    <w:rsid w:val="6915E249"/>
    <w:rsid w:val="691A1048"/>
    <w:rsid w:val="691A6AAF"/>
    <w:rsid w:val="691D114D"/>
    <w:rsid w:val="691E6FE0"/>
    <w:rsid w:val="691EA841"/>
    <w:rsid w:val="69209E6B"/>
    <w:rsid w:val="6922D6E5"/>
    <w:rsid w:val="6926089D"/>
    <w:rsid w:val="69278581"/>
    <w:rsid w:val="6927F011"/>
    <w:rsid w:val="692A0F5D"/>
    <w:rsid w:val="692B1B4F"/>
    <w:rsid w:val="692B1FE6"/>
    <w:rsid w:val="692BFF64"/>
    <w:rsid w:val="692E42DC"/>
    <w:rsid w:val="692F4B86"/>
    <w:rsid w:val="69319A40"/>
    <w:rsid w:val="6932AAC7"/>
    <w:rsid w:val="6932BE6E"/>
    <w:rsid w:val="69337C73"/>
    <w:rsid w:val="6937EB6E"/>
    <w:rsid w:val="6938AECF"/>
    <w:rsid w:val="693A075C"/>
    <w:rsid w:val="693A2F89"/>
    <w:rsid w:val="693A3BB5"/>
    <w:rsid w:val="693AF47C"/>
    <w:rsid w:val="69400564"/>
    <w:rsid w:val="6942369A"/>
    <w:rsid w:val="6943A8B7"/>
    <w:rsid w:val="69445D2A"/>
    <w:rsid w:val="6946129E"/>
    <w:rsid w:val="69477EA7"/>
    <w:rsid w:val="6947932E"/>
    <w:rsid w:val="694E5B29"/>
    <w:rsid w:val="6951EEC4"/>
    <w:rsid w:val="69533B59"/>
    <w:rsid w:val="6954B433"/>
    <w:rsid w:val="69577F62"/>
    <w:rsid w:val="695A3466"/>
    <w:rsid w:val="695AAF6E"/>
    <w:rsid w:val="695AD6C4"/>
    <w:rsid w:val="695B0873"/>
    <w:rsid w:val="695CDE15"/>
    <w:rsid w:val="6963D23B"/>
    <w:rsid w:val="6963F460"/>
    <w:rsid w:val="696489F3"/>
    <w:rsid w:val="696952E6"/>
    <w:rsid w:val="69699EC2"/>
    <w:rsid w:val="696AB9AE"/>
    <w:rsid w:val="696B48AA"/>
    <w:rsid w:val="696EA72F"/>
    <w:rsid w:val="696F76DF"/>
    <w:rsid w:val="696FA07D"/>
    <w:rsid w:val="6971EA28"/>
    <w:rsid w:val="69734787"/>
    <w:rsid w:val="697B8277"/>
    <w:rsid w:val="697D3AE4"/>
    <w:rsid w:val="697EC238"/>
    <w:rsid w:val="698014F0"/>
    <w:rsid w:val="6981782D"/>
    <w:rsid w:val="6982463B"/>
    <w:rsid w:val="69830040"/>
    <w:rsid w:val="6984080A"/>
    <w:rsid w:val="6985FFB6"/>
    <w:rsid w:val="69865CA9"/>
    <w:rsid w:val="69892796"/>
    <w:rsid w:val="698F5F4F"/>
    <w:rsid w:val="6993BCE8"/>
    <w:rsid w:val="699698FF"/>
    <w:rsid w:val="6997BB10"/>
    <w:rsid w:val="69982AEA"/>
    <w:rsid w:val="699837C9"/>
    <w:rsid w:val="699C283E"/>
    <w:rsid w:val="699CCFA8"/>
    <w:rsid w:val="699CF068"/>
    <w:rsid w:val="699D22F9"/>
    <w:rsid w:val="699ED55C"/>
    <w:rsid w:val="699FFC64"/>
    <w:rsid w:val="69A21368"/>
    <w:rsid w:val="69A28C8D"/>
    <w:rsid w:val="69A609C5"/>
    <w:rsid w:val="69A7BE5F"/>
    <w:rsid w:val="69AC48B9"/>
    <w:rsid w:val="69AC6DB0"/>
    <w:rsid w:val="69ACFC89"/>
    <w:rsid w:val="69AD0ECA"/>
    <w:rsid w:val="69AE8EE2"/>
    <w:rsid w:val="69B42DA5"/>
    <w:rsid w:val="69B66749"/>
    <w:rsid w:val="69C01070"/>
    <w:rsid w:val="69C11E6C"/>
    <w:rsid w:val="69C15537"/>
    <w:rsid w:val="69C17318"/>
    <w:rsid w:val="69C20AAD"/>
    <w:rsid w:val="69C34418"/>
    <w:rsid w:val="69C4147F"/>
    <w:rsid w:val="69C4CC84"/>
    <w:rsid w:val="69CAD273"/>
    <w:rsid w:val="69CC17F7"/>
    <w:rsid w:val="69CEDEB9"/>
    <w:rsid w:val="69CF5063"/>
    <w:rsid w:val="69D135FE"/>
    <w:rsid w:val="69D92C86"/>
    <w:rsid w:val="69D9B88D"/>
    <w:rsid w:val="69DD0440"/>
    <w:rsid w:val="69DDB4A7"/>
    <w:rsid w:val="69DDEF69"/>
    <w:rsid w:val="69DF08F3"/>
    <w:rsid w:val="69E0CE71"/>
    <w:rsid w:val="69E1871F"/>
    <w:rsid w:val="69E216E1"/>
    <w:rsid w:val="69E60AE5"/>
    <w:rsid w:val="69E750E9"/>
    <w:rsid w:val="69E9C522"/>
    <w:rsid w:val="69E9CECC"/>
    <w:rsid w:val="69EBF357"/>
    <w:rsid w:val="69EF7B33"/>
    <w:rsid w:val="69F061B6"/>
    <w:rsid w:val="69F35A06"/>
    <w:rsid w:val="69F98B7D"/>
    <w:rsid w:val="69FC5DFF"/>
    <w:rsid w:val="69FD4CD6"/>
    <w:rsid w:val="6A018185"/>
    <w:rsid w:val="6A01DC56"/>
    <w:rsid w:val="6A033AE6"/>
    <w:rsid w:val="6A062DFD"/>
    <w:rsid w:val="6A06B0C1"/>
    <w:rsid w:val="6A06C1E7"/>
    <w:rsid w:val="6A097BEF"/>
    <w:rsid w:val="6A0A513B"/>
    <w:rsid w:val="6A0BB755"/>
    <w:rsid w:val="6A0DD130"/>
    <w:rsid w:val="6A126BE3"/>
    <w:rsid w:val="6A15DE76"/>
    <w:rsid w:val="6A17D21C"/>
    <w:rsid w:val="6A17EFAB"/>
    <w:rsid w:val="6A1F8289"/>
    <w:rsid w:val="6A23D62E"/>
    <w:rsid w:val="6A26D1E6"/>
    <w:rsid w:val="6A26E66E"/>
    <w:rsid w:val="6A29B123"/>
    <w:rsid w:val="6A29FE3F"/>
    <w:rsid w:val="6A2CD597"/>
    <w:rsid w:val="6A303F49"/>
    <w:rsid w:val="6A326323"/>
    <w:rsid w:val="6A3325AA"/>
    <w:rsid w:val="6A3405E7"/>
    <w:rsid w:val="6A3530E1"/>
    <w:rsid w:val="6A372666"/>
    <w:rsid w:val="6A39854F"/>
    <w:rsid w:val="6A39A53E"/>
    <w:rsid w:val="6A39DCB3"/>
    <w:rsid w:val="6A3DC44B"/>
    <w:rsid w:val="6A3DE5C3"/>
    <w:rsid w:val="6A3E40E0"/>
    <w:rsid w:val="6A3FCEC3"/>
    <w:rsid w:val="6A400192"/>
    <w:rsid w:val="6A420E23"/>
    <w:rsid w:val="6A44CEC1"/>
    <w:rsid w:val="6A44D81B"/>
    <w:rsid w:val="6A457D0C"/>
    <w:rsid w:val="6A458183"/>
    <w:rsid w:val="6A464CB9"/>
    <w:rsid w:val="6A46A425"/>
    <w:rsid w:val="6A46AD76"/>
    <w:rsid w:val="6A47FA82"/>
    <w:rsid w:val="6A4B5839"/>
    <w:rsid w:val="6A4CE770"/>
    <w:rsid w:val="6A4FE313"/>
    <w:rsid w:val="6A50C4CC"/>
    <w:rsid w:val="6A511E87"/>
    <w:rsid w:val="6A516036"/>
    <w:rsid w:val="6A51B7FC"/>
    <w:rsid w:val="6A51EF8B"/>
    <w:rsid w:val="6A5253BD"/>
    <w:rsid w:val="6A540E0B"/>
    <w:rsid w:val="6A546FAF"/>
    <w:rsid w:val="6A59B6D3"/>
    <w:rsid w:val="6A5A4AD8"/>
    <w:rsid w:val="6A5A5182"/>
    <w:rsid w:val="6A5D426D"/>
    <w:rsid w:val="6A5D9591"/>
    <w:rsid w:val="6A5E0B04"/>
    <w:rsid w:val="6A60B22B"/>
    <w:rsid w:val="6A623D77"/>
    <w:rsid w:val="6A629F07"/>
    <w:rsid w:val="6A63CDE3"/>
    <w:rsid w:val="6A655F79"/>
    <w:rsid w:val="6A6741B5"/>
    <w:rsid w:val="6A674222"/>
    <w:rsid w:val="6A682B71"/>
    <w:rsid w:val="6A691F7E"/>
    <w:rsid w:val="6A6BDD7E"/>
    <w:rsid w:val="6A6BFCBE"/>
    <w:rsid w:val="6A6C7FA1"/>
    <w:rsid w:val="6A6CC64E"/>
    <w:rsid w:val="6A6EAF9B"/>
    <w:rsid w:val="6A7080B3"/>
    <w:rsid w:val="6A720C41"/>
    <w:rsid w:val="6A72C781"/>
    <w:rsid w:val="6A738FFB"/>
    <w:rsid w:val="6A763955"/>
    <w:rsid w:val="6A7652BA"/>
    <w:rsid w:val="6A77B000"/>
    <w:rsid w:val="6A77E3C0"/>
    <w:rsid w:val="6A7A0599"/>
    <w:rsid w:val="6A7AE841"/>
    <w:rsid w:val="6A7D0C06"/>
    <w:rsid w:val="6A7D12FC"/>
    <w:rsid w:val="6A7DCE1F"/>
    <w:rsid w:val="6A7E0BEA"/>
    <w:rsid w:val="6A7EEC78"/>
    <w:rsid w:val="6A806B4D"/>
    <w:rsid w:val="6A83693C"/>
    <w:rsid w:val="6A8580F2"/>
    <w:rsid w:val="6A86C4E4"/>
    <w:rsid w:val="6A86DBEE"/>
    <w:rsid w:val="6A872601"/>
    <w:rsid w:val="6A876A39"/>
    <w:rsid w:val="6A89C227"/>
    <w:rsid w:val="6A89F4A4"/>
    <w:rsid w:val="6A8B1BCB"/>
    <w:rsid w:val="6A8CD9A7"/>
    <w:rsid w:val="6A8E7FAA"/>
    <w:rsid w:val="6A8EBAC1"/>
    <w:rsid w:val="6A8EC097"/>
    <w:rsid w:val="6A8FC917"/>
    <w:rsid w:val="6A911B42"/>
    <w:rsid w:val="6A962CCA"/>
    <w:rsid w:val="6A987021"/>
    <w:rsid w:val="6A99CDEE"/>
    <w:rsid w:val="6A99DFAE"/>
    <w:rsid w:val="6A9D6C73"/>
    <w:rsid w:val="6A9D8321"/>
    <w:rsid w:val="6A9DFCC2"/>
    <w:rsid w:val="6A9E288C"/>
    <w:rsid w:val="6A9EA909"/>
    <w:rsid w:val="6A9F36B8"/>
    <w:rsid w:val="6AA1F4EA"/>
    <w:rsid w:val="6AA2DEEC"/>
    <w:rsid w:val="6AA6E433"/>
    <w:rsid w:val="6AA726CB"/>
    <w:rsid w:val="6AA904FE"/>
    <w:rsid w:val="6AA91F8C"/>
    <w:rsid w:val="6AA99A2A"/>
    <w:rsid w:val="6AAAFD54"/>
    <w:rsid w:val="6AB12A43"/>
    <w:rsid w:val="6AB131EA"/>
    <w:rsid w:val="6AB54EFC"/>
    <w:rsid w:val="6AB8215D"/>
    <w:rsid w:val="6AB89055"/>
    <w:rsid w:val="6ABC93C8"/>
    <w:rsid w:val="6ABD4105"/>
    <w:rsid w:val="6AC4A039"/>
    <w:rsid w:val="6AC6C12C"/>
    <w:rsid w:val="6ACA657C"/>
    <w:rsid w:val="6ACD67E3"/>
    <w:rsid w:val="6ACE7254"/>
    <w:rsid w:val="6AD06F1A"/>
    <w:rsid w:val="6AD37FC9"/>
    <w:rsid w:val="6AD47DDD"/>
    <w:rsid w:val="6AD779E1"/>
    <w:rsid w:val="6AE0D5A2"/>
    <w:rsid w:val="6AE50AA6"/>
    <w:rsid w:val="6AE5ED3B"/>
    <w:rsid w:val="6AE6B4D6"/>
    <w:rsid w:val="6AE6D94D"/>
    <w:rsid w:val="6AE7B74B"/>
    <w:rsid w:val="6AE95101"/>
    <w:rsid w:val="6AEA396F"/>
    <w:rsid w:val="6AEBF2BB"/>
    <w:rsid w:val="6AEC8374"/>
    <w:rsid w:val="6AECD3F0"/>
    <w:rsid w:val="6AEEB17B"/>
    <w:rsid w:val="6AF10F98"/>
    <w:rsid w:val="6AF2FAD9"/>
    <w:rsid w:val="6AF44AA9"/>
    <w:rsid w:val="6AF54FE3"/>
    <w:rsid w:val="6AF57FDB"/>
    <w:rsid w:val="6AF850F0"/>
    <w:rsid w:val="6AF8A7E8"/>
    <w:rsid w:val="6AFA15E1"/>
    <w:rsid w:val="6AFB0A48"/>
    <w:rsid w:val="6AFEAE90"/>
    <w:rsid w:val="6B00129F"/>
    <w:rsid w:val="6B014637"/>
    <w:rsid w:val="6B01A4DB"/>
    <w:rsid w:val="6B03E2BB"/>
    <w:rsid w:val="6B04036A"/>
    <w:rsid w:val="6B04C92A"/>
    <w:rsid w:val="6B060079"/>
    <w:rsid w:val="6B0B3FD3"/>
    <w:rsid w:val="6B0C7185"/>
    <w:rsid w:val="6B0CBBCA"/>
    <w:rsid w:val="6B0DEDDA"/>
    <w:rsid w:val="6B0E6C51"/>
    <w:rsid w:val="6B0F7E65"/>
    <w:rsid w:val="6B13B594"/>
    <w:rsid w:val="6B168017"/>
    <w:rsid w:val="6B168205"/>
    <w:rsid w:val="6B1852B4"/>
    <w:rsid w:val="6B18B619"/>
    <w:rsid w:val="6B1C890E"/>
    <w:rsid w:val="6B1D230A"/>
    <w:rsid w:val="6B1D8092"/>
    <w:rsid w:val="6B1E40B6"/>
    <w:rsid w:val="6B1EFB20"/>
    <w:rsid w:val="6B227D56"/>
    <w:rsid w:val="6B22AD9D"/>
    <w:rsid w:val="6B23D991"/>
    <w:rsid w:val="6B23E713"/>
    <w:rsid w:val="6B2469D4"/>
    <w:rsid w:val="6B274961"/>
    <w:rsid w:val="6B284807"/>
    <w:rsid w:val="6B28679A"/>
    <w:rsid w:val="6B287FF0"/>
    <w:rsid w:val="6B28A740"/>
    <w:rsid w:val="6B29325B"/>
    <w:rsid w:val="6B2A0A26"/>
    <w:rsid w:val="6B2A1CD1"/>
    <w:rsid w:val="6B2B2D28"/>
    <w:rsid w:val="6B2C52DC"/>
    <w:rsid w:val="6B2D588E"/>
    <w:rsid w:val="6B2FEFD5"/>
    <w:rsid w:val="6B300B1F"/>
    <w:rsid w:val="6B306057"/>
    <w:rsid w:val="6B3111A7"/>
    <w:rsid w:val="6B326ABD"/>
    <w:rsid w:val="6B3395D9"/>
    <w:rsid w:val="6B33FAA1"/>
    <w:rsid w:val="6B369275"/>
    <w:rsid w:val="6B392F8C"/>
    <w:rsid w:val="6B39777C"/>
    <w:rsid w:val="6B3AA535"/>
    <w:rsid w:val="6B3AAB81"/>
    <w:rsid w:val="6B3B178B"/>
    <w:rsid w:val="6B3BF071"/>
    <w:rsid w:val="6B40886F"/>
    <w:rsid w:val="6B40EC6D"/>
    <w:rsid w:val="6B453FE1"/>
    <w:rsid w:val="6B45903D"/>
    <w:rsid w:val="6B46A105"/>
    <w:rsid w:val="6B49B979"/>
    <w:rsid w:val="6B4BA8D0"/>
    <w:rsid w:val="6B50BB0B"/>
    <w:rsid w:val="6B523B7A"/>
    <w:rsid w:val="6B5BF8F1"/>
    <w:rsid w:val="6B5C5BBF"/>
    <w:rsid w:val="6B5E2F59"/>
    <w:rsid w:val="6B604980"/>
    <w:rsid w:val="6B60ACA8"/>
    <w:rsid w:val="6B60EBA4"/>
    <w:rsid w:val="6B615CF5"/>
    <w:rsid w:val="6B61E418"/>
    <w:rsid w:val="6B62489C"/>
    <w:rsid w:val="6B625FAC"/>
    <w:rsid w:val="6B6357FC"/>
    <w:rsid w:val="6B639651"/>
    <w:rsid w:val="6B656F99"/>
    <w:rsid w:val="6B6708F1"/>
    <w:rsid w:val="6B699314"/>
    <w:rsid w:val="6B6EAD0B"/>
    <w:rsid w:val="6B6F0FC5"/>
    <w:rsid w:val="6B6F498B"/>
    <w:rsid w:val="6B742D2A"/>
    <w:rsid w:val="6B750914"/>
    <w:rsid w:val="6B76A08E"/>
    <w:rsid w:val="6B76E52E"/>
    <w:rsid w:val="6B774E0C"/>
    <w:rsid w:val="6B77BFDE"/>
    <w:rsid w:val="6B7A22B3"/>
    <w:rsid w:val="6B7D0896"/>
    <w:rsid w:val="6B7D1FE3"/>
    <w:rsid w:val="6B7D2B72"/>
    <w:rsid w:val="6B7E65FC"/>
    <w:rsid w:val="6B81D070"/>
    <w:rsid w:val="6B851366"/>
    <w:rsid w:val="6B878E0C"/>
    <w:rsid w:val="6B88C550"/>
    <w:rsid w:val="6B8B84CF"/>
    <w:rsid w:val="6B8D336B"/>
    <w:rsid w:val="6B8D93E1"/>
    <w:rsid w:val="6B8DADEC"/>
    <w:rsid w:val="6B8E61FF"/>
    <w:rsid w:val="6B8FA447"/>
    <w:rsid w:val="6B90EC40"/>
    <w:rsid w:val="6B92524B"/>
    <w:rsid w:val="6B93E4F3"/>
    <w:rsid w:val="6B953C11"/>
    <w:rsid w:val="6B9AA7D6"/>
    <w:rsid w:val="6B9ADB70"/>
    <w:rsid w:val="6B9DCBA8"/>
    <w:rsid w:val="6B9F7602"/>
    <w:rsid w:val="6B9FF51B"/>
    <w:rsid w:val="6BA02BBE"/>
    <w:rsid w:val="6BA1A454"/>
    <w:rsid w:val="6BA2115E"/>
    <w:rsid w:val="6BA4F1A7"/>
    <w:rsid w:val="6BA558B8"/>
    <w:rsid w:val="6BAE2447"/>
    <w:rsid w:val="6BBB9268"/>
    <w:rsid w:val="6BBB966E"/>
    <w:rsid w:val="6BBE1274"/>
    <w:rsid w:val="6BC0D479"/>
    <w:rsid w:val="6BC18C0D"/>
    <w:rsid w:val="6BC4268F"/>
    <w:rsid w:val="6BC4B1CE"/>
    <w:rsid w:val="6BC90EDC"/>
    <w:rsid w:val="6BC9950A"/>
    <w:rsid w:val="6BC9E3BE"/>
    <w:rsid w:val="6BCB2B18"/>
    <w:rsid w:val="6BCE9C22"/>
    <w:rsid w:val="6BCF301D"/>
    <w:rsid w:val="6BD50515"/>
    <w:rsid w:val="6BD66890"/>
    <w:rsid w:val="6BD87BB8"/>
    <w:rsid w:val="6BDC39E0"/>
    <w:rsid w:val="6BDF25C5"/>
    <w:rsid w:val="6BE23E4C"/>
    <w:rsid w:val="6BE4757F"/>
    <w:rsid w:val="6BE5952F"/>
    <w:rsid w:val="6BE5E247"/>
    <w:rsid w:val="6BE94CE0"/>
    <w:rsid w:val="6BE9542C"/>
    <w:rsid w:val="6BE99142"/>
    <w:rsid w:val="6BEA62A5"/>
    <w:rsid w:val="6BEDC744"/>
    <w:rsid w:val="6BEE2187"/>
    <w:rsid w:val="6BEED0CC"/>
    <w:rsid w:val="6BF24EBF"/>
    <w:rsid w:val="6BF44113"/>
    <w:rsid w:val="6BF5B468"/>
    <w:rsid w:val="6BF6FAFD"/>
    <w:rsid w:val="6BF98EEC"/>
    <w:rsid w:val="6BFC1A66"/>
    <w:rsid w:val="6BFF10E6"/>
    <w:rsid w:val="6BFFD79E"/>
    <w:rsid w:val="6C024FB3"/>
    <w:rsid w:val="6C046C80"/>
    <w:rsid w:val="6C064176"/>
    <w:rsid w:val="6C090685"/>
    <w:rsid w:val="6C0CF3DB"/>
    <w:rsid w:val="6C0FA779"/>
    <w:rsid w:val="6C0FDA36"/>
    <w:rsid w:val="6C10E0B8"/>
    <w:rsid w:val="6C10FC80"/>
    <w:rsid w:val="6C1226EC"/>
    <w:rsid w:val="6C12976A"/>
    <w:rsid w:val="6C135F5D"/>
    <w:rsid w:val="6C13FD35"/>
    <w:rsid w:val="6C16461D"/>
    <w:rsid w:val="6C182823"/>
    <w:rsid w:val="6C18BE84"/>
    <w:rsid w:val="6C18C57E"/>
    <w:rsid w:val="6C1FB125"/>
    <w:rsid w:val="6C20E019"/>
    <w:rsid w:val="6C242852"/>
    <w:rsid w:val="6C247741"/>
    <w:rsid w:val="6C26557A"/>
    <w:rsid w:val="6C2E41E1"/>
    <w:rsid w:val="6C2E451E"/>
    <w:rsid w:val="6C33313E"/>
    <w:rsid w:val="6C3339F6"/>
    <w:rsid w:val="6C33B966"/>
    <w:rsid w:val="6C382823"/>
    <w:rsid w:val="6C38C342"/>
    <w:rsid w:val="6C3B15CB"/>
    <w:rsid w:val="6C3DF330"/>
    <w:rsid w:val="6C3EE2E1"/>
    <w:rsid w:val="6C435150"/>
    <w:rsid w:val="6C438CF9"/>
    <w:rsid w:val="6C477EF4"/>
    <w:rsid w:val="6C47C147"/>
    <w:rsid w:val="6C494BF2"/>
    <w:rsid w:val="6C4B8A9F"/>
    <w:rsid w:val="6C4F3C25"/>
    <w:rsid w:val="6C4F48DD"/>
    <w:rsid w:val="6C508ADE"/>
    <w:rsid w:val="6C51FC40"/>
    <w:rsid w:val="6C5249AB"/>
    <w:rsid w:val="6C54A990"/>
    <w:rsid w:val="6C54E0E4"/>
    <w:rsid w:val="6C554112"/>
    <w:rsid w:val="6C558743"/>
    <w:rsid w:val="6C55E2FB"/>
    <w:rsid w:val="6C5783F6"/>
    <w:rsid w:val="6C57BDDD"/>
    <w:rsid w:val="6C57F7F3"/>
    <w:rsid w:val="6C60B82D"/>
    <w:rsid w:val="6C621548"/>
    <w:rsid w:val="6C62BE06"/>
    <w:rsid w:val="6C632563"/>
    <w:rsid w:val="6C63A93C"/>
    <w:rsid w:val="6C644971"/>
    <w:rsid w:val="6C64AC25"/>
    <w:rsid w:val="6C6841C8"/>
    <w:rsid w:val="6C6CB110"/>
    <w:rsid w:val="6C6E7265"/>
    <w:rsid w:val="6C6E75CB"/>
    <w:rsid w:val="6C7156F4"/>
    <w:rsid w:val="6C74D073"/>
    <w:rsid w:val="6C75C205"/>
    <w:rsid w:val="6C774CC1"/>
    <w:rsid w:val="6C78D14C"/>
    <w:rsid w:val="6C7C5001"/>
    <w:rsid w:val="6C7CE9BE"/>
    <w:rsid w:val="6C7D4224"/>
    <w:rsid w:val="6C820F02"/>
    <w:rsid w:val="6C827A00"/>
    <w:rsid w:val="6C832DDD"/>
    <w:rsid w:val="6C835234"/>
    <w:rsid w:val="6C886116"/>
    <w:rsid w:val="6C88EA86"/>
    <w:rsid w:val="6C897013"/>
    <w:rsid w:val="6C8A8952"/>
    <w:rsid w:val="6C8CD7CA"/>
    <w:rsid w:val="6C8EC6AC"/>
    <w:rsid w:val="6C936AD3"/>
    <w:rsid w:val="6C94128E"/>
    <w:rsid w:val="6C954D07"/>
    <w:rsid w:val="6C96F379"/>
    <w:rsid w:val="6C98BEA1"/>
    <w:rsid w:val="6C9B0E1B"/>
    <w:rsid w:val="6C9BA75B"/>
    <w:rsid w:val="6C9C4236"/>
    <w:rsid w:val="6C9F02A7"/>
    <w:rsid w:val="6CA046B0"/>
    <w:rsid w:val="6CA59320"/>
    <w:rsid w:val="6CA5B68A"/>
    <w:rsid w:val="6CAAB4EC"/>
    <w:rsid w:val="6CAD8163"/>
    <w:rsid w:val="6CAD8185"/>
    <w:rsid w:val="6CAF399E"/>
    <w:rsid w:val="6CB27237"/>
    <w:rsid w:val="6CB53C71"/>
    <w:rsid w:val="6CB72AC0"/>
    <w:rsid w:val="6CB7D8C3"/>
    <w:rsid w:val="6CB9128C"/>
    <w:rsid w:val="6CBD8703"/>
    <w:rsid w:val="6CBDCE2A"/>
    <w:rsid w:val="6CBE3060"/>
    <w:rsid w:val="6CBE3C55"/>
    <w:rsid w:val="6CC65CCA"/>
    <w:rsid w:val="6CC8D308"/>
    <w:rsid w:val="6CC9BD6C"/>
    <w:rsid w:val="6CCB7F3C"/>
    <w:rsid w:val="6CCC0BBC"/>
    <w:rsid w:val="6CCDC622"/>
    <w:rsid w:val="6CD0C2E5"/>
    <w:rsid w:val="6CD1CC19"/>
    <w:rsid w:val="6CD7B520"/>
    <w:rsid w:val="6CDA8288"/>
    <w:rsid w:val="6CDD4C4B"/>
    <w:rsid w:val="6CDF1425"/>
    <w:rsid w:val="6CE038BE"/>
    <w:rsid w:val="6CE6C039"/>
    <w:rsid w:val="6CEB9580"/>
    <w:rsid w:val="6CEECF7C"/>
    <w:rsid w:val="6CF0B6F7"/>
    <w:rsid w:val="6CF36349"/>
    <w:rsid w:val="6CF3CB71"/>
    <w:rsid w:val="6CF68451"/>
    <w:rsid w:val="6CF9926C"/>
    <w:rsid w:val="6CFA79ED"/>
    <w:rsid w:val="6CFB6CF4"/>
    <w:rsid w:val="6CFC88EE"/>
    <w:rsid w:val="6CFCEC28"/>
    <w:rsid w:val="6CFE0A60"/>
    <w:rsid w:val="6CFF094F"/>
    <w:rsid w:val="6D025B39"/>
    <w:rsid w:val="6D075E2A"/>
    <w:rsid w:val="6D07ADF8"/>
    <w:rsid w:val="6D07FBFD"/>
    <w:rsid w:val="6D081FF4"/>
    <w:rsid w:val="6D0CDCC7"/>
    <w:rsid w:val="6D0DE140"/>
    <w:rsid w:val="6D0EE06C"/>
    <w:rsid w:val="6D1128C0"/>
    <w:rsid w:val="6D119D20"/>
    <w:rsid w:val="6D120731"/>
    <w:rsid w:val="6D126F80"/>
    <w:rsid w:val="6D12DB7F"/>
    <w:rsid w:val="6D1469EF"/>
    <w:rsid w:val="6D15CFD3"/>
    <w:rsid w:val="6D16A595"/>
    <w:rsid w:val="6D1716ED"/>
    <w:rsid w:val="6D181F98"/>
    <w:rsid w:val="6D19AD52"/>
    <w:rsid w:val="6D1CEDAB"/>
    <w:rsid w:val="6D1D89E5"/>
    <w:rsid w:val="6D1F9770"/>
    <w:rsid w:val="6D2333B4"/>
    <w:rsid w:val="6D23C86C"/>
    <w:rsid w:val="6D29EA1D"/>
    <w:rsid w:val="6D2B0F92"/>
    <w:rsid w:val="6D2CE481"/>
    <w:rsid w:val="6D32892B"/>
    <w:rsid w:val="6D32F18B"/>
    <w:rsid w:val="6D334353"/>
    <w:rsid w:val="6D337142"/>
    <w:rsid w:val="6D33F60A"/>
    <w:rsid w:val="6D349480"/>
    <w:rsid w:val="6D34A90D"/>
    <w:rsid w:val="6D36F70C"/>
    <w:rsid w:val="6D379D02"/>
    <w:rsid w:val="6D388850"/>
    <w:rsid w:val="6D3A0563"/>
    <w:rsid w:val="6D3A5EC1"/>
    <w:rsid w:val="6D3ECE75"/>
    <w:rsid w:val="6D404B98"/>
    <w:rsid w:val="6D404E68"/>
    <w:rsid w:val="6D41B0C5"/>
    <w:rsid w:val="6D4282AC"/>
    <w:rsid w:val="6D42FB75"/>
    <w:rsid w:val="6D43319F"/>
    <w:rsid w:val="6D437455"/>
    <w:rsid w:val="6D468665"/>
    <w:rsid w:val="6D470973"/>
    <w:rsid w:val="6D4D888E"/>
    <w:rsid w:val="6D4DD15E"/>
    <w:rsid w:val="6D501096"/>
    <w:rsid w:val="6D505DA6"/>
    <w:rsid w:val="6D523393"/>
    <w:rsid w:val="6D52F24D"/>
    <w:rsid w:val="6D54E000"/>
    <w:rsid w:val="6D578654"/>
    <w:rsid w:val="6D5BADA5"/>
    <w:rsid w:val="6D5ED076"/>
    <w:rsid w:val="6D614341"/>
    <w:rsid w:val="6D62F88C"/>
    <w:rsid w:val="6D6633DF"/>
    <w:rsid w:val="6D6B4F52"/>
    <w:rsid w:val="6D6E0420"/>
    <w:rsid w:val="6D6FC688"/>
    <w:rsid w:val="6D723A4B"/>
    <w:rsid w:val="6D7249AB"/>
    <w:rsid w:val="6D72CD73"/>
    <w:rsid w:val="6D765D1A"/>
    <w:rsid w:val="6D76D4D7"/>
    <w:rsid w:val="6D7854A3"/>
    <w:rsid w:val="6D794F5E"/>
    <w:rsid w:val="6D7E6D32"/>
    <w:rsid w:val="6D80F04F"/>
    <w:rsid w:val="6D81D04C"/>
    <w:rsid w:val="6D822BC0"/>
    <w:rsid w:val="6D82C260"/>
    <w:rsid w:val="6D83597F"/>
    <w:rsid w:val="6D83D0C2"/>
    <w:rsid w:val="6D846C11"/>
    <w:rsid w:val="6D877DEE"/>
    <w:rsid w:val="6D8AB0E1"/>
    <w:rsid w:val="6D8C2889"/>
    <w:rsid w:val="6D8C9885"/>
    <w:rsid w:val="6D900187"/>
    <w:rsid w:val="6D90DB7E"/>
    <w:rsid w:val="6D949FB0"/>
    <w:rsid w:val="6D9567C6"/>
    <w:rsid w:val="6D95A3AE"/>
    <w:rsid w:val="6D95EDC0"/>
    <w:rsid w:val="6D95F3F5"/>
    <w:rsid w:val="6D974F6B"/>
    <w:rsid w:val="6D97657F"/>
    <w:rsid w:val="6D9B0593"/>
    <w:rsid w:val="6D9B0CBE"/>
    <w:rsid w:val="6D9DCC90"/>
    <w:rsid w:val="6D9ECED5"/>
    <w:rsid w:val="6D9F0D3B"/>
    <w:rsid w:val="6D9F6A37"/>
    <w:rsid w:val="6DA10F6D"/>
    <w:rsid w:val="6DA30515"/>
    <w:rsid w:val="6DA3555E"/>
    <w:rsid w:val="6DA434CA"/>
    <w:rsid w:val="6DA61E1C"/>
    <w:rsid w:val="6DABCDBB"/>
    <w:rsid w:val="6DAD63A4"/>
    <w:rsid w:val="6DB22D78"/>
    <w:rsid w:val="6DB2E56E"/>
    <w:rsid w:val="6DB351BA"/>
    <w:rsid w:val="6DB56AF6"/>
    <w:rsid w:val="6DB68D97"/>
    <w:rsid w:val="6DB6CD00"/>
    <w:rsid w:val="6DB8BB0B"/>
    <w:rsid w:val="6DBBCA4B"/>
    <w:rsid w:val="6DBCB391"/>
    <w:rsid w:val="6DBF5FF0"/>
    <w:rsid w:val="6DC35565"/>
    <w:rsid w:val="6DC37533"/>
    <w:rsid w:val="6DC85363"/>
    <w:rsid w:val="6DC8C6FE"/>
    <w:rsid w:val="6DCA4998"/>
    <w:rsid w:val="6DCCA191"/>
    <w:rsid w:val="6DCCF5B6"/>
    <w:rsid w:val="6DCDAEF6"/>
    <w:rsid w:val="6DCE5D8B"/>
    <w:rsid w:val="6DD014A4"/>
    <w:rsid w:val="6DD22D1D"/>
    <w:rsid w:val="6DD57947"/>
    <w:rsid w:val="6DD78EDC"/>
    <w:rsid w:val="6DD86E79"/>
    <w:rsid w:val="6DD8DAE7"/>
    <w:rsid w:val="6DD9B638"/>
    <w:rsid w:val="6DDC5EB1"/>
    <w:rsid w:val="6DDF99A1"/>
    <w:rsid w:val="6DDFFD5E"/>
    <w:rsid w:val="6DE02E4D"/>
    <w:rsid w:val="6DE106D8"/>
    <w:rsid w:val="6DE1343E"/>
    <w:rsid w:val="6DE2845A"/>
    <w:rsid w:val="6DE446BB"/>
    <w:rsid w:val="6DE503E2"/>
    <w:rsid w:val="6DE5092B"/>
    <w:rsid w:val="6DEA5B46"/>
    <w:rsid w:val="6DED83DA"/>
    <w:rsid w:val="6DEE2B39"/>
    <w:rsid w:val="6DF05558"/>
    <w:rsid w:val="6DF334E8"/>
    <w:rsid w:val="6DF34536"/>
    <w:rsid w:val="6DF4A65C"/>
    <w:rsid w:val="6DF77D53"/>
    <w:rsid w:val="6DF7C8D9"/>
    <w:rsid w:val="6DF9C76D"/>
    <w:rsid w:val="6DFF9B08"/>
    <w:rsid w:val="6E0189B7"/>
    <w:rsid w:val="6E01FDDB"/>
    <w:rsid w:val="6E0202CD"/>
    <w:rsid w:val="6E064D50"/>
    <w:rsid w:val="6E09A813"/>
    <w:rsid w:val="6E0A1D0A"/>
    <w:rsid w:val="6E125D52"/>
    <w:rsid w:val="6E146614"/>
    <w:rsid w:val="6E1631E5"/>
    <w:rsid w:val="6E1668BF"/>
    <w:rsid w:val="6E1A0DB6"/>
    <w:rsid w:val="6E1E3823"/>
    <w:rsid w:val="6E1E79FC"/>
    <w:rsid w:val="6E204768"/>
    <w:rsid w:val="6E20894C"/>
    <w:rsid w:val="6E239E83"/>
    <w:rsid w:val="6E263BA6"/>
    <w:rsid w:val="6E294F4C"/>
    <w:rsid w:val="6E2BF351"/>
    <w:rsid w:val="6E2C3F2D"/>
    <w:rsid w:val="6E2EC7AF"/>
    <w:rsid w:val="6E30EC6A"/>
    <w:rsid w:val="6E314B3D"/>
    <w:rsid w:val="6E3B39A4"/>
    <w:rsid w:val="6E3EFAA3"/>
    <w:rsid w:val="6E41A329"/>
    <w:rsid w:val="6E421BB4"/>
    <w:rsid w:val="6E42B595"/>
    <w:rsid w:val="6E43B64C"/>
    <w:rsid w:val="6E43BEAF"/>
    <w:rsid w:val="6E43CB6F"/>
    <w:rsid w:val="6E4772E7"/>
    <w:rsid w:val="6E4DBA4D"/>
    <w:rsid w:val="6E4E1154"/>
    <w:rsid w:val="6E4E3451"/>
    <w:rsid w:val="6E4E43D4"/>
    <w:rsid w:val="6E500862"/>
    <w:rsid w:val="6E501DAA"/>
    <w:rsid w:val="6E549074"/>
    <w:rsid w:val="6E553164"/>
    <w:rsid w:val="6E56B218"/>
    <w:rsid w:val="6E580C08"/>
    <w:rsid w:val="6E581F60"/>
    <w:rsid w:val="6E589ED3"/>
    <w:rsid w:val="6E59D933"/>
    <w:rsid w:val="6E5A116E"/>
    <w:rsid w:val="6E5B3AB0"/>
    <w:rsid w:val="6E5F4A18"/>
    <w:rsid w:val="6E628CCA"/>
    <w:rsid w:val="6E649DBC"/>
    <w:rsid w:val="6E65B9B9"/>
    <w:rsid w:val="6E6884BC"/>
    <w:rsid w:val="6E68F5D5"/>
    <w:rsid w:val="6E6AB228"/>
    <w:rsid w:val="6E7283E9"/>
    <w:rsid w:val="6E73B323"/>
    <w:rsid w:val="6E788CB7"/>
    <w:rsid w:val="6E79871D"/>
    <w:rsid w:val="6E7A4983"/>
    <w:rsid w:val="6E7B17A8"/>
    <w:rsid w:val="6E7B26B1"/>
    <w:rsid w:val="6E7E332D"/>
    <w:rsid w:val="6E7E6F27"/>
    <w:rsid w:val="6E7FA21D"/>
    <w:rsid w:val="6E8109D6"/>
    <w:rsid w:val="6E82EC43"/>
    <w:rsid w:val="6E83348F"/>
    <w:rsid w:val="6E83392E"/>
    <w:rsid w:val="6E84E9F8"/>
    <w:rsid w:val="6E85AC57"/>
    <w:rsid w:val="6E86E125"/>
    <w:rsid w:val="6E87778A"/>
    <w:rsid w:val="6E879734"/>
    <w:rsid w:val="6E87AC33"/>
    <w:rsid w:val="6E8ADA6C"/>
    <w:rsid w:val="6E8B5AB1"/>
    <w:rsid w:val="6E8BF7BE"/>
    <w:rsid w:val="6E93FD58"/>
    <w:rsid w:val="6E95402C"/>
    <w:rsid w:val="6E9548FC"/>
    <w:rsid w:val="6E98A1E2"/>
    <w:rsid w:val="6E99D213"/>
    <w:rsid w:val="6E9A96A3"/>
    <w:rsid w:val="6E9C34C7"/>
    <w:rsid w:val="6E9C8382"/>
    <w:rsid w:val="6E9DCC2F"/>
    <w:rsid w:val="6E9F9112"/>
    <w:rsid w:val="6EA047D5"/>
    <w:rsid w:val="6EA27ACD"/>
    <w:rsid w:val="6EA32F59"/>
    <w:rsid w:val="6EA58914"/>
    <w:rsid w:val="6EA5DB39"/>
    <w:rsid w:val="6EA774E9"/>
    <w:rsid w:val="6EA7EBA0"/>
    <w:rsid w:val="6EA86B13"/>
    <w:rsid w:val="6EA8BC76"/>
    <w:rsid w:val="6EABE0C0"/>
    <w:rsid w:val="6EAEEFDC"/>
    <w:rsid w:val="6EB0EDEB"/>
    <w:rsid w:val="6EB11352"/>
    <w:rsid w:val="6EB16AAE"/>
    <w:rsid w:val="6EB20338"/>
    <w:rsid w:val="6EB20E03"/>
    <w:rsid w:val="6EB2110A"/>
    <w:rsid w:val="6EB40657"/>
    <w:rsid w:val="6EB7580E"/>
    <w:rsid w:val="6EB9B652"/>
    <w:rsid w:val="6EBA4B97"/>
    <w:rsid w:val="6EBAEA49"/>
    <w:rsid w:val="6EBC0D33"/>
    <w:rsid w:val="6EBCD628"/>
    <w:rsid w:val="6EBF9DBF"/>
    <w:rsid w:val="6EC03C45"/>
    <w:rsid w:val="6EC31FB1"/>
    <w:rsid w:val="6EC65434"/>
    <w:rsid w:val="6EC7482F"/>
    <w:rsid w:val="6ECA49A1"/>
    <w:rsid w:val="6ECB42BD"/>
    <w:rsid w:val="6ECCC288"/>
    <w:rsid w:val="6ECD8C7F"/>
    <w:rsid w:val="6ECDD27E"/>
    <w:rsid w:val="6ECE180B"/>
    <w:rsid w:val="6ECF09DE"/>
    <w:rsid w:val="6ED0B5C1"/>
    <w:rsid w:val="6ED10E68"/>
    <w:rsid w:val="6ED4C617"/>
    <w:rsid w:val="6ED7B042"/>
    <w:rsid w:val="6ED7D170"/>
    <w:rsid w:val="6ED81429"/>
    <w:rsid w:val="6ED8861C"/>
    <w:rsid w:val="6EE1D9C5"/>
    <w:rsid w:val="6EE2096A"/>
    <w:rsid w:val="6EE269D2"/>
    <w:rsid w:val="6EE6E6F0"/>
    <w:rsid w:val="6EE8F2FE"/>
    <w:rsid w:val="6EED790C"/>
    <w:rsid w:val="6EEEA445"/>
    <w:rsid w:val="6EEFBF00"/>
    <w:rsid w:val="6EF0D78B"/>
    <w:rsid w:val="6EF1346E"/>
    <w:rsid w:val="6EF262CF"/>
    <w:rsid w:val="6EF43569"/>
    <w:rsid w:val="6EF4E743"/>
    <w:rsid w:val="6EF68690"/>
    <w:rsid w:val="6EF689C2"/>
    <w:rsid w:val="6EF9CEF6"/>
    <w:rsid w:val="6EFD20A2"/>
    <w:rsid w:val="6F0019B8"/>
    <w:rsid w:val="6F00A22B"/>
    <w:rsid w:val="6F01CEB7"/>
    <w:rsid w:val="6F04383B"/>
    <w:rsid w:val="6F05F252"/>
    <w:rsid w:val="6F060C90"/>
    <w:rsid w:val="6F0B4DFA"/>
    <w:rsid w:val="6F0D7552"/>
    <w:rsid w:val="6F12426E"/>
    <w:rsid w:val="6F12DB04"/>
    <w:rsid w:val="6F1743B7"/>
    <w:rsid w:val="6F1964C5"/>
    <w:rsid w:val="6F1BA054"/>
    <w:rsid w:val="6F1BA77B"/>
    <w:rsid w:val="6F1E781E"/>
    <w:rsid w:val="6F1F7EC6"/>
    <w:rsid w:val="6F1F940D"/>
    <w:rsid w:val="6F2349F6"/>
    <w:rsid w:val="6F260A62"/>
    <w:rsid w:val="6F289BB9"/>
    <w:rsid w:val="6F29CF26"/>
    <w:rsid w:val="6F2C1CEA"/>
    <w:rsid w:val="6F2E1B94"/>
    <w:rsid w:val="6F2ED06A"/>
    <w:rsid w:val="6F2F3172"/>
    <w:rsid w:val="6F314115"/>
    <w:rsid w:val="6F331606"/>
    <w:rsid w:val="6F377977"/>
    <w:rsid w:val="6F378195"/>
    <w:rsid w:val="6F37BD10"/>
    <w:rsid w:val="6F3A6C5F"/>
    <w:rsid w:val="6F3CAB59"/>
    <w:rsid w:val="6F3F963E"/>
    <w:rsid w:val="6F40C74B"/>
    <w:rsid w:val="6F420F05"/>
    <w:rsid w:val="6F42455B"/>
    <w:rsid w:val="6F42E735"/>
    <w:rsid w:val="6F484525"/>
    <w:rsid w:val="6F534351"/>
    <w:rsid w:val="6F55A485"/>
    <w:rsid w:val="6F58A32D"/>
    <w:rsid w:val="6F5A0B48"/>
    <w:rsid w:val="6F5A9AA5"/>
    <w:rsid w:val="6F5BABD4"/>
    <w:rsid w:val="6F5CD21E"/>
    <w:rsid w:val="6F5D8C8E"/>
    <w:rsid w:val="6F5E3434"/>
    <w:rsid w:val="6F62BC15"/>
    <w:rsid w:val="6F640D2B"/>
    <w:rsid w:val="6F65C5EF"/>
    <w:rsid w:val="6F668403"/>
    <w:rsid w:val="6F6BE8C3"/>
    <w:rsid w:val="6F6CF6F6"/>
    <w:rsid w:val="6F6FB107"/>
    <w:rsid w:val="6F717D3F"/>
    <w:rsid w:val="6F7232D4"/>
    <w:rsid w:val="6F74C448"/>
    <w:rsid w:val="6F7788CC"/>
    <w:rsid w:val="6F78602A"/>
    <w:rsid w:val="6F78AAFE"/>
    <w:rsid w:val="6F790DA4"/>
    <w:rsid w:val="6F79E1BE"/>
    <w:rsid w:val="6F7A18E0"/>
    <w:rsid w:val="6F7F2BC7"/>
    <w:rsid w:val="6F80C7E2"/>
    <w:rsid w:val="6F813819"/>
    <w:rsid w:val="6F849AE0"/>
    <w:rsid w:val="6F84C89F"/>
    <w:rsid w:val="6F85FA60"/>
    <w:rsid w:val="6F87195F"/>
    <w:rsid w:val="6F87C030"/>
    <w:rsid w:val="6F8A8D36"/>
    <w:rsid w:val="6F8F9564"/>
    <w:rsid w:val="6F9162ED"/>
    <w:rsid w:val="6F91C946"/>
    <w:rsid w:val="6F91F90C"/>
    <w:rsid w:val="6F924ECE"/>
    <w:rsid w:val="6F94FDB8"/>
    <w:rsid w:val="6F993CD4"/>
    <w:rsid w:val="6F99B74B"/>
    <w:rsid w:val="6F9A6C79"/>
    <w:rsid w:val="6F9BFEEF"/>
    <w:rsid w:val="6FA1CB82"/>
    <w:rsid w:val="6FA5C2AA"/>
    <w:rsid w:val="6FA7E154"/>
    <w:rsid w:val="6FA8052E"/>
    <w:rsid w:val="6FA90C48"/>
    <w:rsid w:val="6FAA390A"/>
    <w:rsid w:val="6FAA4199"/>
    <w:rsid w:val="6FAD306E"/>
    <w:rsid w:val="6FAEC9AE"/>
    <w:rsid w:val="6FB00147"/>
    <w:rsid w:val="6FB1E2E2"/>
    <w:rsid w:val="6FB20EC3"/>
    <w:rsid w:val="6FB8F70A"/>
    <w:rsid w:val="6FB91F85"/>
    <w:rsid w:val="6FBC339F"/>
    <w:rsid w:val="6FBD4D73"/>
    <w:rsid w:val="6FC16017"/>
    <w:rsid w:val="6FC3A306"/>
    <w:rsid w:val="6FC44042"/>
    <w:rsid w:val="6FC6C062"/>
    <w:rsid w:val="6FC939D1"/>
    <w:rsid w:val="6FCA4AC2"/>
    <w:rsid w:val="6FCB9CA2"/>
    <w:rsid w:val="6FCBD0E9"/>
    <w:rsid w:val="6FCF46D6"/>
    <w:rsid w:val="6FCFD6EE"/>
    <w:rsid w:val="6FD0CCEE"/>
    <w:rsid w:val="6FD43A87"/>
    <w:rsid w:val="6FD45295"/>
    <w:rsid w:val="6FD579E6"/>
    <w:rsid w:val="6FDE7E47"/>
    <w:rsid w:val="6FE4E020"/>
    <w:rsid w:val="6FE5B983"/>
    <w:rsid w:val="6FEB43F3"/>
    <w:rsid w:val="6FED106E"/>
    <w:rsid w:val="6FED1BA5"/>
    <w:rsid w:val="6FF412F3"/>
    <w:rsid w:val="6FF4915D"/>
    <w:rsid w:val="6FF88964"/>
    <w:rsid w:val="6FF8E0AE"/>
    <w:rsid w:val="6FFE0AA7"/>
    <w:rsid w:val="6FFF1010"/>
    <w:rsid w:val="6FFF326C"/>
    <w:rsid w:val="700788D1"/>
    <w:rsid w:val="70084137"/>
    <w:rsid w:val="700A6E0C"/>
    <w:rsid w:val="700D6145"/>
    <w:rsid w:val="7012744F"/>
    <w:rsid w:val="7014D6C3"/>
    <w:rsid w:val="7015187E"/>
    <w:rsid w:val="7015FC5D"/>
    <w:rsid w:val="70189A61"/>
    <w:rsid w:val="7019D65A"/>
    <w:rsid w:val="701C0030"/>
    <w:rsid w:val="701D1378"/>
    <w:rsid w:val="701F8BE3"/>
    <w:rsid w:val="702172AC"/>
    <w:rsid w:val="7023D59E"/>
    <w:rsid w:val="70273A90"/>
    <w:rsid w:val="7027F797"/>
    <w:rsid w:val="70287B03"/>
    <w:rsid w:val="702979E3"/>
    <w:rsid w:val="702A8731"/>
    <w:rsid w:val="702ADBB0"/>
    <w:rsid w:val="702E0BDC"/>
    <w:rsid w:val="70328721"/>
    <w:rsid w:val="7037B117"/>
    <w:rsid w:val="70388DF6"/>
    <w:rsid w:val="70390EA1"/>
    <w:rsid w:val="703E2038"/>
    <w:rsid w:val="703E9FB0"/>
    <w:rsid w:val="7042ADA0"/>
    <w:rsid w:val="70434F46"/>
    <w:rsid w:val="7044AD11"/>
    <w:rsid w:val="70465794"/>
    <w:rsid w:val="70470698"/>
    <w:rsid w:val="704BAB60"/>
    <w:rsid w:val="704BDEF2"/>
    <w:rsid w:val="704CF5A2"/>
    <w:rsid w:val="704D7747"/>
    <w:rsid w:val="704F80A8"/>
    <w:rsid w:val="7050B875"/>
    <w:rsid w:val="70564CD4"/>
    <w:rsid w:val="70586059"/>
    <w:rsid w:val="7059394B"/>
    <w:rsid w:val="705A1C47"/>
    <w:rsid w:val="705D25E4"/>
    <w:rsid w:val="70606FCD"/>
    <w:rsid w:val="7062661C"/>
    <w:rsid w:val="7062D783"/>
    <w:rsid w:val="70650873"/>
    <w:rsid w:val="706549CE"/>
    <w:rsid w:val="7066DDEC"/>
    <w:rsid w:val="706A2980"/>
    <w:rsid w:val="706EDC39"/>
    <w:rsid w:val="706FF6DB"/>
    <w:rsid w:val="7070697C"/>
    <w:rsid w:val="7074B6F1"/>
    <w:rsid w:val="70779446"/>
    <w:rsid w:val="70797413"/>
    <w:rsid w:val="707CB0ED"/>
    <w:rsid w:val="707F50C3"/>
    <w:rsid w:val="708157C6"/>
    <w:rsid w:val="70816327"/>
    <w:rsid w:val="70846F99"/>
    <w:rsid w:val="70848AB4"/>
    <w:rsid w:val="708BABA7"/>
    <w:rsid w:val="708CD13D"/>
    <w:rsid w:val="708CEE25"/>
    <w:rsid w:val="708CFCC5"/>
    <w:rsid w:val="708EF907"/>
    <w:rsid w:val="70909957"/>
    <w:rsid w:val="709197C2"/>
    <w:rsid w:val="7091BC1B"/>
    <w:rsid w:val="7091DBB5"/>
    <w:rsid w:val="7092545A"/>
    <w:rsid w:val="7095FB12"/>
    <w:rsid w:val="70968C2B"/>
    <w:rsid w:val="7097C0C8"/>
    <w:rsid w:val="70985B8D"/>
    <w:rsid w:val="709E5EF4"/>
    <w:rsid w:val="709EEFB2"/>
    <w:rsid w:val="70A10573"/>
    <w:rsid w:val="70A51334"/>
    <w:rsid w:val="70A7A568"/>
    <w:rsid w:val="70AD4041"/>
    <w:rsid w:val="70ADD5D3"/>
    <w:rsid w:val="70ADE68F"/>
    <w:rsid w:val="70AE4219"/>
    <w:rsid w:val="70AF1715"/>
    <w:rsid w:val="70B028A9"/>
    <w:rsid w:val="70B1642B"/>
    <w:rsid w:val="70B1A2CD"/>
    <w:rsid w:val="70B2A34A"/>
    <w:rsid w:val="70B54239"/>
    <w:rsid w:val="70B65A56"/>
    <w:rsid w:val="70B8AEBF"/>
    <w:rsid w:val="70B8F8CD"/>
    <w:rsid w:val="70C44C40"/>
    <w:rsid w:val="70C46432"/>
    <w:rsid w:val="70C4E4DC"/>
    <w:rsid w:val="70C70F9E"/>
    <w:rsid w:val="70C75115"/>
    <w:rsid w:val="70C7F6FB"/>
    <w:rsid w:val="70C80635"/>
    <w:rsid w:val="70CBFEA3"/>
    <w:rsid w:val="70CE4D15"/>
    <w:rsid w:val="70D0154E"/>
    <w:rsid w:val="70D5A230"/>
    <w:rsid w:val="70D90215"/>
    <w:rsid w:val="70DBC3F8"/>
    <w:rsid w:val="70DF9F1D"/>
    <w:rsid w:val="70DFA3BD"/>
    <w:rsid w:val="70E3AEE2"/>
    <w:rsid w:val="70E5371B"/>
    <w:rsid w:val="70E556C2"/>
    <w:rsid w:val="70E8040D"/>
    <w:rsid w:val="70EF6DCA"/>
    <w:rsid w:val="70F0FA3B"/>
    <w:rsid w:val="70F4F53E"/>
    <w:rsid w:val="70F5EFAB"/>
    <w:rsid w:val="70F7065D"/>
    <w:rsid w:val="70F7091E"/>
    <w:rsid w:val="70F9AEAF"/>
    <w:rsid w:val="70FC1BAF"/>
    <w:rsid w:val="70FCA944"/>
    <w:rsid w:val="70FDEF8C"/>
    <w:rsid w:val="7101FFBB"/>
    <w:rsid w:val="71040D1F"/>
    <w:rsid w:val="71042C93"/>
    <w:rsid w:val="710A915D"/>
    <w:rsid w:val="710BA589"/>
    <w:rsid w:val="710D689A"/>
    <w:rsid w:val="710D6CCB"/>
    <w:rsid w:val="7111A49E"/>
    <w:rsid w:val="711604B4"/>
    <w:rsid w:val="7116855E"/>
    <w:rsid w:val="7117346E"/>
    <w:rsid w:val="7117474D"/>
    <w:rsid w:val="711870D9"/>
    <w:rsid w:val="711B96D6"/>
    <w:rsid w:val="711C9595"/>
    <w:rsid w:val="711E3F17"/>
    <w:rsid w:val="711FACC7"/>
    <w:rsid w:val="71213950"/>
    <w:rsid w:val="7121ED72"/>
    <w:rsid w:val="7123EB29"/>
    <w:rsid w:val="71282610"/>
    <w:rsid w:val="71296DA7"/>
    <w:rsid w:val="712B36AD"/>
    <w:rsid w:val="712BC696"/>
    <w:rsid w:val="712C17BC"/>
    <w:rsid w:val="712C8227"/>
    <w:rsid w:val="712C92EC"/>
    <w:rsid w:val="712E7F38"/>
    <w:rsid w:val="712F0618"/>
    <w:rsid w:val="71315377"/>
    <w:rsid w:val="71351902"/>
    <w:rsid w:val="7135CECE"/>
    <w:rsid w:val="7136EC47"/>
    <w:rsid w:val="71381916"/>
    <w:rsid w:val="71386C9C"/>
    <w:rsid w:val="713AC479"/>
    <w:rsid w:val="713E9000"/>
    <w:rsid w:val="713EDD57"/>
    <w:rsid w:val="713FEB4C"/>
    <w:rsid w:val="7142B813"/>
    <w:rsid w:val="7143A162"/>
    <w:rsid w:val="71449471"/>
    <w:rsid w:val="71478481"/>
    <w:rsid w:val="714C7AB8"/>
    <w:rsid w:val="714C99D0"/>
    <w:rsid w:val="714E0936"/>
    <w:rsid w:val="714F5CB2"/>
    <w:rsid w:val="714FF577"/>
    <w:rsid w:val="71516109"/>
    <w:rsid w:val="7151AC86"/>
    <w:rsid w:val="7152869C"/>
    <w:rsid w:val="71545002"/>
    <w:rsid w:val="715928CF"/>
    <w:rsid w:val="7159F621"/>
    <w:rsid w:val="715A17B4"/>
    <w:rsid w:val="715C0ED0"/>
    <w:rsid w:val="715CD972"/>
    <w:rsid w:val="715DDE46"/>
    <w:rsid w:val="715E1639"/>
    <w:rsid w:val="715E18C4"/>
    <w:rsid w:val="715FA934"/>
    <w:rsid w:val="7162E299"/>
    <w:rsid w:val="71636B5A"/>
    <w:rsid w:val="716605DD"/>
    <w:rsid w:val="716858BC"/>
    <w:rsid w:val="71688122"/>
    <w:rsid w:val="7169ED52"/>
    <w:rsid w:val="716A6C4B"/>
    <w:rsid w:val="716A737D"/>
    <w:rsid w:val="7172CB9F"/>
    <w:rsid w:val="7174B396"/>
    <w:rsid w:val="7175F11E"/>
    <w:rsid w:val="7178AAA6"/>
    <w:rsid w:val="717AB79D"/>
    <w:rsid w:val="717D7D77"/>
    <w:rsid w:val="717DDC7C"/>
    <w:rsid w:val="717E73E8"/>
    <w:rsid w:val="717EA487"/>
    <w:rsid w:val="718004CF"/>
    <w:rsid w:val="71802C0C"/>
    <w:rsid w:val="71843C21"/>
    <w:rsid w:val="71852C15"/>
    <w:rsid w:val="71855110"/>
    <w:rsid w:val="718665B5"/>
    <w:rsid w:val="7186CA01"/>
    <w:rsid w:val="71881423"/>
    <w:rsid w:val="718A0FE4"/>
    <w:rsid w:val="718A4354"/>
    <w:rsid w:val="718AA0F1"/>
    <w:rsid w:val="7191E2F3"/>
    <w:rsid w:val="7191EB67"/>
    <w:rsid w:val="71929B41"/>
    <w:rsid w:val="7194B864"/>
    <w:rsid w:val="719814F4"/>
    <w:rsid w:val="719893F7"/>
    <w:rsid w:val="719DA64E"/>
    <w:rsid w:val="719EFB3E"/>
    <w:rsid w:val="719F0664"/>
    <w:rsid w:val="71A53FC8"/>
    <w:rsid w:val="71A5FAAA"/>
    <w:rsid w:val="71AB9568"/>
    <w:rsid w:val="71AD9F11"/>
    <w:rsid w:val="71AE2C9C"/>
    <w:rsid w:val="71B08467"/>
    <w:rsid w:val="71B198F3"/>
    <w:rsid w:val="71B1FB51"/>
    <w:rsid w:val="71B25081"/>
    <w:rsid w:val="71B328DC"/>
    <w:rsid w:val="71B4492A"/>
    <w:rsid w:val="71B4F556"/>
    <w:rsid w:val="71B51498"/>
    <w:rsid w:val="71B52CCC"/>
    <w:rsid w:val="71B5AA69"/>
    <w:rsid w:val="71B6A4C6"/>
    <w:rsid w:val="71B8B7AB"/>
    <w:rsid w:val="71B945C6"/>
    <w:rsid w:val="71B94CDB"/>
    <w:rsid w:val="71C1E5A9"/>
    <w:rsid w:val="71C366FE"/>
    <w:rsid w:val="71C685A5"/>
    <w:rsid w:val="71C95BC3"/>
    <w:rsid w:val="71CA99DF"/>
    <w:rsid w:val="71CD0C8B"/>
    <w:rsid w:val="71CD709B"/>
    <w:rsid w:val="71D2FB73"/>
    <w:rsid w:val="71D3A337"/>
    <w:rsid w:val="71D49283"/>
    <w:rsid w:val="71D4CF44"/>
    <w:rsid w:val="71DB3C20"/>
    <w:rsid w:val="71DB4D62"/>
    <w:rsid w:val="71E04B0B"/>
    <w:rsid w:val="71E0D412"/>
    <w:rsid w:val="71E16AD7"/>
    <w:rsid w:val="71E2B033"/>
    <w:rsid w:val="71E3BBE0"/>
    <w:rsid w:val="71E50916"/>
    <w:rsid w:val="71E704C0"/>
    <w:rsid w:val="71E705F1"/>
    <w:rsid w:val="71EC0E76"/>
    <w:rsid w:val="71ED94DD"/>
    <w:rsid w:val="71EE6145"/>
    <w:rsid w:val="71F0906D"/>
    <w:rsid w:val="71F27E38"/>
    <w:rsid w:val="71F4E977"/>
    <w:rsid w:val="71F96665"/>
    <w:rsid w:val="71F9D705"/>
    <w:rsid w:val="71FDA513"/>
    <w:rsid w:val="7201E842"/>
    <w:rsid w:val="7202123A"/>
    <w:rsid w:val="7202F75E"/>
    <w:rsid w:val="72053E99"/>
    <w:rsid w:val="72074063"/>
    <w:rsid w:val="72089D13"/>
    <w:rsid w:val="7208B329"/>
    <w:rsid w:val="720A72E0"/>
    <w:rsid w:val="720E4561"/>
    <w:rsid w:val="721109CB"/>
    <w:rsid w:val="7212C5BC"/>
    <w:rsid w:val="7212FF96"/>
    <w:rsid w:val="7218CA79"/>
    <w:rsid w:val="721CD91E"/>
    <w:rsid w:val="72235D9F"/>
    <w:rsid w:val="7224C300"/>
    <w:rsid w:val="7226A543"/>
    <w:rsid w:val="7228C9F7"/>
    <w:rsid w:val="722C49CF"/>
    <w:rsid w:val="722E264D"/>
    <w:rsid w:val="722E691C"/>
    <w:rsid w:val="722F4476"/>
    <w:rsid w:val="723336D1"/>
    <w:rsid w:val="723630C4"/>
    <w:rsid w:val="7237644F"/>
    <w:rsid w:val="723DF176"/>
    <w:rsid w:val="723EC434"/>
    <w:rsid w:val="72413E3C"/>
    <w:rsid w:val="724343B3"/>
    <w:rsid w:val="72437B86"/>
    <w:rsid w:val="7243B3C0"/>
    <w:rsid w:val="72459A7C"/>
    <w:rsid w:val="72467EF2"/>
    <w:rsid w:val="72483B86"/>
    <w:rsid w:val="7249132A"/>
    <w:rsid w:val="72491E5F"/>
    <w:rsid w:val="72524BBB"/>
    <w:rsid w:val="72531EE6"/>
    <w:rsid w:val="7257602C"/>
    <w:rsid w:val="725923C9"/>
    <w:rsid w:val="725D66A5"/>
    <w:rsid w:val="725DEAD2"/>
    <w:rsid w:val="725E82D1"/>
    <w:rsid w:val="725FB43F"/>
    <w:rsid w:val="72606B7F"/>
    <w:rsid w:val="7260DD9C"/>
    <w:rsid w:val="7260DEFD"/>
    <w:rsid w:val="72654712"/>
    <w:rsid w:val="726A4BD6"/>
    <w:rsid w:val="726A8309"/>
    <w:rsid w:val="726CC083"/>
    <w:rsid w:val="726FEE63"/>
    <w:rsid w:val="72707823"/>
    <w:rsid w:val="7272F006"/>
    <w:rsid w:val="72752D7D"/>
    <w:rsid w:val="727CC2DE"/>
    <w:rsid w:val="727D911F"/>
    <w:rsid w:val="7281E298"/>
    <w:rsid w:val="72836E46"/>
    <w:rsid w:val="728374F8"/>
    <w:rsid w:val="728A7AE1"/>
    <w:rsid w:val="728ABC59"/>
    <w:rsid w:val="728B5641"/>
    <w:rsid w:val="728B8A12"/>
    <w:rsid w:val="728FC6F8"/>
    <w:rsid w:val="72900C40"/>
    <w:rsid w:val="72902546"/>
    <w:rsid w:val="7290CF7D"/>
    <w:rsid w:val="72961FF9"/>
    <w:rsid w:val="72968783"/>
    <w:rsid w:val="7296A55D"/>
    <w:rsid w:val="729792FD"/>
    <w:rsid w:val="72990595"/>
    <w:rsid w:val="7299CECA"/>
    <w:rsid w:val="7299EF6E"/>
    <w:rsid w:val="729A3BA2"/>
    <w:rsid w:val="729A4AA1"/>
    <w:rsid w:val="729D962D"/>
    <w:rsid w:val="729E55E5"/>
    <w:rsid w:val="729F02FF"/>
    <w:rsid w:val="72A26320"/>
    <w:rsid w:val="72A27B1B"/>
    <w:rsid w:val="72A4CE63"/>
    <w:rsid w:val="72A7966B"/>
    <w:rsid w:val="72B0F4E2"/>
    <w:rsid w:val="72B42BF7"/>
    <w:rsid w:val="72B9FEB6"/>
    <w:rsid w:val="72BAC553"/>
    <w:rsid w:val="72BBCADE"/>
    <w:rsid w:val="72BC7F17"/>
    <w:rsid w:val="72BCA5F6"/>
    <w:rsid w:val="72BDA2DF"/>
    <w:rsid w:val="72BDEBC2"/>
    <w:rsid w:val="72BF8F41"/>
    <w:rsid w:val="72C07F05"/>
    <w:rsid w:val="72C49756"/>
    <w:rsid w:val="72C52B40"/>
    <w:rsid w:val="72C844A5"/>
    <w:rsid w:val="72C9BEFE"/>
    <w:rsid w:val="72CA3441"/>
    <w:rsid w:val="72CB4B27"/>
    <w:rsid w:val="72CE6B22"/>
    <w:rsid w:val="72CEFE17"/>
    <w:rsid w:val="72D1A89D"/>
    <w:rsid w:val="72D4188B"/>
    <w:rsid w:val="72D5B21F"/>
    <w:rsid w:val="72D6C91B"/>
    <w:rsid w:val="72D73949"/>
    <w:rsid w:val="72DB1898"/>
    <w:rsid w:val="72DB1A5D"/>
    <w:rsid w:val="72E5856C"/>
    <w:rsid w:val="72E61C9A"/>
    <w:rsid w:val="72E6B245"/>
    <w:rsid w:val="72EA3E27"/>
    <w:rsid w:val="72EBA079"/>
    <w:rsid w:val="72EE1E40"/>
    <w:rsid w:val="72F03114"/>
    <w:rsid w:val="72F0A24A"/>
    <w:rsid w:val="72F129F7"/>
    <w:rsid w:val="72F334FE"/>
    <w:rsid w:val="72F37C08"/>
    <w:rsid w:val="72F56EF6"/>
    <w:rsid w:val="72FB0CE5"/>
    <w:rsid w:val="72FDEDF4"/>
    <w:rsid w:val="7303A95B"/>
    <w:rsid w:val="7304CD5D"/>
    <w:rsid w:val="73074EAF"/>
    <w:rsid w:val="7307AE7C"/>
    <w:rsid w:val="7309E6E3"/>
    <w:rsid w:val="730CEF28"/>
    <w:rsid w:val="730D901A"/>
    <w:rsid w:val="730E578F"/>
    <w:rsid w:val="731236A5"/>
    <w:rsid w:val="7312A972"/>
    <w:rsid w:val="73153385"/>
    <w:rsid w:val="7317B942"/>
    <w:rsid w:val="7319CFA1"/>
    <w:rsid w:val="731E51A4"/>
    <w:rsid w:val="7320DDDE"/>
    <w:rsid w:val="7328F007"/>
    <w:rsid w:val="73297BCE"/>
    <w:rsid w:val="732C7E61"/>
    <w:rsid w:val="733056DA"/>
    <w:rsid w:val="73321922"/>
    <w:rsid w:val="73327A94"/>
    <w:rsid w:val="73352779"/>
    <w:rsid w:val="7340343C"/>
    <w:rsid w:val="73409476"/>
    <w:rsid w:val="73426BE2"/>
    <w:rsid w:val="7343F659"/>
    <w:rsid w:val="7345ACAD"/>
    <w:rsid w:val="7345E6DC"/>
    <w:rsid w:val="734717DC"/>
    <w:rsid w:val="7347A6EF"/>
    <w:rsid w:val="7349382A"/>
    <w:rsid w:val="734A98F8"/>
    <w:rsid w:val="734BEB03"/>
    <w:rsid w:val="734FB3EF"/>
    <w:rsid w:val="735526C0"/>
    <w:rsid w:val="73553362"/>
    <w:rsid w:val="7355E0B4"/>
    <w:rsid w:val="7357AA02"/>
    <w:rsid w:val="735A395D"/>
    <w:rsid w:val="735AA2B1"/>
    <w:rsid w:val="735AE480"/>
    <w:rsid w:val="735BE837"/>
    <w:rsid w:val="735BFF26"/>
    <w:rsid w:val="735C3EC2"/>
    <w:rsid w:val="735EB55D"/>
    <w:rsid w:val="735F5B42"/>
    <w:rsid w:val="735FCCB0"/>
    <w:rsid w:val="7361F6F5"/>
    <w:rsid w:val="7365F342"/>
    <w:rsid w:val="736640D8"/>
    <w:rsid w:val="73677923"/>
    <w:rsid w:val="73683C85"/>
    <w:rsid w:val="73699AA5"/>
    <w:rsid w:val="736A8CC6"/>
    <w:rsid w:val="736B84D3"/>
    <w:rsid w:val="736B9305"/>
    <w:rsid w:val="736BD854"/>
    <w:rsid w:val="73750500"/>
    <w:rsid w:val="737585A6"/>
    <w:rsid w:val="73761784"/>
    <w:rsid w:val="7376A5B1"/>
    <w:rsid w:val="7377FE1F"/>
    <w:rsid w:val="737842D3"/>
    <w:rsid w:val="737E2279"/>
    <w:rsid w:val="73863F2B"/>
    <w:rsid w:val="73892341"/>
    <w:rsid w:val="73899D4E"/>
    <w:rsid w:val="738CEC73"/>
    <w:rsid w:val="738CFAF1"/>
    <w:rsid w:val="738D7E8B"/>
    <w:rsid w:val="738DBE4E"/>
    <w:rsid w:val="7392CC13"/>
    <w:rsid w:val="7393B9EA"/>
    <w:rsid w:val="739695D9"/>
    <w:rsid w:val="7397ECD3"/>
    <w:rsid w:val="7398228C"/>
    <w:rsid w:val="739A9885"/>
    <w:rsid w:val="739B1EE5"/>
    <w:rsid w:val="739BA73F"/>
    <w:rsid w:val="739DE1A5"/>
    <w:rsid w:val="739F8C19"/>
    <w:rsid w:val="73A20BB8"/>
    <w:rsid w:val="73A3A1DB"/>
    <w:rsid w:val="73A3D648"/>
    <w:rsid w:val="73A8DEBF"/>
    <w:rsid w:val="73A995B2"/>
    <w:rsid w:val="73AA20ED"/>
    <w:rsid w:val="73AAB868"/>
    <w:rsid w:val="73AC9184"/>
    <w:rsid w:val="73AD102A"/>
    <w:rsid w:val="73AFF80D"/>
    <w:rsid w:val="73B08B10"/>
    <w:rsid w:val="73B9CEFF"/>
    <w:rsid w:val="73BAD821"/>
    <w:rsid w:val="73BDD8CF"/>
    <w:rsid w:val="73C2B294"/>
    <w:rsid w:val="73C45D90"/>
    <w:rsid w:val="73C4B404"/>
    <w:rsid w:val="73CE9C0B"/>
    <w:rsid w:val="73CEE694"/>
    <w:rsid w:val="73CF2239"/>
    <w:rsid w:val="73CF5CDB"/>
    <w:rsid w:val="73D1BA12"/>
    <w:rsid w:val="73D5C520"/>
    <w:rsid w:val="73D73084"/>
    <w:rsid w:val="73DADF07"/>
    <w:rsid w:val="73DB6745"/>
    <w:rsid w:val="73DC9645"/>
    <w:rsid w:val="73DFDF8C"/>
    <w:rsid w:val="73E1D481"/>
    <w:rsid w:val="73E269F8"/>
    <w:rsid w:val="73EABDD7"/>
    <w:rsid w:val="73EB56BA"/>
    <w:rsid w:val="73EC9D60"/>
    <w:rsid w:val="73ECB6C0"/>
    <w:rsid w:val="73EE4656"/>
    <w:rsid w:val="73F03A26"/>
    <w:rsid w:val="73F18470"/>
    <w:rsid w:val="73F681C6"/>
    <w:rsid w:val="73F7FB46"/>
    <w:rsid w:val="73F86963"/>
    <w:rsid w:val="73F8A93B"/>
    <w:rsid w:val="73F9184F"/>
    <w:rsid w:val="73F9887D"/>
    <w:rsid w:val="73FC31AE"/>
    <w:rsid w:val="73FD19AD"/>
    <w:rsid w:val="73FD9833"/>
    <w:rsid w:val="73FE828F"/>
    <w:rsid w:val="73FEEF0E"/>
    <w:rsid w:val="74024D60"/>
    <w:rsid w:val="74025EEB"/>
    <w:rsid w:val="74027EA1"/>
    <w:rsid w:val="7402A953"/>
    <w:rsid w:val="74050908"/>
    <w:rsid w:val="74060D1D"/>
    <w:rsid w:val="74061721"/>
    <w:rsid w:val="740A346B"/>
    <w:rsid w:val="740A8586"/>
    <w:rsid w:val="740AA883"/>
    <w:rsid w:val="740C5CDC"/>
    <w:rsid w:val="740FF8BD"/>
    <w:rsid w:val="7411A68D"/>
    <w:rsid w:val="74169B00"/>
    <w:rsid w:val="741B6516"/>
    <w:rsid w:val="741ED084"/>
    <w:rsid w:val="7421D753"/>
    <w:rsid w:val="7422B621"/>
    <w:rsid w:val="7423C2F1"/>
    <w:rsid w:val="74248129"/>
    <w:rsid w:val="7428F180"/>
    <w:rsid w:val="742924CA"/>
    <w:rsid w:val="742A0B8A"/>
    <w:rsid w:val="742ADC5F"/>
    <w:rsid w:val="742E6911"/>
    <w:rsid w:val="742EF29E"/>
    <w:rsid w:val="74307565"/>
    <w:rsid w:val="74326B8D"/>
    <w:rsid w:val="7436DF24"/>
    <w:rsid w:val="7439A4BB"/>
    <w:rsid w:val="743B98F6"/>
    <w:rsid w:val="743E7305"/>
    <w:rsid w:val="74420A61"/>
    <w:rsid w:val="74455D3A"/>
    <w:rsid w:val="74495EE1"/>
    <w:rsid w:val="744CDC2B"/>
    <w:rsid w:val="744E8B94"/>
    <w:rsid w:val="74517134"/>
    <w:rsid w:val="7451E314"/>
    <w:rsid w:val="74546343"/>
    <w:rsid w:val="7456BFF0"/>
    <w:rsid w:val="74578CF7"/>
    <w:rsid w:val="74614AFF"/>
    <w:rsid w:val="7462EA4E"/>
    <w:rsid w:val="74630FD4"/>
    <w:rsid w:val="74639E7E"/>
    <w:rsid w:val="74645D09"/>
    <w:rsid w:val="74648A91"/>
    <w:rsid w:val="7465047E"/>
    <w:rsid w:val="7468D9B9"/>
    <w:rsid w:val="7469EFA8"/>
    <w:rsid w:val="746A65E6"/>
    <w:rsid w:val="746BB7A5"/>
    <w:rsid w:val="74707FD2"/>
    <w:rsid w:val="74740D12"/>
    <w:rsid w:val="7475CB90"/>
    <w:rsid w:val="7478C9E1"/>
    <w:rsid w:val="747B2D06"/>
    <w:rsid w:val="747EAB54"/>
    <w:rsid w:val="7481F054"/>
    <w:rsid w:val="74845C6D"/>
    <w:rsid w:val="7484F48B"/>
    <w:rsid w:val="74856447"/>
    <w:rsid w:val="748877C4"/>
    <w:rsid w:val="7488F6B7"/>
    <w:rsid w:val="74894DAF"/>
    <w:rsid w:val="748B36CE"/>
    <w:rsid w:val="748B3FE2"/>
    <w:rsid w:val="748CF163"/>
    <w:rsid w:val="748E0FDE"/>
    <w:rsid w:val="74904D56"/>
    <w:rsid w:val="74948030"/>
    <w:rsid w:val="7494D38B"/>
    <w:rsid w:val="7494D58C"/>
    <w:rsid w:val="749693B0"/>
    <w:rsid w:val="749812EB"/>
    <w:rsid w:val="7498B935"/>
    <w:rsid w:val="749BF72D"/>
    <w:rsid w:val="749E9421"/>
    <w:rsid w:val="74A15797"/>
    <w:rsid w:val="74A17649"/>
    <w:rsid w:val="74A401CA"/>
    <w:rsid w:val="74A89A73"/>
    <w:rsid w:val="74A9FECE"/>
    <w:rsid w:val="74AE91E8"/>
    <w:rsid w:val="74AF9F72"/>
    <w:rsid w:val="74B04D06"/>
    <w:rsid w:val="74B288DF"/>
    <w:rsid w:val="74B83BBD"/>
    <w:rsid w:val="74B9B91F"/>
    <w:rsid w:val="74BA5654"/>
    <w:rsid w:val="74BB6930"/>
    <w:rsid w:val="74BE9FDE"/>
    <w:rsid w:val="74C2437E"/>
    <w:rsid w:val="74C62B1E"/>
    <w:rsid w:val="74C80BE3"/>
    <w:rsid w:val="74C88EE8"/>
    <w:rsid w:val="74C8F0C4"/>
    <w:rsid w:val="74CF050B"/>
    <w:rsid w:val="74D01BA8"/>
    <w:rsid w:val="74D25194"/>
    <w:rsid w:val="74D76697"/>
    <w:rsid w:val="74D7F541"/>
    <w:rsid w:val="74D819BE"/>
    <w:rsid w:val="74D83FEF"/>
    <w:rsid w:val="74D8C628"/>
    <w:rsid w:val="74DAC375"/>
    <w:rsid w:val="74DB3A7A"/>
    <w:rsid w:val="74DD3AFB"/>
    <w:rsid w:val="74DF97C8"/>
    <w:rsid w:val="74E00B58"/>
    <w:rsid w:val="74EAF6EE"/>
    <w:rsid w:val="74EB0DAC"/>
    <w:rsid w:val="74EB12A6"/>
    <w:rsid w:val="74EBF496"/>
    <w:rsid w:val="74EE3E5E"/>
    <w:rsid w:val="74F27A19"/>
    <w:rsid w:val="74F28E83"/>
    <w:rsid w:val="74F294FB"/>
    <w:rsid w:val="74F719DC"/>
    <w:rsid w:val="74FF0208"/>
    <w:rsid w:val="74FFA479"/>
    <w:rsid w:val="7500B142"/>
    <w:rsid w:val="750153F6"/>
    <w:rsid w:val="75021918"/>
    <w:rsid w:val="7502E3AB"/>
    <w:rsid w:val="75044A0C"/>
    <w:rsid w:val="75065C19"/>
    <w:rsid w:val="7507CB92"/>
    <w:rsid w:val="750998DC"/>
    <w:rsid w:val="750A921E"/>
    <w:rsid w:val="750E4226"/>
    <w:rsid w:val="751119F8"/>
    <w:rsid w:val="75164042"/>
    <w:rsid w:val="7516FFB4"/>
    <w:rsid w:val="7517C0FC"/>
    <w:rsid w:val="751800BC"/>
    <w:rsid w:val="751857FE"/>
    <w:rsid w:val="75189749"/>
    <w:rsid w:val="7519E8CC"/>
    <w:rsid w:val="751AE068"/>
    <w:rsid w:val="751AFAB3"/>
    <w:rsid w:val="751F9E58"/>
    <w:rsid w:val="7520A36F"/>
    <w:rsid w:val="7520B24B"/>
    <w:rsid w:val="75210483"/>
    <w:rsid w:val="7522C785"/>
    <w:rsid w:val="75239715"/>
    <w:rsid w:val="75244167"/>
    <w:rsid w:val="7526781C"/>
    <w:rsid w:val="752F3089"/>
    <w:rsid w:val="752F9331"/>
    <w:rsid w:val="7531212E"/>
    <w:rsid w:val="753143A6"/>
    <w:rsid w:val="753437DA"/>
    <w:rsid w:val="75343F6D"/>
    <w:rsid w:val="753478FD"/>
    <w:rsid w:val="7536850E"/>
    <w:rsid w:val="7537F91F"/>
    <w:rsid w:val="7539537C"/>
    <w:rsid w:val="753A668E"/>
    <w:rsid w:val="753A9791"/>
    <w:rsid w:val="753B017A"/>
    <w:rsid w:val="753B8CC2"/>
    <w:rsid w:val="753BA50D"/>
    <w:rsid w:val="753F5A0C"/>
    <w:rsid w:val="7540FEB6"/>
    <w:rsid w:val="7542302F"/>
    <w:rsid w:val="7544BFAE"/>
    <w:rsid w:val="7545A5BE"/>
    <w:rsid w:val="75470B99"/>
    <w:rsid w:val="75476590"/>
    <w:rsid w:val="75491F24"/>
    <w:rsid w:val="7549CAF7"/>
    <w:rsid w:val="754A5412"/>
    <w:rsid w:val="754A5F53"/>
    <w:rsid w:val="754DCE81"/>
    <w:rsid w:val="754E64C5"/>
    <w:rsid w:val="754E72BB"/>
    <w:rsid w:val="754F8B33"/>
    <w:rsid w:val="75510492"/>
    <w:rsid w:val="75512A94"/>
    <w:rsid w:val="75517144"/>
    <w:rsid w:val="7555A9FA"/>
    <w:rsid w:val="75595D92"/>
    <w:rsid w:val="755B3D2B"/>
    <w:rsid w:val="755D1FB5"/>
    <w:rsid w:val="755E7552"/>
    <w:rsid w:val="755EAB41"/>
    <w:rsid w:val="755FD201"/>
    <w:rsid w:val="7560CC8D"/>
    <w:rsid w:val="75662A62"/>
    <w:rsid w:val="75668244"/>
    <w:rsid w:val="7566BFAD"/>
    <w:rsid w:val="7566E700"/>
    <w:rsid w:val="756E2FBD"/>
    <w:rsid w:val="756E74C9"/>
    <w:rsid w:val="757059B5"/>
    <w:rsid w:val="75713994"/>
    <w:rsid w:val="757179C6"/>
    <w:rsid w:val="7571B36F"/>
    <w:rsid w:val="75739135"/>
    <w:rsid w:val="7573DF82"/>
    <w:rsid w:val="757A9C03"/>
    <w:rsid w:val="757D7A13"/>
    <w:rsid w:val="757DB85F"/>
    <w:rsid w:val="757F757D"/>
    <w:rsid w:val="758013FB"/>
    <w:rsid w:val="7586909A"/>
    <w:rsid w:val="7588A958"/>
    <w:rsid w:val="75898FCE"/>
    <w:rsid w:val="758A9B93"/>
    <w:rsid w:val="758C4089"/>
    <w:rsid w:val="7590A6D4"/>
    <w:rsid w:val="75911D88"/>
    <w:rsid w:val="75951223"/>
    <w:rsid w:val="75961C13"/>
    <w:rsid w:val="75996228"/>
    <w:rsid w:val="759BC3A3"/>
    <w:rsid w:val="759C07D0"/>
    <w:rsid w:val="759EF2FB"/>
    <w:rsid w:val="759F6A38"/>
    <w:rsid w:val="75A0F73C"/>
    <w:rsid w:val="75A22C1B"/>
    <w:rsid w:val="75A3F0E7"/>
    <w:rsid w:val="75A45082"/>
    <w:rsid w:val="75A83DB1"/>
    <w:rsid w:val="75AA288A"/>
    <w:rsid w:val="75AD50EB"/>
    <w:rsid w:val="75AD9E98"/>
    <w:rsid w:val="75AF2AF0"/>
    <w:rsid w:val="75B0D0E2"/>
    <w:rsid w:val="75B119B8"/>
    <w:rsid w:val="75B29391"/>
    <w:rsid w:val="75B4FBBF"/>
    <w:rsid w:val="75B6C38D"/>
    <w:rsid w:val="75B90E53"/>
    <w:rsid w:val="75B9A7CB"/>
    <w:rsid w:val="75B9A962"/>
    <w:rsid w:val="75B9D4D5"/>
    <w:rsid w:val="75BA4B9E"/>
    <w:rsid w:val="75BAB973"/>
    <w:rsid w:val="75BDB27C"/>
    <w:rsid w:val="75C1866E"/>
    <w:rsid w:val="75C5BCCD"/>
    <w:rsid w:val="75C6DA98"/>
    <w:rsid w:val="75C6E4E8"/>
    <w:rsid w:val="75C75311"/>
    <w:rsid w:val="75CBCA3F"/>
    <w:rsid w:val="75CC9B76"/>
    <w:rsid w:val="75CD94AD"/>
    <w:rsid w:val="75D0CF6D"/>
    <w:rsid w:val="75D17C7C"/>
    <w:rsid w:val="75DE7EB2"/>
    <w:rsid w:val="75E2E450"/>
    <w:rsid w:val="75E3BC70"/>
    <w:rsid w:val="75E66BEE"/>
    <w:rsid w:val="75E76949"/>
    <w:rsid w:val="75E8E39C"/>
    <w:rsid w:val="75EDBCA4"/>
    <w:rsid w:val="75F1483A"/>
    <w:rsid w:val="75F28030"/>
    <w:rsid w:val="75F2B3C7"/>
    <w:rsid w:val="75F5F36B"/>
    <w:rsid w:val="75F60BAC"/>
    <w:rsid w:val="75FA08ED"/>
    <w:rsid w:val="75FA7E60"/>
    <w:rsid w:val="75FEAB35"/>
    <w:rsid w:val="76004A77"/>
    <w:rsid w:val="76010B24"/>
    <w:rsid w:val="760181F9"/>
    <w:rsid w:val="7602CC87"/>
    <w:rsid w:val="7607999A"/>
    <w:rsid w:val="760C5B67"/>
    <w:rsid w:val="760CE45A"/>
    <w:rsid w:val="760DA1EE"/>
    <w:rsid w:val="7610515C"/>
    <w:rsid w:val="7612CC22"/>
    <w:rsid w:val="76132B42"/>
    <w:rsid w:val="76142A68"/>
    <w:rsid w:val="7614FC3A"/>
    <w:rsid w:val="7618ADEE"/>
    <w:rsid w:val="76196432"/>
    <w:rsid w:val="7619B06C"/>
    <w:rsid w:val="761EF003"/>
    <w:rsid w:val="761F2EC0"/>
    <w:rsid w:val="76252545"/>
    <w:rsid w:val="7626480A"/>
    <w:rsid w:val="76264EAF"/>
    <w:rsid w:val="7629E670"/>
    <w:rsid w:val="762A803C"/>
    <w:rsid w:val="762BD406"/>
    <w:rsid w:val="762CE32B"/>
    <w:rsid w:val="762E2AC4"/>
    <w:rsid w:val="7630B9F9"/>
    <w:rsid w:val="7631DFDC"/>
    <w:rsid w:val="7632B2F2"/>
    <w:rsid w:val="7637C8A9"/>
    <w:rsid w:val="7637D017"/>
    <w:rsid w:val="7638791F"/>
    <w:rsid w:val="7639F6B7"/>
    <w:rsid w:val="763C16B4"/>
    <w:rsid w:val="763DDB51"/>
    <w:rsid w:val="763E3F77"/>
    <w:rsid w:val="7646D748"/>
    <w:rsid w:val="76481EC3"/>
    <w:rsid w:val="76499668"/>
    <w:rsid w:val="764B9E9E"/>
    <w:rsid w:val="764E3669"/>
    <w:rsid w:val="764EAF16"/>
    <w:rsid w:val="764EBDAC"/>
    <w:rsid w:val="7652C541"/>
    <w:rsid w:val="76557EEF"/>
    <w:rsid w:val="765BA290"/>
    <w:rsid w:val="765FBA9D"/>
    <w:rsid w:val="766440CF"/>
    <w:rsid w:val="766522E3"/>
    <w:rsid w:val="7667B321"/>
    <w:rsid w:val="766C3534"/>
    <w:rsid w:val="766D9332"/>
    <w:rsid w:val="76711C58"/>
    <w:rsid w:val="7672AE31"/>
    <w:rsid w:val="76742680"/>
    <w:rsid w:val="76748ED1"/>
    <w:rsid w:val="7674A528"/>
    <w:rsid w:val="76778426"/>
    <w:rsid w:val="76788729"/>
    <w:rsid w:val="7678B931"/>
    <w:rsid w:val="7678EE87"/>
    <w:rsid w:val="767A1222"/>
    <w:rsid w:val="767B55E1"/>
    <w:rsid w:val="76800157"/>
    <w:rsid w:val="7682DD6E"/>
    <w:rsid w:val="76844633"/>
    <w:rsid w:val="76859E74"/>
    <w:rsid w:val="768673B2"/>
    <w:rsid w:val="7689E95F"/>
    <w:rsid w:val="768A50D5"/>
    <w:rsid w:val="768CFDB1"/>
    <w:rsid w:val="768DE50E"/>
    <w:rsid w:val="768E5169"/>
    <w:rsid w:val="768E9E68"/>
    <w:rsid w:val="7694091E"/>
    <w:rsid w:val="7697C966"/>
    <w:rsid w:val="769BD88B"/>
    <w:rsid w:val="76A128BF"/>
    <w:rsid w:val="76A18838"/>
    <w:rsid w:val="76A18AB2"/>
    <w:rsid w:val="76A2394B"/>
    <w:rsid w:val="76A24FC3"/>
    <w:rsid w:val="76A2ABCB"/>
    <w:rsid w:val="76A60D05"/>
    <w:rsid w:val="76A89F2E"/>
    <w:rsid w:val="76AB12F1"/>
    <w:rsid w:val="76ABFA3C"/>
    <w:rsid w:val="76AD02C3"/>
    <w:rsid w:val="76AD479A"/>
    <w:rsid w:val="76ADD387"/>
    <w:rsid w:val="76AFE3D1"/>
    <w:rsid w:val="76B08555"/>
    <w:rsid w:val="76B39463"/>
    <w:rsid w:val="76B3CDF9"/>
    <w:rsid w:val="76B656E2"/>
    <w:rsid w:val="76B6B61D"/>
    <w:rsid w:val="76B6BC15"/>
    <w:rsid w:val="76B70125"/>
    <w:rsid w:val="76BC7725"/>
    <w:rsid w:val="76BD3010"/>
    <w:rsid w:val="76BD50BE"/>
    <w:rsid w:val="76BDAF04"/>
    <w:rsid w:val="76BF4B39"/>
    <w:rsid w:val="76C38C37"/>
    <w:rsid w:val="76C6EB8E"/>
    <w:rsid w:val="76CB8B26"/>
    <w:rsid w:val="76CD89DE"/>
    <w:rsid w:val="76D0A503"/>
    <w:rsid w:val="76D0A67A"/>
    <w:rsid w:val="76D64334"/>
    <w:rsid w:val="76D7B2B9"/>
    <w:rsid w:val="76D8E09C"/>
    <w:rsid w:val="76DDB8A2"/>
    <w:rsid w:val="76DECCCF"/>
    <w:rsid w:val="76DF3ADC"/>
    <w:rsid w:val="76E001DA"/>
    <w:rsid w:val="76E13665"/>
    <w:rsid w:val="76E58D72"/>
    <w:rsid w:val="76E73E91"/>
    <w:rsid w:val="76E9C2F3"/>
    <w:rsid w:val="76EC135F"/>
    <w:rsid w:val="76F13F82"/>
    <w:rsid w:val="76F52E16"/>
    <w:rsid w:val="76F592B2"/>
    <w:rsid w:val="76F678C3"/>
    <w:rsid w:val="76F6F4F4"/>
    <w:rsid w:val="76F8C46F"/>
    <w:rsid w:val="76FA6452"/>
    <w:rsid w:val="76FB7758"/>
    <w:rsid w:val="76FC1AC0"/>
    <w:rsid w:val="76FD1AD2"/>
    <w:rsid w:val="76FD1CC9"/>
    <w:rsid w:val="77018233"/>
    <w:rsid w:val="77019939"/>
    <w:rsid w:val="77069D80"/>
    <w:rsid w:val="7707D7BE"/>
    <w:rsid w:val="77092DA8"/>
    <w:rsid w:val="77098F1E"/>
    <w:rsid w:val="7709CD4C"/>
    <w:rsid w:val="770A6096"/>
    <w:rsid w:val="770A8438"/>
    <w:rsid w:val="770C11A6"/>
    <w:rsid w:val="770CAC66"/>
    <w:rsid w:val="77103BDF"/>
    <w:rsid w:val="77109847"/>
    <w:rsid w:val="7712830C"/>
    <w:rsid w:val="77145468"/>
    <w:rsid w:val="77166487"/>
    <w:rsid w:val="7716FB2A"/>
    <w:rsid w:val="77175200"/>
    <w:rsid w:val="7717ED24"/>
    <w:rsid w:val="77181AE3"/>
    <w:rsid w:val="7719343E"/>
    <w:rsid w:val="771B98F2"/>
    <w:rsid w:val="771E713B"/>
    <w:rsid w:val="7721E615"/>
    <w:rsid w:val="77227783"/>
    <w:rsid w:val="7723CDD7"/>
    <w:rsid w:val="77291F4E"/>
    <w:rsid w:val="7729485B"/>
    <w:rsid w:val="772DAA16"/>
    <w:rsid w:val="7730949E"/>
    <w:rsid w:val="7731E315"/>
    <w:rsid w:val="7733E21B"/>
    <w:rsid w:val="77399ACC"/>
    <w:rsid w:val="773B7464"/>
    <w:rsid w:val="77400272"/>
    <w:rsid w:val="7740A40A"/>
    <w:rsid w:val="7742139D"/>
    <w:rsid w:val="77447B7C"/>
    <w:rsid w:val="7745F427"/>
    <w:rsid w:val="77470610"/>
    <w:rsid w:val="77475553"/>
    <w:rsid w:val="7749EB3A"/>
    <w:rsid w:val="774A5C52"/>
    <w:rsid w:val="774A6C7A"/>
    <w:rsid w:val="774ACA3D"/>
    <w:rsid w:val="7751B452"/>
    <w:rsid w:val="7751F3FF"/>
    <w:rsid w:val="7752FE67"/>
    <w:rsid w:val="77543BCD"/>
    <w:rsid w:val="7754F2C9"/>
    <w:rsid w:val="7755E9EC"/>
    <w:rsid w:val="7758C49E"/>
    <w:rsid w:val="77596E96"/>
    <w:rsid w:val="775D6839"/>
    <w:rsid w:val="775FB9A6"/>
    <w:rsid w:val="776221F0"/>
    <w:rsid w:val="776528F2"/>
    <w:rsid w:val="77655B48"/>
    <w:rsid w:val="7766D3E9"/>
    <w:rsid w:val="77679C71"/>
    <w:rsid w:val="776BA9F5"/>
    <w:rsid w:val="776C9D17"/>
    <w:rsid w:val="776D0080"/>
    <w:rsid w:val="776F7625"/>
    <w:rsid w:val="77716277"/>
    <w:rsid w:val="7771CEBA"/>
    <w:rsid w:val="7774B3C6"/>
    <w:rsid w:val="7776C642"/>
    <w:rsid w:val="7778C7B3"/>
    <w:rsid w:val="7778FF35"/>
    <w:rsid w:val="777A01A8"/>
    <w:rsid w:val="777B0BEF"/>
    <w:rsid w:val="777B1A46"/>
    <w:rsid w:val="777BBF28"/>
    <w:rsid w:val="777EBD48"/>
    <w:rsid w:val="777FCFBF"/>
    <w:rsid w:val="77824D39"/>
    <w:rsid w:val="77830123"/>
    <w:rsid w:val="7784BF9E"/>
    <w:rsid w:val="77860862"/>
    <w:rsid w:val="7788F061"/>
    <w:rsid w:val="7789018B"/>
    <w:rsid w:val="778A7869"/>
    <w:rsid w:val="778AC8F2"/>
    <w:rsid w:val="778ACAE7"/>
    <w:rsid w:val="778D7839"/>
    <w:rsid w:val="778EF24C"/>
    <w:rsid w:val="779052FE"/>
    <w:rsid w:val="77914ADF"/>
    <w:rsid w:val="7794C9DA"/>
    <w:rsid w:val="779744EC"/>
    <w:rsid w:val="7797DF29"/>
    <w:rsid w:val="7797E819"/>
    <w:rsid w:val="77998A61"/>
    <w:rsid w:val="779B3503"/>
    <w:rsid w:val="779BFC3B"/>
    <w:rsid w:val="779CD750"/>
    <w:rsid w:val="779D52F2"/>
    <w:rsid w:val="779F4932"/>
    <w:rsid w:val="77A008C6"/>
    <w:rsid w:val="77A72DF2"/>
    <w:rsid w:val="77B06D09"/>
    <w:rsid w:val="77B1DFC4"/>
    <w:rsid w:val="77B2EE81"/>
    <w:rsid w:val="77B58A8B"/>
    <w:rsid w:val="77B6785F"/>
    <w:rsid w:val="77B6CC8D"/>
    <w:rsid w:val="77B717C1"/>
    <w:rsid w:val="77C7E91C"/>
    <w:rsid w:val="77C811C8"/>
    <w:rsid w:val="77C98E55"/>
    <w:rsid w:val="77CCD81B"/>
    <w:rsid w:val="77D0124C"/>
    <w:rsid w:val="77D1C550"/>
    <w:rsid w:val="77D1F871"/>
    <w:rsid w:val="77D67AF3"/>
    <w:rsid w:val="77D715BC"/>
    <w:rsid w:val="77D8384D"/>
    <w:rsid w:val="77D97E8B"/>
    <w:rsid w:val="77DDC991"/>
    <w:rsid w:val="77DF5CB0"/>
    <w:rsid w:val="77E13431"/>
    <w:rsid w:val="77E245B7"/>
    <w:rsid w:val="77E489CD"/>
    <w:rsid w:val="77E53D77"/>
    <w:rsid w:val="77E574BF"/>
    <w:rsid w:val="77E9502A"/>
    <w:rsid w:val="77EA501C"/>
    <w:rsid w:val="77EA578D"/>
    <w:rsid w:val="77F29577"/>
    <w:rsid w:val="77F42E88"/>
    <w:rsid w:val="77F4B435"/>
    <w:rsid w:val="77F50343"/>
    <w:rsid w:val="77F5F696"/>
    <w:rsid w:val="77F78CE2"/>
    <w:rsid w:val="77F820C6"/>
    <w:rsid w:val="77FD8AB6"/>
    <w:rsid w:val="77FDEB02"/>
    <w:rsid w:val="77FE032C"/>
    <w:rsid w:val="780093EE"/>
    <w:rsid w:val="7803CC3C"/>
    <w:rsid w:val="7804D06B"/>
    <w:rsid w:val="7805C08C"/>
    <w:rsid w:val="780697B7"/>
    <w:rsid w:val="7807A635"/>
    <w:rsid w:val="780E24B7"/>
    <w:rsid w:val="7816BB97"/>
    <w:rsid w:val="78172940"/>
    <w:rsid w:val="7817E107"/>
    <w:rsid w:val="7818A1DE"/>
    <w:rsid w:val="781A32DA"/>
    <w:rsid w:val="781BF724"/>
    <w:rsid w:val="781CA25F"/>
    <w:rsid w:val="781D9C5E"/>
    <w:rsid w:val="781F6ED5"/>
    <w:rsid w:val="78244876"/>
    <w:rsid w:val="7824AA53"/>
    <w:rsid w:val="7825428A"/>
    <w:rsid w:val="7827D33D"/>
    <w:rsid w:val="7828FA16"/>
    <w:rsid w:val="782A8387"/>
    <w:rsid w:val="782C0453"/>
    <w:rsid w:val="782C5B3B"/>
    <w:rsid w:val="782E6CA3"/>
    <w:rsid w:val="78315B59"/>
    <w:rsid w:val="78359E64"/>
    <w:rsid w:val="7835D127"/>
    <w:rsid w:val="783A9980"/>
    <w:rsid w:val="783D05FC"/>
    <w:rsid w:val="783E7C41"/>
    <w:rsid w:val="783F4904"/>
    <w:rsid w:val="78404622"/>
    <w:rsid w:val="78408679"/>
    <w:rsid w:val="7840E717"/>
    <w:rsid w:val="7843D1A5"/>
    <w:rsid w:val="78472787"/>
    <w:rsid w:val="7847DCE2"/>
    <w:rsid w:val="784AD895"/>
    <w:rsid w:val="784F53D9"/>
    <w:rsid w:val="7854ADB6"/>
    <w:rsid w:val="785D4AE7"/>
    <w:rsid w:val="785E6942"/>
    <w:rsid w:val="785E8EC6"/>
    <w:rsid w:val="7862045C"/>
    <w:rsid w:val="78629A9E"/>
    <w:rsid w:val="7863F9AE"/>
    <w:rsid w:val="7869A0DD"/>
    <w:rsid w:val="786D210F"/>
    <w:rsid w:val="7877993C"/>
    <w:rsid w:val="78791698"/>
    <w:rsid w:val="787E4357"/>
    <w:rsid w:val="7880642C"/>
    <w:rsid w:val="7882A43F"/>
    <w:rsid w:val="7883127A"/>
    <w:rsid w:val="7884EF6E"/>
    <w:rsid w:val="78870BE9"/>
    <w:rsid w:val="788ABD82"/>
    <w:rsid w:val="788DCF4E"/>
    <w:rsid w:val="788ED657"/>
    <w:rsid w:val="788FB960"/>
    <w:rsid w:val="78903CEE"/>
    <w:rsid w:val="78943207"/>
    <w:rsid w:val="78945CD6"/>
    <w:rsid w:val="7894FCBF"/>
    <w:rsid w:val="7895E196"/>
    <w:rsid w:val="7896FB9C"/>
    <w:rsid w:val="7897C9A0"/>
    <w:rsid w:val="789A3B7B"/>
    <w:rsid w:val="789AE3E6"/>
    <w:rsid w:val="789D21A7"/>
    <w:rsid w:val="789FD4C1"/>
    <w:rsid w:val="78A21C55"/>
    <w:rsid w:val="78A8447A"/>
    <w:rsid w:val="78A8EB19"/>
    <w:rsid w:val="78AA61C9"/>
    <w:rsid w:val="78AACFD8"/>
    <w:rsid w:val="78AFA042"/>
    <w:rsid w:val="78AFE454"/>
    <w:rsid w:val="78B10B72"/>
    <w:rsid w:val="78B164B4"/>
    <w:rsid w:val="78B203DD"/>
    <w:rsid w:val="78B609D6"/>
    <w:rsid w:val="78B7188B"/>
    <w:rsid w:val="78BBD58C"/>
    <w:rsid w:val="78C0336A"/>
    <w:rsid w:val="78C16636"/>
    <w:rsid w:val="78C50640"/>
    <w:rsid w:val="78C5AF3E"/>
    <w:rsid w:val="78C5D041"/>
    <w:rsid w:val="78C69EB1"/>
    <w:rsid w:val="78C6C2FB"/>
    <w:rsid w:val="78C8EE3A"/>
    <w:rsid w:val="78CA4646"/>
    <w:rsid w:val="78CC11A5"/>
    <w:rsid w:val="78CF4F9F"/>
    <w:rsid w:val="78CF6E3A"/>
    <w:rsid w:val="78D71629"/>
    <w:rsid w:val="78DF5E62"/>
    <w:rsid w:val="78E37265"/>
    <w:rsid w:val="78E4BA96"/>
    <w:rsid w:val="78E4ED22"/>
    <w:rsid w:val="78E9F629"/>
    <w:rsid w:val="78ED2713"/>
    <w:rsid w:val="78ED4A98"/>
    <w:rsid w:val="78EECD85"/>
    <w:rsid w:val="78F1CE24"/>
    <w:rsid w:val="78F4F2E4"/>
    <w:rsid w:val="78F503F4"/>
    <w:rsid w:val="78F655E8"/>
    <w:rsid w:val="78F863AE"/>
    <w:rsid w:val="78F8FD5D"/>
    <w:rsid w:val="78FC6FBD"/>
    <w:rsid w:val="78FC8002"/>
    <w:rsid w:val="78FD9F23"/>
    <w:rsid w:val="78FDE847"/>
    <w:rsid w:val="79004962"/>
    <w:rsid w:val="7905513A"/>
    <w:rsid w:val="7905ABA6"/>
    <w:rsid w:val="79077A95"/>
    <w:rsid w:val="790867C4"/>
    <w:rsid w:val="790A1791"/>
    <w:rsid w:val="790BB7D6"/>
    <w:rsid w:val="790BCC95"/>
    <w:rsid w:val="79100E7C"/>
    <w:rsid w:val="7910530F"/>
    <w:rsid w:val="7910A491"/>
    <w:rsid w:val="7910BBDD"/>
    <w:rsid w:val="7914B56C"/>
    <w:rsid w:val="791534BD"/>
    <w:rsid w:val="79186497"/>
    <w:rsid w:val="791BB0C0"/>
    <w:rsid w:val="791BB104"/>
    <w:rsid w:val="791FC3A1"/>
    <w:rsid w:val="79208956"/>
    <w:rsid w:val="7921D8F8"/>
    <w:rsid w:val="79230AA1"/>
    <w:rsid w:val="79238722"/>
    <w:rsid w:val="7923A262"/>
    <w:rsid w:val="79266E7B"/>
    <w:rsid w:val="7926E21D"/>
    <w:rsid w:val="792BE2D6"/>
    <w:rsid w:val="792C0C0B"/>
    <w:rsid w:val="79305A57"/>
    <w:rsid w:val="79345EA0"/>
    <w:rsid w:val="793468A1"/>
    <w:rsid w:val="79351F3E"/>
    <w:rsid w:val="7935FE04"/>
    <w:rsid w:val="793ADAC5"/>
    <w:rsid w:val="793C73FD"/>
    <w:rsid w:val="793D72FD"/>
    <w:rsid w:val="7940A655"/>
    <w:rsid w:val="7940CA6C"/>
    <w:rsid w:val="7940D2F7"/>
    <w:rsid w:val="7942A4CA"/>
    <w:rsid w:val="79451A8B"/>
    <w:rsid w:val="79460395"/>
    <w:rsid w:val="79482650"/>
    <w:rsid w:val="7948DE4A"/>
    <w:rsid w:val="794A4E00"/>
    <w:rsid w:val="794B82DD"/>
    <w:rsid w:val="794CA283"/>
    <w:rsid w:val="79506A17"/>
    <w:rsid w:val="7955BF7A"/>
    <w:rsid w:val="79563015"/>
    <w:rsid w:val="7956AD0F"/>
    <w:rsid w:val="7956E423"/>
    <w:rsid w:val="7957C72E"/>
    <w:rsid w:val="7959591D"/>
    <w:rsid w:val="795A08B5"/>
    <w:rsid w:val="795A8F64"/>
    <w:rsid w:val="795AE69E"/>
    <w:rsid w:val="795B20E2"/>
    <w:rsid w:val="795C6DF3"/>
    <w:rsid w:val="795D06EB"/>
    <w:rsid w:val="7960614E"/>
    <w:rsid w:val="796337EB"/>
    <w:rsid w:val="796D4090"/>
    <w:rsid w:val="796E89A6"/>
    <w:rsid w:val="796E98A5"/>
    <w:rsid w:val="7970704F"/>
    <w:rsid w:val="7970FF02"/>
    <w:rsid w:val="79759E22"/>
    <w:rsid w:val="7977530C"/>
    <w:rsid w:val="797B072C"/>
    <w:rsid w:val="797C7538"/>
    <w:rsid w:val="797EA048"/>
    <w:rsid w:val="7980885C"/>
    <w:rsid w:val="7980E3E5"/>
    <w:rsid w:val="7986B474"/>
    <w:rsid w:val="79873871"/>
    <w:rsid w:val="798CD386"/>
    <w:rsid w:val="798F320A"/>
    <w:rsid w:val="79910906"/>
    <w:rsid w:val="7992887C"/>
    <w:rsid w:val="7995DDC9"/>
    <w:rsid w:val="7998C110"/>
    <w:rsid w:val="7998D34B"/>
    <w:rsid w:val="7998EF50"/>
    <w:rsid w:val="79993AF0"/>
    <w:rsid w:val="7999C2FD"/>
    <w:rsid w:val="799A18A1"/>
    <w:rsid w:val="799CBCA5"/>
    <w:rsid w:val="799EA70D"/>
    <w:rsid w:val="799FEB33"/>
    <w:rsid w:val="79A04E28"/>
    <w:rsid w:val="79A1B201"/>
    <w:rsid w:val="79AD7483"/>
    <w:rsid w:val="79ADC268"/>
    <w:rsid w:val="79B2DB7D"/>
    <w:rsid w:val="79B59273"/>
    <w:rsid w:val="79B5C529"/>
    <w:rsid w:val="79B6CB0C"/>
    <w:rsid w:val="79B773F3"/>
    <w:rsid w:val="79BB04E1"/>
    <w:rsid w:val="79BC3B09"/>
    <w:rsid w:val="79BC80A4"/>
    <w:rsid w:val="79BFFCC8"/>
    <w:rsid w:val="79C181E8"/>
    <w:rsid w:val="79C2DD98"/>
    <w:rsid w:val="79C5FE97"/>
    <w:rsid w:val="79C77C85"/>
    <w:rsid w:val="79C8B9C4"/>
    <w:rsid w:val="79CD98D7"/>
    <w:rsid w:val="79CDEB6D"/>
    <w:rsid w:val="79CF968A"/>
    <w:rsid w:val="79D48434"/>
    <w:rsid w:val="79D96350"/>
    <w:rsid w:val="79D9C573"/>
    <w:rsid w:val="79DD3ED8"/>
    <w:rsid w:val="79E036EE"/>
    <w:rsid w:val="79E0E36E"/>
    <w:rsid w:val="79E1830A"/>
    <w:rsid w:val="79E2D498"/>
    <w:rsid w:val="79E39DE4"/>
    <w:rsid w:val="79E6A1BB"/>
    <w:rsid w:val="79E8BFD0"/>
    <w:rsid w:val="79E8C1DF"/>
    <w:rsid w:val="79E9EE54"/>
    <w:rsid w:val="79EB6CF4"/>
    <w:rsid w:val="79EC43C0"/>
    <w:rsid w:val="79ED3133"/>
    <w:rsid w:val="79EFF5FA"/>
    <w:rsid w:val="79F37519"/>
    <w:rsid w:val="79F41DAB"/>
    <w:rsid w:val="79FA88C1"/>
    <w:rsid w:val="79FB0CC3"/>
    <w:rsid w:val="79FB7B75"/>
    <w:rsid w:val="79FBB940"/>
    <w:rsid w:val="79FBBA54"/>
    <w:rsid w:val="79FEAF52"/>
    <w:rsid w:val="79FF1C68"/>
    <w:rsid w:val="7A021313"/>
    <w:rsid w:val="7A03F5EC"/>
    <w:rsid w:val="7A063EA3"/>
    <w:rsid w:val="7A06DEA2"/>
    <w:rsid w:val="7A08BF94"/>
    <w:rsid w:val="7A0B6027"/>
    <w:rsid w:val="7A0C0348"/>
    <w:rsid w:val="7A0DA336"/>
    <w:rsid w:val="7A0FB2BB"/>
    <w:rsid w:val="7A11330E"/>
    <w:rsid w:val="7A16725C"/>
    <w:rsid w:val="7A17BDBF"/>
    <w:rsid w:val="7A19895F"/>
    <w:rsid w:val="7A1A3F26"/>
    <w:rsid w:val="7A1B7CF0"/>
    <w:rsid w:val="7A1E4809"/>
    <w:rsid w:val="7A1F5322"/>
    <w:rsid w:val="7A24CD20"/>
    <w:rsid w:val="7A25AB35"/>
    <w:rsid w:val="7A2A6F58"/>
    <w:rsid w:val="7A2D24EE"/>
    <w:rsid w:val="7A2E8CF0"/>
    <w:rsid w:val="7A3164B8"/>
    <w:rsid w:val="7A3385D6"/>
    <w:rsid w:val="7A35F639"/>
    <w:rsid w:val="7A38366D"/>
    <w:rsid w:val="7A38B481"/>
    <w:rsid w:val="7A3B0970"/>
    <w:rsid w:val="7A3D275D"/>
    <w:rsid w:val="7A3E96A9"/>
    <w:rsid w:val="7A3F65C2"/>
    <w:rsid w:val="7A4046DC"/>
    <w:rsid w:val="7A408A15"/>
    <w:rsid w:val="7A42D347"/>
    <w:rsid w:val="7A442352"/>
    <w:rsid w:val="7A454072"/>
    <w:rsid w:val="7A464CFF"/>
    <w:rsid w:val="7A47621F"/>
    <w:rsid w:val="7A4B1266"/>
    <w:rsid w:val="7A4BB252"/>
    <w:rsid w:val="7A4CCED6"/>
    <w:rsid w:val="7A4D80DE"/>
    <w:rsid w:val="7A57B3E4"/>
    <w:rsid w:val="7A5928B1"/>
    <w:rsid w:val="7A59C34F"/>
    <w:rsid w:val="7A5C1A80"/>
    <w:rsid w:val="7A5C6DE4"/>
    <w:rsid w:val="7A5C9818"/>
    <w:rsid w:val="7A606EA6"/>
    <w:rsid w:val="7A61AC5C"/>
    <w:rsid w:val="7A6426BF"/>
    <w:rsid w:val="7A64579C"/>
    <w:rsid w:val="7A647963"/>
    <w:rsid w:val="7A647F78"/>
    <w:rsid w:val="7A64ED18"/>
    <w:rsid w:val="7A67B470"/>
    <w:rsid w:val="7A6877D8"/>
    <w:rsid w:val="7A687822"/>
    <w:rsid w:val="7A68F4D7"/>
    <w:rsid w:val="7A69ACAA"/>
    <w:rsid w:val="7A69BD39"/>
    <w:rsid w:val="7A6BF2E7"/>
    <w:rsid w:val="7A6E6443"/>
    <w:rsid w:val="7A6F5080"/>
    <w:rsid w:val="7A6FA06A"/>
    <w:rsid w:val="7A702606"/>
    <w:rsid w:val="7A73FD67"/>
    <w:rsid w:val="7A74C2EC"/>
    <w:rsid w:val="7A7595FD"/>
    <w:rsid w:val="7A7A4389"/>
    <w:rsid w:val="7A7CC6DE"/>
    <w:rsid w:val="7A7E3027"/>
    <w:rsid w:val="7A7F2D6D"/>
    <w:rsid w:val="7A7FD5D0"/>
    <w:rsid w:val="7A81DD09"/>
    <w:rsid w:val="7A8410DC"/>
    <w:rsid w:val="7A88D6F5"/>
    <w:rsid w:val="7A8C5BF5"/>
    <w:rsid w:val="7A8C8D04"/>
    <w:rsid w:val="7A8CC52A"/>
    <w:rsid w:val="7A8D3D27"/>
    <w:rsid w:val="7A8E4662"/>
    <w:rsid w:val="7A8FD402"/>
    <w:rsid w:val="7A946B1D"/>
    <w:rsid w:val="7A971F79"/>
    <w:rsid w:val="7A988E79"/>
    <w:rsid w:val="7A98BABE"/>
    <w:rsid w:val="7A990D90"/>
    <w:rsid w:val="7A9A2255"/>
    <w:rsid w:val="7A9A2F2A"/>
    <w:rsid w:val="7A9F081D"/>
    <w:rsid w:val="7A9F64C5"/>
    <w:rsid w:val="7AA44879"/>
    <w:rsid w:val="7AA55498"/>
    <w:rsid w:val="7AA654D5"/>
    <w:rsid w:val="7AA66A7E"/>
    <w:rsid w:val="7AA7E836"/>
    <w:rsid w:val="7AA95D95"/>
    <w:rsid w:val="7AAE782F"/>
    <w:rsid w:val="7AAF135A"/>
    <w:rsid w:val="7AB270C7"/>
    <w:rsid w:val="7AB5D5E4"/>
    <w:rsid w:val="7AB89656"/>
    <w:rsid w:val="7ABA112C"/>
    <w:rsid w:val="7ABC828F"/>
    <w:rsid w:val="7ABDEB17"/>
    <w:rsid w:val="7AC0EF78"/>
    <w:rsid w:val="7AC2D05D"/>
    <w:rsid w:val="7AC2DCFC"/>
    <w:rsid w:val="7AC3D6BD"/>
    <w:rsid w:val="7AC42F08"/>
    <w:rsid w:val="7AC561B6"/>
    <w:rsid w:val="7AC6B5B3"/>
    <w:rsid w:val="7AC713BC"/>
    <w:rsid w:val="7AC9975A"/>
    <w:rsid w:val="7ACA4473"/>
    <w:rsid w:val="7ACCE147"/>
    <w:rsid w:val="7ACD55AE"/>
    <w:rsid w:val="7AD016C4"/>
    <w:rsid w:val="7AD053F1"/>
    <w:rsid w:val="7AD1F157"/>
    <w:rsid w:val="7AD33CA0"/>
    <w:rsid w:val="7AD37A04"/>
    <w:rsid w:val="7AD94E78"/>
    <w:rsid w:val="7ADAAF18"/>
    <w:rsid w:val="7AE0B2E2"/>
    <w:rsid w:val="7AE0D05A"/>
    <w:rsid w:val="7AE11E26"/>
    <w:rsid w:val="7AE3B748"/>
    <w:rsid w:val="7AE7F557"/>
    <w:rsid w:val="7AE83E86"/>
    <w:rsid w:val="7AE861EB"/>
    <w:rsid w:val="7AE94810"/>
    <w:rsid w:val="7AECA80A"/>
    <w:rsid w:val="7AECFC4B"/>
    <w:rsid w:val="7AF1A54E"/>
    <w:rsid w:val="7AF70F2F"/>
    <w:rsid w:val="7AF78057"/>
    <w:rsid w:val="7AF83A1C"/>
    <w:rsid w:val="7AF9B4CE"/>
    <w:rsid w:val="7AF9D749"/>
    <w:rsid w:val="7AFAD44A"/>
    <w:rsid w:val="7B01F660"/>
    <w:rsid w:val="7B0452A8"/>
    <w:rsid w:val="7B099E77"/>
    <w:rsid w:val="7B0AD85D"/>
    <w:rsid w:val="7B0C0EA1"/>
    <w:rsid w:val="7B0DB076"/>
    <w:rsid w:val="7B0E576E"/>
    <w:rsid w:val="7B0E90FD"/>
    <w:rsid w:val="7B0F3607"/>
    <w:rsid w:val="7B1171DD"/>
    <w:rsid w:val="7B11EE07"/>
    <w:rsid w:val="7B148210"/>
    <w:rsid w:val="7B14FD71"/>
    <w:rsid w:val="7B155C4C"/>
    <w:rsid w:val="7B1C27AB"/>
    <w:rsid w:val="7B1C62CE"/>
    <w:rsid w:val="7B20E422"/>
    <w:rsid w:val="7B215514"/>
    <w:rsid w:val="7B23C7C8"/>
    <w:rsid w:val="7B242B94"/>
    <w:rsid w:val="7B2445C7"/>
    <w:rsid w:val="7B26B589"/>
    <w:rsid w:val="7B2A8430"/>
    <w:rsid w:val="7B2BD72A"/>
    <w:rsid w:val="7B2DE40B"/>
    <w:rsid w:val="7B2E008E"/>
    <w:rsid w:val="7B339B8C"/>
    <w:rsid w:val="7B33DC37"/>
    <w:rsid w:val="7B3436B8"/>
    <w:rsid w:val="7B38FC51"/>
    <w:rsid w:val="7B3B992B"/>
    <w:rsid w:val="7B3BCAF1"/>
    <w:rsid w:val="7B3FCB43"/>
    <w:rsid w:val="7B41213E"/>
    <w:rsid w:val="7B453F1F"/>
    <w:rsid w:val="7B461B42"/>
    <w:rsid w:val="7B48C9CF"/>
    <w:rsid w:val="7B49D650"/>
    <w:rsid w:val="7B4A351F"/>
    <w:rsid w:val="7B4B3CB4"/>
    <w:rsid w:val="7B4B95CB"/>
    <w:rsid w:val="7B4D70DB"/>
    <w:rsid w:val="7B4EA587"/>
    <w:rsid w:val="7B4F9180"/>
    <w:rsid w:val="7B516516"/>
    <w:rsid w:val="7B518A5B"/>
    <w:rsid w:val="7B51E75D"/>
    <w:rsid w:val="7B525469"/>
    <w:rsid w:val="7B53446D"/>
    <w:rsid w:val="7B53B6F9"/>
    <w:rsid w:val="7B566AC3"/>
    <w:rsid w:val="7B567173"/>
    <w:rsid w:val="7B57EEB9"/>
    <w:rsid w:val="7B5C967C"/>
    <w:rsid w:val="7B6014FB"/>
    <w:rsid w:val="7B610C15"/>
    <w:rsid w:val="7B615A87"/>
    <w:rsid w:val="7B621EE0"/>
    <w:rsid w:val="7B624066"/>
    <w:rsid w:val="7B627881"/>
    <w:rsid w:val="7B6921D6"/>
    <w:rsid w:val="7B69CBBC"/>
    <w:rsid w:val="7B6A39D7"/>
    <w:rsid w:val="7B6EBB22"/>
    <w:rsid w:val="7B6F2310"/>
    <w:rsid w:val="7B6F3A4A"/>
    <w:rsid w:val="7B6F48C0"/>
    <w:rsid w:val="7B7080E8"/>
    <w:rsid w:val="7B7408CE"/>
    <w:rsid w:val="7B783BF6"/>
    <w:rsid w:val="7B79121F"/>
    <w:rsid w:val="7B791E46"/>
    <w:rsid w:val="7B792493"/>
    <w:rsid w:val="7B7AD6E2"/>
    <w:rsid w:val="7B7CEE09"/>
    <w:rsid w:val="7B7EF79F"/>
    <w:rsid w:val="7B807455"/>
    <w:rsid w:val="7B827A9E"/>
    <w:rsid w:val="7B841CBA"/>
    <w:rsid w:val="7B85098C"/>
    <w:rsid w:val="7B857D0E"/>
    <w:rsid w:val="7B890A17"/>
    <w:rsid w:val="7B891F85"/>
    <w:rsid w:val="7B8C1E4F"/>
    <w:rsid w:val="7B8E0456"/>
    <w:rsid w:val="7B8EC59A"/>
    <w:rsid w:val="7B919F6D"/>
    <w:rsid w:val="7B932ED0"/>
    <w:rsid w:val="7B962A43"/>
    <w:rsid w:val="7B97C22C"/>
    <w:rsid w:val="7B99451B"/>
    <w:rsid w:val="7BA0EC04"/>
    <w:rsid w:val="7BA31E18"/>
    <w:rsid w:val="7BA3BD6A"/>
    <w:rsid w:val="7BA5782B"/>
    <w:rsid w:val="7BA7E670"/>
    <w:rsid w:val="7BAB82BD"/>
    <w:rsid w:val="7BABD376"/>
    <w:rsid w:val="7BAC473F"/>
    <w:rsid w:val="7BB1CAAE"/>
    <w:rsid w:val="7BB5423D"/>
    <w:rsid w:val="7BB5FBBC"/>
    <w:rsid w:val="7BB66A6B"/>
    <w:rsid w:val="7BBD60E2"/>
    <w:rsid w:val="7BC18216"/>
    <w:rsid w:val="7BC1AC4D"/>
    <w:rsid w:val="7BC1E1BA"/>
    <w:rsid w:val="7BC212B7"/>
    <w:rsid w:val="7BC41137"/>
    <w:rsid w:val="7BC4B1F4"/>
    <w:rsid w:val="7BC4C73E"/>
    <w:rsid w:val="7BC66B4D"/>
    <w:rsid w:val="7BC7EFA2"/>
    <w:rsid w:val="7BC9AEC8"/>
    <w:rsid w:val="7BC9BA36"/>
    <w:rsid w:val="7BCC4660"/>
    <w:rsid w:val="7BCC5730"/>
    <w:rsid w:val="7BCE42B4"/>
    <w:rsid w:val="7BCE76D5"/>
    <w:rsid w:val="7BCEBFF8"/>
    <w:rsid w:val="7BD08001"/>
    <w:rsid w:val="7BD0AF9C"/>
    <w:rsid w:val="7BD1C006"/>
    <w:rsid w:val="7BD29877"/>
    <w:rsid w:val="7BD2C95A"/>
    <w:rsid w:val="7BD82657"/>
    <w:rsid w:val="7BD8C8B7"/>
    <w:rsid w:val="7BD9C314"/>
    <w:rsid w:val="7BD9E48A"/>
    <w:rsid w:val="7BDA9BB7"/>
    <w:rsid w:val="7BDC1F3E"/>
    <w:rsid w:val="7BDF741B"/>
    <w:rsid w:val="7BE01ED4"/>
    <w:rsid w:val="7BE3C8D5"/>
    <w:rsid w:val="7BE4677B"/>
    <w:rsid w:val="7BE758B2"/>
    <w:rsid w:val="7BE76155"/>
    <w:rsid w:val="7BE9049E"/>
    <w:rsid w:val="7BEA1419"/>
    <w:rsid w:val="7BEC5B6B"/>
    <w:rsid w:val="7BEDE778"/>
    <w:rsid w:val="7BEE3F96"/>
    <w:rsid w:val="7BF01A46"/>
    <w:rsid w:val="7BF08B42"/>
    <w:rsid w:val="7BF18AEE"/>
    <w:rsid w:val="7BF2ECB5"/>
    <w:rsid w:val="7BF41E68"/>
    <w:rsid w:val="7BF7BFEF"/>
    <w:rsid w:val="7BF89DC6"/>
    <w:rsid w:val="7BFA2A6C"/>
    <w:rsid w:val="7BFC6DD5"/>
    <w:rsid w:val="7C090F9E"/>
    <w:rsid w:val="7C0ACF1C"/>
    <w:rsid w:val="7C0BD0BF"/>
    <w:rsid w:val="7C0C1678"/>
    <w:rsid w:val="7C110C2B"/>
    <w:rsid w:val="7C128043"/>
    <w:rsid w:val="7C1324AB"/>
    <w:rsid w:val="7C132584"/>
    <w:rsid w:val="7C134A81"/>
    <w:rsid w:val="7C146025"/>
    <w:rsid w:val="7C14C19B"/>
    <w:rsid w:val="7C154AA5"/>
    <w:rsid w:val="7C154FE6"/>
    <w:rsid w:val="7C17B7A4"/>
    <w:rsid w:val="7C1967F6"/>
    <w:rsid w:val="7C19F3E4"/>
    <w:rsid w:val="7C1BBBFB"/>
    <w:rsid w:val="7C1D3DED"/>
    <w:rsid w:val="7C201CC3"/>
    <w:rsid w:val="7C21FAF4"/>
    <w:rsid w:val="7C223937"/>
    <w:rsid w:val="7C22FD28"/>
    <w:rsid w:val="7C2665C6"/>
    <w:rsid w:val="7C269E65"/>
    <w:rsid w:val="7C2A2E5B"/>
    <w:rsid w:val="7C2CA992"/>
    <w:rsid w:val="7C2CC498"/>
    <w:rsid w:val="7C2F6733"/>
    <w:rsid w:val="7C3085A2"/>
    <w:rsid w:val="7C31DDD7"/>
    <w:rsid w:val="7C339FB2"/>
    <w:rsid w:val="7C345154"/>
    <w:rsid w:val="7C34CDAB"/>
    <w:rsid w:val="7C34FBDF"/>
    <w:rsid w:val="7C3550C7"/>
    <w:rsid w:val="7C38127E"/>
    <w:rsid w:val="7C385840"/>
    <w:rsid w:val="7C3B2C0E"/>
    <w:rsid w:val="7C3BD671"/>
    <w:rsid w:val="7C3CEB8E"/>
    <w:rsid w:val="7C3F96CF"/>
    <w:rsid w:val="7C4215B7"/>
    <w:rsid w:val="7C4455D7"/>
    <w:rsid w:val="7C447CBD"/>
    <w:rsid w:val="7C475628"/>
    <w:rsid w:val="7C4928A2"/>
    <w:rsid w:val="7C497BE6"/>
    <w:rsid w:val="7C4C62AB"/>
    <w:rsid w:val="7C4EFC20"/>
    <w:rsid w:val="7C515978"/>
    <w:rsid w:val="7C54C72F"/>
    <w:rsid w:val="7C555669"/>
    <w:rsid w:val="7C55ADA9"/>
    <w:rsid w:val="7C55F3A2"/>
    <w:rsid w:val="7C587610"/>
    <w:rsid w:val="7C5B0C04"/>
    <w:rsid w:val="7C5D847C"/>
    <w:rsid w:val="7C5E65D1"/>
    <w:rsid w:val="7C5E776F"/>
    <w:rsid w:val="7C65047F"/>
    <w:rsid w:val="7C6893E7"/>
    <w:rsid w:val="7C6B2513"/>
    <w:rsid w:val="7C6B34CA"/>
    <w:rsid w:val="7C703306"/>
    <w:rsid w:val="7C713C2D"/>
    <w:rsid w:val="7C748288"/>
    <w:rsid w:val="7C796884"/>
    <w:rsid w:val="7C799F09"/>
    <w:rsid w:val="7C7B2E31"/>
    <w:rsid w:val="7C7B4645"/>
    <w:rsid w:val="7C7D541F"/>
    <w:rsid w:val="7C7DA3D9"/>
    <w:rsid w:val="7C7EAB7F"/>
    <w:rsid w:val="7C7EEAAA"/>
    <w:rsid w:val="7C82DFAE"/>
    <w:rsid w:val="7C850FE4"/>
    <w:rsid w:val="7C86BA04"/>
    <w:rsid w:val="7C8768CB"/>
    <w:rsid w:val="7C8957A0"/>
    <w:rsid w:val="7C8AEDAA"/>
    <w:rsid w:val="7C8CCDB6"/>
    <w:rsid w:val="7C8D0CC4"/>
    <w:rsid w:val="7C8D360E"/>
    <w:rsid w:val="7C8E2E82"/>
    <w:rsid w:val="7C8F78E7"/>
    <w:rsid w:val="7C8F8242"/>
    <w:rsid w:val="7C91A720"/>
    <w:rsid w:val="7C951337"/>
    <w:rsid w:val="7C9834D8"/>
    <w:rsid w:val="7C993645"/>
    <w:rsid w:val="7C99F4EA"/>
    <w:rsid w:val="7C9A12C3"/>
    <w:rsid w:val="7C9A74CF"/>
    <w:rsid w:val="7C9D0E68"/>
    <w:rsid w:val="7CA10AB3"/>
    <w:rsid w:val="7CA2196A"/>
    <w:rsid w:val="7CA27BD4"/>
    <w:rsid w:val="7CA281AC"/>
    <w:rsid w:val="7CA3E3C1"/>
    <w:rsid w:val="7CA4ADE3"/>
    <w:rsid w:val="7CA5F18D"/>
    <w:rsid w:val="7CA6A12E"/>
    <w:rsid w:val="7CAC7D51"/>
    <w:rsid w:val="7CAC923B"/>
    <w:rsid w:val="7CADD6D2"/>
    <w:rsid w:val="7CAEB51A"/>
    <w:rsid w:val="7CAF54B9"/>
    <w:rsid w:val="7CAFCF5A"/>
    <w:rsid w:val="7CB599C7"/>
    <w:rsid w:val="7CB6C00A"/>
    <w:rsid w:val="7CB6D8AF"/>
    <w:rsid w:val="7CBE5C6B"/>
    <w:rsid w:val="7CC468A5"/>
    <w:rsid w:val="7CC9200F"/>
    <w:rsid w:val="7CCACABB"/>
    <w:rsid w:val="7CCB25FB"/>
    <w:rsid w:val="7CCB61F0"/>
    <w:rsid w:val="7CCCE4D8"/>
    <w:rsid w:val="7CD117D1"/>
    <w:rsid w:val="7CD186AD"/>
    <w:rsid w:val="7CD1A7A2"/>
    <w:rsid w:val="7CD20952"/>
    <w:rsid w:val="7CD23854"/>
    <w:rsid w:val="7CD262D5"/>
    <w:rsid w:val="7CD56E86"/>
    <w:rsid w:val="7CDB9264"/>
    <w:rsid w:val="7CDD7D5B"/>
    <w:rsid w:val="7CDF5C6D"/>
    <w:rsid w:val="7CE2E15E"/>
    <w:rsid w:val="7CE3D6C3"/>
    <w:rsid w:val="7CE58014"/>
    <w:rsid w:val="7CE7CF3D"/>
    <w:rsid w:val="7CE8BEDE"/>
    <w:rsid w:val="7CEA5CC1"/>
    <w:rsid w:val="7CEB3E5F"/>
    <w:rsid w:val="7CED1C68"/>
    <w:rsid w:val="7CED52EF"/>
    <w:rsid w:val="7CEDF92F"/>
    <w:rsid w:val="7CEE3A00"/>
    <w:rsid w:val="7CEFD85A"/>
    <w:rsid w:val="7CF0A976"/>
    <w:rsid w:val="7CF24155"/>
    <w:rsid w:val="7CF2EE6A"/>
    <w:rsid w:val="7CF4FDD6"/>
    <w:rsid w:val="7CF502EB"/>
    <w:rsid w:val="7CFDF21F"/>
    <w:rsid w:val="7D0072AE"/>
    <w:rsid w:val="7D02CB4E"/>
    <w:rsid w:val="7D033A96"/>
    <w:rsid w:val="7D054E44"/>
    <w:rsid w:val="7D066A60"/>
    <w:rsid w:val="7D06D890"/>
    <w:rsid w:val="7D075799"/>
    <w:rsid w:val="7D081901"/>
    <w:rsid w:val="7D09A6FF"/>
    <w:rsid w:val="7D0A6321"/>
    <w:rsid w:val="7D0E0368"/>
    <w:rsid w:val="7D0E6487"/>
    <w:rsid w:val="7D1252FF"/>
    <w:rsid w:val="7D13566C"/>
    <w:rsid w:val="7D13ED0B"/>
    <w:rsid w:val="7D15FE58"/>
    <w:rsid w:val="7D189030"/>
    <w:rsid w:val="7D18F606"/>
    <w:rsid w:val="7D1906A0"/>
    <w:rsid w:val="7D1CC39D"/>
    <w:rsid w:val="7D1DDA13"/>
    <w:rsid w:val="7D1F66E0"/>
    <w:rsid w:val="7D207936"/>
    <w:rsid w:val="7D223D7A"/>
    <w:rsid w:val="7D22E4F5"/>
    <w:rsid w:val="7D246F83"/>
    <w:rsid w:val="7D254507"/>
    <w:rsid w:val="7D26400B"/>
    <w:rsid w:val="7D29B3B9"/>
    <w:rsid w:val="7D2D5649"/>
    <w:rsid w:val="7D2D728E"/>
    <w:rsid w:val="7D2D95A1"/>
    <w:rsid w:val="7D2FD264"/>
    <w:rsid w:val="7D30B2C6"/>
    <w:rsid w:val="7D342D73"/>
    <w:rsid w:val="7D347D0C"/>
    <w:rsid w:val="7D347E30"/>
    <w:rsid w:val="7D34F5D8"/>
    <w:rsid w:val="7D368ABD"/>
    <w:rsid w:val="7D397098"/>
    <w:rsid w:val="7D3CA852"/>
    <w:rsid w:val="7D3CF969"/>
    <w:rsid w:val="7D3D5EFC"/>
    <w:rsid w:val="7D3D9817"/>
    <w:rsid w:val="7D3DE7A1"/>
    <w:rsid w:val="7D3E949D"/>
    <w:rsid w:val="7D420940"/>
    <w:rsid w:val="7D455EA6"/>
    <w:rsid w:val="7D45B386"/>
    <w:rsid w:val="7D45D885"/>
    <w:rsid w:val="7D47CA6E"/>
    <w:rsid w:val="7D495B47"/>
    <w:rsid w:val="7D4A8338"/>
    <w:rsid w:val="7D4CB561"/>
    <w:rsid w:val="7D4CC250"/>
    <w:rsid w:val="7D4CD3A7"/>
    <w:rsid w:val="7D5184AD"/>
    <w:rsid w:val="7D540C7C"/>
    <w:rsid w:val="7D5D7A02"/>
    <w:rsid w:val="7D5F3326"/>
    <w:rsid w:val="7D61270C"/>
    <w:rsid w:val="7D6327A6"/>
    <w:rsid w:val="7D636015"/>
    <w:rsid w:val="7D676707"/>
    <w:rsid w:val="7D67D7BD"/>
    <w:rsid w:val="7D6B7388"/>
    <w:rsid w:val="7D6C242F"/>
    <w:rsid w:val="7D6D8F95"/>
    <w:rsid w:val="7D70D480"/>
    <w:rsid w:val="7D718FAC"/>
    <w:rsid w:val="7D77DC9B"/>
    <w:rsid w:val="7D7914C0"/>
    <w:rsid w:val="7D7974E6"/>
    <w:rsid w:val="7D7ABB7A"/>
    <w:rsid w:val="7D7ACC93"/>
    <w:rsid w:val="7D7C3B80"/>
    <w:rsid w:val="7D7E7675"/>
    <w:rsid w:val="7D7E792F"/>
    <w:rsid w:val="7D7F7E11"/>
    <w:rsid w:val="7D7F7E6E"/>
    <w:rsid w:val="7D801B5A"/>
    <w:rsid w:val="7D823FD9"/>
    <w:rsid w:val="7D837449"/>
    <w:rsid w:val="7D88C2AA"/>
    <w:rsid w:val="7D8A21B1"/>
    <w:rsid w:val="7D8A6677"/>
    <w:rsid w:val="7D8C94D0"/>
    <w:rsid w:val="7D8DAAED"/>
    <w:rsid w:val="7D8DED77"/>
    <w:rsid w:val="7D9245B4"/>
    <w:rsid w:val="7D9744DE"/>
    <w:rsid w:val="7D97C8EA"/>
    <w:rsid w:val="7D9837E8"/>
    <w:rsid w:val="7D9933B5"/>
    <w:rsid w:val="7D9B378C"/>
    <w:rsid w:val="7DA04060"/>
    <w:rsid w:val="7DA051D0"/>
    <w:rsid w:val="7DA0BB00"/>
    <w:rsid w:val="7DA1EEBB"/>
    <w:rsid w:val="7DA4BD4A"/>
    <w:rsid w:val="7DA7B337"/>
    <w:rsid w:val="7DA83098"/>
    <w:rsid w:val="7DAC60D4"/>
    <w:rsid w:val="7DACD0D4"/>
    <w:rsid w:val="7DAEA34F"/>
    <w:rsid w:val="7DB0DFCF"/>
    <w:rsid w:val="7DB14D9E"/>
    <w:rsid w:val="7DB281E0"/>
    <w:rsid w:val="7DB2BE61"/>
    <w:rsid w:val="7DB3373C"/>
    <w:rsid w:val="7DB41E76"/>
    <w:rsid w:val="7DB5C5A7"/>
    <w:rsid w:val="7DB65B91"/>
    <w:rsid w:val="7DB8441D"/>
    <w:rsid w:val="7DB90FA6"/>
    <w:rsid w:val="7DBB5B41"/>
    <w:rsid w:val="7DBB5E92"/>
    <w:rsid w:val="7DBCA11D"/>
    <w:rsid w:val="7DBF2EBF"/>
    <w:rsid w:val="7DC0AFB3"/>
    <w:rsid w:val="7DC21884"/>
    <w:rsid w:val="7DC4752E"/>
    <w:rsid w:val="7DC67D39"/>
    <w:rsid w:val="7DC77DB0"/>
    <w:rsid w:val="7DC81B3D"/>
    <w:rsid w:val="7DD1BB84"/>
    <w:rsid w:val="7DD2BD55"/>
    <w:rsid w:val="7DD55352"/>
    <w:rsid w:val="7DD86968"/>
    <w:rsid w:val="7DD8D097"/>
    <w:rsid w:val="7DD98F30"/>
    <w:rsid w:val="7DD9BDDB"/>
    <w:rsid w:val="7DDB84A8"/>
    <w:rsid w:val="7DDC3B1F"/>
    <w:rsid w:val="7DDE6F2E"/>
    <w:rsid w:val="7DDF131D"/>
    <w:rsid w:val="7DE418CC"/>
    <w:rsid w:val="7DE66FE7"/>
    <w:rsid w:val="7DE96C2A"/>
    <w:rsid w:val="7DF05B7B"/>
    <w:rsid w:val="7DF19563"/>
    <w:rsid w:val="7DF82476"/>
    <w:rsid w:val="7E04C694"/>
    <w:rsid w:val="7E05C909"/>
    <w:rsid w:val="7E082F93"/>
    <w:rsid w:val="7E09F5B6"/>
    <w:rsid w:val="7E0B6698"/>
    <w:rsid w:val="7E10A7FC"/>
    <w:rsid w:val="7E14C4C2"/>
    <w:rsid w:val="7E15159C"/>
    <w:rsid w:val="7E15842A"/>
    <w:rsid w:val="7E178326"/>
    <w:rsid w:val="7E2396B4"/>
    <w:rsid w:val="7E2DD74D"/>
    <w:rsid w:val="7E2E83E7"/>
    <w:rsid w:val="7E31AB60"/>
    <w:rsid w:val="7E332732"/>
    <w:rsid w:val="7E358594"/>
    <w:rsid w:val="7E359938"/>
    <w:rsid w:val="7E35BE7D"/>
    <w:rsid w:val="7E36474F"/>
    <w:rsid w:val="7E36B25B"/>
    <w:rsid w:val="7E3A1694"/>
    <w:rsid w:val="7E3E30CA"/>
    <w:rsid w:val="7E433199"/>
    <w:rsid w:val="7E44D30E"/>
    <w:rsid w:val="7E46D310"/>
    <w:rsid w:val="7E497F41"/>
    <w:rsid w:val="7E49AD00"/>
    <w:rsid w:val="7E4C3B52"/>
    <w:rsid w:val="7E4F1DFB"/>
    <w:rsid w:val="7E4F54B4"/>
    <w:rsid w:val="7E51848D"/>
    <w:rsid w:val="7E52EE97"/>
    <w:rsid w:val="7E54ADEF"/>
    <w:rsid w:val="7E5514F1"/>
    <w:rsid w:val="7E55CB7E"/>
    <w:rsid w:val="7E560391"/>
    <w:rsid w:val="7E563858"/>
    <w:rsid w:val="7E574961"/>
    <w:rsid w:val="7E579EF9"/>
    <w:rsid w:val="7E586F0D"/>
    <w:rsid w:val="7E5989E8"/>
    <w:rsid w:val="7E5EF79B"/>
    <w:rsid w:val="7E5F0A8B"/>
    <w:rsid w:val="7E5FADC1"/>
    <w:rsid w:val="7E6170D4"/>
    <w:rsid w:val="7E628FB2"/>
    <w:rsid w:val="7E62BCB0"/>
    <w:rsid w:val="7E63D685"/>
    <w:rsid w:val="7E65DA7A"/>
    <w:rsid w:val="7E6C5B34"/>
    <w:rsid w:val="7E70B9C4"/>
    <w:rsid w:val="7E721F41"/>
    <w:rsid w:val="7E72702B"/>
    <w:rsid w:val="7E75002B"/>
    <w:rsid w:val="7E7A5484"/>
    <w:rsid w:val="7E7A7EC0"/>
    <w:rsid w:val="7E7DD336"/>
    <w:rsid w:val="7E7EC91B"/>
    <w:rsid w:val="7E7F75E7"/>
    <w:rsid w:val="7E81226A"/>
    <w:rsid w:val="7E81D752"/>
    <w:rsid w:val="7E88DF1C"/>
    <w:rsid w:val="7E89E06B"/>
    <w:rsid w:val="7E8C17DC"/>
    <w:rsid w:val="7E8DC5CD"/>
    <w:rsid w:val="7E92724A"/>
    <w:rsid w:val="7E94314F"/>
    <w:rsid w:val="7E95D24C"/>
    <w:rsid w:val="7E9CB8E4"/>
    <w:rsid w:val="7E9D0570"/>
    <w:rsid w:val="7E9DF5DD"/>
    <w:rsid w:val="7EA0DC65"/>
    <w:rsid w:val="7EA3668D"/>
    <w:rsid w:val="7EA3DD6F"/>
    <w:rsid w:val="7EA4114D"/>
    <w:rsid w:val="7EA4F0C4"/>
    <w:rsid w:val="7EA5DB2F"/>
    <w:rsid w:val="7EA76D0A"/>
    <w:rsid w:val="7EA86702"/>
    <w:rsid w:val="7EAA83F2"/>
    <w:rsid w:val="7EAAD6C9"/>
    <w:rsid w:val="7EADAE92"/>
    <w:rsid w:val="7EB1DD14"/>
    <w:rsid w:val="7EB3CEB9"/>
    <w:rsid w:val="7EB43E8A"/>
    <w:rsid w:val="7EB58B33"/>
    <w:rsid w:val="7EB8F411"/>
    <w:rsid w:val="7EBAAC3E"/>
    <w:rsid w:val="7EBD0F21"/>
    <w:rsid w:val="7EBD5D89"/>
    <w:rsid w:val="7EBF73EE"/>
    <w:rsid w:val="7EBF854A"/>
    <w:rsid w:val="7EC40CEE"/>
    <w:rsid w:val="7EC49D77"/>
    <w:rsid w:val="7EC58174"/>
    <w:rsid w:val="7EC7C909"/>
    <w:rsid w:val="7EC8CA63"/>
    <w:rsid w:val="7ECC626F"/>
    <w:rsid w:val="7ECDFECB"/>
    <w:rsid w:val="7ED28087"/>
    <w:rsid w:val="7ED2EA08"/>
    <w:rsid w:val="7ED3CC99"/>
    <w:rsid w:val="7ED3DCB3"/>
    <w:rsid w:val="7ED650E6"/>
    <w:rsid w:val="7ED6D4E3"/>
    <w:rsid w:val="7ED7003E"/>
    <w:rsid w:val="7ED72B6D"/>
    <w:rsid w:val="7ED8F761"/>
    <w:rsid w:val="7ED9155C"/>
    <w:rsid w:val="7ED9D587"/>
    <w:rsid w:val="7EDA37C0"/>
    <w:rsid w:val="7EDB41A2"/>
    <w:rsid w:val="7EDE5488"/>
    <w:rsid w:val="7EDE8A4D"/>
    <w:rsid w:val="7EDEF5C3"/>
    <w:rsid w:val="7EDF0527"/>
    <w:rsid w:val="7EE18C3F"/>
    <w:rsid w:val="7EE3EF56"/>
    <w:rsid w:val="7EE428D2"/>
    <w:rsid w:val="7EE5B7FA"/>
    <w:rsid w:val="7EE5D37A"/>
    <w:rsid w:val="7EE65108"/>
    <w:rsid w:val="7EEA4959"/>
    <w:rsid w:val="7EEB02E2"/>
    <w:rsid w:val="7EEB4821"/>
    <w:rsid w:val="7EEC0A05"/>
    <w:rsid w:val="7EEECB92"/>
    <w:rsid w:val="7EEF639A"/>
    <w:rsid w:val="7EF19FB9"/>
    <w:rsid w:val="7EF77F4C"/>
    <w:rsid w:val="7EF8D58E"/>
    <w:rsid w:val="7EFA43BF"/>
    <w:rsid w:val="7EFA7013"/>
    <w:rsid w:val="7EFC230E"/>
    <w:rsid w:val="7EFC9557"/>
    <w:rsid w:val="7F001815"/>
    <w:rsid w:val="7F043B0F"/>
    <w:rsid w:val="7F050DE8"/>
    <w:rsid w:val="7F07C618"/>
    <w:rsid w:val="7F08ABA3"/>
    <w:rsid w:val="7F0CEE6E"/>
    <w:rsid w:val="7F0EEDFC"/>
    <w:rsid w:val="7F10382B"/>
    <w:rsid w:val="7F113194"/>
    <w:rsid w:val="7F12DE8C"/>
    <w:rsid w:val="7F152502"/>
    <w:rsid w:val="7F165C8F"/>
    <w:rsid w:val="7F167AAF"/>
    <w:rsid w:val="7F1D733E"/>
    <w:rsid w:val="7F1E6FBE"/>
    <w:rsid w:val="7F276475"/>
    <w:rsid w:val="7F2D0B36"/>
    <w:rsid w:val="7F2DB57B"/>
    <w:rsid w:val="7F3031A0"/>
    <w:rsid w:val="7F39D42C"/>
    <w:rsid w:val="7F3DA7AB"/>
    <w:rsid w:val="7F40BA85"/>
    <w:rsid w:val="7F419AB9"/>
    <w:rsid w:val="7F4385D7"/>
    <w:rsid w:val="7F45D367"/>
    <w:rsid w:val="7F49BC75"/>
    <w:rsid w:val="7F49C3F4"/>
    <w:rsid w:val="7F49D722"/>
    <w:rsid w:val="7F4AA991"/>
    <w:rsid w:val="7F4B1D9D"/>
    <w:rsid w:val="7F4CA9CE"/>
    <w:rsid w:val="7F4D53C1"/>
    <w:rsid w:val="7F4D6EC2"/>
    <w:rsid w:val="7F54287C"/>
    <w:rsid w:val="7F5CEE05"/>
    <w:rsid w:val="7F5E9313"/>
    <w:rsid w:val="7F5EA65C"/>
    <w:rsid w:val="7F62D93C"/>
    <w:rsid w:val="7F62ED42"/>
    <w:rsid w:val="7F644326"/>
    <w:rsid w:val="7F66E372"/>
    <w:rsid w:val="7F689AAF"/>
    <w:rsid w:val="7F690109"/>
    <w:rsid w:val="7F6A231F"/>
    <w:rsid w:val="7F6B27DF"/>
    <w:rsid w:val="7F6B71A7"/>
    <w:rsid w:val="7F6B8FEE"/>
    <w:rsid w:val="7F6C15B0"/>
    <w:rsid w:val="7F6C323F"/>
    <w:rsid w:val="7F6C759B"/>
    <w:rsid w:val="7F6EA444"/>
    <w:rsid w:val="7F6EF6B4"/>
    <w:rsid w:val="7F6F3988"/>
    <w:rsid w:val="7F7148DB"/>
    <w:rsid w:val="7F755725"/>
    <w:rsid w:val="7F7989B6"/>
    <w:rsid w:val="7F7AB73C"/>
    <w:rsid w:val="7F7CFCAB"/>
    <w:rsid w:val="7F7D4343"/>
    <w:rsid w:val="7F7D87EE"/>
    <w:rsid w:val="7F802EB1"/>
    <w:rsid w:val="7F820614"/>
    <w:rsid w:val="7F82480F"/>
    <w:rsid w:val="7F82F6CB"/>
    <w:rsid w:val="7F855415"/>
    <w:rsid w:val="7F862B67"/>
    <w:rsid w:val="7F86EF3F"/>
    <w:rsid w:val="7F87E463"/>
    <w:rsid w:val="7F89FF9C"/>
    <w:rsid w:val="7F8A57EA"/>
    <w:rsid w:val="7F8EA22D"/>
    <w:rsid w:val="7F914870"/>
    <w:rsid w:val="7F93925C"/>
    <w:rsid w:val="7F946CFA"/>
    <w:rsid w:val="7F9595A8"/>
    <w:rsid w:val="7F95E03A"/>
    <w:rsid w:val="7F996FB0"/>
    <w:rsid w:val="7F9E0AD1"/>
    <w:rsid w:val="7F9E1CA7"/>
    <w:rsid w:val="7F9E5C46"/>
    <w:rsid w:val="7FA25C08"/>
    <w:rsid w:val="7FA2FA4F"/>
    <w:rsid w:val="7FA33A5D"/>
    <w:rsid w:val="7FA33BB4"/>
    <w:rsid w:val="7FA523DD"/>
    <w:rsid w:val="7FA7BD76"/>
    <w:rsid w:val="7FA85359"/>
    <w:rsid w:val="7FA94F7D"/>
    <w:rsid w:val="7FAA2BDA"/>
    <w:rsid w:val="7FAD6EE5"/>
    <w:rsid w:val="7FB2A37A"/>
    <w:rsid w:val="7FB73E55"/>
    <w:rsid w:val="7FB7AE38"/>
    <w:rsid w:val="7FBA698D"/>
    <w:rsid w:val="7FBF9F73"/>
    <w:rsid w:val="7FC096AD"/>
    <w:rsid w:val="7FC49672"/>
    <w:rsid w:val="7FC98E5C"/>
    <w:rsid w:val="7FCAB4A6"/>
    <w:rsid w:val="7FCB6263"/>
    <w:rsid w:val="7FCF979C"/>
    <w:rsid w:val="7FCFDDD5"/>
    <w:rsid w:val="7FD4B7C4"/>
    <w:rsid w:val="7FD4BF26"/>
    <w:rsid w:val="7FD5BE08"/>
    <w:rsid w:val="7FD626E1"/>
    <w:rsid w:val="7FD878E4"/>
    <w:rsid w:val="7FD935B0"/>
    <w:rsid w:val="7FDCF814"/>
    <w:rsid w:val="7FDD7B01"/>
    <w:rsid w:val="7FDE80C9"/>
    <w:rsid w:val="7FDEB415"/>
    <w:rsid w:val="7FDEF089"/>
    <w:rsid w:val="7FE1738E"/>
    <w:rsid w:val="7FE4430A"/>
    <w:rsid w:val="7FEA09C7"/>
    <w:rsid w:val="7FEE02D1"/>
    <w:rsid w:val="7FF3F01B"/>
    <w:rsid w:val="7FF486D1"/>
    <w:rsid w:val="7FF5E377"/>
    <w:rsid w:val="7FF6EE23"/>
    <w:rsid w:val="7FF99ECA"/>
    <w:rsid w:val="7FF9A0BA"/>
    <w:rsid w:val="7FFBB90C"/>
    <w:rsid w:val="7FFCF0B7"/>
    <w:rsid w:val="7FFFC58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2DCB87"/>
  <w15:chartTrackingRefBased/>
  <w15:docId w15:val="{9F69683A-DF97-4846-B15E-A9E3A087C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38FD"/>
    <w:pPr>
      <w:keepNext/>
      <w:keepLines/>
      <w:numPr>
        <w:numId w:val="23"/>
      </w:numPr>
      <w:spacing w:before="240" w:after="240"/>
      <w:ind w:left="709" w:hanging="709"/>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CB405E"/>
    <w:pPr>
      <w:numPr>
        <w:ilvl w:val="1"/>
      </w:numPr>
      <w:ind w:left="709" w:hanging="709"/>
      <w:outlineLvl w:val="1"/>
    </w:pPr>
    <w:rPr>
      <w:sz w:val="26"/>
      <w:szCs w:val="26"/>
    </w:rPr>
  </w:style>
  <w:style w:type="paragraph" w:styleId="Heading3">
    <w:name w:val="heading 3"/>
    <w:basedOn w:val="Heading2"/>
    <w:next w:val="Normal"/>
    <w:link w:val="Heading3Char"/>
    <w:uiPriority w:val="9"/>
    <w:unhideWhenUsed/>
    <w:qFormat/>
    <w:rsid w:val="0082271A"/>
    <w:pPr>
      <w:numPr>
        <w:ilvl w:val="2"/>
      </w:numPr>
      <w:ind w:left="709" w:hanging="709"/>
      <w:outlineLvl w:val="2"/>
    </w:pPr>
    <w:rPr>
      <w:sz w:val="24"/>
      <w:szCs w:val="24"/>
    </w:rPr>
  </w:style>
  <w:style w:type="paragraph" w:styleId="Heading4">
    <w:name w:val="heading 4"/>
    <w:basedOn w:val="Heading3"/>
    <w:next w:val="Normal"/>
    <w:link w:val="Heading4Char"/>
    <w:uiPriority w:val="9"/>
    <w:unhideWhenUsed/>
    <w:qFormat/>
    <w:rsid w:val="00DE069C"/>
    <w:pPr>
      <w:numPr>
        <w:ilvl w:val="3"/>
      </w:numPr>
      <w:ind w:left="709" w:hanging="709"/>
      <w:outlineLvl w:val="3"/>
    </w:pPr>
    <w:rPr>
      <w:sz w:val="22"/>
      <w:szCs w:val="22"/>
    </w:rPr>
  </w:style>
  <w:style w:type="paragraph" w:styleId="Heading5">
    <w:name w:val="heading 5"/>
    <w:basedOn w:val="Normal"/>
    <w:next w:val="Normal"/>
    <w:link w:val="Heading5Char"/>
    <w:uiPriority w:val="9"/>
    <w:unhideWhenUsed/>
    <w:qFormat/>
    <w:rsid w:val="000B61EC"/>
    <w:pPr>
      <w:keepNext/>
      <w:keepLines/>
      <w:spacing w:before="40" w:after="12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97140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38F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B405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2271A"/>
    <w:rPr>
      <w:rFonts w:asciiTheme="majorHAnsi" w:eastAsiaTheme="majorEastAsia" w:hAnsiTheme="majorHAnsi" w:cstheme="majorBidi"/>
      <w:color w:val="2F5496" w:themeColor="accent1" w:themeShade="BF"/>
      <w:sz w:val="24"/>
      <w:szCs w:val="24"/>
    </w:rPr>
  </w:style>
  <w:style w:type="character" w:customStyle="1" w:styleId="Heading4Char">
    <w:name w:val="Heading 4 Char"/>
    <w:basedOn w:val="DefaultParagraphFont"/>
    <w:link w:val="Heading4"/>
    <w:uiPriority w:val="9"/>
    <w:rsid w:val="00DE069C"/>
    <w:rPr>
      <w:rFonts w:asciiTheme="majorHAnsi" w:eastAsiaTheme="majorEastAsia" w:hAnsiTheme="majorHAnsi" w:cstheme="majorBidi"/>
      <w:color w:val="2F5496" w:themeColor="accent1" w:themeShade="BF"/>
    </w:rPr>
  </w:style>
  <w:style w:type="character" w:customStyle="1" w:styleId="Heading5Char">
    <w:name w:val="Heading 5 Char"/>
    <w:basedOn w:val="DefaultParagraphFont"/>
    <w:link w:val="Heading5"/>
    <w:uiPriority w:val="9"/>
    <w:rsid w:val="000B61EC"/>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A313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364"/>
  </w:style>
  <w:style w:type="paragraph" w:styleId="Footer">
    <w:name w:val="footer"/>
    <w:basedOn w:val="Normal"/>
    <w:link w:val="FooterChar"/>
    <w:uiPriority w:val="99"/>
    <w:unhideWhenUsed/>
    <w:rsid w:val="00A313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364"/>
  </w:style>
  <w:style w:type="paragraph" w:styleId="BalloonText">
    <w:name w:val="Balloon Text"/>
    <w:basedOn w:val="Normal"/>
    <w:link w:val="BalloonTextChar"/>
    <w:uiPriority w:val="99"/>
    <w:semiHidden/>
    <w:unhideWhenUsed/>
    <w:rsid w:val="00A313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364"/>
    <w:rPr>
      <w:rFonts w:ascii="Segoe UI" w:hAnsi="Segoe UI" w:cs="Segoe UI"/>
      <w:sz w:val="18"/>
      <w:szCs w:val="18"/>
    </w:rPr>
  </w:style>
  <w:style w:type="table" w:styleId="TableGrid">
    <w:name w:val="Table Grid"/>
    <w:basedOn w:val="TableNormal"/>
    <w:uiPriority w:val="39"/>
    <w:rsid w:val="00A31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3136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 (Normal),Grey List Bullet"/>
    <w:basedOn w:val="Normal"/>
    <w:link w:val="ListParagraphChar"/>
    <w:uiPriority w:val="34"/>
    <w:qFormat/>
    <w:rsid w:val="00CB75AF"/>
    <w:pPr>
      <w:ind w:left="720"/>
      <w:contextualSpacing/>
    </w:pPr>
  </w:style>
  <w:style w:type="character" w:customStyle="1" w:styleId="ListParagraphChar">
    <w:name w:val="List Paragraph Char"/>
    <w:aliases w:val="Bullet (Normal) Char,Grey List Bullet Char"/>
    <w:basedOn w:val="DefaultParagraphFont"/>
    <w:link w:val="ListParagraph"/>
    <w:uiPriority w:val="34"/>
    <w:rsid w:val="00450380"/>
  </w:style>
  <w:style w:type="paragraph" w:styleId="Subtitle">
    <w:name w:val="Subtitle"/>
    <w:basedOn w:val="Normal"/>
    <w:next w:val="Normal"/>
    <w:link w:val="SubtitleChar"/>
    <w:uiPriority w:val="11"/>
    <w:qFormat/>
    <w:rsid w:val="00124D0C"/>
    <w:pPr>
      <w:numPr>
        <w:ilvl w:val="2"/>
        <w:numId w:val="30"/>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24D0C"/>
    <w:rPr>
      <w:rFonts w:eastAsiaTheme="minorEastAsia"/>
      <w:color w:val="5A5A5A" w:themeColor="text1" w:themeTint="A5"/>
      <w:spacing w:val="15"/>
    </w:rPr>
  </w:style>
  <w:style w:type="paragraph" w:styleId="Title">
    <w:name w:val="Title"/>
    <w:basedOn w:val="Normal"/>
    <w:next w:val="Normal"/>
    <w:link w:val="TitleChar"/>
    <w:uiPriority w:val="10"/>
    <w:qFormat/>
    <w:rsid w:val="00124D0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4D0C"/>
    <w:rPr>
      <w:rFonts w:asciiTheme="majorHAnsi" w:eastAsiaTheme="majorEastAsia" w:hAnsiTheme="majorHAnsi" w:cstheme="majorBidi"/>
      <w:spacing w:val="-10"/>
      <w:kern w:val="28"/>
      <w:sz w:val="56"/>
      <w:szCs w:val="56"/>
    </w:rPr>
  </w:style>
  <w:style w:type="table" w:styleId="PlainTable4">
    <w:name w:val="Plain Table 4"/>
    <w:basedOn w:val="TableNormal"/>
    <w:uiPriority w:val="44"/>
    <w:rsid w:val="0023604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5">
    <w:name w:val="List Table 1 Light Accent 5"/>
    <w:basedOn w:val="TableNormal"/>
    <w:uiPriority w:val="46"/>
    <w:rsid w:val="00CF7ED2"/>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4">
    <w:name w:val="List Table 1 Light Accent 4"/>
    <w:basedOn w:val="TableNormal"/>
    <w:uiPriority w:val="46"/>
    <w:rsid w:val="00CF7ED2"/>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3">
    <w:name w:val="List Table 1 Light Accent 3"/>
    <w:basedOn w:val="TableNormal"/>
    <w:uiPriority w:val="46"/>
    <w:rsid w:val="00CF7ED2"/>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2">
    <w:name w:val="List Table 1 Light Accent 2"/>
    <w:basedOn w:val="TableNormal"/>
    <w:uiPriority w:val="46"/>
    <w:rsid w:val="00CF7ED2"/>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1">
    <w:name w:val="List Table 1 Light Accent 1"/>
    <w:basedOn w:val="TableNormal"/>
    <w:uiPriority w:val="46"/>
    <w:rsid w:val="00CF7ED2"/>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6">
    <w:name w:val="List Table 2 Accent 6"/>
    <w:basedOn w:val="TableNormal"/>
    <w:uiPriority w:val="47"/>
    <w:rsid w:val="00CF7ED2"/>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5">
    <w:name w:val="List Table 2 Accent 5"/>
    <w:basedOn w:val="TableNormal"/>
    <w:uiPriority w:val="47"/>
    <w:rsid w:val="00CF7ED2"/>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3">
    <w:name w:val="List Table 2 Accent 3"/>
    <w:basedOn w:val="TableNormal"/>
    <w:uiPriority w:val="47"/>
    <w:rsid w:val="00CF7ED2"/>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6">
    <w:name w:val="List Table 1 Light Accent 6"/>
    <w:basedOn w:val="TableNormal"/>
    <w:uiPriority w:val="46"/>
    <w:rsid w:val="00AE42AF"/>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OCHeading">
    <w:name w:val="TOC Heading"/>
    <w:basedOn w:val="Heading1"/>
    <w:next w:val="Normal"/>
    <w:uiPriority w:val="39"/>
    <w:unhideWhenUsed/>
    <w:qFormat/>
    <w:rsid w:val="004E433A"/>
    <w:pPr>
      <w:outlineLvl w:val="9"/>
    </w:pPr>
    <w:rPr>
      <w:lang w:val="en-US"/>
    </w:rPr>
  </w:style>
  <w:style w:type="paragraph" w:styleId="TOC1">
    <w:name w:val="toc 1"/>
    <w:basedOn w:val="Normal"/>
    <w:next w:val="Normal"/>
    <w:autoRedefine/>
    <w:uiPriority w:val="39"/>
    <w:unhideWhenUsed/>
    <w:rsid w:val="00285453"/>
    <w:pPr>
      <w:tabs>
        <w:tab w:val="right" w:leader="dot" w:pos="9016"/>
      </w:tabs>
      <w:spacing w:after="100"/>
    </w:pPr>
    <w:rPr>
      <w:b/>
    </w:rPr>
  </w:style>
  <w:style w:type="paragraph" w:styleId="TOC3">
    <w:name w:val="toc 3"/>
    <w:basedOn w:val="Normal"/>
    <w:next w:val="Normal"/>
    <w:autoRedefine/>
    <w:uiPriority w:val="39"/>
    <w:unhideWhenUsed/>
    <w:rsid w:val="008F2555"/>
    <w:pPr>
      <w:tabs>
        <w:tab w:val="left" w:pos="1879"/>
        <w:tab w:val="right" w:leader="dot" w:pos="9016"/>
      </w:tabs>
      <w:spacing w:after="100"/>
      <w:ind w:left="1134"/>
    </w:pPr>
  </w:style>
  <w:style w:type="paragraph" w:styleId="TOC2">
    <w:name w:val="toc 2"/>
    <w:basedOn w:val="Normal"/>
    <w:next w:val="Normal"/>
    <w:autoRedefine/>
    <w:uiPriority w:val="39"/>
    <w:unhideWhenUsed/>
    <w:rsid w:val="00E172F7"/>
    <w:pPr>
      <w:spacing w:after="100"/>
      <w:ind w:left="567"/>
    </w:pPr>
  </w:style>
  <w:style w:type="character" w:styleId="Hyperlink">
    <w:name w:val="Hyperlink"/>
    <w:basedOn w:val="DefaultParagraphFont"/>
    <w:uiPriority w:val="99"/>
    <w:unhideWhenUsed/>
    <w:rsid w:val="004E433A"/>
    <w:rPr>
      <w:color w:val="0563C1" w:themeColor="hyperlink"/>
      <w:u w:val="single"/>
    </w:rPr>
  </w:style>
  <w:style w:type="character" w:styleId="CommentReference">
    <w:name w:val="annotation reference"/>
    <w:basedOn w:val="DefaultParagraphFont"/>
    <w:uiPriority w:val="99"/>
    <w:semiHidden/>
    <w:unhideWhenUsed/>
    <w:rsid w:val="00F67E67"/>
    <w:rPr>
      <w:sz w:val="16"/>
      <w:szCs w:val="16"/>
    </w:rPr>
  </w:style>
  <w:style w:type="paragraph" w:styleId="CommentText">
    <w:name w:val="annotation text"/>
    <w:basedOn w:val="Normal"/>
    <w:link w:val="CommentTextChar"/>
    <w:uiPriority w:val="99"/>
    <w:unhideWhenUsed/>
    <w:rsid w:val="00F67E67"/>
    <w:pPr>
      <w:spacing w:line="240" w:lineRule="auto"/>
    </w:pPr>
    <w:rPr>
      <w:sz w:val="20"/>
      <w:szCs w:val="20"/>
    </w:rPr>
  </w:style>
  <w:style w:type="character" w:customStyle="1" w:styleId="CommentTextChar">
    <w:name w:val="Comment Text Char"/>
    <w:basedOn w:val="DefaultParagraphFont"/>
    <w:link w:val="CommentText"/>
    <w:uiPriority w:val="99"/>
    <w:rsid w:val="00F67E67"/>
    <w:rPr>
      <w:sz w:val="20"/>
      <w:szCs w:val="20"/>
    </w:rPr>
  </w:style>
  <w:style w:type="paragraph" w:styleId="CommentSubject">
    <w:name w:val="annotation subject"/>
    <w:basedOn w:val="CommentText"/>
    <w:next w:val="CommentText"/>
    <w:link w:val="CommentSubjectChar"/>
    <w:uiPriority w:val="99"/>
    <w:semiHidden/>
    <w:unhideWhenUsed/>
    <w:rsid w:val="00F67E67"/>
    <w:rPr>
      <w:b/>
      <w:bCs/>
    </w:rPr>
  </w:style>
  <w:style w:type="character" w:customStyle="1" w:styleId="CommentSubjectChar">
    <w:name w:val="Comment Subject Char"/>
    <w:basedOn w:val="CommentTextChar"/>
    <w:link w:val="CommentSubject"/>
    <w:uiPriority w:val="99"/>
    <w:semiHidden/>
    <w:rsid w:val="00F67E67"/>
    <w:rPr>
      <w:b/>
      <w:bCs/>
      <w:sz w:val="20"/>
      <w:szCs w:val="20"/>
    </w:rPr>
  </w:style>
  <w:style w:type="character" w:customStyle="1" w:styleId="normaltextrun">
    <w:name w:val="normaltextrun"/>
    <w:basedOn w:val="DefaultParagraphFont"/>
    <w:rsid w:val="00913467"/>
  </w:style>
  <w:style w:type="character" w:customStyle="1" w:styleId="eop">
    <w:name w:val="eop"/>
    <w:basedOn w:val="DefaultParagraphFont"/>
    <w:rsid w:val="00913467"/>
  </w:style>
  <w:style w:type="paragraph" w:styleId="FootnoteText">
    <w:name w:val="footnote text"/>
    <w:basedOn w:val="Normal"/>
    <w:link w:val="FootnoteTextChar"/>
    <w:uiPriority w:val="99"/>
    <w:unhideWhenUsed/>
    <w:rsid w:val="00FA53D9"/>
    <w:pPr>
      <w:spacing w:before="60" w:after="60" w:line="240" w:lineRule="auto"/>
      <w:ind w:left="720" w:hanging="720"/>
    </w:pPr>
    <w:rPr>
      <w:rFonts w:ascii="Arial" w:eastAsia="Calibri" w:hAnsi="Arial" w:cs="Arial"/>
      <w:sz w:val="18"/>
      <w:szCs w:val="20"/>
    </w:rPr>
  </w:style>
  <w:style w:type="character" w:customStyle="1" w:styleId="FootnoteTextChar">
    <w:name w:val="Footnote Text Char"/>
    <w:basedOn w:val="DefaultParagraphFont"/>
    <w:link w:val="FootnoteText"/>
    <w:uiPriority w:val="99"/>
    <w:rsid w:val="00FA53D9"/>
    <w:rPr>
      <w:rFonts w:ascii="Arial" w:eastAsia="Calibri" w:hAnsi="Arial" w:cs="Arial"/>
      <w:sz w:val="18"/>
      <w:szCs w:val="20"/>
    </w:rPr>
  </w:style>
  <w:style w:type="character" w:styleId="FootnoteReference">
    <w:name w:val="footnote reference"/>
    <w:basedOn w:val="DefaultParagraphFont"/>
    <w:uiPriority w:val="99"/>
    <w:unhideWhenUsed/>
    <w:rsid w:val="00347DC9"/>
    <w:rPr>
      <w:vertAlign w:val="superscript"/>
    </w:rPr>
  </w:style>
  <w:style w:type="paragraph" w:styleId="Revision">
    <w:name w:val="Revision"/>
    <w:hidden/>
    <w:uiPriority w:val="99"/>
    <w:semiHidden/>
    <w:rsid w:val="003C696C"/>
    <w:pPr>
      <w:spacing w:after="0" w:line="240" w:lineRule="auto"/>
    </w:pPr>
  </w:style>
  <w:style w:type="character" w:styleId="Strong">
    <w:name w:val="Strong"/>
    <w:basedOn w:val="DefaultParagraphFont"/>
    <w:uiPriority w:val="22"/>
    <w:qFormat/>
    <w:rsid w:val="00635DC8"/>
    <w:rPr>
      <w:b/>
      <w:bCs/>
    </w:rPr>
  </w:style>
  <w:style w:type="paragraph" w:customStyle="1" w:styleId="Default">
    <w:name w:val="Default"/>
    <w:rsid w:val="00D60CCB"/>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2D23A3"/>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56A7D"/>
    <w:rPr>
      <w:color w:val="954F72" w:themeColor="followedHyperlink"/>
      <w:u w:val="single"/>
    </w:rPr>
  </w:style>
  <w:style w:type="paragraph" w:customStyle="1" w:styleId="Unnumberedheading">
    <w:name w:val="Unnumbered heading"/>
    <w:basedOn w:val="Heading1"/>
    <w:link w:val="UnnumberedheadingChar"/>
    <w:qFormat/>
    <w:rsid w:val="0035012C"/>
    <w:pPr>
      <w:numPr>
        <w:numId w:val="0"/>
      </w:numPr>
    </w:pPr>
  </w:style>
  <w:style w:type="character" w:customStyle="1" w:styleId="UnnumberedheadingChar">
    <w:name w:val="Unnumbered heading Char"/>
    <w:basedOn w:val="Heading1Char"/>
    <w:link w:val="Unnumberedheading"/>
    <w:rsid w:val="0035012C"/>
    <w:rPr>
      <w:rFonts w:asciiTheme="majorHAnsi" w:eastAsiaTheme="majorEastAsia" w:hAnsiTheme="majorHAnsi" w:cstheme="majorBidi"/>
      <w:color w:val="2F5496" w:themeColor="accent1" w:themeShade="BF"/>
      <w:sz w:val="32"/>
      <w:szCs w:val="32"/>
    </w:rPr>
  </w:style>
  <w:style w:type="paragraph" w:customStyle="1" w:styleId="Normal2">
    <w:name w:val="Normal 2"/>
    <w:basedOn w:val="ListParagraph"/>
    <w:link w:val="Normal2Char"/>
    <w:qFormat/>
    <w:rsid w:val="00A247C5"/>
    <w:pPr>
      <w:numPr>
        <w:numId w:val="24"/>
      </w:numPr>
      <w:spacing w:before="120" w:after="120" w:line="257" w:lineRule="auto"/>
      <w:ind w:hanging="720"/>
      <w:contextualSpacing w:val="0"/>
      <w:jc w:val="both"/>
    </w:pPr>
  </w:style>
  <w:style w:type="character" w:customStyle="1" w:styleId="Normal2Char">
    <w:name w:val="Normal 2 Char"/>
    <w:basedOn w:val="ListParagraphChar"/>
    <w:link w:val="Normal2"/>
    <w:rsid w:val="00A247C5"/>
  </w:style>
  <w:style w:type="paragraph" w:styleId="TOC4">
    <w:name w:val="toc 4"/>
    <w:basedOn w:val="Normal"/>
    <w:next w:val="Normal"/>
    <w:autoRedefine/>
    <w:uiPriority w:val="39"/>
    <w:unhideWhenUsed/>
    <w:rsid w:val="00084B03"/>
    <w:pPr>
      <w:spacing w:after="100"/>
      <w:ind w:left="660"/>
    </w:pPr>
    <w:rPr>
      <w:rFonts w:eastAsiaTheme="minorEastAsia"/>
      <w:lang w:eastAsia="en-NZ"/>
    </w:rPr>
  </w:style>
  <w:style w:type="paragraph" w:styleId="TOC5">
    <w:name w:val="toc 5"/>
    <w:basedOn w:val="Normal"/>
    <w:next w:val="Normal"/>
    <w:autoRedefine/>
    <w:uiPriority w:val="39"/>
    <w:unhideWhenUsed/>
    <w:rsid w:val="00084B03"/>
    <w:pPr>
      <w:spacing w:after="100"/>
      <w:ind w:left="880"/>
    </w:pPr>
    <w:rPr>
      <w:rFonts w:eastAsiaTheme="minorEastAsia"/>
      <w:lang w:eastAsia="en-NZ"/>
    </w:rPr>
  </w:style>
  <w:style w:type="paragraph" w:styleId="TOC6">
    <w:name w:val="toc 6"/>
    <w:basedOn w:val="Normal"/>
    <w:next w:val="Normal"/>
    <w:autoRedefine/>
    <w:uiPriority w:val="39"/>
    <w:unhideWhenUsed/>
    <w:rsid w:val="00084B03"/>
    <w:pPr>
      <w:spacing w:after="100"/>
      <w:ind w:left="1100"/>
    </w:pPr>
    <w:rPr>
      <w:rFonts w:eastAsiaTheme="minorEastAsia"/>
      <w:lang w:eastAsia="en-NZ"/>
    </w:rPr>
  </w:style>
  <w:style w:type="paragraph" w:styleId="TOC7">
    <w:name w:val="toc 7"/>
    <w:basedOn w:val="Normal"/>
    <w:next w:val="Normal"/>
    <w:autoRedefine/>
    <w:uiPriority w:val="39"/>
    <w:unhideWhenUsed/>
    <w:rsid w:val="00084B03"/>
    <w:pPr>
      <w:spacing w:after="100"/>
      <w:ind w:left="1320"/>
    </w:pPr>
    <w:rPr>
      <w:rFonts w:eastAsiaTheme="minorEastAsia"/>
      <w:lang w:eastAsia="en-NZ"/>
    </w:rPr>
  </w:style>
  <w:style w:type="paragraph" w:styleId="TOC8">
    <w:name w:val="toc 8"/>
    <w:basedOn w:val="Normal"/>
    <w:next w:val="Normal"/>
    <w:autoRedefine/>
    <w:uiPriority w:val="39"/>
    <w:unhideWhenUsed/>
    <w:rsid w:val="00084B03"/>
    <w:pPr>
      <w:spacing w:after="100"/>
      <w:ind w:left="1540"/>
    </w:pPr>
    <w:rPr>
      <w:rFonts w:eastAsiaTheme="minorEastAsia"/>
      <w:lang w:eastAsia="en-NZ"/>
    </w:rPr>
  </w:style>
  <w:style w:type="paragraph" w:styleId="TOC9">
    <w:name w:val="toc 9"/>
    <w:basedOn w:val="Normal"/>
    <w:next w:val="Normal"/>
    <w:autoRedefine/>
    <w:uiPriority w:val="39"/>
    <w:unhideWhenUsed/>
    <w:rsid w:val="00084B03"/>
    <w:pPr>
      <w:spacing w:after="100"/>
      <w:ind w:left="1760"/>
    </w:pPr>
    <w:rPr>
      <w:rFonts w:eastAsiaTheme="minorEastAsia"/>
      <w:lang w:eastAsia="en-NZ"/>
    </w:rPr>
  </w:style>
  <w:style w:type="character" w:styleId="UnresolvedMention">
    <w:name w:val="Unresolved Mention"/>
    <w:basedOn w:val="DefaultParagraphFont"/>
    <w:uiPriority w:val="99"/>
    <w:semiHidden/>
    <w:unhideWhenUsed/>
    <w:rsid w:val="00084B03"/>
    <w:rPr>
      <w:color w:val="605E5C"/>
      <w:shd w:val="clear" w:color="auto" w:fill="E1DFDD"/>
    </w:rPr>
  </w:style>
  <w:style w:type="paragraph" w:customStyle="1" w:styleId="Policyheader">
    <w:name w:val="Policy header"/>
    <w:basedOn w:val="Normal"/>
    <w:qFormat/>
    <w:rsid w:val="00FA73DE"/>
    <w:pPr>
      <w:keepNext/>
      <w:numPr>
        <w:numId w:val="25"/>
      </w:numPr>
      <w:spacing w:after="200" w:line="276" w:lineRule="auto"/>
    </w:pPr>
    <w:rPr>
      <w:rFonts w:ascii="Calibri" w:eastAsia="Times New Roman" w:hAnsi="Calibri" w:cs="Times New Roman"/>
      <w:b/>
      <w:lang w:eastAsia="en-NZ"/>
    </w:rPr>
  </w:style>
  <w:style w:type="paragraph" w:customStyle="1" w:styleId="Policy1stlevelbulletpoint">
    <w:name w:val="Policy_1st level bullet point"/>
    <w:basedOn w:val="Normal"/>
    <w:link w:val="Policy1stlevelbulletpointChar"/>
    <w:qFormat/>
    <w:rsid w:val="00FA73DE"/>
    <w:pPr>
      <w:numPr>
        <w:ilvl w:val="1"/>
        <w:numId w:val="25"/>
      </w:numPr>
      <w:spacing w:after="0" w:line="276" w:lineRule="auto"/>
      <w:contextualSpacing/>
    </w:pPr>
    <w:rPr>
      <w:rFonts w:ascii="Calibri" w:eastAsiaTheme="majorEastAsia" w:hAnsi="Calibri" w:cs="Times New Roman"/>
      <w:lang w:eastAsia="en-NZ"/>
    </w:rPr>
  </w:style>
  <w:style w:type="character" w:customStyle="1" w:styleId="Policy1stlevelbulletpointChar">
    <w:name w:val="Policy_1st level bullet point Char"/>
    <w:basedOn w:val="DefaultParagraphFont"/>
    <w:link w:val="Policy1stlevelbulletpoint"/>
    <w:rsid w:val="00FA73DE"/>
    <w:rPr>
      <w:rFonts w:ascii="Calibri" w:eastAsiaTheme="majorEastAsia" w:hAnsi="Calibri" w:cs="Times New Roman"/>
      <w:lang w:eastAsia="en-NZ"/>
    </w:rPr>
  </w:style>
  <w:style w:type="paragraph" w:customStyle="1" w:styleId="Policy2ndlevelbulletpoint">
    <w:name w:val="Policy_2nd level bullet point"/>
    <w:basedOn w:val="Policy1stlevelbulletpoint"/>
    <w:qFormat/>
    <w:rsid w:val="008925CE"/>
    <w:pPr>
      <w:numPr>
        <w:ilvl w:val="2"/>
      </w:numPr>
    </w:pPr>
  </w:style>
  <w:style w:type="paragraph" w:customStyle="1" w:styleId="Normal3">
    <w:name w:val="Normal 3"/>
    <w:basedOn w:val="Normal2"/>
    <w:link w:val="Normal3Char"/>
    <w:qFormat/>
    <w:rsid w:val="00145A5C"/>
    <w:pPr>
      <w:numPr>
        <w:ilvl w:val="1"/>
      </w:numPr>
      <w:ind w:left="1276" w:hanging="567"/>
      <w:contextualSpacing/>
    </w:pPr>
  </w:style>
  <w:style w:type="paragraph" w:customStyle="1" w:styleId="Table1">
    <w:name w:val="Table 1"/>
    <w:basedOn w:val="Normal2"/>
    <w:link w:val="Table1Char"/>
    <w:qFormat/>
    <w:rsid w:val="008925CE"/>
    <w:pPr>
      <w:numPr>
        <w:numId w:val="0"/>
      </w:numPr>
      <w:spacing w:before="60" w:after="60" w:line="240" w:lineRule="auto"/>
    </w:pPr>
    <w:rPr>
      <w:rFonts w:cstheme="minorHAnsi"/>
      <w:sz w:val="20"/>
      <w:szCs w:val="20"/>
    </w:rPr>
  </w:style>
  <w:style w:type="character" w:customStyle="1" w:styleId="Normal3Char">
    <w:name w:val="Normal 3 Char"/>
    <w:basedOn w:val="Normal2Char"/>
    <w:link w:val="Normal3"/>
    <w:rsid w:val="00145A5C"/>
  </w:style>
  <w:style w:type="character" w:customStyle="1" w:styleId="Table1Char">
    <w:name w:val="Table 1 Char"/>
    <w:basedOn w:val="Normal2Char"/>
    <w:link w:val="Table1"/>
    <w:rsid w:val="00B26ABF"/>
    <w:rPr>
      <w:rFonts w:cstheme="minorHAnsi"/>
      <w:sz w:val="20"/>
      <w:szCs w:val="20"/>
    </w:rPr>
  </w:style>
  <w:style w:type="paragraph" w:customStyle="1" w:styleId="Normal4">
    <w:name w:val="Normal 4"/>
    <w:basedOn w:val="Normal3"/>
    <w:link w:val="Normal4Char"/>
    <w:qFormat/>
    <w:rsid w:val="00FB254B"/>
    <w:pPr>
      <w:numPr>
        <w:ilvl w:val="2"/>
      </w:numPr>
      <w:ind w:left="1843" w:hanging="567"/>
    </w:pPr>
  </w:style>
  <w:style w:type="character" w:customStyle="1" w:styleId="Normal4Char">
    <w:name w:val="Normal 4 Char"/>
    <w:basedOn w:val="Normal3Char"/>
    <w:link w:val="Normal4"/>
    <w:rsid w:val="00FB254B"/>
  </w:style>
  <w:style w:type="paragraph" w:styleId="NoSpacing">
    <w:name w:val="No Spacing"/>
    <w:uiPriority w:val="1"/>
    <w:qFormat/>
    <w:rsid w:val="00AC0B85"/>
    <w:pPr>
      <w:spacing w:after="0" w:line="240" w:lineRule="auto"/>
    </w:pPr>
  </w:style>
  <w:style w:type="character" w:customStyle="1" w:styleId="Heading6Char">
    <w:name w:val="Heading 6 Char"/>
    <w:basedOn w:val="DefaultParagraphFont"/>
    <w:link w:val="Heading6"/>
    <w:uiPriority w:val="9"/>
    <w:rsid w:val="00971401"/>
    <w:rPr>
      <w:rFonts w:asciiTheme="majorHAnsi" w:eastAsiaTheme="majorEastAsia" w:hAnsiTheme="majorHAnsi" w:cstheme="majorBidi"/>
      <w:color w:val="1F3763" w:themeColor="accent1" w:themeShade="7F"/>
    </w:rPr>
  </w:style>
  <w:style w:type="paragraph" w:styleId="ListBullet2">
    <w:name w:val="List Bullet 2"/>
    <w:basedOn w:val="Normal"/>
    <w:uiPriority w:val="99"/>
    <w:unhideWhenUsed/>
    <w:rsid w:val="00FD6490"/>
    <w:pPr>
      <w:numPr>
        <w:numId w:val="31"/>
      </w:numPr>
      <w:spacing w:after="0" w:line="240" w:lineRule="auto"/>
      <w:contextualSpacing/>
    </w:pPr>
    <w:rPr>
      <w:rFonts w:ascii="Calibri" w:hAnsi="Calibri" w:cs="Calibri"/>
    </w:rPr>
  </w:style>
  <w:style w:type="paragraph" w:customStyle="1" w:styleId="JustifiedSpacing">
    <w:name w:val="Justified/Spacing"/>
    <w:basedOn w:val="Normal"/>
    <w:link w:val="JustifiedSpacingChar"/>
    <w:qFormat/>
    <w:rsid w:val="004B2E68"/>
    <w:pPr>
      <w:spacing w:line="240" w:lineRule="auto"/>
      <w:jc w:val="both"/>
    </w:pPr>
    <w:rPr>
      <w:rFonts w:ascii="Calibri" w:hAnsi="Calibri" w:cs="Calibri"/>
    </w:rPr>
  </w:style>
  <w:style w:type="character" w:customStyle="1" w:styleId="JustifiedSpacingChar">
    <w:name w:val="Justified/Spacing Char"/>
    <w:basedOn w:val="DefaultParagraphFont"/>
    <w:link w:val="JustifiedSpacing"/>
    <w:rsid w:val="004B2E68"/>
    <w:rPr>
      <w:rFonts w:ascii="Calibri" w:hAnsi="Calibri" w:cs="Calibri"/>
    </w:rPr>
  </w:style>
  <w:style w:type="paragraph" w:styleId="Bibliography">
    <w:name w:val="Bibliography"/>
    <w:basedOn w:val="Normal"/>
    <w:next w:val="Normal"/>
    <w:uiPriority w:val="37"/>
    <w:unhideWhenUsed/>
    <w:rsid w:val="0057186E"/>
  </w:style>
  <w:style w:type="paragraph" w:customStyle="1" w:styleId="paragraph">
    <w:name w:val="paragraph"/>
    <w:basedOn w:val="Normal"/>
    <w:rsid w:val="00E0180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uperscript">
    <w:name w:val="superscript"/>
    <w:basedOn w:val="DefaultParagraphFont"/>
    <w:rsid w:val="002831D8"/>
  </w:style>
  <w:style w:type="character" w:styleId="Emphasis">
    <w:name w:val="Emphasis"/>
    <w:basedOn w:val="DefaultParagraphFont"/>
    <w:uiPriority w:val="20"/>
    <w:qFormat/>
    <w:rsid w:val="003477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51">
      <w:bodyDiv w:val="1"/>
      <w:marLeft w:val="0"/>
      <w:marRight w:val="0"/>
      <w:marTop w:val="0"/>
      <w:marBottom w:val="0"/>
      <w:divBdr>
        <w:top w:val="none" w:sz="0" w:space="0" w:color="auto"/>
        <w:left w:val="none" w:sz="0" w:space="0" w:color="auto"/>
        <w:bottom w:val="none" w:sz="0" w:space="0" w:color="auto"/>
        <w:right w:val="none" w:sz="0" w:space="0" w:color="auto"/>
      </w:divBdr>
    </w:div>
    <w:div w:id="204484">
      <w:bodyDiv w:val="1"/>
      <w:marLeft w:val="0"/>
      <w:marRight w:val="0"/>
      <w:marTop w:val="0"/>
      <w:marBottom w:val="0"/>
      <w:divBdr>
        <w:top w:val="none" w:sz="0" w:space="0" w:color="auto"/>
        <w:left w:val="none" w:sz="0" w:space="0" w:color="auto"/>
        <w:bottom w:val="none" w:sz="0" w:space="0" w:color="auto"/>
        <w:right w:val="none" w:sz="0" w:space="0" w:color="auto"/>
      </w:divBdr>
    </w:div>
    <w:div w:id="590373">
      <w:bodyDiv w:val="1"/>
      <w:marLeft w:val="0"/>
      <w:marRight w:val="0"/>
      <w:marTop w:val="0"/>
      <w:marBottom w:val="0"/>
      <w:divBdr>
        <w:top w:val="none" w:sz="0" w:space="0" w:color="auto"/>
        <w:left w:val="none" w:sz="0" w:space="0" w:color="auto"/>
        <w:bottom w:val="none" w:sz="0" w:space="0" w:color="auto"/>
        <w:right w:val="none" w:sz="0" w:space="0" w:color="auto"/>
      </w:divBdr>
    </w:div>
    <w:div w:id="664948">
      <w:bodyDiv w:val="1"/>
      <w:marLeft w:val="0"/>
      <w:marRight w:val="0"/>
      <w:marTop w:val="0"/>
      <w:marBottom w:val="0"/>
      <w:divBdr>
        <w:top w:val="none" w:sz="0" w:space="0" w:color="auto"/>
        <w:left w:val="none" w:sz="0" w:space="0" w:color="auto"/>
        <w:bottom w:val="none" w:sz="0" w:space="0" w:color="auto"/>
        <w:right w:val="none" w:sz="0" w:space="0" w:color="auto"/>
      </w:divBdr>
    </w:div>
    <w:div w:id="2780404">
      <w:bodyDiv w:val="1"/>
      <w:marLeft w:val="0"/>
      <w:marRight w:val="0"/>
      <w:marTop w:val="0"/>
      <w:marBottom w:val="0"/>
      <w:divBdr>
        <w:top w:val="none" w:sz="0" w:space="0" w:color="auto"/>
        <w:left w:val="none" w:sz="0" w:space="0" w:color="auto"/>
        <w:bottom w:val="none" w:sz="0" w:space="0" w:color="auto"/>
        <w:right w:val="none" w:sz="0" w:space="0" w:color="auto"/>
      </w:divBdr>
    </w:div>
    <w:div w:id="7098221">
      <w:bodyDiv w:val="1"/>
      <w:marLeft w:val="0"/>
      <w:marRight w:val="0"/>
      <w:marTop w:val="0"/>
      <w:marBottom w:val="0"/>
      <w:divBdr>
        <w:top w:val="none" w:sz="0" w:space="0" w:color="auto"/>
        <w:left w:val="none" w:sz="0" w:space="0" w:color="auto"/>
        <w:bottom w:val="none" w:sz="0" w:space="0" w:color="auto"/>
        <w:right w:val="none" w:sz="0" w:space="0" w:color="auto"/>
      </w:divBdr>
    </w:div>
    <w:div w:id="7291999">
      <w:bodyDiv w:val="1"/>
      <w:marLeft w:val="0"/>
      <w:marRight w:val="0"/>
      <w:marTop w:val="0"/>
      <w:marBottom w:val="0"/>
      <w:divBdr>
        <w:top w:val="none" w:sz="0" w:space="0" w:color="auto"/>
        <w:left w:val="none" w:sz="0" w:space="0" w:color="auto"/>
        <w:bottom w:val="none" w:sz="0" w:space="0" w:color="auto"/>
        <w:right w:val="none" w:sz="0" w:space="0" w:color="auto"/>
      </w:divBdr>
    </w:div>
    <w:div w:id="7872710">
      <w:bodyDiv w:val="1"/>
      <w:marLeft w:val="0"/>
      <w:marRight w:val="0"/>
      <w:marTop w:val="0"/>
      <w:marBottom w:val="0"/>
      <w:divBdr>
        <w:top w:val="none" w:sz="0" w:space="0" w:color="auto"/>
        <w:left w:val="none" w:sz="0" w:space="0" w:color="auto"/>
        <w:bottom w:val="none" w:sz="0" w:space="0" w:color="auto"/>
        <w:right w:val="none" w:sz="0" w:space="0" w:color="auto"/>
      </w:divBdr>
    </w:div>
    <w:div w:id="8870439">
      <w:bodyDiv w:val="1"/>
      <w:marLeft w:val="0"/>
      <w:marRight w:val="0"/>
      <w:marTop w:val="0"/>
      <w:marBottom w:val="0"/>
      <w:divBdr>
        <w:top w:val="none" w:sz="0" w:space="0" w:color="auto"/>
        <w:left w:val="none" w:sz="0" w:space="0" w:color="auto"/>
        <w:bottom w:val="none" w:sz="0" w:space="0" w:color="auto"/>
        <w:right w:val="none" w:sz="0" w:space="0" w:color="auto"/>
      </w:divBdr>
    </w:div>
    <w:div w:id="8921670">
      <w:bodyDiv w:val="1"/>
      <w:marLeft w:val="0"/>
      <w:marRight w:val="0"/>
      <w:marTop w:val="0"/>
      <w:marBottom w:val="0"/>
      <w:divBdr>
        <w:top w:val="none" w:sz="0" w:space="0" w:color="auto"/>
        <w:left w:val="none" w:sz="0" w:space="0" w:color="auto"/>
        <w:bottom w:val="none" w:sz="0" w:space="0" w:color="auto"/>
        <w:right w:val="none" w:sz="0" w:space="0" w:color="auto"/>
      </w:divBdr>
    </w:div>
    <w:div w:id="9769131">
      <w:bodyDiv w:val="1"/>
      <w:marLeft w:val="0"/>
      <w:marRight w:val="0"/>
      <w:marTop w:val="0"/>
      <w:marBottom w:val="0"/>
      <w:divBdr>
        <w:top w:val="none" w:sz="0" w:space="0" w:color="auto"/>
        <w:left w:val="none" w:sz="0" w:space="0" w:color="auto"/>
        <w:bottom w:val="none" w:sz="0" w:space="0" w:color="auto"/>
        <w:right w:val="none" w:sz="0" w:space="0" w:color="auto"/>
      </w:divBdr>
    </w:div>
    <w:div w:id="9839562">
      <w:bodyDiv w:val="1"/>
      <w:marLeft w:val="0"/>
      <w:marRight w:val="0"/>
      <w:marTop w:val="0"/>
      <w:marBottom w:val="0"/>
      <w:divBdr>
        <w:top w:val="none" w:sz="0" w:space="0" w:color="auto"/>
        <w:left w:val="none" w:sz="0" w:space="0" w:color="auto"/>
        <w:bottom w:val="none" w:sz="0" w:space="0" w:color="auto"/>
        <w:right w:val="none" w:sz="0" w:space="0" w:color="auto"/>
      </w:divBdr>
    </w:div>
    <w:div w:id="10962710">
      <w:bodyDiv w:val="1"/>
      <w:marLeft w:val="0"/>
      <w:marRight w:val="0"/>
      <w:marTop w:val="0"/>
      <w:marBottom w:val="0"/>
      <w:divBdr>
        <w:top w:val="none" w:sz="0" w:space="0" w:color="auto"/>
        <w:left w:val="none" w:sz="0" w:space="0" w:color="auto"/>
        <w:bottom w:val="none" w:sz="0" w:space="0" w:color="auto"/>
        <w:right w:val="none" w:sz="0" w:space="0" w:color="auto"/>
      </w:divBdr>
    </w:div>
    <w:div w:id="11146510">
      <w:bodyDiv w:val="1"/>
      <w:marLeft w:val="0"/>
      <w:marRight w:val="0"/>
      <w:marTop w:val="0"/>
      <w:marBottom w:val="0"/>
      <w:divBdr>
        <w:top w:val="none" w:sz="0" w:space="0" w:color="auto"/>
        <w:left w:val="none" w:sz="0" w:space="0" w:color="auto"/>
        <w:bottom w:val="none" w:sz="0" w:space="0" w:color="auto"/>
        <w:right w:val="none" w:sz="0" w:space="0" w:color="auto"/>
      </w:divBdr>
    </w:div>
    <w:div w:id="12346199">
      <w:bodyDiv w:val="1"/>
      <w:marLeft w:val="0"/>
      <w:marRight w:val="0"/>
      <w:marTop w:val="0"/>
      <w:marBottom w:val="0"/>
      <w:divBdr>
        <w:top w:val="none" w:sz="0" w:space="0" w:color="auto"/>
        <w:left w:val="none" w:sz="0" w:space="0" w:color="auto"/>
        <w:bottom w:val="none" w:sz="0" w:space="0" w:color="auto"/>
        <w:right w:val="none" w:sz="0" w:space="0" w:color="auto"/>
      </w:divBdr>
    </w:div>
    <w:div w:id="13966691">
      <w:bodyDiv w:val="1"/>
      <w:marLeft w:val="0"/>
      <w:marRight w:val="0"/>
      <w:marTop w:val="0"/>
      <w:marBottom w:val="0"/>
      <w:divBdr>
        <w:top w:val="none" w:sz="0" w:space="0" w:color="auto"/>
        <w:left w:val="none" w:sz="0" w:space="0" w:color="auto"/>
        <w:bottom w:val="none" w:sz="0" w:space="0" w:color="auto"/>
        <w:right w:val="none" w:sz="0" w:space="0" w:color="auto"/>
      </w:divBdr>
    </w:div>
    <w:div w:id="16078340">
      <w:bodyDiv w:val="1"/>
      <w:marLeft w:val="0"/>
      <w:marRight w:val="0"/>
      <w:marTop w:val="0"/>
      <w:marBottom w:val="0"/>
      <w:divBdr>
        <w:top w:val="none" w:sz="0" w:space="0" w:color="auto"/>
        <w:left w:val="none" w:sz="0" w:space="0" w:color="auto"/>
        <w:bottom w:val="none" w:sz="0" w:space="0" w:color="auto"/>
        <w:right w:val="none" w:sz="0" w:space="0" w:color="auto"/>
      </w:divBdr>
    </w:div>
    <w:div w:id="18162441">
      <w:bodyDiv w:val="1"/>
      <w:marLeft w:val="0"/>
      <w:marRight w:val="0"/>
      <w:marTop w:val="0"/>
      <w:marBottom w:val="0"/>
      <w:divBdr>
        <w:top w:val="none" w:sz="0" w:space="0" w:color="auto"/>
        <w:left w:val="none" w:sz="0" w:space="0" w:color="auto"/>
        <w:bottom w:val="none" w:sz="0" w:space="0" w:color="auto"/>
        <w:right w:val="none" w:sz="0" w:space="0" w:color="auto"/>
      </w:divBdr>
    </w:div>
    <w:div w:id="19748789">
      <w:bodyDiv w:val="1"/>
      <w:marLeft w:val="0"/>
      <w:marRight w:val="0"/>
      <w:marTop w:val="0"/>
      <w:marBottom w:val="0"/>
      <w:divBdr>
        <w:top w:val="none" w:sz="0" w:space="0" w:color="auto"/>
        <w:left w:val="none" w:sz="0" w:space="0" w:color="auto"/>
        <w:bottom w:val="none" w:sz="0" w:space="0" w:color="auto"/>
        <w:right w:val="none" w:sz="0" w:space="0" w:color="auto"/>
      </w:divBdr>
    </w:div>
    <w:div w:id="20666637">
      <w:bodyDiv w:val="1"/>
      <w:marLeft w:val="0"/>
      <w:marRight w:val="0"/>
      <w:marTop w:val="0"/>
      <w:marBottom w:val="0"/>
      <w:divBdr>
        <w:top w:val="none" w:sz="0" w:space="0" w:color="auto"/>
        <w:left w:val="none" w:sz="0" w:space="0" w:color="auto"/>
        <w:bottom w:val="none" w:sz="0" w:space="0" w:color="auto"/>
        <w:right w:val="none" w:sz="0" w:space="0" w:color="auto"/>
      </w:divBdr>
    </w:div>
    <w:div w:id="22753324">
      <w:bodyDiv w:val="1"/>
      <w:marLeft w:val="0"/>
      <w:marRight w:val="0"/>
      <w:marTop w:val="0"/>
      <w:marBottom w:val="0"/>
      <w:divBdr>
        <w:top w:val="none" w:sz="0" w:space="0" w:color="auto"/>
        <w:left w:val="none" w:sz="0" w:space="0" w:color="auto"/>
        <w:bottom w:val="none" w:sz="0" w:space="0" w:color="auto"/>
        <w:right w:val="none" w:sz="0" w:space="0" w:color="auto"/>
      </w:divBdr>
    </w:div>
    <w:div w:id="22873660">
      <w:bodyDiv w:val="1"/>
      <w:marLeft w:val="0"/>
      <w:marRight w:val="0"/>
      <w:marTop w:val="0"/>
      <w:marBottom w:val="0"/>
      <w:divBdr>
        <w:top w:val="none" w:sz="0" w:space="0" w:color="auto"/>
        <w:left w:val="none" w:sz="0" w:space="0" w:color="auto"/>
        <w:bottom w:val="none" w:sz="0" w:space="0" w:color="auto"/>
        <w:right w:val="none" w:sz="0" w:space="0" w:color="auto"/>
      </w:divBdr>
    </w:div>
    <w:div w:id="23681354">
      <w:bodyDiv w:val="1"/>
      <w:marLeft w:val="0"/>
      <w:marRight w:val="0"/>
      <w:marTop w:val="0"/>
      <w:marBottom w:val="0"/>
      <w:divBdr>
        <w:top w:val="none" w:sz="0" w:space="0" w:color="auto"/>
        <w:left w:val="none" w:sz="0" w:space="0" w:color="auto"/>
        <w:bottom w:val="none" w:sz="0" w:space="0" w:color="auto"/>
        <w:right w:val="none" w:sz="0" w:space="0" w:color="auto"/>
      </w:divBdr>
    </w:div>
    <w:div w:id="25183863">
      <w:bodyDiv w:val="1"/>
      <w:marLeft w:val="0"/>
      <w:marRight w:val="0"/>
      <w:marTop w:val="0"/>
      <w:marBottom w:val="0"/>
      <w:divBdr>
        <w:top w:val="none" w:sz="0" w:space="0" w:color="auto"/>
        <w:left w:val="none" w:sz="0" w:space="0" w:color="auto"/>
        <w:bottom w:val="none" w:sz="0" w:space="0" w:color="auto"/>
        <w:right w:val="none" w:sz="0" w:space="0" w:color="auto"/>
      </w:divBdr>
    </w:div>
    <w:div w:id="27338357">
      <w:bodyDiv w:val="1"/>
      <w:marLeft w:val="0"/>
      <w:marRight w:val="0"/>
      <w:marTop w:val="0"/>
      <w:marBottom w:val="0"/>
      <w:divBdr>
        <w:top w:val="none" w:sz="0" w:space="0" w:color="auto"/>
        <w:left w:val="none" w:sz="0" w:space="0" w:color="auto"/>
        <w:bottom w:val="none" w:sz="0" w:space="0" w:color="auto"/>
        <w:right w:val="none" w:sz="0" w:space="0" w:color="auto"/>
      </w:divBdr>
    </w:div>
    <w:div w:id="28143224">
      <w:bodyDiv w:val="1"/>
      <w:marLeft w:val="0"/>
      <w:marRight w:val="0"/>
      <w:marTop w:val="0"/>
      <w:marBottom w:val="0"/>
      <w:divBdr>
        <w:top w:val="none" w:sz="0" w:space="0" w:color="auto"/>
        <w:left w:val="none" w:sz="0" w:space="0" w:color="auto"/>
        <w:bottom w:val="none" w:sz="0" w:space="0" w:color="auto"/>
        <w:right w:val="none" w:sz="0" w:space="0" w:color="auto"/>
      </w:divBdr>
    </w:div>
    <w:div w:id="28186440">
      <w:bodyDiv w:val="1"/>
      <w:marLeft w:val="0"/>
      <w:marRight w:val="0"/>
      <w:marTop w:val="0"/>
      <w:marBottom w:val="0"/>
      <w:divBdr>
        <w:top w:val="none" w:sz="0" w:space="0" w:color="auto"/>
        <w:left w:val="none" w:sz="0" w:space="0" w:color="auto"/>
        <w:bottom w:val="none" w:sz="0" w:space="0" w:color="auto"/>
        <w:right w:val="none" w:sz="0" w:space="0" w:color="auto"/>
      </w:divBdr>
    </w:div>
    <w:div w:id="28647296">
      <w:bodyDiv w:val="1"/>
      <w:marLeft w:val="0"/>
      <w:marRight w:val="0"/>
      <w:marTop w:val="0"/>
      <w:marBottom w:val="0"/>
      <w:divBdr>
        <w:top w:val="none" w:sz="0" w:space="0" w:color="auto"/>
        <w:left w:val="none" w:sz="0" w:space="0" w:color="auto"/>
        <w:bottom w:val="none" w:sz="0" w:space="0" w:color="auto"/>
        <w:right w:val="none" w:sz="0" w:space="0" w:color="auto"/>
      </w:divBdr>
    </w:div>
    <w:div w:id="28722337">
      <w:bodyDiv w:val="1"/>
      <w:marLeft w:val="0"/>
      <w:marRight w:val="0"/>
      <w:marTop w:val="0"/>
      <w:marBottom w:val="0"/>
      <w:divBdr>
        <w:top w:val="none" w:sz="0" w:space="0" w:color="auto"/>
        <w:left w:val="none" w:sz="0" w:space="0" w:color="auto"/>
        <w:bottom w:val="none" w:sz="0" w:space="0" w:color="auto"/>
        <w:right w:val="none" w:sz="0" w:space="0" w:color="auto"/>
      </w:divBdr>
    </w:div>
    <w:div w:id="28798701">
      <w:bodyDiv w:val="1"/>
      <w:marLeft w:val="0"/>
      <w:marRight w:val="0"/>
      <w:marTop w:val="0"/>
      <w:marBottom w:val="0"/>
      <w:divBdr>
        <w:top w:val="none" w:sz="0" w:space="0" w:color="auto"/>
        <w:left w:val="none" w:sz="0" w:space="0" w:color="auto"/>
        <w:bottom w:val="none" w:sz="0" w:space="0" w:color="auto"/>
        <w:right w:val="none" w:sz="0" w:space="0" w:color="auto"/>
      </w:divBdr>
    </w:div>
    <w:div w:id="29065158">
      <w:bodyDiv w:val="1"/>
      <w:marLeft w:val="0"/>
      <w:marRight w:val="0"/>
      <w:marTop w:val="0"/>
      <w:marBottom w:val="0"/>
      <w:divBdr>
        <w:top w:val="none" w:sz="0" w:space="0" w:color="auto"/>
        <w:left w:val="none" w:sz="0" w:space="0" w:color="auto"/>
        <w:bottom w:val="none" w:sz="0" w:space="0" w:color="auto"/>
        <w:right w:val="none" w:sz="0" w:space="0" w:color="auto"/>
      </w:divBdr>
    </w:div>
    <w:div w:id="29190195">
      <w:bodyDiv w:val="1"/>
      <w:marLeft w:val="0"/>
      <w:marRight w:val="0"/>
      <w:marTop w:val="0"/>
      <w:marBottom w:val="0"/>
      <w:divBdr>
        <w:top w:val="none" w:sz="0" w:space="0" w:color="auto"/>
        <w:left w:val="none" w:sz="0" w:space="0" w:color="auto"/>
        <w:bottom w:val="none" w:sz="0" w:space="0" w:color="auto"/>
        <w:right w:val="none" w:sz="0" w:space="0" w:color="auto"/>
      </w:divBdr>
    </w:div>
    <w:div w:id="30494125">
      <w:bodyDiv w:val="1"/>
      <w:marLeft w:val="0"/>
      <w:marRight w:val="0"/>
      <w:marTop w:val="0"/>
      <w:marBottom w:val="0"/>
      <w:divBdr>
        <w:top w:val="none" w:sz="0" w:space="0" w:color="auto"/>
        <w:left w:val="none" w:sz="0" w:space="0" w:color="auto"/>
        <w:bottom w:val="none" w:sz="0" w:space="0" w:color="auto"/>
        <w:right w:val="none" w:sz="0" w:space="0" w:color="auto"/>
      </w:divBdr>
    </w:div>
    <w:div w:id="31343832">
      <w:bodyDiv w:val="1"/>
      <w:marLeft w:val="0"/>
      <w:marRight w:val="0"/>
      <w:marTop w:val="0"/>
      <w:marBottom w:val="0"/>
      <w:divBdr>
        <w:top w:val="none" w:sz="0" w:space="0" w:color="auto"/>
        <w:left w:val="none" w:sz="0" w:space="0" w:color="auto"/>
        <w:bottom w:val="none" w:sz="0" w:space="0" w:color="auto"/>
        <w:right w:val="none" w:sz="0" w:space="0" w:color="auto"/>
      </w:divBdr>
    </w:div>
    <w:div w:id="32266540">
      <w:bodyDiv w:val="1"/>
      <w:marLeft w:val="0"/>
      <w:marRight w:val="0"/>
      <w:marTop w:val="0"/>
      <w:marBottom w:val="0"/>
      <w:divBdr>
        <w:top w:val="none" w:sz="0" w:space="0" w:color="auto"/>
        <w:left w:val="none" w:sz="0" w:space="0" w:color="auto"/>
        <w:bottom w:val="none" w:sz="0" w:space="0" w:color="auto"/>
        <w:right w:val="none" w:sz="0" w:space="0" w:color="auto"/>
      </w:divBdr>
    </w:div>
    <w:div w:id="32657975">
      <w:bodyDiv w:val="1"/>
      <w:marLeft w:val="0"/>
      <w:marRight w:val="0"/>
      <w:marTop w:val="0"/>
      <w:marBottom w:val="0"/>
      <w:divBdr>
        <w:top w:val="none" w:sz="0" w:space="0" w:color="auto"/>
        <w:left w:val="none" w:sz="0" w:space="0" w:color="auto"/>
        <w:bottom w:val="none" w:sz="0" w:space="0" w:color="auto"/>
        <w:right w:val="none" w:sz="0" w:space="0" w:color="auto"/>
      </w:divBdr>
    </w:div>
    <w:div w:id="33626209">
      <w:bodyDiv w:val="1"/>
      <w:marLeft w:val="0"/>
      <w:marRight w:val="0"/>
      <w:marTop w:val="0"/>
      <w:marBottom w:val="0"/>
      <w:divBdr>
        <w:top w:val="none" w:sz="0" w:space="0" w:color="auto"/>
        <w:left w:val="none" w:sz="0" w:space="0" w:color="auto"/>
        <w:bottom w:val="none" w:sz="0" w:space="0" w:color="auto"/>
        <w:right w:val="none" w:sz="0" w:space="0" w:color="auto"/>
      </w:divBdr>
    </w:div>
    <w:div w:id="34087215">
      <w:bodyDiv w:val="1"/>
      <w:marLeft w:val="0"/>
      <w:marRight w:val="0"/>
      <w:marTop w:val="0"/>
      <w:marBottom w:val="0"/>
      <w:divBdr>
        <w:top w:val="none" w:sz="0" w:space="0" w:color="auto"/>
        <w:left w:val="none" w:sz="0" w:space="0" w:color="auto"/>
        <w:bottom w:val="none" w:sz="0" w:space="0" w:color="auto"/>
        <w:right w:val="none" w:sz="0" w:space="0" w:color="auto"/>
      </w:divBdr>
    </w:div>
    <w:div w:id="35853736">
      <w:bodyDiv w:val="1"/>
      <w:marLeft w:val="0"/>
      <w:marRight w:val="0"/>
      <w:marTop w:val="0"/>
      <w:marBottom w:val="0"/>
      <w:divBdr>
        <w:top w:val="none" w:sz="0" w:space="0" w:color="auto"/>
        <w:left w:val="none" w:sz="0" w:space="0" w:color="auto"/>
        <w:bottom w:val="none" w:sz="0" w:space="0" w:color="auto"/>
        <w:right w:val="none" w:sz="0" w:space="0" w:color="auto"/>
      </w:divBdr>
    </w:div>
    <w:div w:id="35857340">
      <w:bodyDiv w:val="1"/>
      <w:marLeft w:val="0"/>
      <w:marRight w:val="0"/>
      <w:marTop w:val="0"/>
      <w:marBottom w:val="0"/>
      <w:divBdr>
        <w:top w:val="none" w:sz="0" w:space="0" w:color="auto"/>
        <w:left w:val="none" w:sz="0" w:space="0" w:color="auto"/>
        <w:bottom w:val="none" w:sz="0" w:space="0" w:color="auto"/>
        <w:right w:val="none" w:sz="0" w:space="0" w:color="auto"/>
      </w:divBdr>
    </w:div>
    <w:div w:id="37165090">
      <w:bodyDiv w:val="1"/>
      <w:marLeft w:val="0"/>
      <w:marRight w:val="0"/>
      <w:marTop w:val="0"/>
      <w:marBottom w:val="0"/>
      <w:divBdr>
        <w:top w:val="none" w:sz="0" w:space="0" w:color="auto"/>
        <w:left w:val="none" w:sz="0" w:space="0" w:color="auto"/>
        <w:bottom w:val="none" w:sz="0" w:space="0" w:color="auto"/>
        <w:right w:val="none" w:sz="0" w:space="0" w:color="auto"/>
      </w:divBdr>
    </w:div>
    <w:div w:id="39789141">
      <w:bodyDiv w:val="1"/>
      <w:marLeft w:val="0"/>
      <w:marRight w:val="0"/>
      <w:marTop w:val="0"/>
      <w:marBottom w:val="0"/>
      <w:divBdr>
        <w:top w:val="none" w:sz="0" w:space="0" w:color="auto"/>
        <w:left w:val="none" w:sz="0" w:space="0" w:color="auto"/>
        <w:bottom w:val="none" w:sz="0" w:space="0" w:color="auto"/>
        <w:right w:val="none" w:sz="0" w:space="0" w:color="auto"/>
      </w:divBdr>
    </w:div>
    <w:div w:id="40593951">
      <w:bodyDiv w:val="1"/>
      <w:marLeft w:val="0"/>
      <w:marRight w:val="0"/>
      <w:marTop w:val="0"/>
      <w:marBottom w:val="0"/>
      <w:divBdr>
        <w:top w:val="none" w:sz="0" w:space="0" w:color="auto"/>
        <w:left w:val="none" w:sz="0" w:space="0" w:color="auto"/>
        <w:bottom w:val="none" w:sz="0" w:space="0" w:color="auto"/>
        <w:right w:val="none" w:sz="0" w:space="0" w:color="auto"/>
      </w:divBdr>
    </w:div>
    <w:div w:id="43138401">
      <w:bodyDiv w:val="1"/>
      <w:marLeft w:val="0"/>
      <w:marRight w:val="0"/>
      <w:marTop w:val="0"/>
      <w:marBottom w:val="0"/>
      <w:divBdr>
        <w:top w:val="none" w:sz="0" w:space="0" w:color="auto"/>
        <w:left w:val="none" w:sz="0" w:space="0" w:color="auto"/>
        <w:bottom w:val="none" w:sz="0" w:space="0" w:color="auto"/>
        <w:right w:val="none" w:sz="0" w:space="0" w:color="auto"/>
      </w:divBdr>
    </w:div>
    <w:div w:id="44565294">
      <w:bodyDiv w:val="1"/>
      <w:marLeft w:val="0"/>
      <w:marRight w:val="0"/>
      <w:marTop w:val="0"/>
      <w:marBottom w:val="0"/>
      <w:divBdr>
        <w:top w:val="none" w:sz="0" w:space="0" w:color="auto"/>
        <w:left w:val="none" w:sz="0" w:space="0" w:color="auto"/>
        <w:bottom w:val="none" w:sz="0" w:space="0" w:color="auto"/>
        <w:right w:val="none" w:sz="0" w:space="0" w:color="auto"/>
      </w:divBdr>
    </w:div>
    <w:div w:id="44986697">
      <w:bodyDiv w:val="1"/>
      <w:marLeft w:val="0"/>
      <w:marRight w:val="0"/>
      <w:marTop w:val="0"/>
      <w:marBottom w:val="0"/>
      <w:divBdr>
        <w:top w:val="none" w:sz="0" w:space="0" w:color="auto"/>
        <w:left w:val="none" w:sz="0" w:space="0" w:color="auto"/>
        <w:bottom w:val="none" w:sz="0" w:space="0" w:color="auto"/>
        <w:right w:val="none" w:sz="0" w:space="0" w:color="auto"/>
      </w:divBdr>
    </w:div>
    <w:div w:id="46342738">
      <w:bodyDiv w:val="1"/>
      <w:marLeft w:val="0"/>
      <w:marRight w:val="0"/>
      <w:marTop w:val="0"/>
      <w:marBottom w:val="0"/>
      <w:divBdr>
        <w:top w:val="none" w:sz="0" w:space="0" w:color="auto"/>
        <w:left w:val="none" w:sz="0" w:space="0" w:color="auto"/>
        <w:bottom w:val="none" w:sz="0" w:space="0" w:color="auto"/>
        <w:right w:val="none" w:sz="0" w:space="0" w:color="auto"/>
      </w:divBdr>
    </w:div>
    <w:div w:id="47924330">
      <w:bodyDiv w:val="1"/>
      <w:marLeft w:val="0"/>
      <w:marRight w:val="0"/>
      <w:marTop w:val="0"/>
      <w:marBottom w:val="0"/>
      <w:divBdr>
        <w:top w:val="none" w:sz="0" w:space="0" w:color="auto"/>
        <w:left w:val="none" w:sz="0" w:space="0" w:color="auto"/>
        <w:bottom w:val="none" w:sz="0" w:space="0" w:color="auto"/>
        <w:right w:val="none" w:sz="0" w:space="0" w:color="auto"/>
      </w:divBdr>
    </w:div>
    <w:div w:id="48967265">
      <w:bodyDiv w:val="1"/>
      <w:marLeft w:val="0"/>
      <w:marRight w:val="0"/>
      <w:marTop w:val="0"/>
      <w:marBottom w:val="0"/>
      <w:divBdr>
        <w:top w:val="none" w:sz="0" w:space="0" w:color="auto"/>
        <w:left w:val="none" w:sz="0" w:space="0" w:color="auto"/>
        <w:bottom w:val="none" w:sz="0" w:space="0" w:color="auto"/>
        <w:right w:val="none" w:sz="0" w:space="0" w:color="auto"/>
      </w:divBdr>
    </w:div>
    <w:div w:id="49229387">
      <w:bodyDiv w:val="1"/>
      <w:marLeft w:val="0"/>
      <w:marRight w:val="0"/>
      <w:marTop w:val="0"/>
      <w:marBottom w:val="0"/>
      <w:divBdr>
        <w:top w:val="none" w:sz="0" w:space="0" w:color="auto"/>
        <w:left w:val="none" w:sz="0" w:space="0" w:color="auto"/>
        <w:bottom w:val="none" w:sz="0" w:space="0" w:color="auto"/>
        <w:right w:val="none" w:sz="0" w:space="0" w:color="auto"/>
      </w:divBdr>
    </w:div>
    <w:div w:id="49229677">
      <w:bodyDiv w:val="1"/>
      <w:marLeft w:val="0"/>
      <w:marRight w:val="0"/>
      <w:marTop w:val="0"/>
      <w:marBottom w:val="0"/>
      <w:divBdr>
        <w:top w:val="none" w:sz="0" w:space="0" w:color="auto"/>
        <w:left w:val="none" w:sz="0" w:space="0" w:color="auto"/>
        <w:bottom w:val="none" w:sz="0" w:space="0" w:color="auto"/>
        <w:right w:val="none" w:sz="0" w:space="0" w:color="auto"/>
      </w:divBdr>
    </w:div>
    <w:div w:id="50615682">
      <w:bodyDiv w:val="1"/>
      <w:marLeft w:val="0"/>
      <w:marRight w:val="0"/>
      <w:marTop w:val="0"/>
      <w:marBottom w:val="0"/>
      <w:divBdr>
        <w:top w:val="none" w:sz="0" w:space="0" w:color="auto"/>
        <w:left w:val="none" w:sz="0" w:space="0" w:color="auto"/>
        <w:bottom w:val="none" w:sz="0" w:space="0" w:color="auto"/>
        <w:right w:val="none" w:sz="0" w:space="0" w:color="auto"/>
      </w:divBdr>
    </w:div>
    <w:div w:id="51193806">
      <w:bodyDiv w:val="1"/>
      <w:marLeft w:val="0"/>
      <w:marRight w:val="0"/>
      <w:marTop w:val="0"/>
      <w:marBottom w:val="0"/>
      <w:divBdr>
        <w:top w:val="none" w:sz="0" w:space="0" w:color="auto"/>
        <w:left w:val="none" w:sz="0" w:space="0" w:color="auto"/>
        <w:bottom w:val="none" w:sz="0" w:space="0" w:color="auto"/>
        <w:right w:val="none" w:sz="0" w:space="0" w:color="auto"/>
      </w:divBdr>
    </w:div>
    <w:div w:id="51776585">
      <w:bodyDiv w:val="1"/>
      <w:marLeft w:val="0"/>
      <w:marRight w:val="0"/>
      <w:marTop w:val="0"/>
      <w:marBottom w:val="0"/>
      <w:divBdr>
        <w:top w:val="none" w:sz="0" w:space="0" w:color="auto"/>
        <w:left w:val="none" w:sz="0" w:space="0" w:color="auto"/>
        <w:bottom w:val="none" w:sz="0" w:space="0" w:color="auto"/>
        <w:right w:val="none" w:sz="0" w:space="0" w:color="auto"/>
      </w:divBdr>
    </w:div>
    <w:div w:id="53937024">
      <w:bodyDiv w:val="1"/>
      <w:marLeft w:val="0"/>
      <w:marRight w:val="0"/>
      <w:marTop w:val="0"/>
      <w:marBottom w:val="0"/>
      <w:divBdr>
        <w:top w:val="none" w:sz="0" w:space="0" w:color="auto"/>
        <w:left w:val="none" w:sz="0" w:space="0" w:color="auto"/>
        <w:bottom w:val="none" w:sz="0" w:space="0" w:color="auto"/>
        <w:right w:val="none" w:sz="0" w:space="0" w:color="auto"/>
      </w:divBdr>
    </w:div>
    <w:div w:id="55907172">
      <w:bodyDiv w:val="1"/>
      <w:marLeft w:val="0"/>
      <w:marRight w:val="0"/>
      <w:marTop w:val="0"/>
      <w:marBottom w:val="0"/>
      <w:divBdr>
        <w:top w:val="none" w:sz="0" w:space="0" w:color="auto"/>
        <w:left w:val="none" w:sz="0" w:space="0" w:color="auto"/>
        <w:bottom w:val="none" w:sz="0" w:space="0" w:color="auto"/>
        <w:right w:val="none" w:sz="0" w:space="0" w:color="auto"/>
      </w:divBdr>
    </w:div>
    <w:div w:id="56169624">
      <w:bodyDiv w:val="1"/>
      <w:marLeft w:val="0"/>
      <w:marRight w:val="0"/>
      <w:marTop w:val="0"/>
      <w:marBottom w:val="0"/>
      <w:divBdr>
        <w:top w:val="none" w:sz="0" w:space="0" w:color="auto"/>
        <w:left w:val="none" w:sz="0" w:space="0" w:color="auto"/>
        <w:bottom w:val="none" w:sz="0" w:space="0" w:color="auto"/>
        <w:right w:val="none" w:sz="0" w:space="0" w:color="auto"/>
      </w:divBdr>
    </w:div>
    <w:div w:id="56635138">
      <w:bodyDiv w:val="1"/>
      <w:marLeft w:val="0"/>
      <w:marRight w:val="0"/>
      <w:marTop w:val="0"/>
      <w:marBottom w:val="0"/>
      <w:divBdr>
        <w:top w:val="none" w:sz="0" w:space="0" w:color="auto"/>
        <w:left w:val="none" w:sz="0" w:space="0" w:color="auto"/>
        <w:bottom w:val="none" w:sz="0" w:space="0" w:color="auto"/>
        <w:right w:val="none" w:sz="0" w:space="0" w:color="auto"/>
      </w:divBdr>
    </w:div>
    <w:div w:id="58284487">
      <w:bodyDiv w:val="1"/>
      <w:marLeft w:val="0"/>
      <w:marRight w:val="0"/>
      <w:marTop w:val="0"/>
      <w:marBottom w:val="0"/>
      <w:divBdr>
        <w:top w:val="none" w:sz="0" w:space="0" w:color="auto"/>
        <w:left w:val="none" w:sz="0" w:space="0" w:color="auto"/>
        <w:bottom w:val="none" w:sz="0" w:space="0" w:color="auto"/>
        <w:right w:val="none" w:sz="0" w:space="0" w:color="auto"/>
      </w:divBdr>
    </w:div>
    <w:div w:id="59717057">
      <w:bodyDiv w:val="1"/>
      <w:marLeft w:val="0"/>
      <w:marRight w:val="0"/>
      <w:marTop w:val="0"/>
      <w:marBottom w:val="0"/>
      <w:divBdr>
        <w:top w:val="none" w:sz="0" w:space="0" w:color="auto"/>
        <w:left w:val="none" w:sz="0" w:space="0" w:color="auto"/>
        <w:bottom w:val="none" w:sz="0" w:space="0" w:color="auto"/>
        <w:right w:val="none" w:sz="0" w:space="0" w:color="auto"/>
      </w:divBdr>
    </w:div>
    <w:div w:id="60031659">
      <w:bodyDiv w:val="1"/>
      <w:marLeft w:val="0"/>
      <w:marRight w:val="0"/>
      <w:marTop w:val="0"/>
      <w:marBottom w:val="0"/>
      <w:divBdr>
        <w:top w:val="none" w:sz="0" w:space="0" w:color="auto"/>
        <w:left w:val="none" w:sz="0" w:space="0" w:color="auto"/>
        <w:bottom w:val="none" w:sz="0" w:space="0" w:color="auto"/>
        <w:right w:val="none" w:sz="0" w:space="0" w:color="auto"/>
      </w:divBdr>
    </w:div>
    <w:div w:id="60250710">
      <w:bodyDiv w:val="1"/>
      <w:marLeft w:val="0"/>
      <w:marRight w:val="0"/>
      <w:marTop w:val="0"/>
      <w:marBottom w:val="0"/>
      <w:divBdr>
        <w:top w:val="none" w:sz="0" w:space="0" w:color="auto"/>
        <w:left w:val="none" w:sz="0" w:space="0" w:color="auto"/>
        <w:bottom w:val="none" w:sz="0" w:space="0" w:color="auto"/>
        <w:right w:val="none" w:sz="0" w:space="0" w:color="auto"/>
      </w:divBdr>
    </w:div>
    <w:div w:id="62072176">
      <w:bodyDiv w:val="1"/>
      <w:marLeft w:val="0"/>
      <w:marRight w:val="0"/>
      <w:marTop w:val="0"/>
      <w:marBottom w:val="0"/>
      <w:divBdr>
        <w:top w:val="none" w:sz="0" w:space="0" w:color="auto"/>
        <w:left w:val="none" w:sz="0" w:space="0" w:color="auto"/>
        <w:bottom w:val="none" w:sz="0" w:space="0" w:color="auto"/>
        <w:right w:val="none" w:sz="0" w:space="0" w:color="auto"/>
      </w:divBdr>
    </w:div>
    <w:div w:id="62995670">
      <w:bodyDiv w:val="1"/>
      <w:marLeft w:val="0"/>
      <w:marRight w:val="0"/>
      <w:marTop w:val="0"/>
      <w:marBottom w:val="0"/>
      <w:divBdr>
        <w:top w:val="none" w:sz="0" w:space="0" w:color="auto"/>
        <w:left w:val="none" w:sz="0" w:space="0" w:color="auto"/>
        <w:bottom w:val="none" w:sz="0" w:space="0" w:color="auto"/>
        <w:right w:val="none" w:sz="0" w:space="0" w:color="auto"/>
      </w:divBdr>
    </w:div>
    <w:div w:id="63839490">
      <w:bodyDiv w:val="1"/>
      <w:marLeft w:val="0"/>
      <w:marRight w:val="0"/>
      <w:marTop w:val="0"/>
      <w:marBottom w:val="0"/>
      <w:divBdr>
        <w:top w:val="none" w:sz="0" w:space="0" w:color="auto"/>
        <w:left w:val="none" w:sz="0" w:space="0" w:color="auto"/>
        <w:bottom w:val="none" w:sz="0" w:space="0" w:color="auto"/>
        <w:right w:val="none" w:sz="0" w:space="0" w:color="auto"/>
      </w:divBdr>
    </w:div>
    <w:div w:id="63995424">
      <w:bodyDiv w:val="1"/>
      <w:marLeft w:val="0"/>
      <w:marRight w:val="0"/>
      <w:marTop w:val="0"/>
      <w:marBottom w:val="0"/>
      <w:divBdr>
        <w:top w:val="none" w:sz="0" w:space="0" w:color="auto"/>
        <w:left w:val="none" w:sz="0" w:space="0" w:color="auto"/>
        <w:bottom w:val="none" w:sz="0" w:space="0" w:color="auto"/>
        <w:right w:val="none" w:sz="0" w:space="0" w:color="auto"/>
      </w:divBdr>
    </w:div>
    <w:div w:id="65420685">
      <w:bodyDiv w:val="1"/>
      <w:marLeft w:val="0"/>
      <w:marRight w:val="0"/>
      <w:marTop w:val="0"/>
      <w:marBottom w:val="0"/>
      <w:divBdr>
        <w:top w:val="none" w:sz="0" w:space="0" w:color="auto"/>
        <w:left w:val="none" w:sz="0" w:space="0" w:color="auto"/>
        <w:bottom w:val="none" w:sz="0" w:space="0" w:color="auto"/>
        <w:right w:val="none" w:sz="0" w:space="0" w:color="auto"/>
      </w:divBdr>
    </w:div>
    <w:div w:id="68354792">
      <w:bodyDiv w:val="1"/>
      <w:marLeft w:val="0"/>
      <w:marRight w:val="0"/>
      <w:marTop w:val="0"/>
      <w:marBottom w:val="0"/>
      <w:divBdr>
        <w:top w:val="none" w:sz="0" w:space="0" w:color="auto"/>
        <w:left w:val="none" w:sz="0" w:space="0" w:color="auto"/>
        <w:bottom w:val="none" w:sz="0" w:space="0" w:color="auto"/>
        <w:right w:val="none" w:sz="0" w:space="0" w:color="auto"/>
      </w:divBdr>
    </w:div>
    <w:div w:id="70543133">
      <w:bodyDiv w:val="1"/>
      <w:marLeft w:val="0"/>
      <w:marRight w:val="0"/>
      <w:marTop w:val="0"/>
      <w:marBottom w:val="0"/>
      <w:divBdr>
        <w:top w:val="none" w:sz="0" w:space="0" w:color="auto"/>
        <w:left w:val="none" w:sz="0" w:space="0" w:color="auto"/>
        <w:bottom w:val="none" w:sz="0" w:space="0" w:color="auto"/>
        <w:right w:val="none" w:sz="0" w:space="0" w:color="auto"/>
      </w:divBdr>
    </w:div>
    <w:div w:id="70546671">
      <w:bodyDiv w:val="1"/>
      <w:marLeft w:val="0"/>
      <w:marRight w:val="0"/>
      <w:marTop w:val="0"/>
      <w:marBottom w:val="0"/>
      <w:divBdr>
        <w:top w:val="none" w:sz="0" w:space="0" w:color="auto"/>
        <w:left w:val="none" w:sz="0" w:space="0" w:color="auto"/>
        <w:bottom w:val="none" w:sz="0" w:space="0" w:color="auto"/>
        <w:right w:val="none" w:sz="0" w:space="0" w:color="auto"/>
      </w:divBdr>
    </w:div>
    <w:div w:id="71391751">
      <w:bodyDiv w:val="1"/>
      <w:marLeft w:val="0"/>
      <w:marRight w:val="0"/>
      <w:marTop w:val="0"/>
      <w:marBottom w:val="0"/>
      <w:divBdr>
        <w:top w:val="none" w:sz="0" w:space="0" w:color="auto"/>
        <w:left w:val="none" w:sz="0" w:space="0" w:color="auto"/>
        <w:bottom w:val="none" w:sz="0" w:space="0" w:color="auto"/>
        <w:right w:val="none" w:sz="0" w:space="0" w:color="auto"/>
      </w:divBdr>
    </w:div>
    <w:div w:id="71852069">
      <w:bodyDiv w:val="1"/>
      <w:marLeft w:val="0"/>
      <w:marRight w:val="0"/>
      <w:marTop w:val="0"/>
      <w:marBottom w:val="0"/>
      <w:divBdr>
        <w:top w:val="none" w:sz="0" w:space="0" w:color="auto"/>
        <w:left w:val="none" w:sz="0" w:space="0" w:color="auto"/>
        <w:bottom w:val="none" w:sz="0" w:space="0" w:color="auto"/>
        <w:right w:val="none" w:sz="0" w:space="0" w:color="auto"/>
      </w:divBdr>
    </w:div>
    <w:div w:id="72164613">
      <w:bodyDiv w:val="1"/>
      <w:marLeft w:val="0"/>
      <w:marRight w:val="0"/>
      <w:marTop w:val="0"/>
      <w:marBottom w:val="0"/>
      <w:divBdr>
        <w:top w:val="none" w:sz="0" w:space="0" w:color="auto"/>
        <w:left w:val="none" w:sz="0" w:space="0" w:color="auto"/>
        <w:bottom w:val="none" w:sz="0" w:space="0" w:color="auto"/>
        <w:right w:val="none" w:sz="0" w:space="0" w:color="auto"/>
      </w:divBdr>
    </w:div>
    <w:div w:id="74211250">
      <w:bodyDiv w:val="1"/>
      <w:marLeft w:val="0"/>
      <w:marRight w:val="0"/>
      <w:marTop w:val="0"/>
      <w:marBottom w:val="0"/>
      <w:divBdr>
        <w:top w:val="none" w:sz="0" w:space="0" w:color="auto"/>
        <w:left w:val="none" w:sz="0" w:space="0" w:color="auto"/>
        <w:bottom w:val="none" w:sz="0" w:space="0" w:color="auto"/>
        <w:right w:val="none" w:sz="0" w:space="0" w:color="auto"/>
      </w:divBdr>
    </w:div>
    <w:div w:id="74396889">
      <w:bodyDiv w:val="1"/>
      <w:marLeft w:val="0"/>
      <w:marRight w:val="0"/>
      <w:marTop w:val="0"/>
      <w:marBottom w:val="0"/>
      <w:divBdr>
        <w:top w:val="none" w:sz="0" w:space="0" w:color="auto"/>
        <w:left w:val="none" w:sz="0" w:space="0" w:color="auto"/>
        <w:bottom w:val="none" w:sz="0" w:space="0" w:color="auto"/>
        <w:right w:val="none" w:sz="0" w:space="0" w:color="auto"/>
      </w:divBdr>
    </w:div>
    <w:div w:id="74518863">
      <w:bodyDiv w:val="1"/>
      <w:marLeft w:val="0"/>
      <w:marRight w:val="0"/>
      <w:marTop w:val="0"/>
      <w:marBottom w:val="0"/>
      <w:divBdr>
        <w:top w:val="none" w:sz="0" w:space="0" w:color="auto"/>
        <w:left w:val="none" w:sz="0" w:space="0" w:color="auto"/>
        <w:bottom w:val="none" w:sz="0" w:space="0" w:color="auto"/>
        <w:right w:val="none" w:sz="0" w:space="0" w:color="auto"/>
      </w:divBdr>
    </w:div>
    <w:div w:id="76220842">
      <w:bodyDiv w:val="1"/>
      <w:marLeft w:val="0"/>
      <w:marRight w:val="0"/>
      <w:marTop w:val="0"/>
      <w:marBottom w:val="0"/>
      <w:divBdr>
        <w:top w:val="none" w:sz="0" w:space="0" w:color="auto"/>
        <w:left w:val="none" w:sz="0" w:space="0" w:color="auto"/>
        <w:bottom w:val="none" w:sz="0" w:space="0" w:color="auto"/>
        <w:right w:val="none" w:sz="0" w:space="0" w:color="auto"/>
      </w:divBdr>
    </w:div>
    <w:div w:id="79570045">
      <w:bodyDiv w:val="1"/>
      <w:marLeft w:val="0"/>
      <w:marRight w:val="0"/>
      <w:marTop w:val="0"/>
      <w:marBottom w:val="0"/>
      <w:divBdr>
        <w:top w:val="none" w:sz="0" w:space="0" w:color="auto"/>
        <w:left w:val="none" w:sz="0" w:space="0" w:color="auto"/>
        <w:bottom w:val="none" w:sz="0" w:space="0" w:color="auto"/>
        <w:right w:val="none" w:sz="0" w:space="0" w:color="auto"/>
      </w:divBdr>
    </w:div>
    <w:div w:id="80837360">
      <w:bodyDiv w:val="1"/>
      <w:marLeft w:val="0"/>
      <w:marRight w:val="0"/>
      <w:marTop w:val="0"/>
      <w:marBottom w:val="0"/>
      <w:divBdr>
        <w:top w:val="none" w:sz="0" w:space="0" w:color="auto"/>
        <w:left w:val="none" w:sz="0" w:space="0" w:color="auto"/>
        <w:bottom w:val="none" w:sz="0" w:space="0" w:color="auto"/>
        <w:right w:val="none" w:sz="0" w:space="0" w:color="auto"/>
      </w:divBdr>
    </w:div>
    <w:div w:id="80876458">
      <w:bodyDiv w:val="1"/>
      <w:marLeft w:val="0"/>
      <w:marRight w:val="0"/>
      <w:marTop w:val="0"/>
      <w:marBottom w:val="0"/>
      <w:divBdr>
        <w:top w:val="none" w:sz="0" w:space="0" w:color="auto"/>
        <w:left w:val="none" w:sz="0" w:space="0" w:color="auto"/>
        <w:bottom w:val="none" w:sz="0" w:space="0" w:color="auto"/>
        <w:right w:val="none" w:sz="0" w:space="0" w:color="auto"/>
      </w:divBdr>
    </w:div>
    <w:div w:id="81726680">
      <w:bodyDiv w:val="1"/>
      <w:marLeft w:val="0"/>
      <w:marRight w:val="0"/>
      <w:marTop w:val="0"/>
      <w:marBottom w:val="0"/>
      <w:divBdr>
        <w:top w:val="none" w:sz="0" w:space="0" w:color="auto"/>
        <w:left w:val="none" w:sz="0" w:space="0" w:color="auto"/>
        <w:bottom w:val="none" w:sz="0" w:space="0" w:color="auto"/>
        <w:right w:val="none" w:sz="0" w:space="0" w:color="auto"/>
      </w:divBdr>
    </w:div>
    <w:div w:id="82262007">
      <w:bodyDiv w:val="1"/>
      <w:marLeft w:val="0"/>
      <w:marRight w:val="0"/>
      <w:marTop w:val="0"/>
      <w:marBottom w:val="0"/>
      <w:divBdr>
        <w:top w:val="none" w:sz="0" w:space="0" w:color="auto"/>
        <w:left w:val="none" w:sz="0" w:space="0" w:color="auto"/>
        <w:bottom w:val="none" w:sz="0" w:space="0" w:color="auto"/>
        <w:right w:val="none" w:sz="0" w:space="0" w:color="auto"/>
      </w:divBdr>
    </w:div>
    <w:div w:id="82265426">
      <w:bodyDiv w:val="1"/>
      <w:marLeft w:val="0"/>
      <w:marRight w:val="0"/>
      <w:marTop w:val="0"/>
      <w:marBottom w:val="0"/>
      <w:divBdr>
        <w:top w:val="none" w:sz="0" w:space="0" w:color="auto"/>
        <w:left w:val="none" w:sz="0" w:space="0" w:color="auto"/>
        <w:bottom w:val="none" w:sz="0" w:space="0" w:color="auto"/>
        <w:right w:val="none" w:sz="0" w:space="0" w:color="auto"/>
      </w:divBdr>
    </w:div>
    <w:div w:id="82604063">
      <w:bodyDiv w:val="1"/>
      <w:marLeft w:val="0"/>
      <w:marRight w:val="0"/>
      <w:marTop w:val="0"/>
      <w:marBottom w:val="0"/>
      <w:divBdr>
        <w:top w:val="none" w:sz="0" w:space="0" w:color="auto"/>
        <w:left w:val="none" w:sz="0" w:space="0" w:color="auto"/>
        <w:bottom w:val="none" w:sz="0" w:space="0" w:color="auto"/>
        <w:right w:val="none" w:sz="0" w:space="0" w:color="auto"/>
      </w:divBdr>
    </w:div>
    <w:div w:id="83916421">
      <w:bodyDiv w:val="1"/>
      <w:marLeft w:val="0"/>
      <w:marRight w:val="0"/>
      <w:marTop w:val="0"/>
      <w:marBottom w:val="0"/>
      <w:divBdr>
        <w:top w:val="none" w:sz="0" w:space="0" w:color="auto"/>
        <w:left w:val="none" w:sz="0" w:space="0" w:color="auto"/>
        <w:bottom w:val="none" w:sz="0" w:space="0" w:color="auto"/>
        <w:right w:val="none" w:sz="0" w:space="0" w:color="auto"/>
      </w:divBdr>
    </w:div>
    <w:div w:id="84806496">
      <w:bodyDiv w:val="1"/>
      <w:marLeft w:val="0"/>
      <w:marRight w:val="0"/>
      <w:marTop w:val="0"/>
      <w:marBottom w:val="0"/>
      <w:divBdr>
        <w:top w:val="none" w:sz="0" w:space="0" w:color="auto"/>
        <w:left w:val="none" w:sz="0" w:space="0" w:color="auto"/>
        <w:bottom w:val="none" w:sz="0" w:space="0" w:color="auto"/>
        <w:right w:val="none" w:sz="0" w:space="0" w:color="auto"/>
      </w:divBdr>
    </w:div>
    <w:div w:id="85617514">
      <w:bodyDiv w:val="1"/>
      <w:marLeft w:val="0"/>
      <w:marRight w:val="0"/>
      <w:marTop w:val="0"/>
      <w:marBottom w:val="0"/>
      <w:divBdr>
        <w:top w:val="none" w:sz="0" w:space="0" w:color="auto"/>
        <w:left w:val="none" w:sz="0" w:space="0" w:color="auto"/>
        <w:bottom w:val="none" w:sz="0" w:space="0" w:color="auto"/>
        <w:right w:val="none" w:sz="0" w:space="0" w:color="auto"/>
      </w:divBdr>
    </w:div>
    <w:div w:id="85619323">
      <w:bodyDiv w:val="1"/>
      <w:marLeft w:val="0"/>
      <w:marRight w:val="0"/>
      <w:marTop w:val="0"/>
      <w:marBottom w:val="0"/>
      <w:divBdr>
        <w:top w:val="none" w:sz="0" w:space="0" w:color="auto"/>
        <w:left w:val="none" w:sz="0" w:space="0" w:color="auto"/>
        <w:bottom w:val="none" w:sz="0" w:space="0" w:color="auto"/>
        <w:right w:val="none" w:sz="0" w:space="0" w:color="auto"/>
      </w:divBdr>
    </w:div>
    <w:div w:id="86081356">
      <w:bodyDiv w:val="1"/>
      <w:marLeft w:val="0"/>
      <w:marRight w:val="0"/>
      <w:marTop w:val="0"/>
      <w:marBottom w:val="0"/>
      <w:divBdr>
        <w:top w:val="none" w:sz="0" w:space="0" w:color="auto"/>
        <w:left w:val="none" w:sz="0" w:space="0" w:color="auto"/>
        <w:bottom w:val="none" w:sz="0" w:space="0" w:color="auto"/>
        <w:right w:val="none" w:sz="0" w:space="0" w:color="auto"/>
      </w:divBdr>
    </w:div>
    <w:div w:id="86121360">
      <w:bodyDiv w:val="1"/>
      <w:marLeft w:val="0"/>
      <w:marRight w:val="0"/>
      <w:marTop w:val="0"/>
      <w:marBottom w:val="0"/>
      <w:divBdr>
        <w:top w:val="none" w:sz="0" w:space="0" w:color="auto"/>
        <w:left w:val="none" w:sz="0" w:space="0" w:color="auto"/>
        <w:bottom w:val="none" w:sz="0" w:space="0" w:color="auto"/>
        <w:right w:val="none" w:sz="0" w:space="0" w:color="auto"/>
      </w:divBdr>
    </w:div>
    <w:div w:id="86315235">
      <w:bodyDiv w:val="1"/>
      <w:marLeft w:val="0"/>
      <w:marRight w:val="0"/>
      <w:marTop w:val="0"/>
      <w:marBottom w:val="0"/>
      <w:divBdr>
        <w:top w:val="none" w:sz="0" w:space="0" w:color="auto"/>
        <w:left w:val="none" w:sz="0" w:space="0" w:color="auto"/>
        <w:bottom w:val="none" w:sz="0" w:space="0" w:color="auto"/>
        <w:right w:val="none" w:sz="0" w:space="0" w:color="auto"/>
      </w:divBdr>
    </w:div>
    <w:div w:id="87971733">
      <w:bodyDiv w:val="1"/>
      <w:marLeft w:val="0"/>
      <w:marRight w:val="0"/>
      <w:marTop w:val="0"/>
      <w:marBottom w:val="0"/>
      <w:divBdr>
        <w:top w:val="none" w:sz="0" w:space="0" w:color="auto"/>
        <w:left w:val="none" w:sz="0" w:space="0" w:color="auto"/>
        <w:bottom w:val="none" w:sz="0" w:space="0" w:color="auto"/>
        <w:right w:val="none" w:sz="0" w:space="0" w:color="auto"/>
      </w:divBdr>
    </w:div>
    <w:div w:id="88040824">
      <w:bodyDiv w:val="1"/>
      <w:marLeft w:val="0"/>
      <w:marRight w:val="0"/>
      <w:marTop w:val="0"/>
      <w:marBottom w:val="0"/>
      <w:divBdr>
        <w:top w:val="none" w:sz="0" w:space="0" w:color="auto"/>
        <w:left w:val="none" w:sz="0" w:space="0" w:color="auto"/>
        <w:bottom w:val="none" w:sz="0" w:space="0" w:color="auto"/>
        <w:right w:val="none" w:sz="0" w:space="0" w:color="auto"/>
      </w:divBdr>
    </w:div>
    <w:div w:id="88433944">
      <w:bodyDiv w:val="1"/>
      <w:marLeft w:val="0"/>
      <w:marRight w:val="0"/>
      <w:marTop w:val="0"/>
      <w:marBottom w:val="0"/>
      <w:divBdr>
        <w:top w:val="none" w:sz="0" w:space="0" w:color="auto"/>
        <w:left w:val="none" w:sz="0" w:space="0" w:color="auto"/>
        <w:bottom w:val="none" w:sz="0" w:space="0" w:color="auto"/>
        <w:right w:val="none" w:sz="0" w:space="0" w:color="auto"/>
      </w:divBdr>
    </w:div>
    <w:div w:id="90586791">
      <w:bodyDiv w:val="1"/>
      <w:marLeft w:val="0"/>
      <w:marRight w:val="0"/>
      <w:marTop w:val="0"/>
      <w:marBottom w:val="0"/>
      <w:divBdr>
        <w:top w:val="none" w:sz="0" w:space="0" w:color="auto"/>
        <w:left w:val="none" w:sz="0" w:space="0" w:color="auto"/>
        <w:bottom w:val="none" w:sz="0" w:space="0" w:color="auto"/>
        <w:right w:val="none" w:sz="0" w:space="0" w:color="auto"/>
      </w:divBdr>
    </w:div>
    <w:div w:id="91241598">
      <w:bodyDiv w:val="1"/>
      <w:marLeft w:val="0"/>
      <w:marRight w:val="0"/>
      <w:marTop w:val="0"/>
      <w:marBottom w:val="0"/>
      <w:divBdr>
        <w:top w:val="none" w:sz="0" w:space="0" w:color="auto"/>
        <w:left w:val="none" w:sz="0" w:space="0" w:color="auto"/>
        <w:bottom w:val="none" w:sz="0" w:space="0" w:color="auto"/>
        <w:right w:val="none" w:sz="0" w:space="0" w:color="auto"/>
      </w:divBdr>
    </w:div>
    <w:div w:id="92432904">
      <w:bodyDiv w:val="1"/>
      <w:marLeft w:val="0"/>
      <w:marRight w:val="0"/>
      <w:marTop w:val="0"/>
      <w:marBottom w:val="0"/>
      <w:divBdr>
        <w:top w:val="none" w:sz="0" w:space="0" w:color="auto"/>
        <w:left w:val="none" w:sz="0" w:space="0" w:color="auto"/>
        <w:bottom w:val="none" w:sz="0" w:space="0" w:color="auto"/>
        <w:right w:val="none" w:sz="0" w:space="0" w:color="auto"/>
      </w:divBdr>
    </w:div>
    <w:div w:id="94860754">
      <w:bodyDiv w:val="1"/>
      <w:marLeft w:val="0"/>
      <w:marRight w:val="0"/>
      <w:marTop w:val="0"/>
      <w:marBottom w:val="0"/>
      <w:divBdr>
        <w:top w:val="none" w:sz="0" w:space="0" w:color="auto"/>
        <w:left w:val="none" w:sz="0" w:space="0" w:color="auto"/>
        <w:bottom w:val="none" w:sz="0" w:space="0" w:color="auto"/>
        <w:right w:val="none" w:sz="0" w:space="0" w:color="auto"/>
      </w:divBdr>
    </w:div>
    <w:div w:id="95105485">
      <w:bodyDiv w:val="1"/>
      <w:marLeft w:val="0"/>
      <w:marRight w:val="0"/>
      <w:marTop w:val="0"/>
      <w:marBottom w:val="0"/>
      <w:divBdr>
        <w:top w:val="none" w:sz="0" w:space="0" w:color="auto"/>
        <w:left w:val="none" w:sz="0" w:space="0" w:color="auto"/>
        <w:bottom w:val="none" w:sz="0" w:space="0" w:color="auto"/>
        <w:right w:val="none" w:sz="0" w:space="0" w:color="auto"/>
      </w:divBdr>
    </w:div>
    <w:div w:id="95448927">
      <w:bodyDiv w:val="1"/>
      <w:marLeft w:val="0"/>
      <w:marRight w:val="0"/>
      <w:marTop w:val="0"/>
      <w:marBottom w:val="0"/>
      <w:divBdr>
        <w:top w:val="none" w:sz="0" w:space="0" w:color="auto"/>
        <w:left w:val="none" w:sz="0" w:space="0" w:color="auto"/>
        <w:bottom w:val="none" w:sz="0" w:space="0" w:color="auto"/>
        <w:right w:val="none" w:sz="0" w:space="0" w:color="auto"/>
      </w:divBdr>
    </w:div>
    <w:div w:id="96606800">
      <w:bodyDiv w:val="1"/>
      <w:marLeft w:val="0"/>
      <w:marRight w:val="0"/>
      <w:marTop w:val="0"/>
      <w:marBottom w:val="0"/>
      <w:divBdr>
        <w:top w:val="none" w:sz="0" w:space="0" w:color="auto"/>
        <w:left w:val="none" w:sz="0" w:space="0" w:color="auto"/>
        <w:bottom w:val="none" w:sz="0" w:space="0" w:color="auto"/>
        <w:right w:val="none" w:sz="0" w:space="0" w:color="auto"/>
      </w:divBdr>
    </w:div>
    <w:div w:id="97146021">
      <w:bodyDiv w:val="1"/>
      <w:marLeft w:val="0"/>
      <w:marRight w:val="0"/>
      <w:marTop w:val="0"/>
      <w:marBottom w:val="0"/>
      <w:divBdr>
        <w:top w:val="none" w:sz="0" w:space="0" w:color="auto"/>
        <w:left w:val="none" w:sz="0" w:space="0" w:color="auto"/>
        <w:bottom w:val="none" w:sz="0" w:space="0" w:color="auto"/>
        <w:right w:val="none" w:sz="0" w:space="0" w:color="auto"/>
      </w:divBdr>
    </w:div>
    <w:div w:id="97215237">
      <w:bodyDiv w:val="1"/>
      <w:marLeft w:val="0"/>
      <w:marRight w:val="0"/>
      <w:marTop w:val="0"/>
      <w:marBottom w:val="0"/>
      <w:divBdr>
        <w:top w:val="none" w:sz="0" w:space="0" w:color="auto"/>
        <w:left w:val="none" w:sz="0" w:space="0" w:color="auto"/>
        <w:bottom w:val="none" w:sz="0" w:space="0" w:color="auto"/>
        <w:right w:val="none" w:sz="0" w:space="0" w:color="auto"/>
      </w:divBdr>
    </w:div>
    <w:div w:id="97339502">
      <w:bodyDiv w:val="1"/>
      <w:marLeft w:val="0"/>
      <w:marRight w:val="0"/>
      <w:marTop w:val="0"/>
      <w:marBottom w:val="0"/>
      <w:divBdr>
        <w:top w:val="none" w:sz="0" w:space="0" w:color="auto"/>
        <w:left w:val="none" w:sz="0" w:space="0" w:color="auto"/>
        <w:bottom w:val="none" w:sz="0" w:space="0" w:color="auto"/>
        <w:right w:val="none" w:sz="0" w:space="0" w:color="auto"/>
      </w:divBdr>
    </w:div>
    <w:div w:id="97868815">
      <w:bodyDiv w:val="1"/>
      <w:marLeft w:val="0"/>
      <w:marRight w:val="0"/>
      <w:marTop w:val="0"/>
      <w:marBottom w:val="0"/>
      <w:divBdr>
        <w:top w:val="none" w:sz="0" w:space="0" w:color="auto"/>
        <w:left w:val="none" w:sz="0" w:space="0" w:color="auto"/>
        <w:bottom w:val="none" w:sz="0" w:space="0" w:color="auto"/>
        <w:right w:val="none" w:sz="0" w:space="0" w:color="auto"/>
      </w:divBdr>
    </w:div>
    <w:div w:id="98064765">
      <w:bodyDiv w:val="1"/>
      <w:marLeft w:val="0"/>
      <w:marRight w:val="0"/>
      <w:marTop w:val="0"/>
      <w:marBottom w:val="0"/>
      <w:divBdr>
        <w:top w:val="none" w:sz="0" w:space="0" w:color="auto"/>
        <w:left w:val="none" w:sz="0" w:space="0" w:color="auto"/>
        <w:bottom w:val="none" w:sz="0" w:space="0" w:color="auto"/>
        <w:right w:val="none" w:sz="0" w:space="0" w:color="auto"/>
      </w:divBdr>
    </w:div>
    <w:div w:id="98716660">
      <w:bodyDiv w:val="1"/>
      <w:marLeft w:val="0"/>
      <w:marRight w:val="0"/>
      <w:marTop w:val="0"/>
      <w:marBottom w:val="0"/>
      <w:divBdr>
        <w:top w:val="none" w:sz="0" w:space="0" w:color="auto"/>
        <w:left w:val="none" w:sz="0" w:space="0" w:color="auto"/>
        <w:bottom w:val="none" w:sz="0" w:space="0" w:color="auto"/>
        <w:right w:val="none" w:sz="0" w:space="0" w:color="auto"/>
      </w:divBdr>
    </w:div>
    <w:div w:id="101384785">
      <w:bodyDiv w:val="1"/>
      <w:marLeft w:val="0"/>
      <w:marRight w:val="0"/>
      <w:marTop w:val="0"/>
      <w:marBottom w:val="0"/>
      <w:divBdr>
        <w:top w:val="none" w:sz="0" w:space="0" w:color="auto"/>
        <w:left w:val="none" w:sz="0" w:space="0" w:color="auto"/>
        <w:bottom w:val="none" w:sz="0" w:space="0" w:color="auto"/>
        <w:right w:val="none" w:sz="0" w:space="0" w:color="auto"/>
      </w:divBdr>
    </w:div>
    <w:div w:id="101415849">
      <w:bodyDiv w:val="1"/>
      <w:marLeft w:val="0"/>
      <w:marRight w:val="0"/>
      <w:marTop w:val="0"/>
      <w:marBottom w:val="0"/>
      <w:divBdr>
        <w:top w:val="none" w:sz="0" w:space="0" w:color="auto"/>
        <w:left w:val="none" w:sz="0" w:space="0" w:color="auto"/>
        <w:bottom w:val="none" w:sz="0" w:space="0" w:color="auto"/>
        <w:right w:val="none" w:sz="0" w:space="0" w:color="auto"/>
      </w:divBdr>
    </w:div>
    <w:div w:id="101654064">
      <w:bodyDiv w:val="1"/>
      <w:marLeft w:val="0"/>
      <w:marRight w:val="0"/>
      <w:marTop w:val="0"/>
      <w:marBottom w:val="0"/>
      <w:divBdr>
        <w:top w:val="none" w:sz="0" w:space="0" w:color="auto"/>
        <w:left w:val="none" w:sz="0" w:space="0" w:color="auto"/>
        <w:bottom w:val="none" w:sz="0" w:space="0" w:color="auto"/>
        <w:right w:val="none" w:sz="0" w:space="0" w:color="auto"/>
      </w:divBdr>
    </w:div>
    <w:div w:id="103036981">
      <w:bodyDiv w:val="1"/>
      <w:marLeft w:val="0"/>
      <w:marRight w:val="0"/>
      <w:marTop w:val="0"/>
      <w:marBottom w:val="0"/>
      <w:divBdr>
        <w:top w:val="none" w:sz="0" w:space="0" w:color="auto"/>
        <w:left w:val="none" w:sz="0" w:space="0" w:color="auto"/>
        <w:bottom w:val="none" w:sz="0" w:space="0" w:color="auto"/>
        <w:right w:val="none" w:sz="0" w:space="0" w:color="auto"/>
      </w:divBdr>
    </w:div>
    <w:div w:id="104082878">
      <w:bodyDiv w:val="1"/>
      <w:marLeft w:val="0"/>
      <w:marRight w:val="0"/>
      <w:marTop w:val="0"/>
      <w:marBottom w:val="0"/>
      <w:divBdr>
        <w:top w:val="none" w:sz="0" w:space="0" w:color="auto"/>
        <w:left w:val="none" w:sz="0" w:space="0" w:color="auto"/>
        <w:bottom w:val="none" w:sz="0" w:space="0" w:color="auto"/>
        <w:right w:val="none" w:sz="0" w:space="0" w:color="auto"/>
      </w:divBdr>
    </w:div>
    <w:div w:id="108135966">
      <w:bodyDiv w:val="1"/>
      <w:marLeft w:val="0"/>
      <w:marRight w:val="0"/>
      <w:marTop w:val="0"/>
      <w:marBottom w:val="0"/>
      <w:divBdr>
        <w:top w:val="none" w:sz="0" w:space="0" w:color="auto"/>
        <w:left w:val="none" w:sz="0" w:space="0" w:color="auto"/>
        <w:bottom w:val="none" w:sz="0" w:space="0" w:color="auto"/>
        <w:right w:val="none" w:sz="0" w:space="0" w:color="auto"/>
      </w:divBdr>
    </w:div>
    <w:div w:id="108280638">
      <w:bodyDiv w:val="1"/>
      <w:marLeft w:val="0"/>
      <w:marRight w:val="0"/>
      <w:marTop w:val="0"/>
      <w:marBottom w:val="0"/>
      <w:divBdr>
        <w:top w:val="none" w:sz="0" w:space="0" w:color="auto"/>
        <w:left w:val="none" w:sz="0" w:space="0" w:color="auto"/>
        <w:bottom w:val="none" w:sz="0" w:space="0" w:color="auto"/>
        <w:right w:val="none" w:sz="0" w:space="0" w:color="auto"/>
      </w:divBdr>
    </w:div>
    <w:div w:id="108747985">
      <w:bodyDiv w:val="1"/>
      <w:marLeft w:val="0"/>
      <w:marRight w:val="0"/>
      <w:marTop w:val="0"/>
      <w:marBottom w:val="0"/>
      <w:divBdr>
        <w:top w:val="none" w:sz="0" w:space="0" w:color="auto"/>
        <w:left w:val="none" w:sz="0" w:space="0" w:color="auto"/>
        <w:bottom w:val="none" w:sz="0" w:space="0" w:color="auto"/>
        <w:right w:val="none" w:sz="0" w:space="0" w:color="auto"/>
      </w:divBdr>
    </w:div>
    <w:div w:id="109935961">
      <w:bodyDiv w:val="1"/>
      <w:marLeft w:val="0"/>
      <w:marRight w:val="0"/>
      <w:marTop w:val="0"/>
      <w:marBottom w:val="0"/>
      <w:divBdr>
        <w:top w:val="none" w:sz="0" w:space="0" w:color="auto"/>
        <w:left w:val="none" w:sz="0" w:space="0" w:color="auto"/>
        <w:bottom w:val="none" w:sz="0" w:space="0" w:color="auto"/>
        <w:right w:val="none" w:sz="0" w:space="0" w:color="auto"/>
      </w:divBdr>
    </w:div>
    <w:div w:id="110247855">
      <w:bodyDiv w:val="1"/>
      <w:marLeft w:val="0"/>
      <w:marRight w:val="0"/>
      <w:marTop w:val="0"/>
      <w:marBottom w:val="0"/>
      <w:divBdr>
        <w:top w:val="none" w:sz="0" w:space="0" w:color="auto"/>
        <w:left w:val="none" w:sz="0" w:space="0" w:color="auto"/>
        <w:bottom w:val="none" w:sz="0" w:space="0" w:color="auto"/>
        <w:right w:val="none" w:sz="0" w:space="0" w:color="auto"/>
      </w:divBdr>
    </w:div>
    <w:div w:id="111637310">
      <w:bodyDiv w:val="1"/>
      <w:marLeft w:val="0"/>
      <w:marRight w:val="0"/>
      <w:marTop w:val="0"/>
      <w:marBottom w:val="0"/>
      <w:divBdr>
        <w:top w:val="none" w:sz="0" w:space="0" w:color="auto"/>
        <w:left w:val="none" w:sz="0" w:space="0" w:color="auto"/>
        <w:bottom w:val="none" w:sz="0" w:space="0" w:color="auto"/>
        <w:right w:val="none" w:sz="0" w:space="0" w:color="auto"/>
      </w:divBdr>
    </w:div>
    <w:div w:id="112483139">
      <w:bodyDiv w:val="1"/>
      <w:marLeft w:val="0"/>
      <w:marRight w:val="0"/>
      <w:marTop w:val="0"/>
      <w:marBottom w:val="0"/>
      <w:divBdr>
        <w:top w:val="none" w:sz="0" w:space="0" w:color="auto"/>
        <w:left w:val="none" w:sz="0" w:space="0" w:color="auto"/>
        <w:bottom w:val="none" w:sz="0" w:space="0" w:color="auto"/>
        <w:right w:val="none" w:sz="0" w:space="0" w:color="auto"/>
      </w:divBdr>
    </w:div>
    <w:div w:id="114065291">
      <w:bodyDiv w:val="1"/>
      <w:marLeft w:val="0"/>
      <w:marRight w:val="0"/>
      <w:marTop w:val="0"/>
      <w:marBottom w:val="0"/>
      <w:divBdr>
        <w:top w:val="none" w:sz="0" w:space="0" w:color="auto"/>
        <w:left w:val="none" w:sz="0" w:space="0" w:color="auto"/>
        <w:bottom w:val="none" w:sz="0" w:space="0" w:color="auto"/>
        <w:right w:val="none" w:sz="0" w:space="0" w:color="auto"/>
      </w:divBdr>
    </w:div>
    <w:div w:id="114688346">
      <w:bodyDiv w:val="1"/>
      <w:marLeft w:val="0"/>
      <w:marRight w:val="0"/>
      <w:marTop w:val="0"/>
      <w:marBottom w:val="0"/>
      <w:divBdr>
        <w:top w:val="none" w:sz="0" w:space="0" w:color="auto"/>
        <w:left w:val="none" w:sz="0" w:space="0" w:color="auto"/>
        <w:bottom w:val="none" w:sz="0" w:space="0" w:color="auto"/>
        <w:right w:val="none" w:sz="0" w:space="0" w:color="auto"/>
      </w:divBdr>
    </w:div>
    <w:div w:id="114719371">
      <w:bodyDiv w:val="1"/>
      <w:marLeft w:val="0"/>
      <w:marRight w:val="0"/>
      <w:marTop w:val="0"/>
      <w:marBottom w:val="0"/>
      <w:divBdr>
        <w:top w:val="none" w:sz="0" w:space="0" w:color="auto"/>
        <w:left w:val="none" w:sz="0" w:space="0" w:color="auto"/>
        <w:bottom w:val="none" w:sz="0" w:space="0" w:color="auto"/>
        <w:right w:val="none" w:sz="0" w:space="0" w:color="auto"/>
      </w:divBdr>
    </w:div>
    <w:div w:id="114908682">
      <w:bodyDiv w:val="1"/>
      <w:marLeft w:val="0"/>
      <w:marRight w:val="0"/>
      <w:marTop w:val="0"/>
      <w:marBottom w:val="0"/>
      <w:divBdr>
        <w:top w:val="none" w:sz="0" w:space="0" w:color="auto"/>
        <w:left w:val="none" w:sz="0" w:space="0" w:color="auto"/>
        <w:bottom w:val="none" w:sz="0" w:space="0" w:color="auto"/>
        <w:right w:val="none" w:sz="0" w:space="0" w:color="auto"/>
      </w:divBdr>
    </w:div>
    <w:div w:id="116023064">
      <w:bodyDiv w:val="1"/>
      <w:marLeft w:val="0"/>
      <w:marRight w:val="0"/>
      <w:marTop w:val="0"/>
      <w:marBottom w:val="0"/>
      <w:divBdr>
        <w:top w:val="none" w:sz="0" w:space="0" w:color="auto"/>
        <w:left w:val="none" w:sz="0" w:space="0" w:color="auto"/>
        <w:bottom w:val="none" w:sz="0" w:space="0" w:color="auto"/>
        <w:right w:val="none" w:sz="0" w:space="0" w:color="auto"/>
      </w:divBdr>
    </w:div>
    <w:div w:id="116948016">
      <w:bodyDiv w:val="1"/>
      <w:marLeft w:val="0"/>
      <w:marRight w:val="0"/>
      <w:marTop w:val="0"/>
      <w:marBottom w:val="0"/>
      <w:divBdr>
        <w:top w:val="none" w:sz="0" w:space="0" w:color="auto"/>
        <w:left w:val="none" w:sz="0" w:space="0" w:color="auto"/>
        <w:bottom w:val="none" w:sz="0" w:space="0" w:color="auto"/>
        <w:right w:val="none" w:sz="0" w:space="0" w:color="auto"/>
      </w:divBdr>
    </w:div>
    <w:div w:id="118305107">
      <w:bodyDiv w:val="1"/>
      <w:marLeft w:val="0"/>
      <w:marRight w:val="0"/>
      <w:marTop w:val="0"/>
      <w:marBottom w:val="0"/>
      <w:divBdr>
        <w:top w:val="none" w:sz="0" w:space="0" w:color="auto"/>
        <w:left w:val="none" w:sz="0" w:space="0" w:color="auto"/>
        <w:bottom w:val="none" w:sz="0" w:space="0" w:color="auto"/>
        <w:right w:val="none" w:sz="0" w:space="0" w:color="auto"/>
      </w:divBdr>
    </w:div>
    <w:div w:id="118838282">
      <w:bodyDiv w:val="1"/>
      <w:marLeft w:val="0"/>
      <w:marRight w:val="0"/>
      <w:marTop w:val="0"/>
      <w:marBottom w:val="0"/>
      <w:divBdr>
        <w:top w:val="none" w:sz="0" w:space="0" w:color="auto"/>
        <w:left w:val="none" w:sz="0" w:space="0" w:color="auto"/>
        <w:bottom w:val="none" w:sz="0" w:space="0" w:color="auto"/>
        <w:right w:val="none" w:sz="0" w:space="0" w:color="auto"/>
      </w:divBdr>
    </w:div>
    <w:div w:id="118840733">
      <w:bodyDiv w:val="1"/>
      <w:marLeft w:val="0"/>
      <w:marRight w:val="0"/>
      <w:marTop w:val="0"/>
      <w:marBottom w:val="0"/>
      <w:divBdr>
        <w:top w:val="none" w:sz="0" w:space="0" w:color="auto"/>
        <w:left w:val="none" w:sz="0" w:space="0" w:color="auto"/>
        <w:bottom w:val="none" w:sz="0" w:space="0" w:color="auto"/>
        <w:right w:val="none" w:sz="0" w:space="0" w:color="auto"/>
      </w:divBdr>
    </w:div>
    <w:div w:id="119348218">
      <w:bodyDiv w:val="1"/>
      <w:marLeft w:val="0"/>
      <w:marRight w:val="0"/>
      <w:marTop w:val="0"/>
      <w:marBottom w:val="0"/>
      <w:divBdr>
        <w:top w:val="none" w:sz="0" w:space="0" w:color="auto"/>
        <w:left w:val="none" w:sz="0" w:space="0" w:color="auto"/>
        <w:bottom w:val="none" w:sz="0" w:space="0" w:color="auto"/>
        <w:right w:val="none" w:sz="0" w:space="0" w:color="auto"/>
      </w:divBdr>
    </w:div>
    <w:div w:id="119497098">
      <w:bodyDiv w:val="1"/>
      <w:marLeft w:val="0"/>
      <w:marRight w:val="0"/>
      <w:marTop w:val="0"/>
      <w:marBottom w:val="0"/>
      <w:divBdr>
        <w:top w:val="none" w:sz="0" w:space="0" w:color="auto"/>
        <w:left w:val="none" w:sz="0" w:space="0" w:color="auto"/>
        <w:bottom w:val="none" w:sz="0" w:space="0" w:color="auto"/>
        <w:right w:val="none" w:sz="0" w:space="0" w:color="auto"/>
      </w:divBdr>
    </w:div>
    <w:div w:id="120080230">
      <w:bodyDiv w:val="1"/>
      <w:marLeft w:val="0"/>
      <w:marRight w:val="0"/>
      <w:marTop w:val="0"/>
      <w:marBottom w:val="0"/>
      <w:divBdr>
        <w:top w:val="none" w:sz="0" w:space="0" w:color="auto"/>
        <w:left w:val="none" w:sz="0" w:space="0" w:color="auto"/>
        <w:bottom w:val="none" w:sz="0" w:space="0" w:color="auto"/>
        <w:right w:val="none" w:sz="0" w:space="0" w:color="auto"/>
      </w:divBdr>
    </w:div>
    <w:div w:id="122236838">
      <w:bodyDiv w:val="1"/>
      <w:marLeft w:val="0"/>
      <w:marRight w:val="0"/>
      <w:marTop w:val="0"/>
      <w:marBottom w:val="0"/>
      <w:divBdr>
        <w:top w:val="none" w:sz="0" w:space="0" w:color="auto"/>
        <w:left w:val="none" w:sz="0" w:space="0" w:color="auto"/>
        <w:bottom w:val="none" w:sz="0" w:space="0" w:color="auto"/>
        <w:right w:val="none" w:sz="0" w:space="0" w:color="auto"/>
      </w:divBdr>
    </w:div>
    <w:div w:id="123155583">
      <w:bodyDiv w:val="1"/>
      <w:marLeft w:val="0"/>
      <w:marRight w:val="0"/>
      <w:marTop w:val="0"/>
      <w:marBottom w:val="0"/>
      <w:divBdr>
        <w:top w:val="none" w:sz="0" w:space="0" w:color="auto"/>
        <w:left w:val="none" w:sz="0" w:space="0" w:color="auto"/>
        <w:bottom w:val="none" w:sz="0" w:space="0" w:color="auto"/>
        <w:right w:val="none" w:sz="0" w:space="0" w:color="auto"/>
      </w:divBdr>
    </w:div>
    <w:div w:id="123163928">
      <w:bodyDiv w:val="1"/>
      <w:marLeft w:val="0"/>
      <w:marRight w:val="0"/>
      <w:marTop w:val="0"/>
      <w:marBottom w:val="0"/>
      <w:divBdr>
        <w:top w:val="none" w:sz="0" w:space="0" w:color="auto"/>
        <w:left w:val="none" w:sz="0" w:space="0" w:color="auto"/>
        <w:bottom w:val="none" w:sz="0" w:space="0" w:color="auto"/>
        <w:right w:val="none" w:sz="0" w:space="0" w:color="auto"/>
      </w:divBdr>
    </w:div>
    <w:div w:id="123349749">
      <w:bodyDiv w:val="1"/>
      <w:marLeft w:val="0"/>
      <w:marRight w:val="0"/>
      <w:marTop w:val="0"/>
      <w:marBottom w:val="0"/>
      <w:divBdr>
        <w:top w:val="none" w:sz="0" w:space="0" w:color="auto"/>
        <w:left w:val="none" w:sz="0" w:space="0" w:color="auto"/>
        <w:bottom w:val="none" w:sz="0" w:space="0" w:color="auto"/>
        <w:right w:val="none" w:sz="0" w:space="0" w:color="auto"/>
      </w:divBdr>
    </w:div>
    <w:div w:id="123500412">
      <w:bodyDiv w:val="1"/>
      <w:marLeft w:val="0"/>
      <w:marRight w:val="0"/>
      <w:marTop w:val="0"/>
      <w:marBottom w:val="0"/>
      <w:divBdr>
        <w:top w:val="none" w:sz="0" w:space="0" w:color="auto"/>
        <w:left w:val="none" w:sz="0" w:space="0" w:color="auto"/>
        <w:bottom w:val="none" w:sz="0" w:space="0" w:color="auto"/>
        <w:right w:val="none" w:sz="0" w:space="0" w:color="auto"/>
      </w:divBdr>
    </w:div>
    <w:div w:id="124853180">
      <w:bodyDiv w:val="1"/>
      <w:marLeft w:val="0"/>
      <w:marRight w:val="0"/>
      <w:marTop w:val="0"/>
      <w:marBottom w:val="0"/>
      <w:divBdr>
        <w:top w:val="none" w:sz="0" w:space="0" w:color="auto"/>
        <w:left w:val="none" w:sz="0" w:space="0" w:color="auto"/>
        <w:bottom w:val="none" w:sz="0" w:space="0" w:color="auto"/>
        <w:right w:val="none" w:sz="0" w:space="0" w:color="auto"/>
      </w:divBdr>
    </w:div>
    <w:div w:id="125243763">
      <w:bodyDiv w:val="1"/>
      <w:marLeft w:val="0"/>
      <w:marRight w:val="0"/>
      <w:marTop w:val="0"/>
      <w:marBottom w:val="0"/>
      <w:divBdr>
        <w:top w:val="none" w:sz="0" w:space="0" w:color="auto"/>
        <w:left w:val="none" w:sz="0" w:space="0" w:color="auto"/>
        <w:bottom w:val="none" w:sz="0" w:space="0" w:color="auto"/>
        <w:right w:val="none" w:sz="0" w:space="0" w:color="auto"/>
      </w:divBdr>
    </w:div>
    <w:div w:id="126708609">
      <w:bodyDiv w:val="1"/>
      <w:marLeft w:val="0"/>
      <w:marRight w:val="0"/>
      <w:marTop w:val="0"/>
      <w:marBottom w:val="0"/>
      <w:divBdr>
        <w:top w:val="none" w:sz="0" w:space="0" w:color="auto"/>
        <w:left w:val="none" w:sz="0" w:space="0" w:color="auto"/>
        <w:bottom w:val="none" w:sz="0" w:space="0" w:color="auto"/>
        <w:right w:val="none" w:sz="0" w:space="0" w:color="auto"/>
      </w:divBdr>
    </w:div>
    <w:div w:id="127088779">
      <w:bodyDiv w:val="1"/>
      <w:marLeft w:val="0"/>
      <w:marRight w:val="0"/>
      <w:marTop w:val="0"/>
      <w:marBottom w:val="0"/>
      <w:divBdr>
        <w:top w:val="none" w:sz="0" w:space="0" w:color="auto"/>
        <w:left w:val="none" w:sz="0" w:space="0" w:color="auto"/>
        <w:bottom w:val="none" w:sz="0" w:space="0" w:color="auto"/>
        <w:right w:val="none" w:sz="0" w:space="0" w:color="auto"/>
      </w:divBdr>
    </w:div>
    <w:div w:id="127940119">
      <w:bodyDiv w:val="1"/>
      <w:marLeft w:val="0"/>
      <w:marRight w:val="0"/>
      <w:marTop w:val="0"/>
      <w:marBottom w:val="0"/>
      <w:divBdr>
        <w:top w:val="none" w:sz="0" w:space="0" w:color="auto"/>
        <w:left w:val="none" w:sz="0" w:space="0" w:color="auto"/>
        <w:bottom w:val="none" w:sz="0" w:space="0" w:color="auto"/>
        <w:right w:val="none" w:sz="0" w:space="0" w:color="auto"/>
      </w:divBdr>
    </w:div>
    <w:div w:id="129523739">
      <w:bodyDiv w:val="1"/>
      <w:marLeft w:val="0"/>
      <w:marRight w:val="0"/>
      <w:marTop w:val="0"/>
      <w:marBottom w:val="0"/>
      <w:divBdr>
        <w:top w:val="none" w:sz="0" w:space="0" w:color="auto"/>
        <w:left w:val="none" w:sz="0" w:space="0" w:color="auto"/>
        <w:bottom w:val="none" w:sz="0" w:space="0" w:color="auto"/>
        <w:right w:val="none" w:sz="0" w:space="0" w:color="auto"/>
      </w:divBdr>
    </w:div>
    <w:div w:id="129712495">
      <w:bodyDiv w:val="1"/>
      <w:marLeft w:val="0"/>
      <w:marRight w:val="0"/>
      <w:marTop w:val="0"/>
      <w:marBottom w:val="0"/>
      <w:divBdr>
        <w:top w:val="none" w:sz="0" w:space="0" w:color="auto"/>
        <w:left w:val="none" w:sz="0" w:space="0" w:color="auto"/>
        <w:bottom w:val="none" w:sz="0" w:space="0" w:color="auto"/>
        <w:right w:val="none" w:sz="0" w:space="0" w:color="auto"/>
      </w:divBdr>
    </w:div>
    <w:div w:id="131607023">
      <w:bodyDiv w:val="1"/>
      <w:marLeft w:val="0"/>
      <w:marRight w:val="0"/>
      <w:marTop w:val="0"/>
      <w:marBottom w:val="0"/>
      <w:divBdr>
        <w:top w:val="none" w:sz="0" w:space="0" w:color="auto"/>
        <w:left w:val="none" w:sz="0" w:space="0" w:color="auto"/>
        <w:bottom w:val="none" w:sz="0" w:space="0" w:color="auto"/>
        <w:right w:val="none" w:sz="0" w:space="0" w:color="auto"/>
      </w:divBdr>
    </w:div>
    <w:div w:id="131680382">
      <w:bodyDiv w:val="1"/>
      <w:marLeft w:val="0"/>
      <w:marRight w:val="0"/>
      <w:marTop w:val="0"/>
      <w:marBottom w:val="0"/>
      <w:divBdr>
        <w:top w:val="none" w:sz="0" w:space="0" w:color="auto"/>
        <w:left w:val="none" w:sz="0" w:space="0" w:color="auto"/>
        <w:bottom w:val="none" w:sz="0" w:space="0" w:color="auto"/>
        <w:right w:val="none" w:sz="0" w:space="0" w:color="auto"/>
      </w:divBdr>
    </w:div>
    <w:div w:id="131799671">
      <w:bodyDiv w:val="1"/>
      <w:marLeft w:val="0"/>
      <w:marRight w:val="0"/>
      <w:marTop w:val="0"/>
      <w:marBottom w:val="0"/>
      <w:divBdr>
        <w:top w:val="none" w:sz="0" w:space="0" w:color="auto"/>
        <w:left w:val="none" w:sz="0" w:space="0" w:color="auto"/>
        <w:bottom w:val="none" w:sz="0" w:space="0" w:color="auto"/>
        <w:right w:val="none" w:sz="0" w:space="0" w:color="auto"/>
      </w:divBdr>
    </w:div>
    <w:div w:id="131824464">
      <w:bodyDiv w:val="1"/>
      <w:marLeft w:val="0"/>
      <w:marRight w:val="0"/>
      <w:marTop w:val="0"/>
      <w:marBottom w:val="0"/>
      <w:divBdr>
        <w:top w:val="none" w:sz="0" w:space="0" w:color="auto"/>
        <w:left w:val="none" w:sz="0" w:space="0" w:color="auto"/>
        <w:bottom w:val="none" w:sz="0" w:space="0" w:color="auto"/>
        <w:right w:val="none" w:sz="0" w:space="0" w:color="auto"/>
      </w:divBdr>
    </w:div>
    <w:div w:id="134491394">
      <w:bodyDiv w:val="1"/>
      <w:marLeft w:val="0"/>
      <w:marRight w:val="0"/>
      <w:marTop w:val="0"/>
      <w:marBottom w:val="0"/>
      <w:divBdr>
        <w:top w:val="none" w:sz="0" w:space="0" w:color="auto"/>
        <w:left w:val="none" w:sz="0" w:space="0" w:color="auto"/>
        <w:bottom w:val="none" w:sz="0" w:space="0" w:color="auto"/>
        <w:right w:val="none" w:sz="0" w:space="0" w:color="auto"/>
      </w:divBdr>
    </w:div>
    <w:div w:id="136341999">
      <w:bodyDiv w:val="1"/>
      <w:marLeft w:val="0"/>
      <w:marRight w:val="0"/>
      <w:marTop w:val="0"/>
      <w:marBottom w:val="0"/>
      <w:divBdr>
        <w:top w:val="none" w:sz="0" w:space="0" w:color="auto"/>
        <w:left w:val="none" w:sz="0" w:space="0" w:color="auto"/>
        <w:bottom w:val="none" w:sz="0" w:space="0" w:color="auto"/>
        <w:right w:val="none" w:sz="0" w:space="0" w:color="auto"/>
      </w:divBdr>
    </w:div>
    <w:div w:id="137381024">
      <w:bodyDiv w:val="1"/>
      <w:marLeft w:val="0"/>
      <w:marRight w:val="0"/>
      <w:marTop w:val="0"/>
      <w:marBottom w:val="0"/>
      <w:divBdr>
        <w:top w:val="none" w:sz="0" w:space="0" w:color="auto"/>
        <w:left w:val="none" w:sz="0" w:space="0" w:color="auto"/>
        <w:bottom w:val="none" w:sz="0" w:space="0" w:color="auto"/>
        <w:right w:val="none" w:sz="0" w:space="0" w:color="auto"/>
      </w:divBdr>
    </w:div>
    <w:div w:id="137695496">
      <w:bodyDiv w:val="1"/>
      <w:marLeft w:val="0"/>
      <w:marRight w:val="0"/>
      <w:marTop w:val="0"/>
      <w:marBottom w:val="0"/>
      <w:divBdr>
        <w:top w:val="none" w:sz="0" w:space="0" w:color="auto"/>
        <w:left w:val="none" w:sz="0" w:space="0" w:color="auto"/>
        <w:bottom w:val="none" w:sz="0" w:space="0" w:color="auto"/>
        <w:right w:val="none" w:sz="0" w:space="0" w:color="auto"/>
      </w:divBdr>
    </w:div>
    <w:div w:id="138499277">
      <w:bodyDiv w:val="1"/>
      <w:marLeft w:val="0"/>
      <w:marRight w:val="0"/>
      <w:marTop w:val="0"/>
      <w:marBottom w:val="0"/>
      <w:divBdr>
        <w:top w:val="none" w:sz="0" w:space="0" w:color="auto"/>
        <w:left w:val="none" w:sz="0" w:space="0" w:color="auto"/>
        <w:bottom w:val="none" w:sz="0" w:space="0" w:color="auto"/>
        <w:right w:val="none" w:sz="0" w:space="0" w:color="auto"/>
      </w:divBdr>
    </w:div>
    <w:div w:id="139350347">
      <w:bodyDiv w:val="1"/>
      <w:marLeft w:val="0"/>
      <w:marRight w:val="0"/>
      <w:marTop w:val="0"/>
      <w:marBottom w:val="0"/>
      <w:divBdr>
        <w:top w:val="none" w:sz="0" w:space="0" w:color="auto"/>
        <w:left w:val="none" w:sz="0" w:space="0" w:color="auto"/>
        <w:bottom w:val="none" w:sz="0" w:space="0" w:color="auto"/>
        <w:right w:val="none" w:sz="0" w:space="0" w:color="auto"/>
      </w:divBdr>
    </w:div>
    <w:div w:id="142815066">
      <w:bodyDiv w:val="1"/>
      <w:marLeft w:val="0"/>
      <w:marRight w:val="0"/>
      <w:marTop w:val="0"/>
      <w:marBottom w:val="0"/>
      <w:divBdr>
        <w:top w:val="none" w:sz="0" w:space="0" w:color="auto"/>
        <w:left w:val="none" w:sz="0" w:space="0" w:color="auto"/>
        <w:bottom w:val="none" w:sz="0" w:space="0" w:color="auto"/>
        <w:right w:val="none" w:sz="0" w:space="0" w:color="auto"/>
      </w:divBdr>
    </w:div>
    <w:div w:id="142895321">
      <w:bodyDiv w:val="1"/>
      <w:marLeft w:val="0"/>
      <w:marRight w:val="0"/>
      <w:marTop w:val="0"/>
      <w:marBottom w:val="0"/>
      <w:divBdr>
        <w:top w:val="none" w:sz="0" w:space="0" w:color="auto"/>
        <w:left w:val="none" w:sz="0" w:space="0" w:color="auto"/>
        <w:bottom w:val="none" w:sz="0" w:space="0" w:color="auto"/>
        <w:right w:val="none" w:sz="0" w:space="0" w:color="auto"/>
      </w:divBdr>
    </w:div>
    <w:div w:id="143012311">
      <w:bodyDiv w:val="1"/>
      <w:marLeft w:val="0"/>
      <w:marRight w:val="0"/>
      <w:marTop w:val="0"/>
      <w:marBottom w:val="0"/>
      <w:divBdr>
        <w:top w:val="none" w:sz="0" w:space="0" w:color="auto"/>
        <w:left w:val="none" w:sz="0" w:space="0" w:color="auto"/>
        <w:bottom w:val="none" w:sz="0" w:space="0" w:color="auto"/>
        <w:right w:val="none" w:sz="0" w:space="0" w:color="auto"/>
      </w:divBdr>
    </w:div>
    <w:div w:id="144204817">
      <w:bodyDiv w:val="1"/>
      <w:marLeft w:val="0"/>
      <w:marRight w:val="0"/>
      <w:marTop w:val="0"/>
      <w:marBottom w:val="0"/>
      <w:divBdr>
        <w:top w:val="none" w:sz="0" w:space="0" w:color="auto"/>
        <w:left w:val="none" w:sz="0" w:space="0" w:color="auto"/>
        <w:bottom w:val="none" w:sz="0" w:space="0" w:color="auto"/>
        <w:right w:val="none" w:sz="0" w:space="0" w:color="auto"/>
      </w:divBdr>
    </w:div>
    <w:div w:id="144208474">
      <w:bodyDiv w:val="1"/>
      <w:marLeft w:val="0"/>
      <w:marRight w:val="0"/>
      <w:marTop w:val="0"/>
      <w:marBottom w:val="0"/>
      <w:divBdr>
        <w:top w:val="none" w:sz="0" w:space="0" w:color="auto"/>
        <w:left w:val="none" w:sz="0" w:space="0" w:color="auto"/>
        <w:bottom w:val="none" w:sz="0" w:space="0" w:color="auto"/>
        <w:right w:val="none" w:sz="0" w:space="0" w:color="auto"/>
      </w:divBdr>
    </w:div>
    <w:div w:id="144443624">
      <w:bodyDiv w:val="1"/>
      <w:marLeft w:val="0"/>
      <w:marRight w:val="0"/>
      <w:marTop w:val="0"/>
      <w:marBottom w:val="0"/>
      <w:divBdr>
        <w:top w:val="none" w:sz="0" w:space="0" w:color="auto"/>
        <w:left w:val="none" w:sz="0" w:space="0" w:color="auto"/>
        <w:bottom w:val="none" w:sz="0" w:space="0" w:color="auto"/>
        <w:right w:val="none" w:sz="0" w:space="0" w:color="auto"/>
      </w:divBdr>
    </w:div>
    <w:div w:id="144587281">
      <w:bodyDiv w:val="1"/>
      <w:marLeft w:val="0"/>
      <w:marRight w:val="0"/>
      <w:marTop w:val="0"/>
      <w:marBottom w:val="0"/>
      <w:divBdr>
        <w:top w:val="none" w:sz="0" w:space="0" w:color="auto"/>
        <w:left w:val="none" w:sz="0" w:space="0" w:color="auto"/>
        <w:bottom w:val="none" w:sz="0" w:space="0" w:color="auto"/>
        <w:right w:val="none" w:sz="0" w:space="0" w:color="auto"/>
      </w:divBdr>
    </w:div>
    <w:div w:id="144706190">
      <w:bodyDiv w:val="1"/>
      <w:marLeft w:val="0"/>
      <w:marRight w:val="0"/>
      <w:marTop w:val="0"/>
      <w:marBottom w:val="0"/>
      <w:divBdr>
        <w:top w:val="none" w:sz="0" w:space="0" w:color="auto"/>
        <w:left w:val="none" w:sz="0" w:space="0" w:color="auto"/>
        <w:bottom w:val="none" w:sz="0" w:space="0" w:color="auto"/>
        <w:right w:val="none" w:sz="0" w:space="0" w:color="auto"/>
      </w:divBdr>
    </w:div>
    <w:div w:id="145367803">
      <w:bodyDiv w:val="1"/>
      <w:marLeft w:val="0"/>
      <w:marRight w:val="0"/>
      <w:marTop w:val="0"/>
      <w:marBottom w:val="0"/>
      <w:divBdr>
        <w:top w:val="none" w:sz="0" w:space="0" w:color="auto"/>
        <w:left w:val="none" w:sz="0" w:space="0" w:color="auto"/>
        <w:bottom w:val="none" w:sz="0" w:space="0" w:color="auto"/>
        <w:right w:val="none" w:sz="0" w:space="0" w:color="auto"/>
      </w:divBdr>
    </w:div>
    <w:div w:id="147135351">
      <w:bodyDiv w:val="1"/>
      <w:marLeft w:val="0"/>
      <w:marRight w:val="0"/>
      <w:marTop w:val="0"/>
      <w:marBottom w:val="0"/>
      <w:divBdr>
        <w:top w:val="none" w:sz="0" w:space="0" w:color="auto"/>
        <w:left w:val="none" w:sz="0" w:space="0" w:color="auto"/>
        <w:bottom w:val="none" w:sz="0" w:space="0" w:color="auto"/>
        <w:right w:val="none" w:sz="0" w:space="0" w:color="auto"/>
      </w:divBdr>
    </w:div>
    <w:div w:id="147521797">
      <w:bodyDiv w:val="1"/>
      <w:marLeft w:val="0"/>
      <w:marRight w:val="0"/>
      <w:marTop w:val="0"/>
      <w:marBottom w:val="0"/>
      <w:divBdr>
        <w:top w:val="none" w:sz="0" w:space="0" w:color="auto"/>
        <w:left w:val="none" w:sz="0" w:space="0" w:color="auto"/>
        <w:bottom w:val="none" w:sz="0" w:space="0" w:color="auto"/>
        <w:right w:val="none" w:sz="0" w:space="0" w:color="auto"/>
      </w:divBdr>
    </w:div>
    <w:div w:id="152648797">
      <w:bodyDiv w:val="1"/>
      <w:marLeft w:val="0"/>
      <w:marRight w:val="0"/>
      <w:marTop w:val="0"/>
      <w:marBottom w:val="0"/>
      <w:divBdr>
        <w:top w:val="none" w:sz="0" w:space="0" w:color="auto"/>
        <w:left w:val="none" w:sz="0" w:space="0" w:color="auto"/>
        <w:bottom w:val="none" w:sz="0" w:space="0" w:color="auto"/>
        <w:right w:val="none" w:sz="0" w:space="0" w:color="auto"/>
      </w:divBdr>
    </w:div>
    <w:div w:id="153641448">
      <w:bodyDiv w:val="1"/>
      <w:marLeft w:val="0"/>
      <w:marRight w:val="0"/>
      <w:marTop w:val="0"/>
      <w:marBottom w:val="0"/>
      <w:divBdr>
        <w:top w:val="none" w:sz="0" w:space="0" w:color="auto"/>
        <w:left w:val="none" w:sz="0" w:space="0" w:color="auto"/>
        <w:bottom w:val="none" w:sz="0" w:space="0" w:color="auto"/>
        <w:right w:val="none" w:sz="0" w:space="0" w:color="auto"/>
      </w:divBdr>
    </w:div>
    <w:div w:id="158084517">
      <w:bodyDiv w:val="1"/>
      <w:marLeft w:val="0"/>
      <w:marRight w:val="0"/>
      <w:marTop w:val="0"/>
      <w:marBottom w:val="0"/>
      <w:divBdr>
        <w:top w:val="none" w:sz="0" w:space="0" w:color="auto"/>
        <w:left w:val="none" w:sz="0" w:space="0" w:color="auto"/>
        <w:bottom w:val="none" w:sz="0" w:space="0" w:color="auto"/>
        <w:right w:val="none" w:sz="0" w:space="0" w:color="auto"/>
      </w:divBdr>
    </w:div>
    <w:div w:id="158618618">
      <w:bodyDiv w:val="1"/>
      <w:marLeft w:val="0"/>
      <w:marRight w:val="0"/>
      <w:marTop w:val="0"/>
      <w:marBottom w:val="0"/>
      <w:divBdr>
        <w:top w:val="none" w:sz="0" w:space="0" w:color="auto"/>
        <w:left w:val="none" w:sz="0" w:space="0" w:color="auto"/>
        <w:bottom w:val="none" w:sz="0" w:space="0" w:color="auto"/>
        <w:right w:val="none" w:sz="0" w:space="0" w:color="auto"/>
      </w:divBdr>
    </w:div>
    <w:div w:id="160198056">
      <w:bodyDiv w:val="1"/>
      <w:marLeft w:val="0"/>
      <w:marRight w:val="0"/>
      <w:marTop w:val="0"/>
      <w:marBottom w:val="0"/>
      <w:divBdr>
        <w:top w:val="none" w:sz="0" w:space="0" w:color="auto"/>
        <w:left w:val="none" w:sz="0" w:space="0" w:color="auto"/>
        <w:bottom w:val="none" w:sz="0" w:space="0" w:color="auto"/>
        <w:right w:val="none" w:sz="0" w:space="0" w:color="auto"/>
      </w:divBdr>
    </w:div>
    <w:div w:id="160390384">
      <w:bodyDiv w:val="1"/>
      <w:marLeft w:val="0"/>
      <w:marRight w:val="0"/>
      <w:marTop w:val="0"/>
      <w:marBottom w:val="0"/>
      <w:divBdr>
        <w:top w:val="none" w:sz="0" w:space="0" w:color="auto"/>
        <w:left w:val="none" w:sz="0" w:space="0" w:color="auto"/>
        <w:bottom w:val="none" w:sz="0" w:space="0" w:color="auto"/>
        <w:right w:val="none" w:sz="0" w:space="0" w:color="auto"/>
      </w:divBdr>
    </w:div>
    <w:div w:id="160585168">
      <w:bodyDiv w:val="1"/>
      <w:marLeft w:val="0"/>
      <w:marRight w:val="0"/>
      <w:marTop w:val="0"/>
      <w:marBottom w:val="0"/>
      <w:divBdr>
        <w:top w:val="none" w:sz="0" w:space="0" w:color="auto"/>
        <w:left w:val="none" w:sz="0" w:space="0" w:color="auto"/>
        <w:bottom w:val="none" w:sz="0" w:space="0" w:color="auto"/>
        <w:right w:val="none" w:sz="0" w:space="0" w:color="auto"/>
      </w:divBdr>
    </w:div>
    <w:div w:id="161160541">
      <w:bodyDiv w:val="1"/>
      <w:marLeft w:val="0"/>
      <w:marRight w:val="0"/>
      <w:marTop w:val="0"/>
      <w:marBottom w:val="0"/>
      <w:divBdr>
        <w:top w:val="none" w:sz="0" w:space="0" w:color="auto"/>
        <w:left w:val="none" w:sz="0" w:space="0" w:color="auto"/>
        <w:bottom w:val="none" w:sz="0" w:space="0" w:color="auto"/>
        <w:right w:val="none" w:sz="0" w:space="0" w:color="auto"/>
      </w:divBdr>
    </w:div>
    <w:div w:id="161480906">
      <w:bodyDiv w:val="1"/>
      <w:marLeft w:val="0"/>
      <w:marRight w:val="0"/>
      <w:marTop w:val="0"/>
      <w:marBottom w:val="0"/>
      <w:divBdr>
        <w:top w:val="none" w:sz="0" w:space="0" w:color="auto"/>
        <w:left w:val="none" w:sz="0" w:space="0" w:color="auto"/>
        <w:bottom w:val="none" w:sz="0" w:space="0" w:color="auto"/>
        <w:right w:val="none" w:sz="0" w:space="0" w:color="auto"/>
      </w:divBdr>
    </w:div>
    <w:div w:id="161702849">
      <w:bodyDiv w:val="1"/>
      <w:marLeft w:val="0"/>
      <w:marRight w:val="0"/>
      <w:marTop w:val="0"/>
      <w:marBottom w:val="0"/>
      <w:divBdr>
        <w:top w:val="none" w:sz="0" w:space="0" w:color="auto"/>
        <w:left w:val="none" w:sz="0" w:space="0" w:color="auto"/>
        <w:bottom w:val="none" w:sz="0" w:space="0" w:color="auto"/>
        <w:right w:val="none" w:sz="0" w:space="0" w:color="auto"/>
      </w:divBdr>
    </w:div>
    <w:div w:id="161774299">
      <w:bodyDiv w:val="1"/>
      <w:marLeft w:val="0"/>
      <w:marRight w:val="0"/>
      <w:marTop w:val="0"/>
      <w:marBottom w:val="0"/>
      <w:divBdr>
        <w:top w:val="none" w:sz="0" w:space="0" w:color="auto"/>
        <w:left w:val="none" w:sz="0" w:space="0" w:color="auto"/>
        <w:bottom w:val="none" w:sz="0" w:space="0" w:color="auto"/>
        <w:right w:val="none" w:sz="0" w:space="0" w:color="auto"/>
      </w:divBdr>
    </w:div>
    <w:div w:id="162284439">
      <w:bodyDiv w:val="1"/>
      <w:marLeft w:val="0"/>
      <w:marRight w:val="0"/>
      <w:marTop w:val="0"/>
      <w:marBottom w:val="0"/>
      <w:divBdr>
        <w:top w:val="none" w:sz="0" w:space="0" w:color="auto"/>
        <w:left w:val="none" w:sz="0" w:space="0" w:color="auto"/>
        <w:bottom w:val="none" w:sz="0" w:space="0" w:color="auto"/>
        <w:right w:val="none" w:sz="0" w:space="0" w:color="auto"/>
      </w:divBdr>
    </w:div>
    <w:div w:id="164713116">
      <w:bodyDiv w:val="1"/>
      <w:marLeft w:val="0"/>
      <w:marRight w:val="0"/>
      <w:marTop w:val="0"/>
      <w:marBottom w:val="0"/>
      <w:divBdr>
        <w:top w:val="none" w:sz="0" w:space="0" w:color="auto"/>
        <w:left w:val="none" w:sz="0" w:space="0" w:color="auto"/>
        <w:bottom w:val="none" w:sz="0" w:space="0" w:color="auto"/>
        <w:right w:val="none" w:sz="0" w:space="0" w:color="auto"/>
      </w:divBdr>
    </w:div>
    <w:div w:id="165293387">
      <w:bodyDiv w:val="1"/>
      <w:marLeft w:val="0"/>
      <w:marRight w:val="0"/>
      <w:marTop w:val="0"/>
      <w:marBottom w:val="0"/>
      <w:divBdr>
        <w:top w:val="none" w:sz="0" w:space="0" w:color="auto"/>
        <w:left w:val="none" w:sz="0" w:space="0" w:color="auto"/>
        <w:bottom w:val="none" w:sz="0" w:space="0" w:color="auto"/>
        <w:right w:val="none" w:sz="0" w:space="0" w:color="auto"/>
      </w:divBdr>
    </w:div>
    <w:div w:id="166135216">
      <w:bodyDiv w:val="1"/>
      <w:marLeft w:val="0"/>
      <w:marRight w:val="0"/>
      <w:marTop w:val="0"/>
      <w:marBottom w:val="0"/>
      <w:divBdr>
        <w:top w:val="none" w:sz="0" w:space="0" w:color="auto"/>
        <w:left w:val="none" w:sz="0" w:space="0" w:color="auto"/>
        <w:bottom w:val="none" w:sz="0" w:space="0" w:color="auto"/>
        <w:right w:val="none" w:sz="0" w:space="0" w:color="auto"/>
      </w:divBdr>
    </w:div>
    <w:div w:id="170414308">
      <w:bodyDiv w:val="1"/>
      <w:marLeft w:val="0"/>
      <w:marRight w:val="0"/>
      <w:marTop w:val="0"/>
      <w:marBottom w:val="0"/>
      <w:divBdr>
        <w:top w:val="none" w:sz="0" w:space="0" w:color="auto"/>
        <w:left w:val="none" w:sz="0" w:space="0" w:color="auto"/>
        <w:bottom w:val="none" w:sz="0" w:space="0" w:color="auto"/>
        <w:right w:val="none" w:sz="0" w:space="0" w:color="auto"/>
      </w:divBdr>
    </w:div>
    <w:div w:id="170797540">
      <w:bodyDiv w:val="1"/>
      <w:marLeft w:val="0"/>
      <w:marRight w:val="0"/>
      <w:marTop w:val="0"/>
      <w:marBottom w:val="0"/>
      <w:divBdr>
        <w:top w:val="none" w:sz="0" w:space="0" w:color="auto"/>
        <w:left w:val="none" w:sz="0" w:space="0" w:color="auto"/>
        <w:bottom w:val="none" w:sz="0" w:space="0" w:color="auto"/>
        <w:right w:val="none" w:sz="0" w:space="0" w:color="auto"/>
      </w:divBdr>
    </w:div>
    <w:div w:id="171529722">
      <w:bodyDiv w:val="1"/>
      <w:marLeft w:val="0"/>
      <w:marRight w:val="0"/>
      <w:marTop w:val="0"/>
      <w:marBottom w:val="0"/>
      <w:divBdr>
        <w:top w:val="none" w:sz="0" w:space="0" w:color="auto"/>
        <w:left w:val="none" w:sz="0" w:space="0" w:color="auto"/>
        <w:bottom w:val="none" w:sz="0" w:space="0" w:color="auto"/>
        <w:right w:val="none" w:sz="0" w:space="0" w:color="auto"/>
      </w:divBdr>
    </w:div>
    <w:div w:id="173344537">
      <w:bodyDiv w:val="1"/>
      <w:marLeft w:val="0"/>
      <w:marRight w:val="0"/>
      <w:marTop w:val="0"/>
      <w:marBottom w:val="0"/>
      <w:divBdr>
        <w:top w:val="none" w:sz="0" w:space="0" w:color="auto"/>
        <w:left w:val="none" w:sz="0" w:space="0" w:color="auto"/>
        <w:bottom w:val="none" w:sz="0" w:space="0" w:color="auto"/>
        <w:right w:val="none" w:sz="0" w:space="0" w:color="auto"/>
      </w:divBdr>
    </w:div>
    <w:div w:id="174922679">
      <w:bodyDiv w:val="1"/>
      <w:marLeft w:val="0"/>
      <w:marRight w:val="0"/>
      <w:marTop w:val="0"/>
      <w:marBottom w:val="0"/>
      <w:divBdr>
        <w:top w:val="none" w:sz="0" w:space="0" w:color="auto"/>
        <w:left w:val="none" w:sz="0" w:space="0" w:color="auto"/>
        <w:bottom w:val="none" w:sz="0" w:space="0" w:color="auto"/>
        <w:right w:val="none" w:sz="0" w:space="0" w:color="auto"/>
      </w:divBdr>
    </w:div>
    <w:div w:id="174997720">
      <w:bodyDiv w:val="1"/>
      <w:marLeft w:val="0"/>
      <w:marRight w:val="0"/>
      <w:marTop w:val="0"/>
      <w:marBottom w:val="0"/>
      <w:divBdr>
        <w:top w:val="none" w:sz="0" w:space="0" w:color="auto"/>
        <w:left w:val="none" w:sz="0" w:space="0" w:color="auto"/>
        <w:bottom w:val="none" w:sz="0" w:space="0" w:color="auto"/>
        <w:right w:val="none" w:sz="0" w:space="0" w:color="auto"/>
      </w:divBdr>
    </w:div>
    <w:div w:id="175777439">
      <w:bodyDiv w:val="1"/>
      <w:marLeft w:val="0"/>
      <w:marRight w:val="0"/>
      <w:marTop w:val="0"/>
      <w:marBottom w:val="0"/>
      <w:divBdr>
        <w:top w:val="none" w:sz="0" w:space="0" w:color="auto"/>
        <w:left w:val="none" w:sz="0" w:space="0" w:color="auto"/>
        <w:bottom w:val="none" w:sz="0" w:space="0" w:color="auto"/>
        <w:right w:val="none" w:sz="0" w:space="0" w:color="auto"/>
      </w:divBdr>
    </w:div>
    <w:div w:id="176703071">
      <w:bodyDiv w:val="1"/>
      <w:marLeft w:val="0"/>
      <w:marRight w:val="0"/>
      <w:marTop w:val="0"/>
      <w:marBottom w:val="0"/>
      <w:divBdr>
        <w:top w:val="none" w:sz="0" w:space="0" w:color="auto"/>
        <w:left w:val="none" w:sz="0" w:space="0" w:color="auto"/>
        <w:bottom w:val="none" w:sz="0" w:space="0" w:color="auto"/>
        <w:right w:val="none" w:sz="0" w:space="0" w:color="auto"/>
      </w:divBdr>
    </w:div>
    <w:div w:id="177472621">
      <w:bodyDiv w:val="1"/>
      <w:marLeft w:val="0"/>
      <w:marRight w:val="0"/>
      <w:marTop w:val="0"/>
      <w:marBottom w:val="0"/>
      <w:divBdr>
        <w:top w:val="none" w:sz="0" w:space="0" w:color="auto"/>
        <w:left w:val="none" w:sz="0" w:space="0" w:color="auto"/>
        <w:bottom w:val="none" w:sz="0" w:space="0" w:color="auto"/>
        <w:right w:val="none" w:sz="0" w:space="0" w:color="auto"/>
      </w:divBdr>
    </w:div>
    <w:div w:id="178979888">
      <w:bodyDiv w:val="1"/>
      <w:marLeft w:val="0"/>
      <w:marRight w:val="0"/>
      <w:marTop w:val="0"/>
      <w:marBottom w:val="0"/>
      <w:divBdr>
        <w:top w:val="none" w:sz="0" w:space="0" w:color="auto"/>
        <w:left w:val="none" w:sz="0" w:space="0" w:color="auto"/>
        <w:bottom w:val="none" w:sz="0" w:space="0" w:color="auto"/>
        <w:right w:val="none" w:sz="0" w:space="0" w:color="auto"/>
      </w:divBdr>
    </w:div>
    <w:div w:id="179898636">
      <w:bodyDiv w:val="1"/>
      <w:marLeft w:val="0"/>
      <w:marRight w:val="0"/>
      <w:marTop w:val="0"/>
      <w:marBottom w:val="0"/>
      <w:divBdr>
        <w:top w:val="none" w:sz="0" w:space="0" w:color="auto"/>
        <w:left w:val="none" w:sz="0" w:space="0" w:color="auto"/>
        <w:bottom w:val="none" w:sz="0" w:space="0" w:color="auto"/>
        <w:right w:val="none" w:sz="0" w:space="0" w:color="auto"/>
      </w:divBdr>
    </w:div>
    <w:div w:id="180244261">
      <w:bodyDiv w:val="1"/>
      <w:marLeft w:val="0"/>
      <w:marRight w:val="0"/>
      <w:marTop w:val="0"/>
      <w:marBottom w:val="0"/>
      <w:divBdr>
        <w:top w:val="none" w:sz="0" w:space="0" w:color="auto"/>
        <w:left w:val="none" w:sz="0" w:space="0" w:color="auto"/>
        <w:bottom w:val="none" w:sz="0" w:space="0" w:color="auto"/>
        <w:right w:val="none" w:sz="0" w:space="0" w:color="auto"/>
      </w:divBdr>
    </w:div>
    <w:div w:id="180780715">
      <w:bodyDiv w:val="1"/>
      <w:marLeft w:val="0"/>
      <w:marRight w:val="0"/>
      <w:marTop w:val="0"/>
      <w:marBottom w:val="0"/>
      <w:divBdr>
        <w:top w:val="none" w:sz="0" w:space="0" w:color="auto"/>
        <w:left w:val="none" w:sz="0" w:space="0" w:color="auto"/>
        <w:bottom w:val="none" w:sz="0" w:space="0" w:color="auto"/>
        <w:right w:val="none" w:sz="0" w:space="0" w:color="auto"/>
      </w:divBdr>
    </w:div>
    <w:div w:id="181746892">
      <w:bodyDiv w:val="1"/>
      <w:marLeft w:val="0"/>
      <w:marRight w:val="0"/>
      <w:marTop w:val="0"/>
      <w:marBottom w:val="0"/>
      <w:divBdr>
        <w:top w:val="none" w:sz="0" w:space="0" w:color="auto"/>
        <w:left w:val="none" w:sz="0" w:space="0" w:color="auto"/>
        <w:bottom w:val="none" w:sz="0" w:space="0" w:color="auto"/>
        <w:right w:val="none" w:sz="0" w:space="0" w:color="auto"/>
      </w:divBdr>
    </w:div>
    <w:div w:id="183792332">
      <w:bodyDiv w:val="1"/>
      <w:marLeft w:val="0"/>
      <w:marRight w:val="0"/>
      <w:marTop w:val="0"/>
      <w:marBottom w:val="0"/>
      <w:divBdr>
        <w:top w:val="none" w:sz="0" w:space="0" w:color="auto"/>
        <w:left w:val="none" w:sz="0" w:space="0" w:color="auto"/>
        <w:bottom w:val="none" w:sz="0" w:space="0" w:color="auto"/>
        <w:right w:val="none" w:sz="0" w:space="0" w:color="auto"/>
      </w:divBdr>
    </w:div>
    <w:div w:id="184365762">
      <w:bodyDiv w:val="1"/>
      <w:marLeft w:val="0"/>
      <w:marRight w:val="0"/>
      <w:marTop w:val="0"/>
      <w:marBottom w:val="0"/>
      <w:divBdr>
        <w:top w:val="none" w:sz="0" w:space="0" w:color="auto"/>
        <w:left w:val="none" w:sz="0" w:space="0" w:color="auto"/>
        <w:bottom w:val="none" w:sz="0" w:space="0" w:color="auto"/>
        <w:right w:val="none" w:sz="0" w:space="0" w:color="auto"/>
      </w:divBdr>
    </w:div>
    <w:div w:id="185489204">
      <w:bodyDiv w:val="1"/>
      <w:marLeft w:val="0"/>
      <w:marRight w:val="0"/>
      <w:marTop w:val="0"/>
      <w:marBottom w:val="0"/>
      <w:divBdr>
        <w:top w:val="none" w:sz="0" w:space="0" w:color="auto"/>
        <w:left w:val="none" w:sz="0" w:space="0" w:color="auto"/>
        <w:bottom w:val="none" w:sz="0" w:space="0" w:color="auto"/>
        <w:right w:val="none" w:sz="0" w:space="0" w:color="auto"/>
      </w:divBdr>
    </w:div>
    <w:div w:id="186337501">
      <w:bodyDiv w:val="1"/>
      <w:marLeft w:val="0"/>
      <w:marRight w:val="0"/>
      <w:marTop w:val="0"/>
      <w:marBottom w:val="0"/>
      <w:divBdr>
        <w:top w:val="none" w:sz="0" w:space="0" w:color="auto"/>
        <w:left w:val="none" w:sz="0" w:space="0" w:color="auto"/>
        <w:bottom w:val="none" w:sz="0" w:space="0" w:color="auto"/>
        <w:right w:val="none" w:sz="0" w:space="0" w:color="auto"/>
      </w:divBdr>
    </w:div>
    <w:div w:id="186873065">
      <w:bodyDiv w:val="1"/>
      <w:marLeft w:val="0"/>
      <w:marRight w:val="0"/>
      <w:marTop w:val="0"/>
      <w:marBottom w:val="0"/>
      <w:divBdr>
        <w:top w:val="none" w:sz="0" w:space="0" w:color="auto"/>
        <w:left w:val="none" w:sz="0" w:space="0" w:color="auto"/>
        <w:bottom w:val="none" w:sz="0" w:space="0" w:color="auto"/>
        <w:right w:val="none" w:sz="0" w:space="0" w:color="auto"/>
      </w:divBdr>
    </w:div>
    <w:div w:id="191262868">
      <w:bodyDiv w:val="1"/>
      <w:marLeft w:val="0"/>
      <w:marRight w:val="0"/>
      <w:marTop w:val="0"/>
      <w:marBottom w:val="0"/>
      <w:divBdr>
        <w:top w:val="none" w:sz="0" w:space="0" w:color="auto"/>
        <w:left w:val="none" w:sz="0" w:space="0" w:color="auto"/>
        <w:bottom w:val="none" w:sz="0" w:space="0" w:color="auto"/>
        <w:right w:val="none" w:sz="0" w:space="0" w:color="auto"/>
      </w:divBdr>
    </w:div>
    <w:div w:id="192350060">
      <w:bodyDiv w:val="1"/>
      <w:marLeft w:val="0"/>
      <w:marRight w:val="0"/>
      <w:marTop w:val="0"/>
      <w:marBottom w:val="0"/>
      <w:divBdr>
        <w:top w:val="none" w:sz="0" w:space="0" w:color="auto"/>
        <w:left w:val="none" w:sz="0" w:space="0" w:color="auto"/>
        <w:bottom w:val="none" w:sz="0" w:space="0" w:color="auto"/>
        <w:right w:val="none" w:sz="0" w:space="0" w:color="auto"/>
      </w:divBdr>
    </w:div>
    <w:div w:id="192690831">
      <w:bodyDiv w:val="1"/>
      <w:marLeft w:val="0"/>
      <w:marRight w:val="0"/>
      <w:marTop w:val="0"/>
      <w:marBottom w:val="0"/>
      <w:divBdr>
        <w:top w:val="none" w:sz="0" w:space="0" w:color="auto"/>
        <w:left w:val="none" w:sz="0" w:space="0" w:color="auto"/>
        <w:bottom w:val="none" w:sz="0" w:space="0" w:color="auto"/>
        <w:right w:val="none" w:sz="0" w:space="0" w:color="auto"/>
      </w:divBdr>
    </w:div>
    <w:div w:id="194586236">
      <w:bodyDiv w:val="1"/>
      <w:marLeft w:val="0"/>
      <w:marRight w:val="0"/>
      <w:marTop w:val="0"/>
      <w:marBottom w:val="0"/>
      <w:divBdr>
        <w:top w:val="none" w:sz="0" w:space="0" w:color="auto"/>
        <w:left w:val="none" w:sz="0" w:space="0" w:color="auto"/>
        <w:bottom w:val="none" w:sz="0" w:space="0" w:color="auto"/>
        <w:right w:val="none" w:sz="0" w:space="0" w:color="auto"/>
      </w:divBdr>
    </w:div>
    <w:div w:id="195319551">
      <w:bodyDiv w:val="1"/>
      <w:marLeft w:val="0"/>
      <w:marRight w:val="0"/>
      <w:marTop w:val="0"/>
      <w:marBottom w:val="0"/>
      <w:divBdr>
        <w:top w:val="none" w:sz="0" w:space="0" w:color="auto"/>
        <w:left w:val="none" w:sz="0" w:space="0" w:color="auto"/>
        <w:bottom w:val="none" w:sz="0" w:space="0" w:color="auto"/>
        <w:right w:val="none" w:sz="0" w:space="0" w:color="auto"/>
      </w:divBdr>
    </w:div>
    <w:div w:id="197011736">
      <w:bodyDiv w:val="1"/>
      <w:marLeft w:val="0"/>
      <w:marRight w:val="0"/>
      <w:marTop w:val="0"/>
      <w:marBottom w:val="0"/>
      <w:divBdr>
        <w:top w:val="none" w:sz="0" w:space="0" w:color="auto"/>
        <w:left w:val="none" w:sz="0" w:space="0" w:color="auto"/>
        <w:bottom w:val="none" w:sz="0" w:space="0" w:color="auto"/>
        <w:right w:val="none" w:sz="0" w:space="0" w:color="auto"/>
      </w:divBdr>
    </w:div>
    <w:div w:id="197083061">
      <w:bodyDiv w:val="1"/>
      <w:marLeft w:val="0"/>
      <w:marRight w:val="0"/>
      <w:marTop w:val="0"/>
      <w:marBottom w:val="0"/>
      <w:divBdr>
        <w:top w:val="none" w:sz="0" w:space="0" w:color="auto"/>
        <w:left w:val="none" w:sz="0" w:space="0" w:color="auto"/>
        <w:bottom w:val="none" w:sz="0" w:space="0" w:color="auto"/>
        <w:right w:val="none" w:sz="0" w:space="0" w:color="auto"/>
      </w:divBdr>
    </w:div>
    <w:div w:id="197595638">
      <w:bodyDiv w:val="1"/>
      <w:marLeft w:val="0"/>
      <w:marRight w:val="0"/>
      <w:marTop w:val="0"/>
      <w:marBottom w:val="0"/>
      <w:divBdr>
        <w:top w:val="none" w:sz="0" w:space="0" w:color="auto"/>
        <w:left w:val="none" w:sz="0" w:space="0" w:color="auto"/>
        <w:bottom w:val="none" w:sz="0" w:space="0" w:color="auto"/>
        <w:right w:val="none" w:sz="0" w:space="0" w:color="auto"/>
      </w:divBdr>
    </w:div>
    <w:div w:id="198251476">
      <w:bodyDiv w:val="1"/>
      <w:marLeft w:val="0"/>
      <w:marRight w:val="0"/>
      <w:marTop w:val="0"/>
      <w:marBottom w:val="0"/>
      <w:divBdr>
        <w:top w:val="none" w:sz="0" w:space="0" w:color="auto"/>
        <w:left w:val="none" w:sz="0" w:space="0" w:color="auto"/>
        <w:bottom w:val="none" w:sz="0" w:space="0" w:color="auto"/>
        <w:right w:val="none" w:sz="0" w:space="0" w:color="auto"/>
      </w:divBdr>
    </w:div>
    <w:div w:id="198587086">
      <w:bodyDiv w:val="1"/>
      <w:marLeft w:val="0"/>
      <w:marRight w:val="0"/>
      <w:marTop w:val="0"/>
      <w:marBottom w:val="0"/>
      <w:divBdr>
        <w:top w:val="none" w:sz="0" w:space="0" w:color="auto"/>
        <w:left w:val="none" w:sz="0" w:space="0" w:color="auto"/>
        <w:bottom w:val="none" w:sz="0" w:space="0" w:color="auto"/>
        <w:right w:val="none" w:sz="0" w:space="0" w:color="auto"/>
      </w:divBdr>
    </w:div>
    <w:div w:id="198594136">
      <w:bodyDiv w:val="1"/>
      <w:marLeft w:val="0"/>
      <w:marRight w:val="0"/>
      <w:marTop w:val="0"/>
      <w:marBottom w:val="0"/>
      <w:divBdr>
        <w:top w:val="none" w:sz="0" w:space="0" w:color="auto"/>
        <w:left w:val="none" w:sz="0" w:space="0" w:color="auto"/>
        <w:bottom w:val="none" w:sz="0" w:space="0" w:color="auto"/>
        <w:right w:val="none" w:sz="0" w:space="0" w:color="auto"/>
      </w:divBdr>
    </w:div>
    <w:div w:id="198671043">
      <w:bodyDiv w:val="1"/>
      <w:marLeft w:val="0"/>
      <w:marRight w:val="0"/>
      <w:marTop w:val="0"/>
      <w:marBottom w:val="0"/>
      <w:divBdr>
        <w:top w:val="none" w:sz="0" w:space="0" w:color="auto"/>
        <w:left w:val="none" w:sz="0" w:space="0" w:color="auto"/>
        <w:bottom w:val="none" w:sz="0" w:space="0" w:color="auto"/>
        <w:right w:val="none" w:sz="0" w:space="0" w:color="auto"/>
      </w:divBdr>
    </w:div>
    <w:div w:id="199629215">
      <w:bodyDiv w:val="1"/>
      <w:marLeft w:val="0"/>
      <w:marRight w:val="0"/>
      <w:marTop w:val="0"/>
      <w:marBottom w:val="0"/>
      <w:divBdr>
        <w:top w:val="none" w:sz="0" w:space="0" w:color="auto"/>
        <w:left w:val="none" w:sz="0" w:space="0" w:color="auto"/>
        <w:bottom w:val="none" w:sz="0" w:space="0" w:color="auto"/>
        <w:right w:val="none" w:sz="0" w:space="0" w:color="auto"/>
      </w:divBdr>
    </w:div>
    <w:div w:id="201404644">
      <w:bodyDiv w:val="1"/>
      <w:marLeft w:val="0"/>
      <w:marRight w:val="0"/>
      <w:marTop w:val="0"/>
      <w:marBottom w:val="0"/>
      <w:divBdr>
        <w:top w:val="none" w:sz="0" w:space="0" w:color="auto"/>
        <w:left w:val="none" w:sz="0" w:space="0" w:color="auto"/>
        <w:bottom w:val="none" w:sz="0" w:space="0" w:color="auto"/>
        <w:right w:val="none" w:sz="0" w:space="0" w:color="auto"/>
      </w:divBdr>
    </w:div>
    <w:div w:id="202444819">
      <w:bodyDiv w:val="1"/>
      <w:marLeft w:val="0"/>
      <w:marRight w:val="0"/>
      <w:marTop w:val="0"/>
      <w:marBottom w:val="0"/>
      <w:divBdr>
        <w:top w:val="none" w:sz="0" w:space="0" w:color="auto"/>
        <w:left w:val="none" w:sz="0" w:space="0" w:color="auto"/>
        <w:bottom w:val="none" w:sz="0" w:space="0" w:color="auto"/>
        <w:right w:val="none" w:sz="0" w:space="0" w:color="auto"/>
      </w:divBdr>
    </w:div>
    <w:div w:id="204174130">
      <w:bodyDiv w:val="1"/>
      <w:marLeft w:val="0"/>
      <w:marRight w:val="0"/>
      <w:marTop w:val="0"/>
      <w:marBottom w:val="0"/>
      <w:divBdr>
        <w:top w:val="none" w:sz="0" w:space="0" w:color="auto"/>
        <w:left w:val="none" w:sz="0" w:space="0" w:color="auto"/>
        <w:bottom w:val="none" w:sz="0" w:space="0" w:color="auto"/>
        <w:right w:val="none" w:sz="0" w:space="0" w:color="auto"/>
      </w:divBdr>
    </w:div>
    <w:div w:id="206337655">
      <w:bodyDiv w:val="1"/>
      <w:marLeft w:val="0"/>
      <w:marRight w:val="0"/>
      <w:marTop w:val="0"/>
      <w:marBottom w:val="0"/>
      <w:divBdr>
        <w:top w:val="none" w:sz="0" w:space="0" w:color="auto"/>
        <w:left w:val="none" w:sz="0" w:space="0" w:color="auto"/>
        <w:bottom w:val="none" w:sz="0" w:space="0" w:color="auto"/>
        <w:right w:val="none" w:sz="0" w:space="0" w:color="auto"/>
      </w:divBdr>
    </w:div>
    <w:div w:id="206770350">
      <w:bodyDiv w:val="1"/>
      <w:marLeft w:val="0"/>
      <w:marRight w:val="0"/>
      <w:marTop w:val="0"/>
      <w:marBottom w:val="0"/>
      <w:divBdr>
        <w:top w:val="none" w:sz="0" w:space="0" w:color="auto"/>
        <w:left w:val="none" w:sz="0" w:space="0" w:color="auto"/>
        <w:bottom w:val="none" w:sz="0" w:space="0" w:color="auto"/>
        <w:right w:val="none" w:sz="0" w:space="0" w:color="auto"/>
      </w:divBdr>
    </w:div>
    <w:div w:id="207189819">
      <w:bodyDiv w:val="1"/>
      <w:marLeft w:val="0"/>
      <w:marRight w:val="0"/>
      <w:marTop w:val="0"/>
      <w:marBottom w:val="0"/>
      <w:divBdr>
        <w:top w:val="none" w:sz="0" w:space="0" w:color="auto"/>
        <w:left w:val="none" w:sz="0" w:space="0" w:color="auto"/>
        <w:bottom w:val="none" w:sz="0" w:space="0" w:color="auto"/>
        <w:right w:val="none" w:sz="0" w:space="0" w:color="auto"/>
      </w:divBdr>
    </w:div>
    <w:div w:id="207451758">
      <w:bodyDiv w:val="1"/>
      <w:marLeft w:val="0"/>
      <w:marRight w:val="0"/>
      <w:marTop w:val="0"/>
      <w:marBottom w:val="0"/>
      <w:divBdr>
        <w:top w:val="none" w:sz="0" w:space="0" w:color="auto"/>
        <w:left w:val="none" w:sz="0" w:space="0" w:color="auto"/>
        <w:bottom w:val="none" w:sz="0" w:space="0" w:color="auto"/>
        <w:right w:val="none" w:sz="0" w:space="0" w:color="auto"/>
      </w:divBdr>
    </w:div>
    <w:div w:id="208229846">
      <w:bodyDiv w:val="1"/>
      <w:marLeft w:val="0"/>
      <w:marRight w:val="0"/>
      <w:marTop w:val="0"/>
      <w:marBottom w:val="0"/>
      <w:divBdr>
        <w:top w:val="none" w:sz="0" w:space="0" w:color="auto"/>
        <w:left w:val="none" w:sz="0" w:space="0" w:color="auto"/>
        <w:bottom w:val="none" w:sz="0" w:space="0" w:color="auto"/>
        <w:right w:val="none" w:sz="0" w:space="0" w:color="auto"/>
      </w:divBdr>
    </w:div>
    <w:div w:id="208347153">
      <w:bodyDiv w:val="1"/>
      <w:marLeft w:val="0"/>
      <w:marRight w:val="0"/>
      <w:marTop w:val="0"/>
      <w:marBottom w:val="0"/>
      <w:divBdr>
        <w:top w:val="none" w:sz="0" w:space="0" w:color="auto"/>
        <w:left w:val="none" w:sz="0" w:space="0" w:color="auto"/>
        <w:bottom w:val="none" w:sz="0" w:space="0" w:color="auto"/>
        <w:right w:val="none" w:sz="0" w:space="0" w:color="auto"/>
      </w:divBdr>
    </w:div>
    <w:div w:id="208686933">
      <w:bodyDiv w:val="1"/>
      <w:marLeft w:val="0"/>
      <w:marRight w:val="0"/>
      <w:marTop w:val="0"/>
      <w:marBottom w:val="0"/>
      <w:divBdr>
        <w:top w:val="none" w:sz="0" w:space="0" w:color="auto"/>
        <w:left w:val="none" w:sz="0" w:space="0" w:color="auto"/>
        <w:bottom w:val="none" w:sz="0" w:space="0" w:color="auto"/>
        <w:right w:val="none" w:sz="0" w:space="0" w:color="auto"/>
      </w:divBdr>
    </w:div>
    <w:div w:id="209002623">
      <w:bodyDiv w:val="1"/>
      <w:marLeft w:val="0"/>
      <w:marRight w:val="0"/>
      <w:marTop w:val="0"/>
      <w:marBottom w:val="0"/>
      <w:divBdr>
        <w:top w:val="none" w:sz="0" w:space="0" w:color="auto"/>
        <w:left w:val="none" w:sz="0" w:space="0" w:color="auto"/>
        <w:bottom w:val="none" w:sz="0" w:space="0" w:color="auto"/>
        <w:right w:val="none" w:sz="0" w:space="0" w:color="auto"/>
      </w:divBdr>
    </w:div>
    <w:div w:id="211697324">
      <w:bodyDiv w:val="1"/>
      <w:marLeft w:val="0"/>
      <w:marRight w:val="0"/>
      <w:marTop w:val="0"/>
      <w:marBottom w:val="0"/>
      <w:divBdr>
        <w:top w:val="none" w:sz="0" w:space="0" w:color="auto"/>
        <w:left w:val="none" w:sz="0" w:space="0" w:color="auto"/>
        <w:bottom w:val="none" w:sz="0" w:space="0" w:color="auto"/>
        <w:right w:val="none" w:sz="0" w:space="0" w:color="auto"/>
      </w:divBdr>
    </w:div>
    <w:div w:id="214047023">
      <w:bodyDiv w:val="1"/>
      <w:marLeft w:val="0"/>
      <w:marRight w:val="0"/>
      <w:marTop w:val="0"/>
      <w:marBottom w:val="0"/>
      <w:divBdr>
        <w:top w:val="none" w:sz="0" w:space="0" w:color="auto"/>
        <w:left w:val="none" w:sz="0" w:space="0" w:color="auto"/>
        <w:bottom w:val="none" w:sz="0" w:space="0" w:color="auto"/>
        <w:right w:val="none" w:sz="0" w:space="0" w:color="auto"/>
      </w:divBdr>
    </w:div>
    <w:div w:id="214897913">
      <w:bodyDiv w:val="1"/>
      <w:marLeft w:val="0"/>
      <w:marRight w:val="0"/>
      <w:marTop w:val="0"/>
      <w:marBottom w:val="0"/>
      <w:divBdr>
        <w:top w:val="none" w:sz="0" w:space="0" w:color="auto"/>
        <w:left w:val="none" w:sz="0" w:space="0" w:color="auto"/>
        <w:bottom w:val="none" w:sz="0" w:space="0" w:color="auto"/>
        <w:right w:val="none" w:sz="0" w:space="0" w:color="auto"/>
      </w:divBdr>
    </w:div>
    <w:div w:id="216472247">
      <w:bodyDiv w:val="1"/>
      <w:marLeft w:val="0"/>
      <w:marRight w:val="0"/>
      <w:marTop w:val="0"/>
      <w:marBottom w:val="0"/>
      <w:divBdr>
        <w:top w:val="none" w:sz="0" w:space="0" w:color="auto"/>
        <w:left w:val="none" w:sz="0" w:space="0" w:color="auto"/>
        <w:bottom w:val="none" w:sz="0" w:space="0" w:color="auto"/>
        <w:right w:val="none" w:sz="0" w:space="0" w:color="auto"/>
      </w:divBdr>
    </w:div>
    <w:div w:id="221410326">
      <w:bodyDiv w:val="1"/>
      <w:marLeft w:val="0"/>
      <w:marRight w:val="0"/>
      <w:marTop w:val="0"/>
      <w:marBottom w:val="0"/>
      <w:divBdr>
        <w:top w:val="none" w:sz="0" w:space="0" w:color="auto"/>
        <w:left w:val="none" w:sz="0" w:space="0" w:color="auto"/>
        <w:bottom w:val="none" w:sz="0" w:space="0" w:color="auto"/>
        <w:right w:val="none" w:sz="0" w:space="0" w:color="auto"/>
      </w:divBdr>
    </w:div>
    <w:div w:id="221985811">
      <w:bodyDiv w:val="1"/>
      <w:marLeft w:val="0"/>
      <w:marRight w:val="0"/>
      <w:marTop w:val="0"/>
      <w:marBottom w:val="0"/>
      <w:divBdr>
        <w:top w:val="none" w:sz="0" w:space="0" w:color="auto"/>
        <w:left w:val="none" w:sz="0" w:space="0" w:color="auto"/>
        <w:bottom w:val="none" w:sz="0" w:space="0" w:color="auto"/>
        <w:right w:val="none" w:sz="0" w:space="0" w:color="auto"/>
      </w:divBdr>
    </w:div>
    <w:div w:id="222914641">
      <w:bodyDiv w:val="1"/>
      <w:marLeft w:val="0"/>
      <w:marRight w:val="0"/>
      <w:marTop w:val="0"/>
      <w:marBottom w:val="0"/>
      <w:divBdr>
        <w:top w:val="none" w:sz="0" w:space="0" w:color="auto"/>
        <w:left w:val="none" w:sz="0" w:space="0" w:color="auto"/>
        <w:bottom w:val="none" w:sz="0" w:space="0" w:color="auto"/>
        <w:right w:val="none" w:sz="0" w:space="0" w:color="auto"/>
      </w:divBdr>
    </w:div>
    <w:div w:id="223416179">
      <w:bodyDiv w:val="1"/>
      <w:marLeft w:val="0"/>
      <w:marRight w:val="0"/>
      <w:marTop w:val="0"/>
      <w:marBottom w:val="0"/>
      <w:divBdr>
        <w:top w:val="none" w:sz="0" w:space="0" w:color="auto"/>
        <w:left w:val="none" w:sz="0" w:space="0" w:color="auto"/>
        <w:bottom w:val="none" w:sz="0" w:space="0" w:color="auto"/>
        <w:right w:val="none" w:sz="0" w:space="0" w:color="auto"/>
      </w:divBdr>
    </w:div>
    <w:div w:id="223881302">
      <w:bodyDiv w:val="1"/>
      <w:marLeft w:val="0"/>
      <w:marRight w:val="0"/>
      <w:marTop w:val="0"/>
      <w:marBottom w:val="0"/>
      <w:divBdr>
        <w:top w:val="none" w:sz="0" w:space="0" w:color="auto"/>
        <w:left w:val="none" w:sz="0" w:space="0" w:color="auto"/>
        <w:bottom w:val="none" w:sz="0" w:space="0" w:color="auto"/>
        <w:right w:val="none" w:sz="0" w:space="0" w:color="auto"/>
      </w:divBdr>
    </w:div>
    <w:div w:id="224024590">
      <w:bodyDiv w:val="1"/>
      <w:marLeft w:val="0"/>
      <w:marRight w:val="0"/>
      <w:marTop w:val="0"/>
      <w:marBottom w:val="0"/>
      <w:divBdr>
        <w:top w:val="none" w:sz="0" w:space="0" w:color="auto"/>
        <w:left w:val="none" w:sz="0" w:space="0" w:color="auto"/>
        <w:bottom w:val="none" w:sz="0" w:space="0" w:color="auto"/>
        <w:right w:val="none" w:sz="0" w:space="0" w:color="auto"/>
      </w:divBdr>
    </w:div>
    <w:div w:id="224685639">
      <w:bodyDiv w:val="1"/>
      <w:marLeft w:val="0"/>
      <w:marRight w:val="0"/>
      <w:marTop w:val="0"/>
      <w:marBottom w:val="0"/>
      <w:divBdr>
        <w:top w:val="none" w:sz="0" w:space="0" w:color="auto"/>
        <w:left w:val="none" w:sz="0" w:space="0" w:color="auto"/>
        <w:bottom w:val="none" w:sz="0" w:space="0" w:color="auto"/>
        <w:right w:val="none" w:sz="0" w:space="0" w:color="auto"/>
      </w:divBdr>
    </w:div>
    <w:div w:id="224877448">
      <w:bodyDiv w:val="1"/>
      <w:marLeft w:val="0"/>
      <w:marRight w:val="0"/>
      <w:marTop w:val="0"/>
      <w:marBottom w:val="0"/>
      <w:divBdr>
        <w:top w:val="none" w:sz="0" w:space="0" w:color="auto"/>
        <w:left w:val="none" w:sz="0" w:space="0" w:color="auto"/>
        <w:bottom w:val="none" w:sz="0" w:space="0" w:color="auto"/>
        <w:right w:val="none" w:sz="0" w:space="0" w:color="auto"/>
      </w:divBdr>
    </w:div>
    <w:div w:id="227424639">
      <w:bodyDiv w:val="1"/>
      <w:marLeft w:val="0"/>
      <w:marRight w:val="0"/>
      <w:marTop w:val="0"/>
      <w:marBottom w:val="0"/>
      <w:divBdr>
        <w:top w:val="none" w:sz="0" w:space="0" w:color="auto"/>
        <w:left w:val="none" w:sz="0" w:space="0" w:color="auto"/>
        <w:bottom w:val="none" w:sz="0" w:space="0" w:color="auto"/>
        <w:right w:val="none" w:sz="0" w:space="0" w:color="auto"/>
      </w:divBdr>
    </w:div>
    <w:div w:id="228227546">
      <w:bodyDiv w:val="1"/>
      <w:marLeft w:val="0"/>
      <w:marRight w:val="0"/>
      <w:marTop w:val="0"/>
      <w:marBottom w:val="0"/>
      <w:divBdr>
        <w:top w:val="none" w:sz="0" w:space="0" w:color="auto"/>
        <w:left w:val="none" w:sz="0" w:space="0" w:color="auto"/>
        <w:bottom w:val="none" w:sz="0" w:space="0" w:color="auto"/>
        <w:right w:val="none" w:sz="0" w:space="0" w:color="auto"/>
      </w:divBdr>
    </w:div>
    <w:div w:id="228351751">
      <w:bodyDiv w:val="1"/>
      <w:marLeft w:val="0"/>
      <w:marRight w:val="0"/>
      <w:marTop w:val="0"/>
      <w:marBottom w:val="0"/>
      <w:divBdr>
        <w:top w:val="none" w:sz="0" w:space="0" w:color="auto"/>
        <w:left w:val="none" w:sz="0" w:space="0" w:color="auto"/>
        <w:bottom w:val="none" w:sz="0" w:space="0" w:color="auto"/>
        <w:right w:val="none" w:sz="0" w:space="0" w:color="auto"/>
      </w:divBdr>
    </w:div>
    <w:div w:id="228736987">
      <w:bodyDiv w:val="1"/>
      <w:marLeft w:val="0"/>
      <w:marRight w:val="0"/>
      <w:marTop w:val="0"/>
      <w:marBottom w:val="0"/>
      <w:divBdr>
        <w:top w:val="none" w:sz="0" w:space="0" w:color="auto"/>
        <w:left w:val="none" w:sz="0" w:space="0" w:color="auto"/>
        <w:bottom w:val="none" w:sz="0" w:space="0" w:color="auto"/>
        <w:right w:val="none" w:sz="0" w:space="0" w:color="auto"/>
      </w:divBdr>
    </w:div>
    <w:div w:id="229383988">
      <w:bodyDiv w:val="1"/>
      <w:marLeft w:val="0"/>
      <w:marRight w:val="0"/>
      <w:marTop w:val="0"/>
      <w:marBottom w:val="0"/>
      <w:divBdr>
        <w:top w:val="none" w:sz="0" w:space="0" w:color="auto"/>
        <w:left w:val="none" w:sz="0" w:space="0" w:color="auto"/>
        <w:bottom w:val="none" w:sz="0" w:space="0" w:color="auto"/>
        <w:right w:val="none" w:sz="0" w:space="0" w:color="auto"/>
      </w:divBdr>
    </w:div>
    <w:div w:id="229391638">
      <w:bodyDiv w:val="1"/>
      <w:marLeft w:val="0"/>
      <w:marRight w:val="0"/>
      <w:marTop w:val="0"/>
      <w:marBottom w:val="0"/>
      <w:divBdr>
        <w:top w:val="none" w:sz="0" w:space="0" w:color="auto"/>
        <w:left w:val="none" w:sz="0" w:space="0" w:color="auto"/>
        <w:bottom w:val="none" w:sz="0" w:space="0" w:color="auto"/>
        <w:right w:val="none" w:sz="0" w:space="0" w:color="auto"/>
      </w:divBdr>
    </w:div>
    <w:div w:id="236745104">
      <w:bodyDiv w:val="1"/>
      <w:marLeft w:val="0"/>
      <w:marRight w:val="0"/>
      <w:marTop w:val="0"/>
      <w:marBottom w:val="0"/>
      <w:divBdr>
        <w:top w:val="none" w:sz="0" w:space="0" w:color="auto"/>
        <w:left w:val="none" w:sz="0" w:space="0" w:color="auto"/>
        <w:bottom w:val="none" w:sz="0" w:space="0" w:color="auto"/>
        <w:right w:val="none" w:sz="0" w:space="0" w:color="auto"/>
      </w:divBdr>
    </w:div>
    <w:div w:id="237978107">
      <w:bodyDiv w:val="1"/>
      <w:marLeft w:val="0"/>
      <w:marRight w:val="0"/>
      <w:marTop w:val="0"/>
      <w:marBottom w:val="0"/>
      <w:divBdr>
        <w:top w:val="none" w:sz="0" w:space="0" w:color="auto"/>
        <w:left w:val="none" w:sz="0" w:space="0" w:color="auto"/>
        <w:bottom w:val="none" w:sz="0" w:space="0" w:color="auto"/>
        <w:right w:val="none" w:sz="0" w:space="0" w:color="auto"/>
      </w:divBdr>
    </w:div>
    <w:div w:id="238028145">
      <w:bodyDiv w:val="1"/>
      <w:marLeft w:val="0"/>
      <w:marRight w:val="0"/>
      <w:marTop w:val="0"/>
      <w:marBottom w:val="0"/>
      <w:divBdr>
        <w:top w:val="none" w:sz="0" w:space="0" w:color="auto"/>
        <w:left w:val="none" w:sz="0" w:space="0" w:color="auto"/>
        <w:bottom w:val="none" w:sz="0" w:space="0" w:color="auto"/>
        <w:right w:val="none" w:sz="0" w:space="0" w:color="auto"/>
      </w:divBdr>
    </w:div>
    <w:div w:id="238247894">
      <w:bodyDiv w:val="1"/>
      <w:marLeft w:val="0"/>
      <w:marRight w:val="0"/>
      <w:marTop w:val="0"/>
      <w:marBottom w:val="0"/>
      <w:divBdr>
        <w:top w:val="none" w:sz="0" w:space="0" w:color="auto"/>
        <w:left w:val="none" w:sz="0" w:space="0" w:color="auto"/>
        <w:bottom w:val="none" w:sz="0" w:space="0" w:color="auto"/>
        <w:right w:val="none" w:sz="0" w:space="0" w:color="auto"/>
      </w:divBdr>
    </w:div>
    <w:div w:id="240405824">
      <w:bodyDiv w:val="1"/>
      <w:marLeft w:val="0"/>
      <w:marRight w:val="0"/>
      <w:marTop w:val="0"/>
      <w:marBottom w:val="0"/>
      <w:divBdr>
        <w:top w:val="none" w:sz="0" w:space="0" w:color="auto"/>
        <w:left w:val="none" w:sz="0" w:space="0" w:color="auto"/>
        <w:bottom w:val="none" w:sz="0" w:space="0" w:color="auto"/>
        <w:right w:val="none" w:sz="0" w:space="0" w:color="auto"/>
      </w:divBdr>
    </w:div>
    <w:div w:id="240602597">
      <w:bodyDiv w:val="1"/>
      <w:marLeft w:val="0"/>
      <w:marRight w:val="0"/>
      <w:marTop w:val="0"/>
      <w:marBottom w:val="0"/>
      <w:divBdr>
        <w:top w:val="none" w:sz="0" w:space="0" w:color="auto"/>
        <w:left w:val="none" w:sz="0" w:space="0" w:color="auto"/>
        <w:bottom w:val="none" w:sz="0" w:space="0" w:color="auto"/>
        <w:right w:val="none" w:sz="0" w:space="0" w:color="auto"/>
      </w:divBdr>
    </w:div>
    <w:div w:id="240911196">
      <w:bodyDiv w:val="1"/>
      <w:marLeft w:val="0"/>
      <w:marRight w:val="0"/>
      <w:marTop w:val="0"/>
      <w:marBottom w:val="0"/>
      <w:divBdr>
        <w:top w:val="none" w:sz="0" w:space="0" w:color="auto"/>
        <w:left w:val="none" w:sz="0" w:space="0" w:color="auto"/>
        <w:bottom w:val="none" w:sz="0" w:space="0" w:color="auto"/>
        <w:right w:val="none" w:sz="0" w:space="0" w:color="auto"/>
      </w:divBdr>
    </w:div>
    <w:div w:id="242297114">
      <w:bodyDiv w:val="1"/>
      <w:marLeft w:val="0"/>
      <w:marRight w:val="0"/>
      <w:marTop w:val="0"/>
      <w:marBottom w:val="0"/>
      <w:divBdr>
        <w:top w:val="none" w:sz="0" w:space="0" w:color="auto"/>
        <w:left w:val="none" w:sz="0" w:space="0" w:color="auto"/>
        <w:bottom w:val="none" w:sz="0" w:space="0" w:color="auto"/>
        <w:right w:val="none" w:sz="0" w:space="0" w:color="auto"/>
      </w:divBdr>
    </w:div>
    <w:div w:id="242767632">
      <w:bodyDiv w:val="1"/>
      <w:marLeft w:val="0"/>
      <w:marRight w:val="0"/>
      <w:marTop w:val="0"/>
      <w:marBottom w:val="0"/>
      <w:divBdr>
        <w:top w:val="none" w:sz="0" w:space="0" w:color="auto"/>
        <w:left w:val="none" w:sz="0" w:space="0" w:color="auto"/>
        <w:bottom w:val="none" w:sz="0" w:space="0" w:color="auto"/>
        <w:right w:val="none" w:sz="0" w:space="0" w:color="auto"/>
      </w:divBdr>
    </w:div>
    <w:div w:id="244153591">
      <w:bodyDiv w:val="1"/>
      <w:marLeft w:val="0"/>
      <w:marRight w:val="0"/>
      <w:marTop w:val="0"/>
      <w:marBottom w:val="0"/>
      <w:divBdr>
        <w:top w:val="none" w:sz="0" w:space="0" w:color="auto"/>
        <w:left w:val="none" w:sz="0" w:space="0" w:color="auto"/>
        <w:bottom w:val="none" w:sz="0" w:space="0" w:color="auto"/>
        <w:right w:val="none" w:sz="0" w:space="0" w:color="auto"/>
      </w:divBdr>
    </w:div>
    <w:div w:id="244388882">
      <w:bodyDiv w:val="1"/>
      <w:marLeft w:val="0"/>
      <w:marRight w:val="0"/>
      <w:marTop w:val="0"/>
      <w:marBottom w:val="0"/>
      <w:divBdr>
        <w:top w:val="none" w:sz="0" w:space="0" w:color="auto"/>
        <w:left w:val="none" w:sz="0" w:space="0" w:color="auto"/>
        <w:bottom w:val="none" w:sz="0" w:space="0" w:color="auto"/>
        <w:right w:val="none" w:sz="0" w:space="0" w:color="auto"/>
      </w:divBdr>
    </w:div>
    <w:div w:id="246160725">
      <w:bodyDiv w:val="1"/>
      <w:marLeft w:val="0"/>
      <w:marRight w:val="0"/>
      <w:marTop w:val="0"/>
      <w:marBottom w:val="0"/>
      <w:divBdr>
        <w:top w:val="none" w:sz="0" w:space="0" w:color="auto"/>
        <w:left w:val="none" w:sz="0" w:space="0" w:color="auto"/>
        <w:bottom w:val="none" w:sz="0" w:space="0" w:color="auto"/>
        <w:right w:val="none" w:sz="0" w:space="0" w:color="auto"/>
      </w:divBdr>
    </w:div>
    <w:div w:id="246572127">
      <w:bodyDiv w:val="1"/>
      <w:marLeft w:val="0"/>
      <w:marRight w:val="0"/>
      <w:marTop w:val="0"/>
      <w:marBottom w:val="0"/>
      <w:divBdr>
        <w:top w:val="none" w:sz="0" w:space="0" w:color="auto"/>
        <w:left w:val="none" w:sz="0" w:space="0" w:color="auto"/>
        <w:bottom w:val="none" w:sz="0" w:space="0" w:color="auto"/>
        <w:right w:val="none" w:sz="0" w:space="0" w:color="auto"/>
      </w:divBdr>
    </w:div>
    <w:div w:id="247425952">
      <w:bodyDiv w:val="1"/>
      <w:marLeft w:val="0"/>
      <w:marRight w:val="0"/>
      <w:marTop w:val="0"/>
      <w:marBottom w:val="0"/>
      <w:divBdr>
        <w:top w:val="none" w:sz="0" w:space="0" w:color="auto"/>
        <w:left w:val="none" w:sz="0" w:space="0" w:color="auto"/>
        <w:bottom w:val="none" w:sz="0" w:space="0" w:color="auto"/>
        <w:right w:val="none" w:sz="0" w:space="0" w:color="auto"/>
      </w:divBdr>
    </w:div>
    <w:div w:id="248007184">
      <w:bodyDiv w:val="1"/>
      <w:marLeft w:val="0"/>
      <w:marRight w:val="0"/>
      <w:marTop w:val="0"/>
      <w:marBottom w:val="0"/>
      <w:divBdr>
        <w:top w:val="none" w:sz="0" w:space="0" w:color="auto"/>
        <w:left w:val="none" w:sz="0" w:space="0" w:color="auto"/>
        <w:bottom w:val="none" w:sz="0" w:space="0" w:color="auto"/>
        <w:right w:val="none" w:sz="0" w:space="0" w:color="auto"/>
      </w:divBdr>
    </w:div>
    <w:div w:id="250819419">
      <w:bodyDiv w:val="1"/>
      <w:marLeft w:val="0"/>
      <w:marRight w:val="0"/>
      <w:marTop w:val="0"/>
      <w:marBottom w:val="0"/>
      <w:divBdr>
        <w:top w:val="none" w:sz="0" w:space="0" w:color="auto"/>
        <w:left w:val="none" w:sz="0" w:space="0" w:color="auto"/>
        <w:bottom w:val="none" w:sz="0" w:space="0" w:color="auto"/>
        <w:right w:val="none" w:sz="0" w:space="0" w:color="auto"/>
      </w:divBdr>
    </w:div>
    <w:div w:id="250897352">
      <w:bodyDiv w:val="1"/>
      <w:marLeft w:val="0"/>
      <w:marRight w:val="0"/>
      <w:marTop w:val="0"/>
      <w:marBottom w:val="0"/>
      <w:divBdr>
        <w:top w:val="none" w:sz="0" w:space="0" w:color="auto"/>
        <w:left w:val="none" w:sz="0" w:space="0" w:color="auto"/>
        <w:bottom w:val="none" w:sz="0" w:space="0" w:color="auto"/>
        <w:right w:val="none" w:sz="0" w:space="0" w:color="auto"/>
      </w:divBdr>
    </w:div>
    <w:div w:id="251134408">
      <w:bodyDiv w:val="1"/>
      <w:marLeft w:val="0"/>
      <w:marRight w:val="0"/>
      <w:marTop w:val="0"/>
      <w:marBottom w:val="0"/>
      <w:divBdr>
        <w:top w:val="none" w:sz="0" w:space="0" w:color="auto"/>
        <w:left w:val="none" w:sz="0" w:space="0" w:color="auto"/>
        <w:bottom w:val="none" w:sz="0" w:space="0" w:color="auto"/>
        <w:right w:val="none" w:sz="0" w:space="0" w:color="auto"/>
      </w:divBdr>
    </w:div>
    <w:div w:id="251742071">
      <w:bodyDiv w:val="1"/>
      <w:marLeft w:val="0"/>
      <w:marRight w:val="0"/>
      <w:marTop w:val="0"/>
      <w:marBottom w:val="0"/>
      <w:divBdr>
        <w:top w:val="none" w:sz="0" w:space="0" w:color="auto"/>
        <w:left w:val="none" w:sz="0" w:space="0" w:color="auto"/>
        <w:bottom w:val="none" w:sz="0" w:space="0" w:color="auto"/>
        <w:right w:val="none" w:sz="0" w:space="0" w:color="auto"/>
      </w:divBdr>
    </w:div>
    <w:div w:id="251934538">
      <w:bodyDiv w:val="1"/>
      <w:marLeft w:val="0"/>
      <w:marRight w:val="0"/>
      <w:marTop w:val="0"/>
      <w:marBottom w:val="0"/>
      <w:divBdr>
        <w:top w:val="none" w:sz="0" w:space="0" w:color="auto"/>
        <w:left w:val="none" w:sz="0" w:space="0" w:color="auto"/>
        <w:bottom w:val="none" w:sz="0" w:space="0" w:color="auto"/>
        <w:right w:val="none" w:sz="0" w:space="0" w:color="auto"/>
      </w:divBdr>
    </w:div>
    <w:div w:id="252905403">
      <w:bodyDiv w:val="1"/>
      <w:marLeft w:val="0"/>
      <w:marRight w:val="0"/>
      <w:marTop w:val="0"/>
      <w:marBottom w:val="0"/>
      <w:divBdr>
        <w:top w:val="none" w:sz="0" w:space="0" w:color="auto"/>
        <w:left w:val="none" w:sz="0" w:space="0" w:color="auto"/>
        <w:bottom w:val="none" w:sz="0" w:space="0" w:color="auto"/>
        <w:right w:val="none" w:sz="0" w:space="0" w:color="auto"/>
      </w:divBdr>
    </w:div>
    <w:div w:id="254435194">
      <w:bodyDiv w:val="1"/>
      <w:marLeft w:val="0"/>
      <w:marRight w:val="0"/>
      <w:marTop w:val="0"/>
      <w:marBottom w:val="0"/>
      <w:divBdr>
        <w:top w:val="none" w:sz="0" w:space="0" w:color="auto"/>
        <w:left w:val="none" w:sz="0" w:space="0" w:color="auto"/>
        <w:bottom w:val="none" w:sz="0" w:space="0" w:color="auto"/>
        <w:right w:val="none" w:sz="0" w:space="0" w:color="auto"/>
      </w:divBdr>
    </w:div>
    <w:div w:id="254561192">
      <w:bodyDiv w:val="1"/>
      <w:marLeft w:val="0"/>
      <w:marRight w:val="0"/>
      <w:marTop w:val="0"/>
      <w:marBottom w:val="0"/>
      <w:divBdr>
        <w:top w:val="none" w:sz="0" w:space="0" w:color="auto"/>
        <w:left w:val="none" w:sz="0" w:space="0" w:color="auto"/>
        <w:bottom w:val="none" w:sz="0" w:space="0" w:color="auto"/>
        <w:right w:val="none" w:sz="0" w:space="0" w:color="auto"/>
      </w:divBdr>
    </w:div>
    <w:div w:id="254900088">
      <w:bodyDiv w:val="1"/>
      <w:marLeft w:val="0"/>
      <w:marRight w:val="0"/>
      <w:marTop w:val="0"/>
      <w:marBottom w:val="0"/>
      <w:divBdr>
        <w:top w:val="none" w:sz="0" w:space="0" w:color="auto"/>
        <w:left w:val="none" w:sz="0" w:space="0" w:color="auto"/>
        <w:bottom w:val="none" w:sz="0" w:space="0" w:color="auto"/>
        <w:right w:val="none" w:sz="0" w:space="0" w:color="auto"/>
      </w:divBdr>
    </w:div>
    <w:div w:id="256254753">
      <w:bodyDiv w:val="1"/>
      <w:marLeft w:val="0"/>
      <w:marRight w:val="0"/>
      <w:marTop w:val="0"/>
      <w:marBottom w:val="0"/>
      <w:divBdr>
        <w:top w:val="none" w:sz="0" w:space="0" w:color="auto"/>
        <w:left w:val="none" w:sz="0" w:space="0" w:color="auto"/>
        <w:bottom w:val="none" w:sz="0" w:space="0" w:color="auto"/>
        <w:right w:val="none" w:sz="0" w:space="0" w:color="auto"/>
      </w:divBdr>
    </w:div>
    <w:div w:id="256328651">
      <w:bodyDiv w:val="1"/>
      <w:marLeft w:val="0"/>
      <w:marRight w:val="0"/>
      <w:marTop w:val="0"/>
      <w:marBottom w:val="0"/>
      <w:divBdr>
        <w:top w:val="none" w:sz="0" w:space="0" w:color="auto"/>
        <w:left w:val="none" w:sz="0" w:space="0" w:color="auto"/>
        <w:bottom w:val="none" w:sz="0" w:space="0" w:color="auto"/>
        <w:right w:val="none" w:sz="0" w:space="0" w:color="auto"/>
      </w:divBdr>
    </w:div>
    <w:div w:id="257443249">
      <w:bodyDiv w:val="1"/>
      <w:marLeft w:val="0"/>
      <w:marRight w:val="0"/>
      <w:marTop w:val="0"/>
      <w:marBottom w:val="0"/>
      <w:divBdr>
        <w:top w:val="none" w:sz="0" w:space="0" w:color="auto"/>
        <w:left w:val="none" w:sz="0" w:space="0" w:color="auto"/>
        <w:bottom w:val="none" w:sz="0" w:space="0" w:color="auto"/>
        <w:right w:val="none" w:sz="0" w:space="0" w:color="auto"/>
      </w:divBdr>
    </w:div>
    <w:div w:id="258027294">
      <w:bodyDiv w:val="1"/>
      <w:marLeft w:val="0"/>
      <w:marRight w:val="0"/>
      <w:marTop w:val="0"/>
      <w:marBottom w:val="0"/>
      <w:divBdr>
        <w:top w:val="none" w:sz="0" w:space="0" w:color="auto"/>
        <w:left w:val="none" w:sz="0" w:space="0" w:color="auto"/>
        <w:bottom w:val="none" w:sz="0" w:space="0" w:color="auto"/>
        <w:right w:val="none" w:sz="0" w:space="0" w:color="auto"/>
      </w:divBdr>
    </w:div>
    <w:div w:id="258100521">
      <w:bodyDiv w:val="1"/>
      <w:marLeft w:val="0"/>
      <w:marRight w:val="0"/>
      <w:marTop w:val="0"/>
      <w:marBottom w:val="0"/>
      <w:divBdr>
        <w:top w:val="none" w:sz="0" w:space="0" w:color="auto"/>
        <w:left w:val="none" w:sz="0" w:space="0" w:color="auto"/>
        <w:bottom w:val="none" w:sz="0" w:space="0" w:color="auto"/>
        <w:right w:val="none" w:sz="0" w:space="0" w:color="auto"/>
      </w:divBdr>
    </w:div>
    <w:div w:id="259067659">
      <w:bodyDiv w:val="1"/>
      <w:marLeft w:val="0"/>
      <w:marRight w:val="0"/>
      <w:marTop w:val="0"/>
      <w:marBottom w:val="0"/>
      <w:divBdr>
        <w:top w:val="none" w:sz="0" w:space="0" w:color="auto"/>
        <w:left w:val="none" w:sz="0" w:space="0" w:color="auto"/>
        <w:bottom w:val="none" w:sz="0" w:space="0" w:color="auto"/>
        <w:right w:val="none" w:sz="0" w:space="0" w:color="auto"/>
      </w:divBdr>
    </w:div>
    <w:div w:id="259527926">
      <w:bodyDiv w:val="1"/>
      <w:marLeft w:val="0"/>
      <w:marRight w:val="0"/>
      <w:marTop w:val="0"/>
      <w:marBottom w:val="0"/>
      <w:divBdr>
        <w:top w:val="none" w:sz="0" w:space="0" w:color="auto"/>
        <w:left w:val="none" w:sz="0" w:space="0" w:color="auto"/>
        <w:bottom w:val="none" w:sz="0" w:space="0" w:color="auto"/>
        <w:right w:val="none" w:sz="0" w:space="0" w:color="auto"/>
      </w:divBdr>
    </w:div>
    <w:div w:id="262766563">
      <w:bodyDiv w:val="1"/>
      <w:marLeft w:val="0"/>
      <w:marRight w:val="0"/>
      <w:marTop w:val="0"/>
      <w:marBottom w:val="0"/>
      <w:divBdr>
        <w:top w:val="none" w:sz="0" w:space="0" w:color="auto"/>
        <w:left w:val="none" w:sz="0" w:space="0" w:color="auto"/>
        <w:bottom w:val="none" w:sz="0" w:space="0" w:color="auto"/>
        <w:right w:val="none" w:sz="0" w:space="0" w:color="auto"/>
      </w:divBdr>
    </w:div>
    <w:div w:id="265431593">
      <w:bodyDiv w:val="1"/>
      <w:marLeft w:val="0"/>
      <w:marRight w:val="0"/>
      <w:marTop w:val="0"/>
      <w:marBottom w:val="0"/>
      <w:divBdr>
        <w:top w:val="none" w:sz="0" w:space="0" w:color="auto"/>
        <w:left w:val="none" w:sz="0" w:space="0" w:color="auto"/>
        <w:bottom w:val="none" w:sz="0" w:space="0" w:color="auto"/>
        <w:right w:val="none" w:sz="0" w:space="0" w:color="auto"/>
      </w:divBdr>
    </w:div>
    <w:div w:id="266158307">
      <w:bodyDiv w:val="1"/>
      <w:marLeft w:val="0"/>
      <w:marRight w:val="0"/>
      <w:marTop w:val="0"/>
      <w:marBottom w:val="0"/>
      <w:divBdr>
        <w:top w:val="none" w:sz="0" w:space="0" w:color="auto"/>
        <w:left w:val="none" w:sz="0" w:space="0" w:color="auto"/>
        <w:bottom w:val="none" w:sz="0" w:space="0" w:color="auto"/>
        <w:right w:val="none" w:sz="0" w:space="0" w:color="auto"/>
      </w:divBdr>
    </w:div>
    <w:div w:id="268395764">
      <w:bodyDiv w:val="1"/>
      <w:marLeft w:val="0"/>
      <w:marRight w:val="0"/>
      <w:marTop w:val="0"/>
      <w:marBottom w:val="0"/>
      <w:divBdr>
        <w:top w:val="none" w:sz="0" w:space="0" w:color="auto"/>
        <w:left w:val="none" w:sz="0" w:space="0" w:color="auto"/>
        <w:bottom w:val="none" w:sz="0" w:space="0" w:color="auto"/>
        <w:right w:val="none" w:sz="0" w:space="0" w:color="auto"/>
      </w:divBdr>
    </w:div>
    <w:div w:id="271939517">
      <w:bodyDiv w:val="1"/>
      <w:marLeft w:val="0"/>
      <w:marRight w:val="0"/>
      <w:marTop w:val="0"/>
      <w:marBottom w:val="0"/>
      <w:divBdr>
        <w:top w:val="none" w:sz="0" w:space="0" w:color="auto"/>
        <w:left w:val="none" w:sz="0" w:space="0" w:color="auto"/>
        <w:bottom w:val="none" w:sz="0" w:space="0" w:color="auto"/>
        <w:right w:val="none" w:sz="0" w:space="0" w:color="auto"/>
      </w:divBdr>
    </w:div>
    <w:div w:id="272127107">
      <w:bodyDiv w:val="1"/>
      <w:marLeft w:val="0"/>
      <w:marRight w:val="0"/>
      <w:marTop w:val="0"/>
      <w:marBottom w:val="0"/>
      <w:divBdr>
        <w:top w:val="none" w:sz="0" w:space="0" w:color="auto"/>
        <w:left w:val="none" w:sz="0" w:space="0" w:color="auto"/>
        <w:bottom w:val="none" w:sz="0" w:space="0" w:color="auto"/>
        <w:right w:val="none" w:sz="0" w:space="0" w:color="auto"/>
      </w:divBdr>
    </w:div>
    <w:div w:id="272902574">
      <w:bodyDiv w:val="1"/>
      <w:marLeft w:val="0"/>
      <w:marRight w:val="0"/>
      <w:marTop w:val="0"/>
      <w:marBottom w:val="0"/>
      <w:divBdr>
        <w:top w:val="none" w:sz="0" w:space="0" w:color="auto"/>
        <w:left w:val="none" w:sz="0" w:space="0" w:color="auto"/>
        <w:bottom w:val="none" w:sz="0" w:space="0" w:color="auto"/>
        <w:right w:val="none" w:sz="0" w:space="0" w:color="auto"/>
      </w:divBdr>
    </w:div>
    <w:div w:id="274866073">
      <w:bodyDiv w:val="1"/>
      <w:marLeft w:val="0"/>
      <w:marRight w:val="0"/>
      <w:marTop w:val="0"/>
      <w:marBottom w:val="0"/>
      <w:divBdr>
        <w:top w:val="none" w:sz="0" w:space="0" w:color="auto"/>
        <w:left w:val="none" w:sz="0" w:space="0" w:color="auto"/>
        <w:bottom w:val="none" w:sz="0" w:space="0" w:color="auto"/>
        <w:right w:val="none" w:sz="0" w:space="0" w:color="auto"/>
      </w:divBdr>
    </w:div>
    <w:div w:id="275253654">
      <w:bodyDiv w:val="1"/>
      <w:marLeft w:val="0"/>
      <w:marRight w:val="0"/>
      <w:marTop w:val="0"/>
      <w:marBottom w:val="0"/>
      <w:divBdr>
        <w:top w:val="none" w:sz="0" w:space="0" w:color="auto"/>
        <w:left w:val="none" w:sz="0" w:space="0" w:color="auto"/>
        <w:bottom w:val="none" w:sz="0" w:space="0" w:color="auto"/>
        <w:right w:val="none" w:sz="0" w:space="0" w:color="auto"/>
      </w:divBdr>
    </w:div>
    <w:div w:id="275524610">
      <w:bodyDiv w:val="1"/>
      <w:marLeft w:val="0"/>
      <w:marRight w:val="0"/>
      <w:marTop w:val="0"/>
      <w:marBottom w:val="0"/>
      <w:divBdr>
        <w:top w:val="none" w:sz="0" w:space="0" w:color="auto"/>
        <w:left w:val="none" w:sz="0" w:space="0" w:color="auto"/>
        <w:bottom w:val="none" w:sz="0" w:space="0" w:color="auto"/>
        <w:right w:val="none" w:sz="0" w:space="0" w:color="auto"/>
      </w:divBdr>
    </w:div>
    <w:div w:id="275715697">
      <w:bodyDiv w:val="1"/>
      <w:marLeft w:val="0"/>
      <w:marRight w:val="0"/>
      <w:marTop w:val="0"/>
      <w:marBottom w:val="0"/>
      <w:divBdr>
        <w:top w:val="none" w:sz="0" w:space="0" w:color="auto"/>
        <w:left w:val="none" w:sz="0" w:space="0" w:color="auto"/>
        <w:bottom w:val="none" w:sz="0" w:space="0" w:color="auto"/>
        <w:right w:val="none" w:sz="0" w:space="0" w:color="auto"/>
      </w:divBdr>
    </w:div>
    <w:div w:id="276330088">
      <w:bodyDiv w:val="1"/>
      <w:marLeft w:val="0"/>
      <w:marRight w:val="0"/>
      <w:marTop w:val="0"/>
      <w:marBottom w:val="0"/>
      <w:divBdr>
        <w:top w:val="none" w:sz="0" w:space="0" w:color="auto"/>
        <w:left w:val="none" w:sz="0" w:space="0" w:color="auto"/>
        <w:bottom w:val="none" w:sz="0" w:space="0" w:color="auto"/>
        <w:right w:val="none" w:sz="0" w:space="0" w:color="auto"/>
      </w:divBdr>
    </w:div>
    <w:div w:id="276908576">
      <w:bodyDiv w:val="1"/>
      <w:marLeft w:val="0"/>
      <w:marRight w:val="0"/>
      <w:marTop w:val="0"/>
      <w:marBottom w:val="0"/>
      <w:divBdr>
        <w:top w:val="none" w:sz="0" w:space="0" w:color="auto"/>
        <w:left w:val="none" w:sz="0" w:space="0" w:color="auto"/>
        <w:bottom w:val="none" w:sz="0" w:space="0" w:color="auto"/>
        <w:right w:val="none" w:sz="0" w:space="0" w:color="auto"/>
      </w:divBdr>
    </w:div>
    <w:div w:id="278680229">
      <w:bodyDiv w:val="1"/>
      <w:marLeft w:val="0"/>
      <w:marRight w:val="0"/>
      <w:marTop w:val="0"/>
      <w:marBottom w:val="0"/>
      <w:divBdr>
        <w:top w:val="none" w:sz="0" w:space="0" w:color="auto"/>
        <w:left w:val="none" w:sz="0" w:space="0" w:color="auto"/>
        <w:bottom w:val="none" w:sz="0" w:space="0" w:color="auto"/>
        <w:right w:val="none" w:sz="0" w:space="0" w:color="auto"/>
      </w:divBdr>
    </w:div>
    <w:div w:id="281036772">
      <w:bodyDiv w:val="1"/>
      <w:marLeft w:val="0"/>
      <w:marRight w:val="0"/>
      <w:marTop w:val="0"/>
      <w:marBottom w:val="0"/>
      <w:divBdr>
        <w:top w:val="none" w:sz="0" w:space="0" w:color="auto"/>
        <w:left w:val="none" w:sz="0" w:space="0" w:color="auto"/>
        <w:bottom w:val="none" w:sz="0" w:space="0" w:color="auto"/>
        <w:right w:val="none" w:sz="0" w:space="0" w:color="auto"/>
      </w:divBdr>
    </w:div>
    <w:div w:id="281888095">
      <w:bodyDiv w:val="1"/>
      <w:marLeft w:val="0"/>
      <w:marRight w:val="0"/>
      <w:marTop w:val="0"/>
      <w:marBottom w:val="0"/>
      <w:divBdr>
        <w:top w:val="none" w:sz="0" w:space="0" w:color="auto"/>
        <w:left w:val="none" w:sz="0" w:space="0" w:color="auto"/>
        <w:bottom w:val="none" w:sz="0" w:space="0" w:color="auto"/>
        <w:right w:val="none" w:sz="0" w:space="0" w:color="auto"/>
      </w:divBdr>
    </w:div>
    <w:div w:id="283510634">
      <w:bodyDiv w:val="1"/>
      <w:marLeft w:val="0"/>
      <w:marRight w:val="0"/>
      <w:marTop w:val="0"/>
      <w:marBottom w:val="0"/>
      <w:divBdr>
        <w:top w:val="none" w:sz="0" w:space="0" w:color="auto"/>
        <w:left w:val="none" w:sz="0" w:space="0" w:color="auto"/>
        <w:bottom w:val="none" w:sz="0" w:space="0" w:color="auto"/>
        <w:right w:val="none" w:sz="0" w:space="0" w:color="auto"/>
      </w:divBdr>
    </w:div>
    <w:div w:id="283730117">
      <w:bodyDiv w:val="1"/>
      <w:marLeft w:val="0"/>
      <w:marRight w:val="0"/>
      <w:marTop w:val="0"/>
      <w:marBottom w:val="0"/>
      <w:divBdr>
        <w:top w:val="none" w:sz="0" w:space="0" w:color="auto"/>
        <w:left w:val="none" w:sz="0" w:space="0" w:color="auto"/>
        <w:bottom w:val="none" w:sz="0" w:space="0" w:color="auto"/>
        <w:right w:val="none" w:sz="0" w:space="0" w:color="auto"/>
      </w:divBdr>
    </w:div>
    <w:div w:id="283971748">
      <w:bodyDiv w:val="1"/>
      <w:marLeft w:val="0"/>
      <w:marRight w:val="0"/>
      <w:marTop w:val="0"/>
      <w:marBottom w:val="0"/>
      <w:divBdr>
        <w:top w:val="none" w:sz="0" w:space="0" w:color="auto"/>
        <w:left w:val="none" w:sz="0" w:space="0" w:color="auto"/>
        <w:bottom w:val="none" w:sz="0" w:space="0" w:color="auto"/>
        <w:right w:val="none" w:sz="0" w:space="0" w:color="auto"/>
      </w:divBdr>
    </w:div>
    <w:div w:id="284043125">
      <w:bodyDiv w:val="1"/>
      <w:marLeft w:val="0"/>
      <w:marRight w:val="0"/>
      <w:marTop w:val="0"/>
      <w:marBottom w:val="0"/>
      <w:divBdr>
        <w:top w:val="none" w:sz="0" w:space="0" w:color="auto"/>
        <w:left w:val="none" w:sz="0" w:space="0" w:color="auto"/>
        <w:bottom w:val="none" w:sz="0" w:space="0" w:color="auto"/>
        <w:right w:val="none" w:sz="0" w:space="0" w:color="auto"/>
      </w:divBdr>
    </w:div>
    <w:div w:id="284506420">
      <w:bodyDiv w:val="1"/>
      <w:marLeft w:val="0"/>
      <w:marRight w:val="0"/>
      <w:marTop w:val="0"/>
      <w:marBottom w:val="0"/>
      <w:divBdr>
        <w:top w:val="none" w:sz="0" w:space="0" w:color="auto"/>
        <w:left w:val="none" w:sz="0" w:space="0" w:color="auto"/>
        <w:bottom w:val="none" w:sz="0" w:space="0" w:color="auto"/>
        <w:right w:val="none" w:sz="0" w:space="0" w:color="auto"/>
      </w:divBdr>
    </w:div>
    <w:div w:id="285543704">
      <w:bodyDiv w:val="1"/>
      <w:marLeft w:val="0"/>
      <w:marRight w:val="0"/>
      <w:marTop w:val="0"/>
      <w:marBottom w:val="0"/>
      <w:divBdr>
        <w:top w:val="none" w:sz="0" w:space="0" w:color="auto"/>
        <w:left w:val="none" w:sz="0" w:space="0" w:color="auto"/>
        <w:bottom w:val="none" w:sz="0" w:space="0" w:color="auto"/>
        <w:right w:val="none" w:sz="0" w:space="0" w:color="auto"/>
      </w:divBdr>
    </w:div>
    <w:div w:id="285821707">
      <w:bodyDiv w:val="1"/>
      <w:marLeft w:val="0"/>
      <w:marRight w:val="0"/>
      <w:marTop w:val="0"/>
      <w:marBottom w:val="0"/>
      <w:divBdr>
        <w:top w:val="none" w:sz="0" w:space="0" w:color="auto"/>
        <w:left w:val="none" w:sz="0" w:space="0" w:color="auto"/>
        <w:bottom w:val="none" w:sz="0" w:space="0" w:color="auto"/>
        <w:right w:val="none" w:sz="0" w:space="0" w:color="auto"/>
      </w:divBdr>
    </w:div>
    <w:div w:id="286664582">
      <w:bodyDiv w:val="1"/>
      <w:marLeft w:val="0"/>
      <w:marRight w:val="0"/>
      <w:marTop w:val="0"/>
      <w:marBottom w:val="0"/>
      <w:divBdr>
        <w:top w:val="none" w:sz="0" w:space="0" w:color="auto"/>
        <w:left w:val="none" w:sz="0" w:space="0" w:color="auto"/>
        <w:bottom w:val="none" w:sz="0" w:space="0" w:color="auto"/>
        <w:right w:val="none" w:sz="0" w:space="0" w:color="auto"/>
      </w:divBdr>
    </w:div>
    <w:div w:id="287442503">
      <w:bodyDiv w:val="1"/>
      <w:marLeft w:val="0"/>
      <w:marRight w:val="0"/>
      <w:marTop w:val="0"/>
      <w:marBottom w:val="0"/>
      <w:divBdr>
        <w:top w:val="none" w:sz="0" w:space="0" w:color="auto"/>
        <w:left w:val="none" w:sz="0" w:space="0" w:color="auto"/>
        <w:bottom w:val="none" w:sz="0" w:space="0" w:color="auto"/>
        <w:right w:val="none" w:sz="0" w:space="0" w:color="auto"/>
      </w:divBdr>
    </w:div>
    <w:div w:id="287930301">
      <w:bodyDiv w:val="1"/>
      <w:marLeft w:val="0"/>
      <w:marRight w:val="0"/>
      <w:marTop w:val="0"/>
      <w:marBottom w:val="0"/>
      <w:divBdr>
        <w:top w:val="none" w:sz="0" w:space="0" w:color="auto"/>
        <w:left w:val="none" w:sz="0" w:space="0" w:color="auto"/>
        <w:bottom w:val="none" w:sz="0" w:space="0" w:color="auto"/>
        <w:right w:val="none" w:sz="0" w:space="0" w:color="auto"/>
      </w:divBdr>
    </w:div>
    <w:div w:id="288821377">
      <w:bodyDiv w:val="1"/>
      <w:marLeft w:val="0"/>
      <w:marRight w:val="0"/>
      <w:marTop w:val="0"/>
      <w:marBottom w:val="0"/>
      <w:divBdr>
        <w:top w:val="none" w:sz="0" w:space="0" w:color="auto"/>
        <w:left w:val="none" w:sz="0" w:space="0" w:color="auto"/>
        <w:bottom w:val="none" w:sz="0" w:space="0" w:color="auto"/>
        <w:right w:val="none" w:sz="0" w:space="0" w:color="auto"/>
      </w:divBdr>
    </w:div>
    <w:div w:id="290286735">
      <w:bodyDiv w:val="1"/>
      <w:marLeft w:val="0"/>
      <w:marRight w:val="0"/>
      <w:marTop w:val="0"/>
      <w:marBottom w:val="0"/>
      <w:divBdr>
        <w:top w:val="none" w:sz="0" w:space="0" w:color="auto"/>
        <w:left w:val="none" w:sz="0" w:space="0" w:color="auto"/>
        <w:bottom w:val="none" w:sz="0" w:space="0" w:color="auto"/>
        <w:right w:val="none" w:sz="0" w:space="0" w:color="auto"/>
      </w:divBdr>
    </w:div>
    <w:div w:id="292446752">
      <w:bodyDiv w:val="1"/>
      <w:marLeft w:val="0"/>
      <w:marRight w:val="0"/>
      <w:marTop w:val="0"/>
      <w:marBottom w:val="0"/>
      <w:divBdr>
        <w:top w:val="none" w:sz="0" w:space="0" w:color="auto"/>
        <w:left w:val="none" w:sz="0" w:space="0" w:color="auto"/>
        <w:bottom w:val="none" w:sz="0" w:space="0" w:color="auto"/>
        <w:right w:val="none" w:sz="0" w:space="0" w:color="auto"/>
      </w:divBdr>
    </w:div>
    <w:div w:id="293604856">
      <w:bodyDiv w:val="1"/>
      <w:marLeft w:val="0"/>
      <w:marRight w:val="0"/>
      <w:marTop w:val="0"/>
      <w:marBottom w:val="0"/>
      <w:divBdr>
        <w:top w:val="none" w:sz="0" w:space="0" w:color="auto"/>
        <w:left w:val="none" w:sz="0" w:space="0" w:color="auto"/>
        <w:bottom w:val="none" w:sz="0" w:space="0" w:color="auto"/>
        <w:right w:val="none" w:sz="0" w:space="0" w:color="auto"/>
      </w:divBdr>
    </w:div>
    <w:div w:id="295067584">
      <w:bodyDiv w:val="1"/>
      <w:marLeft w:val="0"/>
      <w:marRight w:val="0"/>
      <w:marTop w:val="0"/>
      <w:marBottom w:val="0"/>
      <w:divBdr>
        <w:top w:val="none" w:sz="0" w:space="0" w:color="auto"/>
        <w:left w:val="none" w:sz="0" w:space="0" w:color="auto"/>
        <w:bottom w:val="none" w:sz="0" w:space="0" w:color="auto"/>
        <w:right w:val="none" w:sz="0" w:space="0" w:color="auto"/>
      </w:divBdr>
    </w:div>
    <w:div w:id="295255958">
      <w:bodyDiv w:val="1"/>
      <w:marLeft w:val="0"/>
      <w:marRight w:val="0"/>
      <w:marTop w:val="0"/>
      <w:marBottom w:val="0"/>
      <w:divBdr>
        <w:top w:val="none" w:sz="0" w:space="0" w:color="auto"/>
        <w:left w:val="none" w:sz="0" w:space="0" w:color="auto"/>
        <w:bottom w:val="none" w:sz="0" w:space="0" w:color="auto"/>
        <w:right w:val="none" w:sz="0" w:space="0" w:color="auto"/>
      </w:divBdr>
    </w:div>
    <w:div w:id="296230529">
      <w:bodyDiv w:val="1"/>
      <w:marLeft w:val="0"/>
      <w:marRight w:val="0"/>
      <w:marTop w:val="0"/>
      <w:marBottom w:val="0"/>
      <w:divBdr>
        <w:top w:val="none" w:sz="0" w:space="0" w:color="auto"/>
        <w:left w:val="none" w:sz="0" w:space="0" w:color="auto"/>
        <w:bottom w:val="none" w:sz="0" w:space="0" w:color="auto"/>
        <w:right w:val="none" w:sz="0" w:space="0" w:color="auto"/>
      </w:divBdr>
    </w:div>
    <w:div w:id="296297747">
      <w:bodyDiv w:val="1"/>
      <w:marLeft w:val="0"/>
      <w:marRight w:val="0"/>
      <w:marTop w:val="0"/>
      <w:marBottom w:val="0"/>
      <w:divBdr>
        <w:top w:val="none" w:sz="0" w:space="0" w:color="auto"/>
        <w:left w:val="none" w:sz="0" w:space="0" w:color="auto"/>
        <w:bottom w:val="none" w:sz="0" w:space="0" w:color="auto"/>
        <w:right w:val="none" w:sz="0" w:space="0" w:color="auto"/>
      </w:divBdr>
    </w:div>
    <w:div w:id="297296713">
      <w:bodyDiv w:val="1"/>
      <w:marLeft w:val="0"/>
      <w:marRight w:val="0"/>
      <w:marTop w:val="0"/>
      <w:marBottom w:val="0"/>
      <w:divBdr>
        <w:top w:val="none" w:sz="0" w:space="0" w:color="auto"/>
        <w:left w:val="none" w:sz="0" w:space="0" w:color="auto"/>
        <w:bottom w:val="none" w:sz="0" w:space="0" w:color="auto"/>
        <w:right w:val="none" w:sz="0" w:space="0" w:color="auto"/>
      </w:divBdr>
    </w:div>
    <w:div w:id="299696762">
      <w:bodyDiv w:val="1"/>
      <w:marLeft w:val="0"/>
      <w:marRight w:val="0"/>
      <w:marTop w:val="0"/>
      <w:marBottom w:val="0"/>
      <w:divBdr>
        <w:top w:val="none" w:sz="0" w:space="0" w:color="auto"/>
        <w:left w:val="none" w:sz="0" w:space="0" w:color="auto"/>
        <w:bottom w:val="none" w:sz="0" w:space="0" w:color="auto"/>
        <w:right w:val="none" w:sz="0" w:space="0" w:color="auto"/>
      </w:divBdr>
    </w:div>
    <w:div w:id="300160608">
      <w:bodyDiv w:val="1"/>
      <w:marLeft w:val="0"/>
      <w:marRight w:val="0"/>
      <w:marTop w:val="0"/>
      <w:marBottom w:val="0"/>
      <w:divBdr>
        <w:top w:val="none" w:sz="0" w:space="0" w:color="auto"/>
        <w:left w:val="none" w:sz="0" w:space="0" w:color="auto"/>
        <w:bottom w:val="none" w:sz="0" w:space="0" w:color="auto"/>
        <w:right w:val="none" w:sz="0" w:space="0" w:color="auto"/>
      </w:divBdr>
    </w:div>
    <w:div w:id="300235402">
      <w:bodyDiv w:val="1"/>
      <w:marLeft w:val="0"/>
      <w:marRight w:val="0"/>
      <w:marTop w:val="0"/>
      <w:marBottom w:val="0"/>
      <w:divBdr>
        <w:top w:val="none" w:sz="0" w:space="0" w:color="auto"/>
        <w:left w:val="none" w:sz="0" w:space="0" w:color="auto"/>
        <w:bottom w:val="none" w:sz="0" w:space="0" w:color="auto"/>
        <w:right w:val="none" w:sz="0" w:space="0" w:color="auto"/>
      </w:divBdr>
    </w:div>
    <w:div w:id="300424809">
      <w:bodyDiv w:val="1"/>
      <w:marLeft w:val="0"/>
      <w:marRight w:val="0"/>
      <w:marTop w:val="0"/>
      <w:marBottom w:val="0"/>
      <w:divBdr>
        <w:top w:val="none" w:sz="0" w:space="0" w:color="auto"/>
        <w:left w:val="none" w:sz="0" w:space="0" w:color="auto"/>
        <w:bottom w:val="none" w:sz="0" w:space="0" w:color="auto"/>
        <w:right w:val="none" w:sz="0" w:space="0" w:color="auto"/>
      </w:divBdr>
    </w:div>
    <w:div w:id="301888784">
      <w:bodyDiv w:val="1"/>
      <w:marLeft w:val="0"/>
      <w:marRight w:val="0"/>
      <w:marTop w:val="0"/>
      <w:marBottom w:val="0"/>
      <w:divBdr>
        <w:top w:val="none" w:sz="0" w:space="0" w:color="auto"/>
        <w:left w:val="none" w:sz="0" w:space="0" w:color="auto"/>
        <w:bottom w:val="none" w:sz="0" w:space="0" w:color="auto"/>
        <w:right w:val="none" w:sz="0" w:space="0" w:color="auto"/>
      </w:divBdr>
    </w:div>
    <w:div w:id="302128314">
      <w:bodyDiv w:val="1"/>
      <w:marLeft w:val="0"/>
      <w:marRight w:val="0"/>
      <w:marTop w:val="0"/>
      <w:marBottom w:val="0"/>
      <w:divBdr>
        <w:top w:val="none" w:sz="0" w:space="0" w:color="auto"/>
        <w:left w:val="none" w:sz="0" w:space="0" w:color="auto"/>
        <w:bottom w:val="none" w:sz="0" w:space="0" w:color="auto"/>
        <w:right w:val="none" w:sz="0" w:space="0" w:color="auto"/>
      </w:divBdr>
    </w:div>
    <w:div w:id="302976358">
      <w:bodyDiv w:val="1"/>
      <w:marLeft w:val="0"/>
      <w:marRight w:val="0"/>
      <w:marTop w:val="0"/>
      <w:marBottom w:val="0"/>
      <w:divBdr>
        <w:top w:val="none" w:sz="0" w:space="0" w:color="auto"/>
        <w:left w:val="none" w:sz="0" w:space="0" w:color="auto"/>
        <w:bottom w:val="none" w:sz="0" w:space="0" w:color="auto"/>
        <w:right w:val="none" w:sz="0" w:space="0" w:color="auto"/>
      </w:divBdr>
    </w:div>
    <w:div w:id="303048043">
      <w:bodyDiv w:val="1"/>
      <w:marLeft w:val="0"/>
      <w:marRight w:val="0"/>
      <w:marTop w:val="0"/>
      <w:marBottom w:val="0"/>
      <w:divBdr>
        <w:top w:val="none" w:sz="0" w:space="0" w:color="auto"/>
        <w:left w:val="none" w:sz="0" w:space="0" w:color="auto"/>
        <w:bottom w:val="none" w:sz="0" w:space="0" w:color="auto"/>
        <w:right w:val="none" w:sz="0" w:space="0" w:color="auto"/>
      </w:divBdr>
    </w:div>
    <w:div w:id="303199172">
      <w:bodyDiv w:val="1"/>
      <w:marLeft w:val="0"/>
      <w:marRight w:val="0"/>
      <w:marTop w:val="0"/>
      <w:marBottom w:val="0"/>
      <w:divBdr>
        <w:top w:val="none" w:sz="0" w:space="0" w:color="auto"/>
        <w:left w:val="none" w:sz="0" w:space="0" w:color="auto"/>
        <w:bottom w:val="none" w:sz="0" w:space="0" w:color="auto"/>
        <w:right w:val="none" w:sz="0" w:space="0" w:color="auto"/>
      </w:divBdr>
    </w:div>
    <w:div w:id="303238309">
      <w:bodyDiv w:val="1"/>
      <w:marLeft w:val="0"/>
      <w:marRight w:val="0"/>
      <w:marTop w:val="0"/>
      <w:marBottom w:val="0"/>
      <w:divBdr>
        <w:top w:val="none" w:sz="0" w:space="0" w:color="auto"/>
        <w:left w:val="none" w:sz="0" w:space="0" w:color="auto"/>
        <w:bottom w:val="none" w:sz="0" w:space="0" w:color="auto"/>
        <w:right w:val="none" w:sz="0" w:space="0" w:color="auto"/>
      </w:divBdr>
    </w:div>
    <w:div w:id="303508586">
      <w:bodyDiv w:val="1"/>
      <w:marLeft w:val="0"/>
      <w:marRight w:val="0"/>
      <w:marTop w:val="0"/>
      <w:marBottom w:val="0"/>
      <w:divBdr>
        <w:top w:val="none" w:sz="0" w:space="0" w:color="auto"/>
        <w:left w:val="none" w:sz="0" w:space="0" w:color="auto"/>
        <w:bottom w:val="none" w:sz="0" w:space="0" w:color="auto"/>
        <w:right w:val="none" w:sz="0" w:space="0" w:color="auto"/>
      </w:divBdr>
    </w:div>
    <w:div w:id="304700651">
      <w:bodyDiv w:val="1"/>
      <w:marLeft w:val="0"/>
      <w:marRight w:val="0"/>
      <w:marTop w:val="0"/>
      <w:marBottom w:val="0"/>
      <w:divBdr>
        <w:top w:val="none" w:sz="0" w:space="0" w:color="auto"/>
        <w:left w:val="none" w:sz="0" w:space="0" w:color="auto"/>
        <w:bottom w:val="none" w:sz="0" w:space="0" w:color="auto"/>
        <w:right w:val="none" w:sz="0" w:space="0" w:color="auto"/>
      </w:divBdr>
    </w:div>
    <w:div w:id="307050327">
      <w:bodyDiv w:val="1"/>
      <w:marLeft w:val="0"/>
      <w:marRight w:val="0"/>
      <w:marTop w:val="0"/>
      <w:marBottom w:val="0"/>
      <w:divBdr>
        <w:top w:val="none" w:sz="0" w:space="0" w:color="auto"/>
        <w:left w:val="none" w:sz="0" w:space="0" w:color="auto"/>
        <w:bottom w:val="none" w:sz="0" w:space="0" w:color="auto"/>
        <w:right w:val="none" w:sz="0" w:space="0" w:color="auto"/>
      </w:divBdr>
    </w:div>
    <w:div w:id="308828499">
      <w:bodyDiv w:val="1"/>
      <w:marLeft w:val="0"/>
      <w:marRight w:val="0"/>
      <w:marTop w:val="0"/>
      <w:marBottom w:val="0"/>
      <w:divBdr>
        <w:top w:val="none" w:sz="0" w:space="0" w:color="auto"/>
        <w:left w:val="none" w:sz="0" w:space="0" w:color="auto"/>
        <w:bottom w:val="none" w:sz="0" w:space="0" w:color="auto"/>
        <w:right w:val="none" w:sz="0" w:space="0" w:color="auto"/>
      </w:divBdr>
    </w:div>
    <w:div w:id="310211891">
      <w:bodyDiv w:val="1"/>
      <w:marLeft w:val="0"/>
      <w:marRight w:val="0"/>
      <w:marTop w:val="0"/>
      <w:marBottom w:val="0"/>
      <w:divBdr>
        <w:top w:val="none" w:sz="0" w:space="0" w:color="auto"/>
        <w:left w:val="none" w:sz="0" w:space="0" w:color="auto"/>
        <w:bottom w:val="none" w:sz="0" w:space="0" w:color="auto"/>
        <w:right w:val="none" w:sz="0" w:space="0" w:color="auto"/>
      </w:divBdr>
    </w:div>
    <w:div w:id="310257966">
      <w:bodyDiv w:val="1"/>
      <w:marLeft w:val="0"/>
      <w:marRight w:val="0"/>
      <w:marTop w:val="0"/>
      <w:marBottom w:val="0"/>
      <w:divBdr>
        <w:top w:val="none" w:sz="0" w:space="0" w:color="auto"/>
        <w:left w:val="none" w:sz="0" w:space="0" w:color="auto"/>
        <w:bottom w:val="none" w:sz="0" w:space="0" w:color="auto"/>
        <w:right w:val="none" w:sz="0" w:space="0" w:color="auto"/>
      </w:divBdr>
    </w:div>
    <w:div w:id="310448816">
      <w:bodyDiv w:val="1"/>
      <w:marLeft w:val="0"/>
      <w:marRight w:val="0"/>
      <w:marTop w:val="0"/>
      <w:marBottom w:val="0"/>
      <w:divBdr>
        <w:top w:val="none" w:sz="0" w:space="0" w:color="auto"/>
        <w:left w:val="none" w:sz="0" w:space="0" w:color="auto"/>
        <w:bottom w:val="none" w:sz="0" w:space="0" w:color="auto"/>
        <w:right w:val="none" w:sz="0" w:space="0" w:color="auto"/>
      </w:divBdr>
    </w:div>
    <w:div w:id="310597933">
      <w:bodyDiv w:val="1"/>
      <w:marLeft w:val="0"/>
      <w:marRight w:val="0"/>
      <w:marTop w:val="0"/>
      <w:marBottom w:val="0"/>
      <w:divBdr>
        <w:top w:val="none" w:sz="0" w:space="0" w:color="auto"/>
        <w:left w:val="none" w:sz="0" w:space="0" w:color="auto"/>
        <w:bottom w:val="none" w:sz="0" w:space="0" w:color="auto"/>
        <w:right w:val="none" w:sz="0" w:space="0" w:color="auto"/>
      </w:divBdr>
    </w:div>
    <w:div w:id="310722157">
      <w:bodyDiv w:val="1"/>
      <w:marLeft w:val="0"/>
      <w:marRight w:val="0"/>
      <w:marTop w:val="0"/>
      <w:marBottom w:val="0"/>
      <w:divBdr>
        <w:top w:val="none" w:sz="0" w:space="0" w:color="auto"/>
        <w:left w:val="none" w:sz="0" w:space="0" w:color="auto"/>
        <w:bottom w:val="none" w:sz="0" w:space="0" w:color="auto"/>
        <w:right w:val="none" w:sz="0" w:space="0" w:color="auto"/>
      </w:divBdr>
    </w:div>
    <w:div w:id="311057987">
      <w:bodyDiv w:val="1"/>
      <w:marLeft w:val="0"/>
      <w:marRight w:val="0"/>
      <w:marTop w:val="0"/>
      <w:marBottom w:val="0"/>
      <w:divBdr>
        <w:top w:val="none" w:sz="0" w:space="0" w:color="auto"/>
        <w:left w:val="none" w:sz="0" w:space="0" w:color="auto"/>
        <w:bottom w:val="none" w:sz="0" w:space="0" w:color="auto"/>
        <w:right w:val="none" w:sz="0" w:space="0" w:color="auto"/>
      </w:divBdr>
    </w:div>
    <w:div w:id="311562947">
      <w:bodyDiv w:val="1"/>
      <w:marLeft w:val="0"/>
      <w:marRight w:val="0"/>
      <w:marTop w:val="0"/>
      <w:marBottom w:val="0"/>
      <w:divBdr>
        <w:top w:val="none" w:sz="0" w:space="0" w:color="auto"/>
        <w:left w:val="none" w:sz="0" w:space="0" w:color="auto"/>
        <w:bottom w:val="none" w:sz="0" w:space="0" w:color="auto"/>
        <w:right w:val="none" w:sz="0" w:space="0" w:color="auto"/>
      </w:divBdr>
    </w:div>
    <w:div w:id="311565331">
      <w:bodyDiv w:val="1"/>
      <w:marLeft w:val="0"/>
      <w:marRight w:val="0"/>
      <w:marTop w:val="0"/>
      <w:marBottom w:val="0"/>
      <w:divBdr>
        <w:top w:val="none" w:sz="0" w:space="0" w:color="auto"/>
        <w:left w:val="none" w:sz="0" w:space="0" w:color="auto"/>
        <w:bottom w:val="none" w:sz="0" w:space="0" w:color="auto"/>
        <w:right w:val="none" w:sz="0" w:space="0" w:color="auto"/>
      </w:divBdr>
    </w:div>
    <w:div w:id="313603179">
      <w:bodyDiv w:val="1"/>
      <w:marLeft w:val="0"/>
      <w:marRight w:val="0"/>
      <w:marTop w:val="0"/>
      <w:marBottom w:val="0"/>
      <w:divBdr>
        <w:top w:val="none" w:sz="0" w:space="0" w:color="auto"/>
        <w:left w:val="none" w:sz="0" w:space="0" w:color="auto"/>
        <w:bottom w:val="none" w:sz="0" w:space="0" w:color="auto"/>
        <w:right w:val="none" w:sz="0" w:space="0" w:color="auto"/>
      </w:divBdr>
    </w:div>
    <w:div w:id="314720389">
      <w:bodyDiv w:val="1"/>
      <w:marLeft w:val="0"/>
      <w:marRight w:val="0"/>
      <w:marTop w:val="0"/>
      <w:marBottom w:val="0"/>
      <w:divBdr>
        <w:top w:val="none" w:sz="0" w:space="0" w:color="auto"/>
        <w:left w:val="none" w:sz="0" w:space="0" w:color="auto"/>
        <w:bottom w:val="none" w:sz="0" w:space="0" w:color="auto"/>
        <w:right w:val="none" w:sz="0" w:space="0" w:color="auto"/>
      </w:divBdr>
    </w:div>
    <w:div w:id="316567449">
      <w:bodyDiv w:val="1"/>
      <w:marLeft w:val="0"/>
      <w:marRight w:val="0"/>
      <w:marTop w:val="0"/>
      <w:marBottom w:val="0"/>
      <w:divBdr>
        <w:top w:val="none" w:sz="0" w:space="0" w:color="auto"/>
        <w:left w:val="none" w:sz="0" w:space="0" w:color="auto"/>
        <w:bottom w:val="none" w:sz="0" w:space="0" w:color="auto"/>
        <w:right w:val="none" w:sz="0" w:space="0" w:color="auto"/>
      </w:divBdr>
    </w:div>
    <w:div w:id="316804032">
      <w:bodyDiv w:val="1"/>
      <w:marLeft w:val="0"/>
      <w:marRight w:val="0"/>
      <w:marTop w:val="0"/>
      <w:marBottom w:val="0"/>
      <w:divBdr>
        <w:top w:val="none" w:sz="0" w:space="0" w:color="auto"/>
        <w:left w:val="none" w:sz="0" w:space="0" w:color="auto"/>
        <w:bottom w:val="none" w:sz="0" w:space="0" w:color="auto"/>
        <w:right w:val="none" w:sz="0" w:space="0" w:color="auto"/>
      </w:divBdr>
    </w:div>
    <w:div w:id="316879719">
      <w:bodyDiv w:val="1"/>
      <w:marLeft w:val="0"/>
      <w:marRight w:val="0"/>
      <w:marTop w:val="0"/>
      <w:marBottom w:val="0"/>
      <w:divBdr>
        <w:top w:val="none" w:sz="0" w:space="0" w:color="auto"/>
        <w:left w:val="none" w:sz="0" w:space="0" w:color="auto"/>
        <w:bottom w:val="none" w:sz="0" w:space="0" w:color="auto"/>
        <w:right w:val="none" w:sz="0" w:space="0" w:color="auto"/>
      </w:divBdr>
    </w:div>
    <w:div w:id="317421074">
      <w:bodyDiv w:val="1"/>
      <w:marLeft w:val="0"/>
      <w:marRight w:val="0"/>
      <w:marTop w:val="0"/>
      <w:marBottom w:val="0"/>
      <w:divBdr>
        <w:top w:val="none" w:sz="0" w:space="0" w:color="auto"/>
        <w:left w:val="none" w:sz="0" w:space="0" w:color="auto"/>
        <w:bottom w:val="none" w:sz="0" w:space="0" w:color="auto"/>
        <w:right w:val="none" w:sz="0" w:space="0" w:color="auto"/>
      </w:divBdr>
    </w:div>
    <w:div w:id="317534758">
      <w:bodyDiv w:val="1"/>
      <w:marLeft w:val="0"/>
      <w:marRight w:val="0"/>
      <w:marTop w:val="0"/>
      <w:marBottom w:val="0"/>
      <w:divBdr>
        <w:top w:val="none" w:sz="0" w:space="0" w:color="auto"/>
        <w:left w:val="none" w:sz="0" w:space="0" w:color="auto"/>
        <w:bottom w:val="none" w:sz="0" w:space="0" w:color="auto"/>
        <w:right w:val="none" w:sz="0" w:space="0" w:color="auto"/>
      </w:divBdr>
    </w:div>
    <w:div w:id="319846832">
      <w:bodyDiv w:val="1"/>
      <w:marLeft w:val="0"/>
      <w:marRight w:val="0"/>
      <w:marTop w:val="0"/>
      <w:marBottom w:val="0"/>
      <w:divBdr>
        <w:top w:val="none" w:sz="0" w:space="0" w:color="auto"/>
        <w:left w:val="none" w:sz="0" w:space="0" w:color="auto"/>
        <w:bottom w:val="none" w:sz="0" w:space="0" w:color="auto"/>
        <w:right w:val="none" w:sz="0" w:space="0" w:color="auto"/>
      </w:divBdr>
    </w:div>
    <w:div w:id="320281331">
      <w:bodyDiv w:val="1"/>
      <w:marLeft w:val="0"/>
      <w:marRight w:val="0"/>
      <w:marTop w:val="0"/>
      <w:marBottom w:val="0"/>
      <w:divBdr>
        <w:top w:val="none" w:sz="0" w:space="0" w:color="auto"/>
        <w:left w:val="none" w:sz="0" w:space="0" w:color="auto"/>
        <w:bottom w:val="none" w:sz="0" w:space="0" w:color="auto"/>
        <w:right w:val="none" w:sz="0" w:space="0" w:color="auto"/>
      </w:divBdr>
    </w:div>
    <w:div w:id="323359794">
      <w:bodyDiv w:val="1"/>
      <w:marLeft w:val="0"/>
      <w:marRight w:val="0"/>
      <w:marTop w:val="0"/>
      <w:marBottom w:val="0"/>
      <w:divBdr>
        <w:top w:val="none" w:sz="0" w:space="0" w:color="auto"/>
        <w:left w:val="none" w:sz="0" w:space="0" w:color="auto"/>
        <w:bottom w:val="none" w:sz="0" w:space="0" w:color="auto"/>
        <w:right w:val="none" w:sz="0" w:space="0" w:color="auto"/>
      </w:divBdr>
    </w:div>
    <w:div w:id="324482433">
      <w:bodyDiv w:val="1"/>
      <w:marLeft w:val="0"/>
      <w:marRight w:val="0"/>
      <w:marTop w:val="0"/>
      <w:marBottom w:val="0"/>
      <w:divBdr>
        <w:top w:val="none" w:sz="0" w:space="0" w:color="auto"/>
        <w:left w:val="none" w:sz="0" w:space="0" w:color="auto"/>
        <w:bottom w:val="none" w:sz="0" w:space="0" w:color="auto"/>
        <w:right w:val="none" w:sz="0" w:space="0" w:color="auto"/>
      </w:divBdr>
    </w:div>
    <w:div w:id="324744896">
      <w:bodyDiv w:val="1"/>
      <w:marLeft w:val="0"/>
      <w:marRight w:val="0"/>
      <w:marTop w:val="0"/>
      <w:marBottom w:val="0"/>
      <w:divBdr>
        <w:top w:val="none" w:sz="0" w:space="0" w:color="auto"/>
        <w:left w:val="none" w:sz="0" w:space="0" w:color="auto"/>
        <w:bottom w:val="none" w:sz="0" w:space="0" w:color="auto"/>
        <w:right w:val="none" w:sz="0" w:space="0" w:color="auto"/>
      </w:divBdr>
    </w:div>
    <w:div w:id="325741690">
      <w:bodyDiv w:val="1"/>
      <w:marLeft w:val="0"/>
      <w:marRight w:val="0"/>
      <w:marTop w:val="0"/>
      <w:marBottom w:val="0"/>
      <w:divBdr>
        <w:top w:val="none" w:sz="0" w:space="0" w:color="auto"/>
        <w:left w:val="none" w:sz="0" w:space="0" w:color="auto"/>
        <w:bottom w:val="none" w:sz="0" w:space="0" w:color="auto"/>
        <w:right w:val="none" w:sz="0" w:space="0" w:color="auto"/>
      </w:divBdr>
    </w:div>
    <w:div w:id="326054250">
      <w:bodyDiv w:val="1"/>
      <w:marLeft w:val="0"/>
      <w:marRight w:val="0"/>
      <w:marTop w:val="0"/>
      <w:marBottom w:val="0"/>
      <w:divBdr>
        <w:top w:val="none" w:sz="0" w:space="0" w:color="auto"/>
        <w:left w:val="none" w:sz="0" w:space="0" w:color="auto"/>
        <w:bottom w:val="none" w:sz="0" w:space="0" w:color="auto"/>
        <w:right w:val="none" w:sz="0" w:space="0" w:color="auto"/>
      </w:divBdr>
    </w:div>
    <w:div w:id="327176737">
      <w:bodyDiv w:val="1"/>
      <w:marLeft w:val="0"/>
      <w:marRight w:val="0"/>
      <w:marTop w:val="0"/>
      <w:marBottom w:val="0"/>
      <w:divBdr>
        <w:top w:val="none" w:sz="0" w:space="0" w:color="auto"/>
        <w:left w:val="none" w:sz="0" w:space="0" w:color="auto"/>
        <w:bottom w:val="none" w:sz="0" w:space="0" w:color="auto"/>
        <w:right w:val="none" w:sz="0" w:space="0" w:color="auto"/>
      </w:divBdr>
    </w:div>
    <w:div w:id="327560795">
      <w:bodyDiv w:val="1"/>
      <w:marLeft w:val="0"/>
      <w:marRight w:val="0"/>
      <w:marTop w:val="0"/>
      <w:marBottom w:val="0"/>
      <w:divBdr>
        <w:top w:val="none" w:sz="0" w:space="0" w:color="auto"/>
        <w:left w:val="none" w:sz="0" w:space="0" w:color="auto"/>
        <w:bottom w:val="none" w:sz="0" w:space="0" w:color="auto"/>
        <w:right w:val="none" w:sz="0" w:space="0" w:color="auto"/>
      </w:divBdr>
    </w:div>
    <w:div w:id="327901974">
      <w:bodyDiv w:val="1"/>
      <w:marLeft w:val="0"/>
      <w:marRight w:val="0"/>
      <w:marTop w:val="0"/>
      <w:marBottom w:val="0"/>
      <w:divBdr>
        <w:top w:val="none" w:sz="0" w:space="0" w:color="auto"/>
        <w:left w:val="none" w:sz="0" w:space="0" w:color="auto"/>
        <w:bottom w:val="none" w:sz="0" w:space="0" w:color="auto"/>
        <w:right w:val="none" w:sz="0" w:space="0" w:color="auto"/>
      </w:divBdr>
    </w:div>
    <w:div w:id="327943541">
      <w:bodyDiv w:val="1"/>
      <w:marLeft w:val="0"/>
      <w:marRight w:val="0"/>
      <w:marTop w:val="0"/>
      <w:marBottom w:val="0"/>
      <w:divBdr>
        <w:top w:val="none" w:sz="0" w:space="0" w:color="auto"/>
        <w:left w:val="none" w:sz="0" w:space="0" w:color="auto"/>
        <w:bottom w:val="none" w:sz="0" w:space="0" w:color="auto"/>
        <w:right w:val="none" w:sz="0" w:space="0" w:color="auto"/>
      </w:divBdr>
    </w:div>
    <w:div w:id="329911738">
      <w:bodyDiv w:val="1"/>
      <w:marLeft w:val="0"/>
      <w:marRight w:val="0"/>
      <w:marTop w:val="0"/>
      <w:marBottom w:val="0"/>
      <w:divBdr>
        <w:top w:val="none" w:sz="0" w:space="0" w:color="auto"/>
        <w:left w:val="none" w:sz="0" w:space="0" w:color="auto"/>
        <w:bottom w:val="none" w:sz="0" w:space="0" w:color="auto"/>
        <w:right w:val="none" w:sz="0" w:space="0" w:color="auto"/>
      </w:divBdr>
    </w:div>
    <w:div w:id="329985406">
      <w:bodyDiv w:val="1"/>
      <w:marLeft w:val="0"/>
      <w:marRight w:val="0"/>
      <w:marTop w:val="0"/>
      <w:marBottom w:val="0"/>
      <w:divBdr>
        <w:top w:val="none" w:sz="0" w:space="0" w:color="auto"/>
        <w:left w:val="none" w:sz="0" w:space="0" w:color="auto"/>
        <w:bottom w:val="none" w:sz="0" w:space="0" w:color="auto"/>
        <w:right w:val="none" w:sz="0" w:space="0" w:color="auto"/>
      </w:divBdr>
    </w:div>
    <w:div w:id="331105379">
      <w:bodyDiv w:val="1"/>
      <w:marLeft w:val="0"/>
      <w:marRight w:val="0"/>
      <w:marTop w:val="0"/>
      <w:marBottom w:val="0"/>
      <w:divBdr>
        <w:top w:val="none" w:sz="0" w:space="0" w:color="auto"/>
        <w:left w:val="none" w:sz="0" w:space="0" w:color="auto"/>
        <w:bottom w:val="none" w:sz="0" w:space="0" w:color="auto"/>
        <w:right w:val="none" w:sz="0" w:space="0" w:color="auto"/>
      </w:divBdr>
    </w:div>
    <w:div w:id="331497632">
      <w:bodyDiv w:val="1"/>
      <w:marLeft w:val="0"/>
      <w:marRight w:val="0"/>
      <w:marTop w:val="0"/>
      <w:marBottom w:val="0"/>
      <w:divBdr>
        <w:top w:val="none" w:sz="0" w:space="0" w:color="auto"/>
        <w:left w:val="none" w:sz="0" w:space="0" w:color="auto"/>
        <w:bottom w:val="none" w:sz="0" w:space="0" w:color="auto"/>
        <w:right w:val="none" w:sz="0" w:space="0" w:color="auto"/>
      </w:divBdr>
    </w:div>
    <w:div w:id="331572851">
      <w:bodyDiv w:val="1"/>
      <w:marLeft w:val="0"/>
      <w:marRight w:val="0"/>
      <w:marTop w:val="0"/>
      <w:marBottom w:val="0"/>
      <w:divBdr>
        <w:top w:val="none" w:sz="0" w:space="0" w:color="auto"/>
        <w:left w:val="none" w:sz="0" w:space="0" w:color="auto"/>
        <w:bottom w:val="none" w:sz="0" w:space="0" w:color="auto"/>
        <w:right w:val="none" w:sz="0" w:space="0" w:color="auto"/>
      </w:divBdr>
    </w:div>
    <w:div w:id="332144275">
      <w:bodyDiv w:val="1"/>
      <w:marLeft w:val="0"/>
      <w:marRight w:val="0"/>
      <w:marTop w:val="0"/>
      <w:marBottom w:val="0"/>
      <w:divBdr>
        <w:top w:val="none" w:sz="0" w:space="0" w:color="auto"/>
        <w:left w:val="none" w:sz="0" w:space="0" w:color="auto"/>
        <w:bottom w:val="none" w:sz="0" w:space="0" w:color="auto"/>
        <w:right w:val="none" w:sz="0" w:space="0" w:color="auto"/>
      </w:divBdr>
    </w:div>
    <w:div w:id="334765715">
      <w:bodyDiv w:val="1"/>
      <w:marLeft w:val="0"/>
      <w:marRight w:val="0"/>
      <w:marTop w:val="0"/>
      <w:marBottom w:val="0"/>
      <w:divBdr>
        <w:top w:val="none" w:sz="0" w:space="0" w:color="auto"/>
        <w:left w:val="none" w:sz="0" w:space="0" w:color="auto"/>
        <w:bottom w:val="none" w:sz="0" w:space="0" w:color="auto"/>
        <w:right w:val="none" w:sz="0" w:space="0" w:color="auto"/>
      </w:divBdr>
    </w:div>
    <w:div w:id="335697550">
      <w:bodyDiv w:val="1"/>
      <w:marLeft w:val="0"/>
      <w:marRight w:val="0"/>
      <w:marTop w:val="0"/>
      <w:marBottom w:val="0"/>
      <w:divBdr>
        <w:top w:val="none" w:sz="0" w:space="0" w:color="auto"/>
        <w:left w:val="none" w:sz="0" w:space="0" w:color="auto"/>
        <w:bottom w:val="none" w:sz="0" w:space="0" w:color="auto"/>
        <w:right w:val="none" w:sz="0" w:space="0" w:color="auto"/>
      </w:divBdr>
    </w:div>
    <w:div w:id="336008238">
      <w:bodyDiv w:val="1"/>
      <w:marLeft w:val="0"/>
      <w:marRight w:val="0"/>
      <w:marTop w:val="0"/>
      <w:marBottom w:val="0"/>
      <w:divBdr>
        <w:top w:val="none" w:sz="0" w:space="0" w:color="auto"/>
        <w:left w:val="none" w:sz="0" w:space="0" w:color="auto"/>
        <w:bottom w:val="none" w:sz="0" w:space="0" w:color="auto"/>
        <w:right w:val="none" w:sz="0" w:space="0" w:color="auto"/>
      </w:divBdr>
    </w:div>
    <w:div w:id="336344849">
      <w:bodyDiv w:val="1"/>
      <w:marLeft w:val="0"/>
      <w:marRight w:val="0"/>
      <w:marTop w:val="0"/>
      <w:marBottom w:val="0"/>
      <w:divBdr>
        <w:top w:val="none" w:sz="0" w:space="0" w:color="auto"/>
        <w:left w:val="none" w:sz="0" w:space="0" w:color="auto"/>
        <w:bottom w:val="none" w:sz="0" w:space="0" w:color="auto"/>
        <w:right w:val="none" w:sz="0" w:space="0" w:color="auto"/>
      </w:divBdr>
    </w:div>
    <w:div w:id="337007700">
      <w:bodyDiv w:val="1"/>
      <w:marLeft w:val="0"/>
      <w:marRight w:val="0"/>
      <w:marTop w:val="0"/>
      <w:marBottom w:val="0"/>
      <w:divBdr>
        <w:top w:val="none" w:sz="0" w:space="0" w:color="auto"/>
        <w:left w:val="none" w:sz="0" w:space="0" w:color="auto"/>
        <w:bottom w:val="none" w:sz="0" w:space="0" w:color="auto"/>
        <w:right w:val="none" w:sz="0" w:space="0" w:color="auto"/>
      </w:divBdr>
    </w:div>
    <w:div w:id="337856142">
      <w:bodyDiv w:val="1"/>
      <w:marLeft w:val="0"/>
      <w:marRight w:val="0"/>
      <w:marTop w:val="0"/>
      <w:marBottom w:val="0"/>
      <w:divBdr>
        <w:top w:val="none" w:sz="0" w:space="0" w:color="auto"/>
        <w:left w:val="none" w:sz="0" w:space="0" w:color="auto"/>
        <w:bottom w:val="none" w:sz="0" w:space="0" w:color="auto"/>
        <w:right w:val="none" w:sz="0" w:space="0" w:color="auto"/>
      </w:divBdr>
    </w:div>
    <w:div w:id="338166689">
      <w:bodyDiv w:val="1"/>
      <w:marLeft w:val="0"/>
      <w:marRight w:val="0"/>
      <w:marTop w:val="0"/>
      <w:marBottom w:val="0"/>
      <w:divBdr>
        <w:top w:val="none" w:sz="0" w:space="0" w:color="auto"/>
        <w:left w:val="none" w:sz="0" w:space="0" w:color="auto"/>
        <w:bottom w:val="none" w:sz="0" w:space="0" w:color="auto"/>
        <w:right w:val="none" w:sz="0" w:space="0" w:color="auto"/>
      </w:divBdr>
    </w:div>
    <w:div w:id="338582391">
      <w:bodyDiv w:val="1"/>
      <w:marLeft w:val="0"/>
      <w:marRight w:val="0"/>
      <w:marTop w:val="0"/>
      <w:marBottom w:val="0"/>
      <w:divBdr>
        <w:top w:val="none" w:sz="0" w:space="0" w:color="auto"/>
        <w:left w:val="none" w:sz="0" w:space="0" w:color="auto"/>
        <w:bottom w:val="none" w:sz="0" w:space="0" w:color="auto"/>
        <w:right w:val="none" w:sz="0" w:space="0" w:color="auto"/>
      </w:divBdr>
    </w:div>
    <w:div w:id="340201585">
      <w:bodyDiv w:val="1"/>
      <w:marLeft w:val="0"/>
      <w:marRight w:val="0"/>
      <w:marTop w:val="0"/>
      <w:marBottom w:val="0"/>
      <w:divBdr>
        <w:top w:val="none" w:sz="0" w:space="0" w:color="auto"/>
        <w:left w:val="none" w:sz="0" w:space="0" w:color="auto"/>
        <w:bottom w:val="none" w:sz="0" w:space="0" w:color="auto"/>
        <w:right w:val="none" w:sz="0" w:space="0" w:color="auto"/>
      </w:divBdr>
    </w:div>
    <w:div w:id="342324187">
      <w:bodyDiv w:val="1"/>
      <w:marLeft w:val="0"/>
      <w:marRight w:val="0"/>
      <w:marTop w:val="0"/>
      <w:marBottom w:val="0"/>
      <w:divBdr>
        <w:top w:val="none" w:sz="0" w:space="0" w:color="auto"/>
        <w:left w:val="none" w:sz="0" w:space="0" w:color="auto"/>
        <w:bottom w:val="none" w:sz="0" w:space="0" w:color="auto"/>
        <w:right w:val="none" w:sz="0" w:space="0" w:color="auto"/>
      </w:divBdr>
    </w:div>
    <w:div w:id="342588503">
      <w:bodyDiv w:val="1"/>
      <w:marLeft w:val="0"/>
      <w:marRight w:val="0"/>
      <w:marTop w:val="0"/>
      <w:marBottom w:val="0"/>
      <w:divBdr>
        <w:top w:val="none" w:sz="0" w:space="0" w:color="auto"/>
        <w:left w:val="none" w:sz="0" w:space="0" w:color="auto"/>
        <w:bottom w:val="none" w:sz="0" w:space="0" w:color="auto"/>
        <w:right w:val="none" w:sz="0" w:space="0" w:color="auto"/>
      </w:divBdr>
    </w:div>
    <w:div w:id="343282867">
      <w:bodyDiv w:val="1"/>
      <w:marLeft w:val="0"/>
      <w:marRight w:val="0"/>
      <w:marTop w:val="0"/>
      <w:marBottom w:val="0"/>
      <w:divBdr>
        <w:top w:val="none" w:sz="0" w:space="0" w:color="auto"/>
        <w:left w:val="none" w:sz="0" w:space="0" w:color="auto"/>
        <w:bottom w:val="none" w:sz="0" w:space="0" w:color="auto"/>
        <w:right w:val="none" w:sz="0" w:space="0" w:color="auto"/>
      </w:divBdr>
    </w:div>
    <w:div w:id="344208642">
      <w:bodyDiv w:val="1"/>
      <w:marLeft w:val="0"/>
      <w:marRight w:val="0"/>
      <w:marTop w:val="0"/>
      <w:marBottom w:val="0"/>
      <w:divBdr>
        <w:top w:val="none" w:sz="0" w:space="0" w:color="auto"/>
        <w:left w:val="none" w:sz="0" w:space="0" w:color="auto"/>
        <w:bottom w:val="none" w:sz="0" w:space="0" w:color="auto"/>
        <w:right w:val="none" w:sz="0" w:space="0" w:color="auto"/>
      </w:divBdr>
    </w:div>
    <w:div w:id="345908980">
      <w:bodyDiv w:val="1"/>
      <w:marLeft w:val="0"/>
      <w:marRight w:val="0"/>
      <w:marTop w:val="0"/>
      <w:marBottom w:val="0"/>
      <w:divBdr>
        <w:top w:val="none" w:sz="0" w:space="0" w:color="auto"/>
        <w:left w:val="none" w:sz="0" w:space="0" w:color="auto"/>
        <w:bottom w:val="none" w:sz="0" w:space="0" w:color="auto"/>
        <w:right w:val="none" w:sz="0" w:space="0" w:color="auto"/>
      </w:divBdr>
    </w:div>
    <w:div w:id="345987452">
      <w:bodyDiv w:val="1"/>
      <w:marLeft w:val="0"/>
      <w:marRight w:val="0"/>
      <w:marTop w:val="0"/>
      <w:marBottom w:val="0"/>
      <w:divBdr>
        <w:top w:val="none" w:sz="0" w:space="0" w:color="auto"/>
        <w:left w:val="none" w:sz="0" w:space="0" w:color="auto"/>
        <w:bottom w:val="none" w:sz="0" w:space="0" w:color="auto"/>
        <w:right w:val="none" w:sz="0" w:space="0" w:color="auto"/>
      </w:divBdr>
    </w:div>
    <w:div w:id="345988853">
      <w:bodyDiv w:val="1"/>
      <w:marLeft w:val="0"/>
      <w:marRight w:val="0"/>
      <w:marTop w:val="0"/>
      <w:marBottom w:val="0"/>
      <w:divBdr>
        <w:top w:val="none" w:sz="0" w:space="0" w:color="auto"/>
        <w:left w:val="none" w:sz="0" w:space="0" w:color="auto"/>
        <w:bottom w:val="none" w:sz="0" w:space="0" w:color="auto"/>
        <w:right w:val="none" w:sz="0" w:space="0" w:color="auto"/>
      </w:divBdr>
    </w:div>
    <w:div w:id="347490016">
      <w:bodyDiv w:val="1"/>
      <w:marLeft w:val="0"/>
      <w:marRight w:val="0"/>
      <w:marTop w:val="0"/>
      <w:marBottom w:val="0"/>
      <w:divBdr>
        <w:top w:val="none" w:sz="0" w:space="0" w:color="auto"/>
        <w:left w:val="none" w:sz="0" w:space="0" w:color="auto"/>
        <w:bottom w:val="none" w:sz="0" w:space="0" w:color="auto"/>
        <w:right w:val="none" w:sz="0" w:space="0" w:color="auto"/>
      </w:divBdr>
    </w:div>
    <w:div w:id="347634901">
      <w:bodyDiv w:val="1"/>
      <w:marLeft w:val="0"/>
      <w:marRight w:val="0"/>
      <w:marTop w:val="0"/>
      <w:marBottom w:val="0"/>
      <w:divBdr>
        <w:top w:val="none" w:sz="0" w:space="0" w:color="auto"/>
        <w:left w:val="none" w:sz="0" w:space="0" w:color="auto"/>
        <w:bottom w:val="none" w:sz="0" w:space="0" w:color="auto"/>
        <w:right w:val="none" w:sz="0" w:space="0" w:color="auto"/>
      </w:divBdr>
    </w:div>
    <w:div w:id="347801832">
      <w:bodyDiv w:val="1"/>
      <w:marLeft w:val="0"/>
      <w:marRight w:val="0"/>
      <w:marTop w:val="0"/>
      <w:marBottom w:val="0"/>
      <w:divBdr>
        <w:top w:val="none" w:sz="0" w:space="0" w:color="auto"/>
        <w:left w:val="none" w:sz="0" w:space="0" w:color="auto"/>
        <w:bottom w:val="none" w:sz="0" w:space="0" w:color="auto"/>
        <w:right w:val="none" w:sz="0" w:space="0" w:color="auto"/>
      </w:divBdr>
    </w:div>
    <w:div w:id="347873653">
      <w:bodyDiv w:val="1"/>
      <w:marLeft w:val="0"/>
      <w:marRight w:val="0"/>
      <w:marTop w:val="0"/>
      <w:marBottom w:val="0"/>
      <w:divBdr>
        <w:top w:val="none" w:sz="0" w:space="0" w:color="auto"/>
        <w:left w:val="none" w:sz="0" w:space="0" w:color="auto"/>
        <w:bottom w:val="none" w:sz="0" w:space="0" w:color="auto"/>
        <w:right w:val="none" w:sz="0" w:space="0" w:color="auto"/>
      </w:divBdr>
    </w:div>
    <w:div w:id="348409133">
      <w:bodyDiv w:val="1"/>
      <w:marLeft w:val="0"/>
      <w:marRight w:val="0"/>
      <w:marTop w:val="0"/>
      <w:marBottom w:val="0"/>
      <w:divBdr>
        <w:top w:val="none" w:sz="0" w:space="0" w:color="auto"/>
        <w:left w:val="none" w:sz="0" w:space="0" w:color="auto"/>
        <w:bottom w:val="none" w:sz="0" w:space="0" w:color="auto"/>
        <w:right w:val="none" w:sz="0" w:space="0" w:color="auto"/>
      </w:divBdr>
    </w:div>
    <w:div w:id="349062610">
      <w:bodyDiv w:val="1"/>
      <w:marLeft w:val="0"/>
      <w:marRight w:val="0"/>
      <w:marTop w:val="0"/>
      <w:marBottom w:val="0"/>
      <w:divBdr>
        <w:top w:val="none" w:sz="0" w:space="0" w:color="auto"/>
        <w:left w:val="none" w:sz="0" w:space="0" w:color="auto"/>
        <w:bottom w:val="none" w:sz="0" w:space="0" w:color="auto"/>
        <w:right w:val="none" w:sz="0" w:space="0" w:color="auto"/>
      </w:divBdr>
    </w:div>
    <w:div w:id="352072926">
      <w:bodyDiv w:val="1"/>
      <w:marLeft w:val="0"/>
      <w:marRight w:val="0"/>
      <w:marTop w:val="0"/>
      <w:marBottom w:val="0"/>
      <w:divBdr>
        <w:top w:val="none" w:sz="0" w:space="0" w:color="auto"/>
        <w:left w:val="none" w:sz="0" w:space="0" w:color="auto"/>
        <w:bottom w:val="none" w:sz="0" w:space="0" w:color="auto"/>
        <w:right w:val="none" w:sz="0" w:space="0" w:color="auto"/>
      </w:divBdr>
    </w:div>
    <w:div w:id="352342583">
      <w:bodyDiv w:val="1"/>
      <w:marLeft w:val="0"/>
      <w:marRight w:val="0"/>
      <w:marTop w:val="0"/>
      <w:marBottom w:val="0"/>
      <w:divBdr>
        <w:top w:val="none" w:sz="0" w:space="0" w:color="auto"/>
        <w:left w:val="none" w:sz="0" w:space="0" w:color="auto"/>
        <w:bottom w:val="none" w:sz="0" w:space="0" w:color="auto"/>
        <w:right w:val="none" w:sz="0" w:space="0" w:color="auto"/>
      </w:divBdr>
    </w:div>
    <w:div w:id="352415016">
      <w:bodyDiv w:val="1"/>
      <w:marLeft w:val="0"/>
      <w:marRight w:val="0"/>
      <w:marTop w:val="0"/>
      <w:marBottom w:val="0"/>
      <w:divBdr>
        <w:top w:val="none" w:sz="0" w:space="0" w:color="auto"/>
        <w:left w:val="none" w:sz="0" w:space="0" w:color="auto"/>
        <w:bottom w:val="none" w:sz="0" w:space="0" w:color="auto"/>
        <w:right w:val="none" w:sz="0" w:space="0" w:color="auto"/>
      </w:divBdr>
    </w:div>
    <w:div w:id="352460959">
      <w:bodyDiv w:val="1"/>
      <w:marLeft w:val="0"/>
      <w:marRight w:val="0"/>
      <w:marTop w:val="0"/>
      <w:marBottom w:val="0"/>
      <w:divBdr>
        <w:top w:val="none" w:sz="0" w:space="0" w:color="auto"/>
        <w:left w:val="none" w:sz="0" w:space="0" w:color="auto"/>
        <w:bottom w:val="none" w:sz="0" w:space="0" w:color="auto"/>
        <w:right w:val="none" w:sz="0" w:space="0" w:color="auto"/>
      </w:divBdr>
    </w:div>
    <w:div w:id="355230020">
      <w:bodyDiv w:val="1"/>
      <w:marLeft w:val="0"/>
      <w:marRight w:val="0"/>
      <w:marTop w:val="0"/>
      <w:marBottom w:val="0"/>
      <w:divBdr>
        <w:top w:val="none" w:sz="0" w:space="0" w:color="auto"/>
        <w:left w:val="none" w:sz="0" w:space="0" w:color="auto"/>
        <w:bottom w:val="none" w:sz="0" w:space="0" w:color="auto"/>
        <w:right w:val="none" w:sz="0" w:space="0" w:color="auto"/>
      </w:divBdr>
    </w:div>
    <w:div w:id="355348205">
      <w:bodyDiv w:val="1"/>
      <w:marLeft w:val="0"/>
      <w:marRight w:val="0"/>
      <w:marTop w:val="0"/>
      <w:marBottom w:val="0"/>
      <w:divBdr>
        <w:top w:val="none" w:sz="0" w:space="0" w:color="auto"/>
        <w:left w:val="none" w:sz="0" w:space="0" w:color="auto"/>
        <w:bottom w:val="none" w:sz="0" w:space="0" w:color="auto"/>
        <w:right w:val="none" w:sz="0" w:space="0" w:color="auto"/>
      </w:divBdr>
    </w:div>
    <w:div w:id="355473382">
      <w:bodyDiv w:val="1"/>
      <w:marLeft w:val="0"/>
      <w:marRight w:val="0"/>
      <w:marTop w:val="0"/>
      <w:marBottom w:val="0"/>
      <w:divBdr>
        <w:top w:val="none" w:sz="0" w:space="0" w:color="auto"/>
        <w:left w:val="none" w:sz="0" w:space="0" w:color="auto"/>
        <w:bottom w:val="none" w:sz="0" w:space="0" w:color="auto"/>
        <w:right w:val="none" w:sz="0" w:space="0" w:color="auto"/>
      </w:divBdr>
    </w:div>
    <w:div w:id="355929133">
      <w:bodyDiv w:val="1"/>
      <w:marLeft w:val="0"/>
      <w:marRight w:val="0"/>
      <w:marTop w:val="0"/>
      <w:marBottom w:val="0"/>
      <w:divBdr>
        <w:top w:val="none" w:sz="0" w:space="0" w:color="auto"/>
        <w:left w:val="none" w:sz="0" w:space="0" w:color="auto"/>
        <w:bottom w:val="none" w:sz="0" w:space="0" w:color="auto"/>
        <w:right w:val="none" w:sz="0" w:space="0" w:color="auto"/>
      </w:divBdr>
    </w:div>
    <w:div w:id="357001872">
      <w:bodyDiv w:val="1"/>
      <w:marLeft w:val="0"/>
      <w:marRight w:val="0"/>
      <w:marTop w:val="0"/>
      <w:marBottom w:val="0"/>
      <w:divBdr>
        <w:top w:val="none" w:sz="0" w:space="0" w:color="auto"/>
        <w:left w:val="none" w:sz="0" w:space="0" w:color="auto"/>
        <w:bottom w:val="none" w:sz="0" w:space="0" w:color="auto"/>
        <w:right w:val="none" w:sz="0" w:space="0" w:color="auto"/>
      </w:divBdr>
    </w:div>
    <w:div w:id="358972835">
      <w:bodyDiv w:val="1"/>
      <w:marLeft w:val="0"/>
      <w:marRight w:val="0"/>
      <w:marTop w:val="0"/>
      <w:marBottom w:val="0"/>
      <w:divBdr>
        <w:top w:val="none" w:sz="0" w:space="0" w:color="auto"/>
        <w:left w:val="none" w:sz="0" w:space="0" w:color="auto"/>
        <w:bottom w:val="none" w:sz="0" w:space="0" w:color="auto"/>
        <w:right w:val="none" w:sz="0" w:space="0" w:color="auto"/>
      </w:divBdr>
    </w:div>
    <w:div w:id="359161208">
      <w:bodyDiv w:val="1"/>
      <w:marLeft w:val="0"/>
      <w:marRight w:val="0"/>
      <w:marTop w:val="0"/>
      <w:marBottom w:val="0"/>
      <w:divBdr>
        <w:top w:val="none" w:sz="0" w:space="0" w:color="auto"/>
        <w:left w:val="none" w:sz="0" w:space="0" w:color="auto"/>
        <w:bottom w:val="none" w:sz="0" w:space="0" w:color="auto"/>
        <w:right w:val="none" w:sz="0" w:space="0" w:color="auto"/>
      </w:divBdr>
    </w:div>
    <w:div w:id="359353882">
      <w:bodyDiv w:val="1"/>
      <w:marLeft w:val="0"/>
      <w:marRight w:val="0"/>
      <w:marTop w:val="0"/>
      <w:marBottom w:val="0"/>
      <w:divBdr>
        <w:top w:val="none" w:sz="0" w:space="0" w:color="auto"/>
        <w:left w:val="none" w:sz="0" w:space="0" w:color="auto"/>
        <w:bottom w:val="none" w:sz="0" w:space="0" w:color="auto"/>
        <w:right w:val="none" w:sz="0" w:space="0" w:color="auto"/>
      </w:divBdr>
    </w:div>
    <w:div w:id="359744780">
      <w:bodyDiv w:val="1"/>
      <w:marLeft w:val="0"/>
      <w:marRight w:val="0"/>
      <w:marTop w:val="0"/>
      <w:marBottom w:val="0"/>
      <w:divBdr>
        <w:top w:val="none" w:sz="0" w:space="0" w:color="auto"/>
        <w:left w:val="none" w:sz="0" w:space="0" w:color="auto"/>
        <w:bottom w:val="none" w:sz="0" w:space="0" w:color="auto"/>
        <w:right w:val="none" w:sz="0" w:space="0" w:color="auto"/>
      </w:divBdr>
    </w:div>
    <w:div w:id="360859770">
      <w:bodyDiv w:val="1"/>
      <w:marLeft w:val="0"/>
      <w:marRight w:val="0"/>
      <w:marTop w:val="0"/>
      <w:marBottom w:val="0"/>
      <w:divBdr>
        <w:top w:val="none" w:sz="0" w:space="0" w:color="auto"/>
        <w:left w:val="none" w:sz="0" w:space="0" w:color="auto"/>
        <w:bottom w:val="none" w:sz="0" w:space="0" w:color="auto"/>
        <w:right w:val="none" w:sz="0" w:space="0" w:color="auto"/>
      </w:divBdr>
    </w:div>
    <w:div w:id="361439600">
      <w:bodyDiv w:val="1"/>
      <w:marLeft w:val="0"/>
      <w:marRight w:val="0"/>
      <w:marTop w:val="0"/>
      <w:marBottom w:val="0"/>
      <w:divBdr>
        <w:top w:val="none" w:sz="0" w:space="0" w:color="auto"/>
        <w:left w:val="none" w:sz="0" w:space="0" w:color="auto"/>
        <w:bottom w:val="none" w:sz="0" w:space="0" w:color="auto"/>
        <w:right w:val="none" w:sz="0" w:space="0" w:color="auto"/>
      </w:divBdr>
    </w:div>
    <w:div w:id="362364533">
      <w:bodyDiv w:val="1"/>
      <w:marLeft w:val="0"/>
      <w:marRight w:val="0"/>
      <w:marTop w:val="0"/>
      <w:marBottom w:val="0"/>
      <w:divBdr>
        <w:top w:val="none" w:sz="0" w:space="0" w:color="auto"/>
        <w:left w:val="none" w:sz="0" w:space="0" w:color="auto"/>
        <w:bottom w:val="none" w:sz="0" w:space="0" w:color="auto"/>
        <w:right w:val="none" w:sz="0" w:space="0" w:color="auto"/>
      </w:divBdr>
    </w:div>
    <w:div w:id="364062804">
      <w:bodyDiv w:val="1"/>
      <w:marLeft w:val="0"/>
      <w:marRight w:val="0"/>
      <w:marTop w:val="0"/>
      <w:marBottom w:val="0"/>
      <w:divBdr>
        <w:top w:val="none" w:sz="0" w:space="0" w:color="auto"/>
        <w:left w:val="none" w:sz="0" w:space="0" w:color="auto"/>
        <w:bottom w:val="none" w:sz="0" w:space="0" w:color="auto"/>
        <w:right w:val="none" w:sz="0" w:space="0" w:color="auto"/>
      </w:divBdr>
    </w:div>
    <w:div w:id="365644783">
      <w:bodyDiv w:val="1"/>
      <w:marLeft w:val="0"/>
      <w:marRight w:val="0"/>
      <w:marTop w:val="0"/>
      <w:marBottom w:val="0"/>
      <w:divBdr>
        <w:top w:val="none" w:sz="0" w:space="0" w:color="auto"/>
        <w:left w:val="none" w:sz="0" w:space="0" w:color="auto"/>
        <w:bottom w:val="none" w:sz="0" w:space="0" w:color="auto"/>
        <w:right w:val="none" w:sz="0" w:space="0" w:color="auto"/>
      </w:divBdr>
    </w:div>
    <w:div w:id="366685382">
      <w:bodyDiv w:val="1"/>
      <w:marLeft w:val="0"/>
      <w:marRight w:val="0"/>
      <w:marTop w:val="0"/>
      <w:marBottom w:val="0"/>
      <w:divBdr>
        <w:top w:val="none" w:sz="0" w:space="0" w:color="auto"/>
        <w:left w:val="none" w:sz="0" w:space="0" w:color="auto"/>
        <w:bottom w:val="none" w:sz="0" w:space="0" w:color="auto"/>
        <w:right w:val="none" w:sz="0" w:space="0" w:color="auto"/>
      </w:divBdr>
    </w:div>
    <w:div w:id="368340179">
      <w:bodyDiv w:val="1"/>
      <w:marLeft w:val="0"/>
      <w:marRight w:val="0"/>
      <w:marTop w:val="0"/>
      <w:marBottom w:val="0"/>
      <w:divBdr>
        <w:top w:val="none" w:sz="0" w:space="0" w:color="auto"/>
        <w:left w:val="none" w:sz="0" w:space="0" w:color="auto"/>
        <w:bottom w:val="none" w:sz="0" w:space="0" w:color="auto"/>
        <w:right w:val="none" w:sz="0" w:space="0" w:color="auto"/>
      </w:divBdr>
    </w:div>
    <w:div w:id="368340909">
      <w:bodyDiv w:val="1"/>
      <w:marLeft w:val="0"/>
      <w:marRight w:val="0"/>
      <w:marTop w:val="0"/>
      <w:marBottom w:val="0"/>
      <w:divBdr>
        <w:top w:val="none" w:sz="0" w:space="0" w:color="auto"/>
        <w:left w:val="none" w:sz="0" w:space="0" w:color="auto"/>
        <w:bottom w:val="none" w:sz="0" w:space="0" w:color="auto"/>
        <w:right w:val="none" w:sz="0" w:space="0" w:color="auto"/>
      </w:divBdr>
    </w:div>
    <w:div w:id="371733740">
      <w:bodyDiv w:val="1"/>
      <w:marLeft w:val="0"/>
      <w:marRight w:val="0"/>
      <w:marTop w:val="0"/>
      <w:marBottom w:val="0"/>
      <w:divBdr>
        <w:top w:val="none" w:sz="0" w:space="0" w:color="auto"/>
        <w:left w:val="none" w:sz="0" w:space="0" w:color="auto"/>
        <w:bottom w:val="none" w:sz="0" w:space="0" w:color="auto"/>
        <w:right w:val="none" w:sz="0" w:space="0" w:color="auto"/>
      </w:divBdr>
    </w:div>
    <w:div w:id="372119981">
      <w:bodyDiv w:val="1"/>
      <w:marLeft w:val="0"/>
      <w:marRight w:val="0"/>
      <w:marTop w:val="0"/>
      <w:marBottom w:val="0"/>
      <w:divBdr>
        <w:top w:val="none" w:sz="0" w:space="0" w:color="auto"/>
        <w:left w:val="none" w:sz="0" w:space="0" w:color="auto"/>
        <w:bottom w:val="none" w:sz="0" w:space="0" w:color="auto"/>
        <w:right w:val="none" w:sz="0" w:space="0" w:color="auto"/>
      </w:divBdr>
    </w:div>
    <w:div w:id="372268453">
      <w:bodyDiv w:val="1"/>
      <w:marLeft w:val="0"/>
      <w:marRight w:val="0"/>
      <w:marTop w:val="0"/>
      <w:marBottom w:val="0"/>
      <w:divBdr>
        <w:top w:val="none" w:sz="0" w:space="0" w:color="auto"/>
        <w:left w:val="none" w:sz="0" w:space="0" w:color="auto"/>
        <w:bottom w:val="none" w:sz="0" w:space="0" w:color="auto"/>
        <w:right w:val="none" w:sz="0" w:space="0" w:color="auto"/>
      </w:divBdr>
    </w:div>
    <w:div w:id="373622215">
      <w:bodyDiv w:val="1"/>
      <w:marLeft w:val="0"/>
      <w:marRight w:val="0"/>
      <w:marTop w:val="0"/>
      <w:marBottom w:val="0"/>
      <w:divBdr>
        <w:top w:val="none" w:sz="0" w:space="0" w:color="auto"/>
        <w:left w:val="none" w:sz="0" w:space="0" w:color="auto"/>
        <w:bottom w:val="none" w:sz="0" w:space="0" w:color="auto"/>
        <w:right w:val="none" w:sz="0" w:space="0" w:color="auto"/>
      </w:divBdr>
    </w:div>
    <w:div w:id="374089182">
      <w:bodyDiv w:val="1"/>
      <w:marLeft w:val="0"/>
      <w:marRight w:val="0"/>
      <w:marTop w:val="0"/>
      <w:marBottom w:val="0"/>
      <w:divBdr>
        <w:top w:val="none" w:sz="0" w:space="0" w:color="auto"/>
        <w:left w:val="none" w:sz="0" w:space="0" w:color="auto"/>
        <w:bottom w:val="none" w:sz="0" w:space="0" w:color="auto"/>
        <w:right w:val="none" w:sz="0" w:space="0" w:color="auto"/>
      </w:divBdr>
    </w:div>
    <w:div w:id="374503994">
      <w:bodyDiv w:val="1"/>
      <w:marLeft w:val="0"/>
      <w:marRight w:val="0"/>
      <w:marTop w:val="0"/>
      <w:marBottom w:val="0"/>
      <w:divBdr>
        <w:top w:val="none" w:sz="0" w:space="0" w:color="auto"/>
        <w:left w:val="none" w:sz="0" w:space="0" w:color="auto"/>
        <w:bottom w:val="none" w:sz="0" w:space="0" w:color="auto"/>
        <w:right w:val="none" w:sz="0" w:space="0" w:color="auto"/>
      </w:divBdr>
    </w:div>
    <w:div w:id="376051819">
      <w:bodyDiv w:val="1"/>
      <w:marLeft w:val="0"/>
      <w:marRight w:val="0"/>
      <w:marTop w:val="0"/>
      <w:marBottom w:val="0"/>
      <w:divBdr>
        <w:top w:val="none" w:sz="0" w:space="0" w:color="auto"/>
        <w:left w:val="none" w:sz="0" w:space="0" w:color="auto"/>
        <w:bottom w:val="none" w:sz="0" w:space="0" w:color="auto"/>
        <w:right w:val="none" w:sz="0" w:space="0" w:color="auto"/>
      </w:divBdr>
    </w:div>
    <w:div w:id="376508322">
      <w:bodyDiv w:val="1"/>
      <w:marLeft w:val="0"/>
      <w:marRight w:val="0"/>
      <w:marTop w:val="0"/>
      <w:marBottom w:val="0"/>
      <w:divBdr>
        <w:top w:val="none" w:sz="0" w:space="0" w:color="auto"/>
        <w:left w:val="none" w:sz="0" w:space="0" w:color="auto"/>
        <w:bottom w:val="none" w:sz="0" w:space="0" w:color="auto"/>
        <w:right w:val="none" w:sz="0" w:space="0" w:color="auto"/>
      </w:divBdr>
    </w:div>
    <w:div w:id="379135034">
      <w:bodyDiv w:val="1"/>
      <w:marLeft w:val="0"/>
      <w:marRight w:val="0"/>
      <w:marTop w:val="0"/>
      <w:marBottom w:val="0"/>
      <w:divBdr>
        <w:top w:val="none" w:sz="0" w:space="0" w:color="auto"/>
        <w:left w:val="none" w:sz="0" w:space="0" w:color="auto"/>
        <w:bottom w:val="none" w:sz="0" w:space="0" w:color="auto"/>
        <w:right w:val="none" w:sz="0" w:space="0" w:color="auto"/>
      </w:divBdr>
    </w:div>
    <w:div w:id="382141125">
      <w:bodyDiv w:val="1"/>
      <w:marLeft w:val="0"/>
      <w:marRight w:val="0"/>
      <w:marTop w:val="0"/>
      <w:marBottom w:val="0"/>
      <w:divBdr>
        <w:top w:val="none" w:sz="0" w:space="0" w:color="auto"/>
        <w:left w:val="none" w:sz="0" w:space="0" w:color="auto"/>
        <w:bottom w:val="none" w:sz="0" w:space="0" w:color="auto"/>
        <w:right w:val="none" w:sz="0" w:space="0" w:color="auto"/>
      </w:divBdr>
    </w:div>
    <w:div w:id="382867820">
      <w:bodyDiv w:val="1"/>
      <w:marLeft w:val="0"/>
      <w:marRight w:val="0"/>
      <w:marTop w:val="0"/>
      <w:marBottom w:val="0"/>
      <w:divBdr>
        <w:top w:val="none" w:sz="0" w:space="0" w:color="auto"/>
        <w:left w:val="none" w:sz="0" w:space="0" w:color="auto"/>
        <w:bottom w:val="none" w:sz="0" w:space="0" w:color="auto"/>
        <w:right w:val="none" w:sz="0" w:space="0" w:color="auto"/>
      </w:divBdr>
    </w:div>
    <w:div w:id="383912963">
      <w:bodyDiv w:val="1"/>
      <w:marLeft w:val="0"/>
      <w:marRight w:val="0"/>
      <w:marTop w:val="0"/>
      <w:marBottom w:val="0"/>
      <w:divBdr>
        <w:top w:val="none" w:sz="0" w:space="0" w:color="auto"/>
        <w:left w:val="none" w:sz="0" w:space="0" w:color="auto"/>
        <w:bottom w:val="none" w:sz="0" w:space="0" w:color="auto"/>
        <w:right w:val="none" w:sz="0" w:space="0" w:color="auto"/>
      </w:divBdr>
    </w:div>
    <w:div w:id="385763086">
      <w:bodyDiv w:val="1"/>
      <w:marLeft w:val="0"/>
      <w:marRight w:val="0"/>
      <w:marTop w:val="0"/>
      <w:marBottom w:val="0"/>
      <w:divBdr>
        <w:top w:val="none" w:sz="0" w:space="0" w:color="auto"/>
        <w:left w:val="none" w:sz="0" w:space="0" w:color="auto"/>
        <w:bottom w:val="none" w:sz="0" w:space="0" w:color="auto"/>
        <w:right w:val="none" w:sz="0" w:space="0" w:color="auto"/>
      </w:divBdr>
    </w:div>
    <w:div w:id="386152115">
      <w:bodyDiv w:val="1"/>
      <w:marLeft w:val="0"/>
      <w:marRight w:val="0"/>
      <w:marTop w:val="0"/>
      <w:marBottom w:val="0"/>
      <w:divBdr>
        <w:top w:val="none" w:sz="0" w:space="0" w:color="auto"/>
        <w:left w:val="none" w:sz="0" w:space="0" w:color="auto"/>
        <w:bottom w:val="none" w:sz="0" w:space="0" w:color="auto"/>
        <w:right w:val="none" w:sz="0" w:space="0" w:color="auto"/>
      </w:divBdr>
    </w:div>
    <w:div w:id="386732495">
      <w:bodyDiv w:val="1"/>
      <w:marLeft w:val="0"/>
      <w:marRight w:val="0"/>
      <w:marTop w:val="0"/>
      <w:marBottom w:val="0"/>
      <w:divBdr>
        <w:top w:val="none" w:sz="0" w:space="0" w:color="auto"/>
        <w:left w:val="none" w:sz="0" w:space="0" w:color="auto"/>
        <w:bottom w:val="none" w:sz="0" w:space="0" w:color="auto"/>
        <w:right w:val="none" w:sz="0" w:space="0" w:color="auto"/>
      </w:divBdr>
    </w:div>
    <w:div w:id="387266155">
      <w:bodyDiv w:val="1"/>
      <w:marLeft w:val="0"/>
      <w:marRight w:val="0"/>
      <w:marTop w:val="0"/>
      <w:marBottom w:val="0"/>
      <w:divBdr>
        <w:top w:val="none" w:sz="0" w:space="0" w:color="auto"/>
        <w:left w:val="none" w:sz="0" w:space="0" w:color="auto"/>
        <w:bottom w:val="none" w:sz="0" w:space="0" w:color="auto"/>
        <w:right w:val="none" w:sz="0" w:space="0" w:color="auto"/>
      </w:divBdr>
    </w:div>
    <w:div w:id="388458016">
      <w:bodyDiv w:val="1"/>
      <w:marLeft w:val="0"/>
      <w:marRight w:val="0"/>
      <w:marTop w:val="0"/>
      <w:marBottom w:val="0"/>
      <w:divBdr>
        <w:top w:val="none" w:sz="0" w:space="0" w:color="auto"/>
        <w:left w:val="none" w:sz="0" w:space="0" w:color="auto"/>
        <w:bottom w:val="none" w:sz="0" w:space="0" w:color="auto"/>
        <w:right w:val="none" w:sz="0" w:space="0" w:color="auto"/>
      </w:divBdr>
    </w:div>
    <w:div w:id="394359228">
      <w:bodyDiv w:val="1"/>
      <w:marLeft w:val="0"/>
      <w:marRight w:val="0"/>
      <w:marTop w:val="0"/>
      <w:marBottom w:val="0"/>
      <w:divBdr>
        <w:top w:val="none" w:sz="0" w:space="0" w:color="auto"/>
        <w:left w:val="none" w:sz="0" w:space="0" w:color="auto"/>
        <w:bottom w:val="none" w:sz="0" w:space="0" w:color="auto"/>
        <w:right w:val="none" w:sz="0" w:space="0" w:color="auto"/>
      </w:divBdr>
    </w:div>
    <w:div w:id="396319081">
      <w:bodyDiv w:val="1"/>
      <w:marLeft w:val="0"/>
      <w:marRight w:val="0"/>
      <w:marTop w:val="0"/>
      <w:marBottom w:val="0"/>
      <w:divBdr>
        <w:top w:val="none" w:sz="0" w:space="0" w:color="auto"/>
        <w:left w:val="none" w:sz="0" w:space="0" w:color="auto"/>
        <w:bottom w:val="none" w:sz="0" w:space="0" w:color="auto"/>
        <w:right w:val="none" w:sz="0" w:space="0" w:color="auto"/>
      </w:divBdr>
    </w:div>
    <w:div w:id="399212164">
      <w:bodyDiv w:val="1"/>
      <w:marLeft w:val="0"/>
      <w:marRight w:val="0"/>
      <w:marTop w:val="0"/>
      <w:marBottom w:val="0"/>
      <w:divBdr>
        <w:top w:val="none" w:sz="0" w:space="0" w:color="auto"/>
        <w:left w:val="none" w:sz="0" w:space="0" w:color="auto"/>
        <w:bottom w:val="none" w:sz="0" w:space="0" w:color="auto"/>
        <w:right w:val="none" w:sz="0" w:space="0" w:color="auto"/>
      </w:divBdr>
    </w:div>
    <w:div w:id="400298864">
      <w:bodyDiv w:val="1"/>
      <w:marLeft w:val="0"/>
      <w:marRight w:val="0"/>
      <w:marTop w:val="0"/>
      <w:marBottom w:val="0"/>
      <w:divBdr>
        <w:top w:val="none" w:sz="0" w:space="0" w:color="auto"/>
        <w:left w:val="none" w:sz="0" w:space="0" w:color="auto"/>
        <w:bottom w:val="none" w:sz="0" w:space="0" w:color="auto"/>
        <w:right w:val="none" w:sz="0" w:space="0" w:color="auto"/>
      </w:divBdr>
    </w:div>
    <w:div w:id="402684741">
      <w:bodyDiv w:val="1"/>
      <w:marLeft w:val="0"/>
      <w:marRight w:val="0"/>
      <w:marTop w:val="0"/>
      <w:marBottom w:val="0"/>
      <w:divBdr>
        <w:top w:val="none" w:sz="0" w:space="0" w:color="auto"/>
        <w:left w:val="none" w:sz="0" w:space="0" w:color="auto"/>
        <w:bottom w:val="none" w:sz="0" w:space="0" w:color="auto"/>
        <w:right w:val="none" w:sz="0" w:space="0" w:color="auto"/>
      </w:divBdr>
    </w:div>
    <w:div w:id="403068401">
      <w:bodyDiv w:val="1"/>
      <w:marLeft w:val="0"/>
      <w:marRight w:val="0"/>
      <w:marTop w:val="0"/>
      <w:marBottom w:val="0"/>
      <w:divBdr>
        <w:top w:val="none" w:sz="0" w:space="0" w:color="auto"/>
        <w:left w:val="none" w:sz="0" w:space="0" w:color="auto"/>
        <w:bottom w:val="none" w:sz="0" w:space="0" w:color="auto"/>
        <w:right w:val="none" w:sz="0" w:space="0" w:color="auto"/>
      </w:divBdr>
    </w:div>
    <w:div w:id="403531166">
      <w:bodyDiv w:val="1"/>
      <w:marLeft w:val="0"/>
      <w:marRight w:val="0"/>
      <w:marTop w:val="0"/>
      <w:marBottom w:val="0"/>
      <w:divBdr>
        <w:top w:val="none" w:sz="0" w:space="0" w:color="auto"/>
        <w:left w:val="none" w:sz="0" w:space="0" w:color="auto"/>
        <w:bottom w:val="none" w:sz="0" w:space="0" w:color="auto"/>
        <w:right w:val="none" w:sz="0" w:space="0" w:color="auto"/>
      </w:divBdr>
    </w:div>
    <w:div w:id="404575264">
      <w:bodyDiv w:val="1"/>
      <w:marLeft w:val="0"/>
      <w:marRight w:val="0"/>
      <w:marTop w:val="0"/>
      <w:marBottom w:val="0"/>
      <w:divBdr>
        <w:top w:val="none" w:sz="0" w:space="0" w:color="auto"/>
        <w:left w:val="none" w:sz="0" w:space="0" w:color="auto"/>
        <w:bottom w:val="none" w:sz="0" w:space="0" w:color="auto"/>
        <w:right w:val="none" w:sz="0" w:space="0" w:color="auto"/>
      </w:divBdr>
    </w:div>
    <w:div w:id="407574705">
      <w:bodyDiv w:val="1"/>
      <w:marLeft w:val="0"/>
      <w:marRight w:val="0"/>
      <w:marTop w:val="0"/>
      <w:marBottom w:val="0"/>
      <w:divBdr>
        <w:top w:val="none" w:sz="0" w:space="0" w:color="auto"/>
        <w:left w:val="none" w:sz="0" w:space="0" w:color="auto"/>
        <w:bottom w:val="none" w:sz="0" w:space="0" w:color="auto"/>
        <w:right w:val="none" w:sz="0" w:space="0" w:color="auto"/>
      </w:divBdr>
    </w:div>
    <w:div w:id="412045277">
      <w:bodyDiv w:val="1"/>
      <w:marLeft w:val="0"/>
      <w:marRight w:val="0"/>
      <w:marTop w:val="0"/>
      <w:marBottom w:val="0"/>
      <w:divBdr>
        <w:top w:val="none" w:sz="0" w:space="0" w:color="auto"/>
        <w:left w:val="none" w:sz="0" w:space="0" w:color="auto"/>
        <w:bottom w:val="none" w:sz="0" w:space="0" w:color="auto"/>
        <w:right w:val="none" w:sz="0" w:space="0" w:color="auto"/>
      </w:divBdr>
    </w:div>
    <w:div w:id="413093762">
      <w:bodyDiv w:val="1"/>
      <w:marLeft w:val="0"/>
      <w:marRight w:val="0"/>
      <w:marTop w:val="0"/>
      <w:marBottom w:val="0"/>
      <w:divBdr>
        <w:top w:val="none" w:sz="0" w:space="0" w:color="auto"/>
        <w:left w:val="none" w:sz="0" w:space="0" w:color="auto"/>
        <w:bottom w:val="none" w:sz="0" w:space="0" w:color="auto"/>
        <w:right w:val="none" w:sz="0" w:space="0" w:color="auto"/>
      </w:divBdr>
    </w:div>
    <w:div w:id="413672516">
      <w:bodyDiv w:val="1"/>
      <w:marLeft w:val="0"/>
      <w:marRight w:val="0"/>
      <w:marTop w:val="0"/>
      <w:marBottom w:val="0"/>
      <w:divBdr>
        <w:top w:val="none" w:sz="0" w:space="0" w:color="auto"/>
        <w:left w:val="none" w:sz="0" w:space="0" w:color="auto"/>
        <w:bottom w:val="none" w:sz="0" w:space="0" w:color="auto"/>
        <w:right w:val="none" w:sz="0" w:space="0" w:color="auto"/>
      </w:divBdr>
    </w:div>
    <w:div w:id="414324645">
      <w:bodyDiv w:val="1"/>
      <w:marLeft w:val="0"/>
      <w:marRight w:val="0"/>
      <w:marTop w:val="0"/>
      <w:marBottom w:val="0"/>
      <w:divBdr>
        <w:top w:val="none" w:sz="0" w:space="0" w:color="auto"/>
        <w:left w:val="none" w:sz="0" w:space="0" w:color="auto"/>
        <w:bottom w:val="none" w:sz="0" w:space="0" w:color="auto"/>
        <w:right w:val="none" w:sz="0" w:space="0" w:color="auto"/>
      </w:divBdr>
    </w:div>
    <w:div w:id="417559761">
      <w:bodyDiv w:val="1"/>
      <w:marLeft w:val="0"/>
      <w:marRight w:val="0"/>
      <w:marTop w:val="0"/>
      <w:marBottom w:val="0"/>
      <w:divBdr>
        <w:top w:val="none" w:sz="0" w:space="0" w:color="auto"/>
        <w:left w:val="none" w:sz="0" w:space="0" w:color="auto"/>
        <w:bottom w:val="none" w:sz="0" w:space="0" w:color="auto"/>
        <w:right w:val="none" w:sz="0" w:space="0" w:color="auto"/>
      </w:divBdr>
    </w:div>
    <w:div w:id="418403409">
      <w:bodyDiv w:val="1"/>
      <w:marLeft w:val="0"/>
      <w:marRight w:val="0"/>
      <w:marTop w:val="0"/>
      <w:marBottom w:val="0"/>
      <w:divBdr>
        <w:top w:val="none" w:sz="0" w:space="0" w:color="auto"/>
        <w:left w:val="none" w:sz="0" w:space="0" w:color="auto"/>
        <w:bottom w:val="none" w:sz="0" w:space="0" w:color="auto"/>
        <w:right w:val="none" w:sz="0" w:space="0" w:color="auto"/>
      </w:divBdr>
    </w:div>
    <w:div w:id="418603497">
      <w:bodyDiv w:val="1"/>
      <w:marLeft w:val="0"/>
      <w:marRight w:val="0"/>
      <w:marTop w:val="0"/>
      <w:marBottom w:val="0"/>
      <w:divBdr>
        <w:top w:val="none" w:sz="0" w:space="0" w:color="auto"/>
        <w:left w:val="none" w:sz="0" w:space="0" w:color="auto"/>
        <w:bottom w:val="none" w:sz="0" w:space="0" w:color="auto"/>
        <w:right w:val="none" w:sz="0" w:space="0" w:color="auto"/>
      </w:divBdr>
    </w:div>
    <w:div w:id="419331151">
      <w:bodyDiv w:val="1"/>
      <w:marLeft w:val="0"/>
      <w:marRight w:val="0"/>
      <w:marTop w:val="0"/>
      <w:marBottom w:val="0"/>
      <w:divBdr>
        <w:top w:val="none" w:sz="0" w:space="0" w:color="auto"/>
        <w:left w:val="none" w:sz="0" w:space="0" w:color="auto"/>
        <w:bottom w:val="none" w:sz="0" w:space="0" w:color="auto"/>
        <w:right w:val="none" w:sz="0" w:space="0" w:color="auto"/>
      </w:divBdr>
    </w:div>
    <w:div w:id="419985306">
      <w:bodyDiv w:val="1"/>
      <w:marLeft w:val="0"/>
      <w:marRight w:val="0"/>
      <w:marTop w:val="0"/>
      <w:marBottom w:val="0"/>
      <w:divBdr>
        <w:top w:val="none" w:sz="0" w:space="0" w:color="auto"/>
        <w:left w:val="none" w:sz="0" w:space="0" w:color="auto"/>
        <w:bottom w:val="none" w:sz="0" w:space="0" w:color="auto"/>
        <w:right w:val="none" w:sz="0" w:space="0" w:color="auto"/>
      </w:divBdr>
    </w:div>
    <w:div w:id="420681257">
      <w:bodyDiv w:val="1"/>
      <w:marLeft w:val="0"/>
      <w:marRight w:val="0"/>
      <w:marTop w:val="0"/>
      <w:marBottom w:val="0"/>
      <w:divBdr>
        <w:top w:val="none" w:sz="0" w:space="0" w:color="auto"/>
        <w:left w:val="none" w:sz="0" w:space="0" w:color="auto"/>
        <w:bottom w:val="none" w:sz="0" w:space="0" w:color="auto"/>
        <w:right w:val="none" w:sz="0" w:space="0" w:color="auto"/>
      </w:divBdr>
    </w:div>
    <w:div w:id="421486722">
      <w:bodyDiv w:val="1"/>
      <w:marLeft w:val="0"/>
      <w:marRight w:val="0"/>
      <w:marTop w:val="0"/>
      <w:marBottom w:val="0"/>
      <w:divBdr>
        <w:top w:val="none" w:sz="0" w:space="0" w:color="auto"/>
        <w:left w:val="none" w:sz="0" w:space="0" w:color="auto"/>
        <w:bottom w:val="none" w:sz="0" w:space="0" w:color="auto"/>
        <w:right w:val="none" w:sz="0" w:space="0" w:color="auto"/>
      </w:divBdr>
    </w:div>
    <w:div w:id="421877026">
      <w:bodyDiv w:val="1"/>
      <w:marLeft w:val="0"/>
      <w:marRight w:val="0"/>
      <w:marTop w:val="0"/>
      <w:marBottom w:val="0"/>
      <w:divBdr>
        <w:top w:val="none" w:sz="0" w:space="0" w:color="auto"/>
        <w:left w:val="none" w:sz="0" w:space="0" w:color="auto"/>
        <w:bottom w:val="none" w:sz="0" w:space="0" w:color="auto"/>
        <w:right w:val="none" w:sz="0" w:space="0" w:color="auto"/>
      </w:divBdr>
    </w:div>
    <w:div w:id="422144947">
      <w:bodyDiv w:val="1"/>
      <w:marLeft w:val="0"/>
      <w:marRight w:val="0"/>
      <w:marTop w:val="0"/>
      <w:marBottom w:val="0"/>
      <w:divBdr>
        <w:top w:val="none" w:sz="0" w:space="0" w:color="auto"/>
        <w:left w:val="none" w:sz="0" w:space="0" w:color="auto"/>
        <w:bottom w:val="none" w:sz="0" w:space="0" w:color="auto"/>
        <w:right w:val="none" w:sz="0" w:space="0" w:color="auto"/>
      </w:divBdr>
    </w:div>
    <w:div w:id="422457468">
      <w:bodyDiv w:val="1"/>
      <w:marLeft w:val="0"/>
      <w:marRight w:val="0"/>
      <w:marTop w:val="0"/>
      <w:marBottom w:val="0"/>
      <w:divBdr>
        <w:top w:val="none" w:sz="0" w:space="0" w:color="auto"/>
        <w:left w:val="none" w:sz="0" w:space="0" w:color="auto"/>
        <w:bottom w:val="none" w:sz="0" w:space="0" w:color="auto"/>
        <w:right w:val="none" w:sz="0" w:space="0" w:color="auto"/>
      </w:divBdr>
    </w:div>
    <w:div w:id="422722594">
      <w:bodyDiv w:val="1"/>
      <w:marLeft w:val="0"/>
      <w:marRight w:val="0"/>
      <w:marTop w:val="0"/>
      <w:marBottom w:val="0"/>
      <w:divBdr>
        <w:top w:val="none" w:sz="0" w:space="0" w:color="auto"/>
        <w:left w:val="none" w:sz="0" w:space="0" w:color="auto"/>
        <w:bottom w:val="none" w:sz="0" w:space="0" w:color="auto"/>
        <w:right w:val="none" w:sz="0" w:space="0" w:color="auto"/>
      </w:divBdr>
    </w:div>
    <w:div w:id="423645308">
      <w:bodyDiv w:val="1"/>
      <w:marLeft w:val="0"/>
      <w:marRight w:val="0"/>
      <w:marTop w:val="0"/>
      <w:marBottom w:val="0"/>
      <w:divBdr>
        <w:top w:val="none" w:sz="0" w:space="0" w:color="auto"/>
        <w:left w:val="none" w:sz="0" w:space="0" w:color="auto"/>
        <w:bottom w:val="none" w:sz="0" w:space="0" w:color="auto"/>
        <w:right w:val="none" w:sz="0" w:space="0" w:color="auto"/>
      </w:divBdr>
    </w:div>
    <w:div w:id="424691840">
      <w:bodyDiv w:val="1"/>
      <w:marLeft w:val="0"/>
      <w:marRight w:val="0"/>
      <w:marTop w:val="0"/>
      <w:marBottom w:val="0"/>
      <w:divBdr>
        <w:top w:val="none" w:sz="0" w:space="0" w:color="auto"/>
        <w:left w:val="none" w:sz="0" w:space="0" w:color="auto"/>
        <w:bottom w:val="none" w:sz="0" w:space="0" w:color="auto"/>
        <w:right w:val="none" w:sz="0" w:space="0" w:color="auto"/>
      </w:divBdr>
    </w:div>
    <w:div w:id="424813525">
      <w:bodyDiv w:val="1"/>
      <w:marLeft w:val="0"/>
      <w:marRight w:val="0"/>
      <w:marTop w:val="0"/>
      <w:marBottom w:val="0"/>
      <w:divBdr>
        <w:top w:val="none" w:sz="0" w:space="0" w:color="auto"/>
        <w:left w:val="none" w:sz="0" w:space="0" w:color="auto"/>
        <w:bottom w:val="none" w:sz="0" w:space="0" w:color="auto"/>
        <w:right w:val="none" w:sz="0" w:space="0" w:color="auto"/>
      </w:divBdr>
    </w:div>
    <w:div w:id="426388385">
      <w:bodyDiv w:val="1"/>
      <w:marLeft w:val="0"/>
      <w:marRight w:val="0"/>
      <w:marTop w:val="0"/>
      <w:marBottom w:val="0"/>
      <w:divBdr>
        <w:top w:val="none" w:sz="0" w:space="0" w:color="auto"/>
        <w:left w:val="none" w:sz="0" w:space="0" w:color="auto"/>
        <w:bottom w:val="none" w:sz="0" w:space="0" w:color="auto"/>
        <w:right w:val="none" w:sz="0" w:space="0" w:color="auto"/>
      </w:divBdr>
    </w:div>
    <w:div w:id="427236147">
      <w:bodyDiv w:val="1"/>
      <w:marLeft w:val="0"/>
      <w:marRight w:val="0"/>
      <w:marTop w:val="0"/>
      <w:marBottom w:val="0"/>
      <w:divBdr>
        <w:top w:val="none" w:sz="0" w:space="0" w:color="auto"/>
        <w:left w:val="none" w:sz="0" w:space="0" w:color="auto"/>
        <w:bottom w:val="none" w:sz="0" w:space="0" w:color="auto"/>
        <w:right w:val="none" w:sz="0" w:space="0" w:color="auto"/>
      </w:divBdr>
    </w:div>
    <w:div w:id="427508487">
      <w:bodyDiv w:val="1"/>
      <w:marLeft w:val="0"/>
      <w:marRight w:val="0"/>
      <w:marTop w:val="0"/>
      <w:marBottom w:val="0"/>
      <w:divBdr>
        <w:top w:val="none" w:sz="0" w:space="0" w:color="auto"/>
        <w:left w:val="none" w:sz="0" w:space="0" w:color="auto"/>
        <w:bottom w:val="none" w:sz="0" w:space="0" w:color="auto"/>
        <w:right w:val="none" w:sz="0" w:space="0" w:color="auto"/>
      </w:divBdr>
    </w:div>
    <w:div w:id="427972110">
      <w:bodyDiv w:val="1"/>
      <w:marLeft w:val="0"/>
      <w:marRight w:val="0"/>
      <w:marTop w:val="0"/>
      <w:marBottom w:val="0"/>
      <w:divBdr>
        <w:top w:val="none" w:sz="0" w:space="0" w:color="auto"/>
        <w:left w:val="none" w:sz="0" w:space="0" w:color="auto"/>
        <w:bottom w:val="none" w:sz="0" w:space="0" w:color="auto"/>
        <w:right w:val="none" w:sz="0" w:space="0" w:color="auto"/>
      </w:divBdr>
    </w:div>
    <w:div w:id="428432921">
      <w:bodyDiv w:val="1"/>
      <w:marLeft w:val="0"/>
      <w:marRight w:val="0"/>
      <w:marTop w:val="0"/>
      <w:marBottom w:val="0"/>
      <w:divBdr>
        <w:top w:val="none" w:sz="0" w:space="0" w:color="auto"/>
        <w:left w:val="none" w:sz="0" w:space="0" w:color="auto"/>
        <w:bottom w:val="none" w:sz="0" w:space="0" w:color="auto"/>
        <w:right w:val="none" w:sz="0" w:space="0" w:color="auto"/>
      </w:divBdr>
    </w:div>
    <w:div w:id="429280854">
      <w:bodyDiv w:val="1"/>
      <w:marLeft w:val="0"/>
      <w:marRight w:val="0"/>
      <w:marTop w:val="0"/>
      <w:marBottom w:val="0"/>
      <w:divBdr>
        <w:top w:val="none" w:sz="0" w:space="0" w:color="auto"/>
        <w:left w:val="none" w:sz="0" w:space="0" w:color="auto"/>
        <w:bottom w:val="none" w:sz="0" w:space="0" w:color="auto"/>
        <w:right w:val="none" w:sz="0" w:space="0" w:color="auto"/>
      </w:divBdr>
    </w:div>
    <w:div w:id="429812230">
      <w:bodyDiv w:val="1"/>
      <w:marLeft w:val="0"/>
      <w:marRight w:val="0"/>
      <w:marTop w:val="0"/>
      <w:marBottom w:val="0"/>
      <w:divBdr>
        <w:top w:val="none" w:sz="0" w:space="0" w:color="auto"/>
        <w:left w:val="none" w:sz="0" w:space="0" w:color="auto"/>
        <w:bottom w:val="none" w:sz="0" w:space="0" w:color="auto"/>
        <w:right w:val="none" w:sz="0" w:space="0" w:color="auto"/>
      </w:divBdr>
    </w:div>
    <w:div w:id="430392830">
      <w:bodyDiv w:val="1"/>
      <w:marLeft w:val="0"/>
      <w:marRight w:val="0"/>
      <w:marTop w:val="0"/>
      <w:marBottom w:val="0"/>
      <w:divBdr>
        <w:top w:val="none" w:sz="0" w:space="0" w:color="auto"/>
        <w:left w:val="none" w:sz="0" w:space="0" w:color="auto"/>
        <w:bottom w:val="none" w:sz="0" w:space="0" w:color="auto"/>
        <w:right w:val="none" w:sz="0" w:space="0" w:color="auto"/>
      </w:divBdr>
    </w:div>
    <w:div w:id="431365568">
      <w:bodyDiv w:val="1"/>
      <w:marLeft w:val="0"/>
      <w:marRight w:val="0"/>
      <w:marTop w:val="0"/>
      <w:marBottom w:val="0"/>
      <w:divBdr>
        <w:top w:val="none" w:sz="0" w:space="0" w:color="auto"/>
        <w:left w:val="none" w:sz="0" w:space="0" w:color="auto"/>
        <w:bottom w:val="none" w:sz="0" w:space="0" w:color="auto"/>
        <w:right w:val="none" w:sz="0" w:space="0" w:color="auto"/>
      </w:divBdr>
    </w:div>
    <w:div w:id="431440278">
      <w:bodyDiv w:val="1"/>
      <w:marLeft w:val="0"/>
      <w:marRight w:val="0"/>
      <w:marTop w:val="0"/>
      <w:marBottom w:val="0"/>
      <w:divBdr>
        <w:top w:val="none" w:sz="0" w:space="0" w:color="auto"/>
        <w:left w:val="none" w:sz="0" w:space="0" w:color="auto"/>
        <w:bottom w:val="none" w:sz="0" w:space="0" w:color="auto"/>
        <w:right w:val="none" w:sz="0" w:space="0" w:color="auto"/>
      </w:divBdr>
    </w:div>
    <w:div w:id="431514360">
      <w:bodyDiv w:val="1"/>
      <w:marLeft w:val="0"/>
      <w:marRight w:val="0"/>
      <w:marTop w:val="0"/>
      <w:marBottom w:val="0"/>
      <w:divBdr>
        <w:top w:val="none" w:sz="0" w:space="0" w:color="auto"/>
        <w:left w:val="none" w:sz="0" w:space="0" w:color="auto"/>
        <w:bottom w:val="none" w:sz="0" w:space="0" w:color="auto"/>
        <w:right w:val="none" w:sz="0" w:space="0" w:color="auto"/>
      </w:divBdr>
    </w:div>
    <w:div w:id="431626706">
      <w:bodyDiv w:val="1"/>
      <w:marLeft w:val="0"/>
      <w:marRight w:val="0"/>
      <w:marTop w:val="0"/>
      <w:marBottom w:val="0"/>
      <w:divBdr>
        <w:top w:val="none" w:sz="0" w:space="0" w:color="auto"/>
        <w:left w:val="none" w:sz="0" w:space="0" w:color="auto"/>
        <w:bottom w:val="none" w:sz="0" w:space="0" w:color="auto"/>
        <w:right w:val="none" w:sz="0" w:space="0" w:color="auto"/>
      </w:divBdr>
    </w:div>
    <w:div w:id="431900079">
      <w:bodyDiv w:val="1"/>
      <w:marLeft w:val="0"/>
      <w:marRight w:val="0"/>
      <w:marTop w:val="0"/>
      <w:marBottom w:val="0"/>
      <w:divBdr>
        <w:top w:val="none" w:sz="0" w:space="0" w:color="auto"/>
        <w:left w:val="none" w:sz="0" w:space="0" w:color="auto"/>
        <w:bottom w:val="none" w:sz="0" w:space="0" w:color="auto"/>
        <w:right w:val="none" w:sz="0" w:space="0" w:color="auto"/>
      </w:divBdr>
    </w:div>
    <w:div w:id="432287030">
      <w:bodyDiv w:val="1"/>
      <w:marLeft w:val="0"/>
      <w:marRight w:val="0"/>
      <w:marTop w:val="0"/>
      <w:marBottom w:val="0"/>
      <w:divBdr>
        <w:top w:val="none" w:sz="0" w:space="0" w:color="auto"/>
        <w:left w:val="none" w:sz="0" w:space="0" w:color="auto"/>
        <w:bottom w:val="none" w:sz="0" w:space="0" w:color="auto"/>
        <w:right w:val="none" w:sz="0" w:space="0" w:color="auto"/>
      </w:divBdr>
    </w:div>
    <w:div w:id="434054739">
      <w:bodyDiv w:val="1"/>
      <w:marLeft w:val="0"/>
      <w:marRight w:val="0"/>
      <w:marTop w:val="0"/>
      <w:marBottom w:val="0"/>
      <w:divBdr>
        <w:top w:val="none" w:sz="0" w:space="0" w:color="auto"/>
        <w:left w:val="none" w:sz="0" w:space="0" w:color="auto"/>
        <w:bottom w:val="none" w:sz="0" w:space="0" w:color="auto"/>
        <w:right w:val="none" w:sz="0" w:space="0" w:color="auto"/>
      </w:divBdr>
    </w:div>
    <w:div w:id="434446478">
      <w:bodyDiv w:val="1"/>
      <w:marLeft w:val="0"/>
      <w:marRight w:val="0"/>
      <w:marTop w:val="0"/>
      <w:marBottom w:val="0"/>
      <w:divBdr>
        <w:top w:val="none" w:sz="0" w:space="0" w:color="auto"/>
        <w:left w:val="none" w:sz="0" w:space="0" w:color="auto"/>
        <w:bottom w:val="none" w:sz="0" w:space="0" w:color="auto"/>
        <w:right w:val="none" w:sz="0" w:space="0" w:color="auto"/>
      </w:divBdr>
    </w:div>
    <w:div w:id="435370758">
      <w:bodyDiv w:val="1"/>
      <w:marLeft w:val="0"/>
      <w:marRight w:val="0"/>
      <w:marTop w:val="0"/>
      <w:marBottom w:val="0"/>
      <w:divBdr>
        <w:top w:val="none" w:sz="0" w:space="0" w:color="auto"/>
        <w:left w:val="none" w:sz="0" w:space="0" w:color="auto"/>
        <w:bottom w:val="none" w:sz="0" w:space="0" w:color="auto"/>
        <w:right w:val="none" w:sz="0" w:space="0" w:color="auto"/>
      </w:divBdr>
    </w:div>
    <w:div w:id="435442334">
      <w:bodyDiv w:val="1"/>
      <w:marLeft w:val="0"/>
      <w:marRight w:val="0"/>
      <w:marTop w:val="0"/>
      <w:marBottom w:val="0"/>
      <w:divBdr>
        <w:top w:val="none" w:sz="0" w:space="0" w:color="auto"/>
        <w:left w:val="none" w:sz="0" w:space="0" w:color="auto"/>
        <w:bottom w:val="none" w:sz="0" w:space="0" w:color="auto"/>
        <w:right w:val="none" w:sz="0" w:space="0" w:color="auto"/>
      </w:divBdr>
    </w:div>
    <w:div w:id="436020991">
      <w:bodyDiv w:val="1"/>
      <w:marLeft w:val="0"/>
      <w:marRight w:val="0"/>
      <w:marTop w:val="0"/>
      <w:marBottom w:val="0"/>
      <w:divBdr>
        <w:top w:val="none" w:sz="0" w:space="0" w:color="auto"/>
        <w:left w:val="none" w:sz="0" w:space="0" w:color="auto"/>
        <w:bottom w:val="none" w:sz="0" w:space="0" w:color="auto"/>
        <w:right w:val="none" w:sz="0" w:space="0" w:color="auto"/>
      </w:divBdr>
    </w:div>
    <w:div w:id="436561616">
      <w:bodyDiv w:val="1"/>
      <w:marLeft w:val="0"/>
      <w:marRight w:val="0"/>
      <w:marTop w:val="0"/>
      <w:marBottom w:val="0"/>
      <w:divBdr>
        <w:top w:val="none" w:sz="0" w:space="0" w:color="auto"/>
        <w:left w:val="none" w:sz="0" w:space="0" w:color="auto"/>
        <w:bottom w:val="none" w:sz="0" w:space="0" w:color="auto"/>
        <w:right w:val="none" w:sz="0" w:space="0" w:color="auto"/>
      </w:divBdr>
    </w:div>
    <w:div w:id="436995887">
      <w:bodyDiv w:val="1"/>
      <w:marLeft w:val="0"/>
      <w:marRight w:val="0"/>
      <w:marTop w:val="0"/>
      <w:marBottom w:val="0"/>
      <w:divBdr>
        <w:top w:val="none" w:sz="0" w:space="0" w:color="auto"/>
        <w:left w:val="none" w:sz="0" w:space="0" w:color="auto"/>
        <w:bottom w:val="none" w:sz="0" w:space="0" w:color="auto"/>
        <w:right w:val="none" w:sz="0" w:space="0" w:color="auto"/>
      </w:divBdr>
    </w:div>
    <w:div w:id="439033900">
      <w:bodyDiv w:val="1"/>
      <w:marLeft w:val="0"/>
      <w:marRight w:val="0"/>
      <w:marTop w:val="0"/>
      <w:marBottom w:val="0"/>
      <w:divBdr>
        <w:top w:val="none" w:sz="0" w:space="0" w:color="auto"/>
        <w:left w:val="none" w:sz="0" w:space="0" w:color="auto"/>
        <w:bottom w:val="none" w:sz="0" w:space="0" w:color="auto"/>
        <w:right w:val="none" w:sz="0" w:space="0" w:color="auto"/>
      </w:divBdr>
    </w:div>
    <w:div w:id="439297768">
      <w:bodyDiv w:val="1"/>
      <w:marLeft w:val="0"/>
      <w:marRight w:val="0"/>
      <w:marTop w:val="0"/>
      <w:marBottom w:val="0"/>
      <w:divBdr>
        <w:top w:val="none" w:sz="0" w:space="0" w:color="auto"/>
        <w:left w:val="none" w:sz="0" w:space="0" w:color="auto"/>
        <w:bottom w:val="none" w:sz="0" w:space="0" w:color="auto"/>
        <w:right w:val="none" w:sz="0" w:space="0" w:color="auto"/>
      </w:divBdr>
    </w:div>
    <w:div w:id="441460891">
      <w:bodyDiv w:val="1"/>
      <w:marLeft w:val="0"/>
      <w:marRight w:val="0"/>
      <w:marTop w:val="0"/>
      <w:marBottom w:val="0"/>
      <w:divBdr>
        <w:top w:val="none" w:sz="0" w:space="0" w:color="auto"/>
        <w:left w:val="none" w:sz="0" w:space="0" w:color="auto"/>
        <w:bottom w:val="none" w:sz="0" w:space="0" w:color="auto"/>
        <w:right w:val="none" w:sz="0" w:space="0" w:color="auto"/>
      </w:divBdr>
    </w:div>
    <w:div w:id="442917622">
      <w:bodyDiv w:val="1"/>
      <w:marLeft w:val="0"/>
      <w:marRight w:val="0"/>
      <w:marTop w:val="0"/>
      <w:marBottom w:val="0"/>
      <w:divBdr>
        <w:top w:val="none" w:sz="0" w:space="0" w:color="auto"/>
        <w:left w:val="none" w:sz="0" w:space="0" w:color="auto"/>
        <w:bottom w:val="none" w:sz="0" w:space="0" w:color="auto"/>
        <w:right w:val="none" w:sz="0" w:space="0" w:color="auto"/>
      </w:divBdr>
    </w:div>
    <w:div w:id="445390593">
      <w:bodyDiv w:val="1"/>
      <w:marLeft w:val="0"/>
      <w:marRight w:val="0"/>
      <w:marTop w:val="0"/>
      <w:marBottom w:val="0"/>
      <w:divBdr>
        <w:top w:val="none" w:sz="0" w:space="0" w:color="auto"/>
        <w:left w:val="none" w:sz="0" w:space="0" w:color="auto"/>
        <w:bottom w:val="none" w:sz="0" w:space="0" w:color="auto"/>
        <w:right w:val="none" w:sz="0" w:space="0" w:color="auto"/>
      </w:divBdr>
    </w:div>
    <w:div w:id="445972543">
      <w:bodyDiv w:val="1"/>
      <w:marLeft w:val="0"/>
      <w:marRight w:val="0"/>
      <w:marTop w:val="0"/>
      <w:marBottom w:val="0"/>
      <w:divBdr>
        <w:top w:val="none" w:sz="0" w:space="0" w:color="auto"/>
        <w:left w:val="none" w:sz="0" w:space="0" w:color="auto"/>
        <w:bottom w:val="none" w:sz="0" w:space="0" w:color="auto"/>
        <w:right w:val="none" w:sz="0" w:space="0" w:color="auto"/>
      </w:divBdr>
    </w:div>
    <w:div w:id="448669459">
      <w:bodyDiv w:val="1"/>
      <w:marLeft w:val="0"/>
      <w:marRight w:val="0"/>
      <w:marTop w:val="0"/>
      <w:marBottom w:val="0"/>
      <w:divBdr>
        <w:top w:val="none" w:sz="0" w:space="0" w:color="auto"/>
        <w:left w:val="none" w:sz="0" w:space="0" w:color="auto"/>
        <w:bottom w:val="none" w:sz="0" w:space="0" w:color="auto"/>
        <w:right w:val="none" w:sz="0" w:space="0" w:color="auto"/>
      </w:divBdr>
    </w:div>
    <w:div w:id="451244464">
      <w:bodyDiv w:val="1"/>
      <w:marLeft w:val="0"/>
      <w:marRight w:val="0"/>
      <w:marTop w:val="0"/>
      <w:marBottom w:val="0"/>
      <w:divBdr>
        <w:top w:val="none" w:sz="0" w:space="0" w:color="auto"/>
        <w:left w:val="none" w:sz="0" w:space="0" w:color="auto"/>
        <w:bottom w:val="none" w:sz="0" w:space="0" w:color="auto"/>
        <w:right w:val="none" w:sz="0" w:space="0" w:color="auto"/>
      </w:divBdr>
    </w:div>
    <w:div w:id="451678358">
      <w:bodyDiv w:val="1"/>
      <w:marLeft w:val="0"/>
      <w:marRight w:val="0"/>
      <w:marTop w:val="0"/>
      <w:marBottom w:val="0"/>
      <w:divBdr>
        <w:top w:val="none" w:sz="0" w:space="0" w:color="auto"/>
        <w:left w:val="none" w:sz="0" w:space="0" w:color="auto"/>
        <w:bottom w:val="none" w:sz="0" w:space="0" w:color="auto"/>
        <w:right w:val="none" w:sz="0" w:space="0" w:color="auto"/>
      </w:divBdr>
    </w:div>
    <w:div w:id="451706046">
      <w:bodyDiv w:val="1"/>
      <w:marLeft w:val="0"/>
      <w:marRight w:val="0"/>
      <w:marTop w:val="0"/>
      <w:marBottom w:val="0"/>
      <w:divBdr>
        <w:top w:val="none" w:sz="0" w:space="0" w:color="auto"/>
        <w:left w:val="none" w:sz="0" w:space="0" w:color="auto"/>
        <w:bottom w:val="none" w:sz="0" w:space="0" w:color="auto"/>
        <w:right w:val="none" w:sz="0" w:space="0" w:color="auto"/>
      </w:divBdr>
    </w:div>
    <w:div w:id="453796374">
      <w:bodyDiv w:val="1"/>
      <w:marLeft w:val="0"/>
      <w:marRight w:val="0"/>
      <w:marTop w:val="0"/>
      <w:marBottom w:val="0"/>
      <w:divBdr>
        <w:top w:val="none" w:sz="0" w:space="0" w:color="auto"/>
        <w:left w:val="none" w:sz="0" w:space="0" w:color="auto"/>
        <w:bottom w:val="none" w:sz="0" w:space="0" w:color="auto"/>
        <w:right w:val="none" w:sz="0" w:space="0" w:color="auto"/>
      </w:divBdr>
    </w:div>
    <w:div w:id="454718783">
      <w:bodyDiv w:val="1"/>
      <w:marLeft w:val="0"/>
      <w:marRight w:val="0"/>
      <w:marTop w:val="0"/>
      <w:marBottom w:val="0"/>
      <w:divBdr>
        <w:top w:val="none" w:sz="0" w:space="0" w:color="auto"/>
        <w:left w:val="none" w:sz="0" w:space="0" w:color="auto"/>
        <w:bottom w:val="none" w:sz="0" w:space="0" w:color="auto"/>
        <w:right w:val="none" w:sz="0" w:space="0" w:color="auto"/>
      </w:divBdr>
    </w:div>
    <w:div w:id="454758357">
      <w:bodyDiv w:val="1"/>
      <w:marLeft w:val="0"/>
      <w:marRight w:val="0"/>
      <w:marTop w:val="0"/>
      <w:marBottom w:val="0"/>
      <w:divBdr>
        <w:top w:val="none" w:sz="0" w:space="0" w:color="auto"/>
        <w:left w:val="none" w:sz="0" w:space="0" w:color="auto"/>
        <w:bottom w:val="none" w:sz="0" w:space="0" w:color="auto"/>
        <w:right w:val="none" w:sz="0" w:space="0" w:color="auto"/>
      </w:divBdr>
    </w:div>
    <w:div w:id="456799366">
      <w:bodyDiv w:val="1"/>
      <w:marLeft w:val="0"/>
      <w:marRight w:val="0"/>
      <w:marTop w:val="0"/>
      <w:marBottom w:val="0"/>
      <w:divBdr>
        <w:top w:val="none" w:sz="0" w:space="0" w:color="auto"/>
        <w:left w:val="none" w:sz="0" w:space="0" w:color="auto"/>
        <w:bottom w:val="none" w:sz="0" w:space="0" w:color="auto"/>
        <w:right w:val="none" w:sz="0" w:space="0" w:color="auto"/>
      </w:divBdr>
    </w:div>
    <w:div w:id="458185242">
      <w:bodyDiv w:val="1"/>
      <w:marLeft w:val="0"/>
      <w:marRight w:val="0"/>
      <w:marTop w:val="0"/>
      <w:marBottom w:val="0"/>
      <w:divBdr>
        <w:top w:val="none" w:sz="0" w:space="0" w:color="auto"/>
        <w:left w:val="none" w:sz="0" w:space="0" w:color="auto"/>
        <w:bottom w:val="none" w:sz="0" w:space="0" w:color="auto"/>
        <w:right w:val="none" w:sz="0" w:space="0" w:color="auto"/>
      </w:divBdr>
    </w:div>
    <w:div w:id="458570980">
      <w:bodyDiv w:val="1"/>
      <w:marLeft w:val="0"/>
      <w:marRight w:val="0"/>
      <w:marTop w:val="0"/>
      <w:marBottom w:val="0"/>
      <w:divBdr>
        <w:top w:val="none" w:sz="0" w:space="0" w:color="auto"/>
        <w:left w:val="none" w:sz="0" w:space="0" w:color="auto"/>
        <w:bottom w:val="none" w:sz="0" w:space="0" w:color="auto"/>
        <w:right w:val="none" w:sz="0" w:space="0" w:color="auto"/>
      </w:divBdr>
    </w:div>
    <w:div w:id="458643565">
      <w:bodyDiv w:val="1"/>
      <w:marLeft w:val="0"/>
      <w:marRight w:val="0"/>
      <w:marTop w:val="0"/>
      <w:marBottom w:val="0"/>
      <w:divBdr>
        <w:top w:val="none" w:sz="0" w:space="0" w:color="auto"/>
        <w:left w:val="none" w:sz="0" w:space="0" w:color="auto"/>
        <w:bottom w:val="none" w:sz="0" w:space="0" w:color="auto"/>
        <w:right w:val="none" w:sz="0" w:space="0" w:color="auto"/>
      </w:divBdr>
    </w:div>
    <w:div w:id="458883937">
      <w:bodyDiv w:val="1"/>
      <w:marLeft w:val="0"/>
      <w:marRight w:val="0"/>
      <w:marTop w:val="0"/>
      <w:marBottom w:val="0"/>
      <w:divBdr>
        <w:top w:val="none" w:sz="0" w:space="0" w:color="auto"/>
        <w:left w:val="none" w:sz="0" w:space="0" w:color="auto"/>
        <w:bottom w:val="none" w:sz="0" w:space="0" w:color="auto"/>
        <w:right w:val="none" w:sz="0" w:space="0" w:color="auto"/>
      </w:divBdr>
    </w:div>
    <w:div w:id="459880150">
      <w:bodyDiv w:val="1"/>
      <w:marLeft w:val="0"/>
      <w:marRight w:val="0"/>
      <w:marTop w:val="0"/>
      <w:marBottom w:val="0"/>
      <w:divBdr>
        <w:top w:val="none" w:sz="0" w:space="0" w:color="auto"/>
        <w:left w:val="none" w:sz="0" w:space="0" w:color="auto"/>
        <w:bottom w:val="none" w:sz="0" w:space="0" w:color="auto"/>
        <w:right w:val="none" w:sz="0" w:space="0" w:color="auto"/>
      </w:divBdr>
    </w:div>
    <w:div w:id="460226189">
      <w:bodyDiv w:val="1"/>
      <w:marLeft w:val="0"/>
      <w:marRight w:val="0"/>
      <w:marTop w:val="0"/>
      <w:marBottom w:val="0"/>
      <w:divBdr>
        <w:top w:val="none" w:sz="0" w:space="0" w:color="auto"/>
        <w:left w:val="none" w:sz="0" w:space="0" w:color="auto"/>
        <w:bottom w:val="none" w:sz="0" w:space="0" w:color="auto"/>
        <w:right w:val="none" w:sz="0" w:space="0" w:color="auto"/>
      </w:divBdr>
    </w:div>
    <w:div w:id="460271733">
      <w:bodyDiv w:val="1"/>
      <w:marLeft w:val="0"/>
      <w:marRight w:val="0"/>
      <w:marTop w:val="0"/>
      <w:marBottom w:val="0"/>
      <w:divBdr>
        <w:top w:val="none" w:sz="0" w:space="0" w:color="auto"/>
        <w:left w:val="none" w:sz="0" w:space="0" w:color="auto"/>
        <w:bottom w:val="none" w:sz="0" w:space="0" w:color="auto"/>
        <w:right w:val="none" w:sz="0" w:space="0" w:color="auto"/>
      </w:divBdr>
    </w:div>
    <w:div w:id="460342615">
      <w:bodyDiv w:val="1"/>
      <w:marLeft w:val="0"/>
      <w:marRight w:val="0"/>
      <w:marTop w:val="0"/>
      <w:marBottom w:val="0"/>
      <w:divBdr>
        <w:top w:val="none" w:sz="0" w:space="0" w:color="auto"/>
        <w:left w:val="none" w:sz="0" w:space="0" w:color="auto"/>
        <w:bottom w:val="none" w:sz="0" w:space="0" w:color="auto"/>
        <w:right w:val="none" w:sz="0" w:space="0" w:color="auto"/>
      </w:divBdr>
    </w:div>
    <w:div w:id="460610761">
      <w:bodyDiv w:val="1"/>
      <w:marLeft w:val="0"/>
      <w:marRight w:val="0"/>
      <w:marTop w:val="0"/>
      <w:marBottom w:val="0"/>
      <w:divBdr>
        <w:top w:val="none" w:sz="0" w:space="0" w:color="auto"/>
        <w:left w:val="none" w:sz="0" w:space="0" w:color="auto"/>
        <w:bottom w:val="none" w:sz="0" w:space="0" w:color="auto"/>
        <w:right w:val="none" w:sz="0" w:space="0" w:color="auto"/>
      </w:divBdr>
    </w:div>
    <w:div w:id="460805080">
      <w:bodyDiv w:val="1"/>
      <w:marLeft w:val="0"/>
      <w:marRight w:val="0"/>
      <w:marTop w:val="0"/>
      <w:marBottom w:val="0"/>
      <w:divBdr>
        <w:top w:val="none" w:sz="0" w:space="0" w:color="auto"/>
        <w:left w:val="none" w:sz="0" w:space="0" w:color="auto"/>
        <w:bottom w:val="none" w:sz="0" w:space="0" w:color="auto"/>
        <w:right w:val="none" w:sz="0" w:space="0" w:color="auto"/>
      </w:divBdr>
    </w:div>
    <w:div w:id="464154861">
      <w:bodyDiv w:val="1"/>
      <w:marLeft w:val="0"/>
      <w:marRight w:val="0"/>
      <w:marTop w:val="0"/>
      <w:marBottom w:val="0"/>
      <w:divBdr>
        <w:top w:val="none" w:sz="0" w:space="0" w:color="auto"/>
        <w:left w:val="none" w:sz="0" w:space="0" w:color="auto"/>
        <w:bottom w:val="none" w:sz="0" w:space="0" w:color="auto"/>
        <w:right w:val="none" w:sz="0" w:space="0" w:color="auto"/>
      </w:divBdr>
    </w:div>
    <w:div w:id="465005452">
      <w:bodyDiv w:val="1"/>
      <w:marLeft w:val="0"/>
      <w:marRight w:val="0"/>
      <w:marTop w:val="0"/>
      <w:marBottom w:val="0"/>
      <w:divBdr>
        <w:top w:val="none" w:sz="0" w:space="0" w:color="auto"/>
        <w:left w:val="none" w:sz="0" w:space="0" w:color="auto"/>
        <w:bottom w:val="none" w:sz="0" w:space="0" w:color="auto"/>
        <w:right w:val="none" w:sz="0" w:space="0" w:color="auto"/>
      </w:divBdr>
    </w:div>
    <w:div w:id="465438495">
      <w:bodyDiv w:val="1"/>
      <w:marLeft w:val="0"/>
      <w:marRight w:val="0"/>
      <w:marTop w:val="0"/>
      <w:marBottom w:val="0"/>
      <w:divBdr>
        <w:top w:val="none" w:sz="0" w:space="0" w:color="auto"/>
        <w:left w:val="none" w:sz="0" w:space="0" w:color="auto"/>
        <w:bottom w:val="none" w:sz="0" w:space="0" w:color="auto"/>
        <w:right w:val="none" w:sz="0" w:space="0" w:color="auto"/>
      </w:divBdr>
    </w:div>
    <w:div w:id="466434421">
      <w:bodyDiv w:val="1"/>
      <w:marLeft w:val="0"/>
      <w:marRight w:val="0"/>
      <w:marTop w:val="0"/>
      <w:marBottom w:val="0"/>
      <w:divBdr>
        <w:top w:val="none" w:sz="0" w:space="0" w:color="auto"/>
        <w:left w:val="none" w:sz="0" w:space="0" w:color="auto"/>
        <w:bottom w:val="none" w:sz="0" w:space="0" w:color="auto"/>
        <w:right w:val="none" w:sz="0" w:space="0" w:color="auto"/>
      </w:divBdr>
    </w:div>
    <w:div w:id="468399057">
      <w:bodyDiv w:val="1"/>
      <w:marLeft w:val="0"/>
      <w:marRight w:val="0"/>
      <w:marTop w:val="0"/>
      <w:marBottom w:val="0"/>
      <w:divBdr>
        <w:top w:val="none" w:sz="0" w:space="0" w:color="auto"/>
        <w:left w:val="none" w:sz="0" w:space="0" w:color="auto"/>
        <w:bottom w:val="none" w:sz="0" w:space="0" w:color="auto"/>
        <w:right w:val="none" w:sz="0" w:space="0" w:color="auto"/>
      </w:divBdr>
    </w:div>
    <w:div w:id="468938781">
      <w:bodyDiv w:val="1"/>
      <w:marLeft w:val="0"/>
      <w:marRight w:val="0"/>
      <w:marTop w:val="0"/>
      <w:marBottom w:val="0"/>
      <w:divBdr>
        <w:top w:val="none" w:sz="0" w:space="0" w:color="auto"/>
        <w:left w:val="none" w:sz="0" w:space="0" w:color="auto"/>
        <w:bottom w:val="none" w:sz="0" w:space="0" w:color="auto"/>
        <w:right w:val="none" w:sz="0" w:space="0" w:color="auto"/>
      </w:divBdr>
    </w:div>
    <w:div w:id="469981941">
      <w:bodyDiv w:val="1"/>
      <w:marLeft w:val="0"/>
      <w:marRight w:val="0"/>
      <w:marTop w:val="0"/>
      <w:marBottom w:val="0"/>
      <w:divBdr>
        <w:top w:val="none" w:sz="0" w:space="0" w:color="auto"/>
        <w:left w:val="none" w:sz="0" w:space="0" w:color="auto"/>
        <w:bottom w:val="none" w:sz="0" w:space="0" w:color="auto"/>
        <w:right w:val="none" w:sz="0" w:space="0" w:color="auto"/>
      </w:divBdr>
    </w:div>
    <w:div w:id="472060877">
      <w:bodyDiv w:val="1"/>
      <w:marLeft w:val="0"/>
      <w:marRight w:val="0"/>
      <w:marTop w:val="0"/>
      <w:marBottom w:val="0"/>
      <w:divBdr>
        <w:top w:val="none" w:sz="0" w:space="0" w:color="auto"/>
        <w:left w:val="none" w:sz="0" w:space="0" w:color="auto"/>
        <w:bottom w:val="none" w:sz="0" w:space="0" w:color="auto"/>
        <w:right w:val="none" w:sz="0" w:space="0" w:color="auto"/>
      </w:divBdr>
    </w:div>
    <w:div w:id="473378544">
      <w:bodyDiv w:val="1"/>
      <w:marLeft w:val="0"/>
      <w:marRight w:val="0"/>
      <w:marTop w:val="0"/>
      <w:marBottom w:val="0"/>
      <w:divBdr>
        <w:top w:val="none" w:sz="0" w:space="0" w:color="auto"/>
        <w:left w:val="none" w:sz="0" w:space="0" w:color="auto"/>
        <w:bottom w:val="none" w:sz="0" w:space="0" w:color="auto"/>
        <w:right w:val="none" w:sz="0" w:space="0" w:color="auto"/>
      </w:divBdr>
    </w:div>
    <w:div w:id="473714309">
      <w:bodyDiv w:val="1"/>
      <w:marLeft w:val="0"/>
      <w:marRight w:val="0"/>
      <w:marTop w:val="0"/>
      <w:marBottom w:val="0"/>
      <w:divBdr>
        <w:top w:val="none" w:sz="0" w:space="0" w:color="auto"/>
        <w:left w:val="none" w:sz="0" w:space="0" w:color="auto"/>
        <w:bottom w:val="none" w:sz="0" w:space="0" w:color="auto"/>
        <w:right w:val="none" w:sz="0" w:space="0" w:color="auto"/>
      </w:divBdr>
    </w:div>
    <w:div w:id="474300545">
      <w:bodyDiv w:val="1"/>
      <w:marLeft w:val="0"/>
      <w:marRight w:val="0"/>
      <w:marTop w:val="0"/>
      <w:marBottom w:val="0"/>
      <w:divBdr>
        <w:top w:val="none" w:sz="0" w:space="0" w:color="auto"/>
        <w:left w:val="none" w:sz="0" w:space="0" w:color="auto"/>
        <w:bottom w:val="none" w:sz="0" w:space="0" w:color="auto"/>
        <w:right w:val="none" w:sz="0" w:space="0" w:color="auto"/>
      </w:divBdr>
    </w:div>
    <w:div w:id="477380140">
      <w:bodyDiv w:val="1"/>
      <w:marLeft w:val="0"/>
      <w:marRight w:val="0"/>
      <w:marTop w:val="0"/>
      <w:marBottom w:val="0"/>
      <w:divBdr>
        <w:top w:val="none" w:sz="0" w:space="0" w:color="auto"/>
        <w:left w:val="none" w:sz="0" w:space="0" w:color="auto"/>
        <w:bottom w:val="none" w:sz="0" w:space="0" w:color="auto"/>
        <w:right w:val="none" w:sz="0" w:space="0" w:color="auto"/>
      </w:divBdr>
    </w:div>
    <w:div w:id="478695524">
      <w:bodyDiv w:val="1"/>
      <w:marLeft w:val="0"/>
      <w:marRight w:val="0"/>
      <w:marTop w:val="0"/>
      <w:marBottom w:val="0"/>
      <w:divBdr>
        <w:top w:val="none" w:sz="0" w:space="0" w:color="auto"/>
        <w:left w:val="none" w:sz="0" w:space="0" w:color="auto"/>
        <w:bottom w:val="none" w:sz="0" w:space="0" w:color="auto"/>
        <w:right w:val="none" w:sz="0" w:space="0" w:color="auto"/>
      </w:divBdr>
    </w:div>
    <w:div w:id="479346623">
      <w:bodyDiv w:val="1"/>
      <w:marLeft w:val="0"/>
      <w:marRight w:val="0"/>
      <w:marTop w:val="0"/>
      <w:marBottom w:val="0"/>
      <w:divBdr>
        <w:top w:val="none" w:sz="0" w:space="0" w:color="auto"/>
        <w:left w:val="none" w:sz="0" w:space="0" w:color="auto"/>
        <w:bottom w:val="none" w:sz="0" w:space="0" w:color="auto"/>
        <w:right w:val="none" w:sz="0" w:space="0" w:color="auto"/>
      </w:divBdr>
    </w:div>
    <w:div w:id="479738439">
      <w:bodyDiv w:val="1"/>
      <w:marLeft w:val="0"/>
      <w:marRight w:val="0"/>
      <w:marTop w:val="0"/>
      <w:marBottom w:val="0"/>
      <w:divBdr>
        <w:top w:val="none" w:sz="0" w:space="0" w:color="auto"/>
        <w:left w:val="none" w:sz="0" w:space="0" w:color="auto"/>
        <w:bottom w:val="none" w:sz="0" w:space="0" w:color="auto"/>
        <w:right w:val="none" w:sz="0" w:space="0" w:color="auto"/>
      </w:divBdr>
    </w:div>
    <w:div w:id="479812630">
      <w:bodyDiv w:val="1"/>
      <w:marLeft w:val="0"/>
      <w:marRight w:val="0"/>
      <w:marTop w:val="0"/>
      <w:marBottom w:val="0"/>
      <w:divBdr>
        <w:top w:val="none" w:sz="0" w:space="0" w:color="auto"/>
        <w:left w:val="none" w:sz="0" w:space="0" w:color="auto"/>
        <w:bottom w:val="none" w:sz="0" w:space="0" w:color="auto"/>
        <w:right w:val="none" w:sz="0" w:space="0" w:color="auto"/>
      </w:divBdr>
    </w:div>
    <w:div w:id="480007684">
      <w:bodyDiv w:val="1"/>
      <w:marLeft w:val="0"/>
      <w:marRight w:val="0"/>
      <w:marTop w:val="0"/>
      <w:marBottom w:val="0"/>
      <w:divBdr>
        <w:top w:val="none" w:sz="0" w:space="0" w:color="auto"/>
        <w:left w:val="none" w:sz="0" w:space="0" w:color="auto"/>
        <w:bottom w:val="none" w:sz="0" w:space="0" w:color="auto"/>
        <w:right w:val="none" w:sz="0" w:space="0" w:color="auto"/>
      </w:divBdr>
    </w:div>
    <w:div w:id="480584989">
      <w:bodyDiv w:val="1"/>
      <w:marLeft w:val="0"/>
      <w:marRight w:val="0"/>
      <w:marTop w:val="0"/>
      <w:marBottom w:val="0"/>
      <w:divBdr>
        <w:top w:val="none" w:sz="0" w:space="0" w:color="auto"/>
        <w:left w:val="none" w:sz="0" w:space="0" w:color="auto"/>
        <w:bottom w:val="none" w:sz="0" w:space="0" w:color="auto"/>
        <w:right w:val="none" w:sz="0" w:space="0" w:color="auto"/>
      </w:divBdr>
    </w:div>
    <w:div w:id="480586421">
      <w:bodyDiv w:val="1"/>
      <w:marLeft w:val="0"/>
      <w:marRight w:val="0"/>
      <w:marTop w:val="0"/>
      <w:marBottom w:val="0"/>
      <w:divBdr>
        <w:top w:val="none" w:sz="0" w:space="0" w:color="auto"/>
        <w:left w:val="none" w:sz="0" w:space="0" w:color="auto"/>
        <w:bottom w:val="none" w:sz="0" w:space="0" w:color="auto"/>
        <w:right w:val="none" w:sz="0" w:space="0" w:color="auto"/>
      </w:divBdr>
    </w:div>
    <w:div w:id="480854757">
      <w:bodyDiv w:val="1"/>
      <w:marLeft w:val="0"/>
      <w:marRight w:val="0"/>
      <w:marTop w:val="0"/>
      <w:marBottom w:val="0"/>
      <w:divBdr>
        <w:top w:val="none" w:sz="0" w:space="0" w:color="auto"/>
        <w:left w:val="none" w:sz="0" w:space="0" w:color="auto"/>
        <w:bottom w:val="none" w:sz="0" w:space="0" w:color="auto"/>
        <w:right w:val="none" w:sz="0" w:space="0" w:color="auto"/>
      </w:divBdr>
    </w:div>
    <w:div w:id="480928282">
      <w:bodyDiv w:val="1"/>
      <w:marLeft w:val="0"/>
      <w:marRight w:val="0"/>
      <w:marTop w:val="0"/>
      <w:marBottom w:val="0"/>
      <w:divBdr>
        <w:top w:val="none" w:sz="0" w:space="0" w:color="auto"/>
        <w:left w:val="none" w:sz="0" w:space="0" w:color="auto"/>
        <w:bottom w:val="none" w:sz="0" w:space="0" w:color="auto"/>
        <w:right w:val="none" w:sz="0" w:space="0" w:color="auto"/>
      </w:divBdr>
    </w:div>
    <w:div w:id="481190773">
      <w:bodyDiv w:val="1"/>
      <w:marLeft w:val="0"/>
      <w:marRight w:val="0"/>
      <w:marTop w:val="0"/>
      <w:marBottom w:val="0"/>
      <w:divBdr>
        <w:top w:val="none" w:sz="0" w:space="0" w:color="auto"/>
        <w:left w:val="none" w:sz="0" w:space="0" w:color="auto"/>
        <w:bottom w:val="none" w:sz="0" w:space="0" w:color="auto"/>
        <w:right w:val="none" w:sz="0" w:space="0" w:color="auto"/>
      </w:divBdr>
    </w:div>
    <w:div w:id="481197305">
      <w:bodyDiv w:val="1"/>
      <w:marLeft w:val="0"/>
      <w:marRight w:val="0"/>
      <w:marTop w:val="0"/>
      <w:marBottom w:val="0"/>
      <w:divBdr>
        <w:top w:val="none" w:sz="0" w:space="0" w:color="auto"/>
        <w:left w:val="none" w:sz="0" w:space="0" w:color="auto"/>
        <w:bottom w:val="none" w:sz="0" w:space="0" w:color="auto"/>
        <w:right w:val="none" w:sz="0" w:space="0" w:color="auto"/>
      </w:divBdr>
    </w:div>
    <w:div w:id="481432437">
      <w:bodyDiv w:val="1"/>
      <w:marLeft w:val="0"/>
      <w:marRight w:val="0"/>
      <w:marTop w:val="0"/>
      <w:marBottom w:val="0"/>
      <w:divBdr>
        <w:top w:val="none" w:sz="0" w:space="0" w:color="auto"/>
        <w:left w:val="none" w:sz="0" w:space="0" w:color="auto"/>
        <w:bottom w:val="none" w:sz="0" w:space="0" w:color="auto"/>
        <w:right w:val="none" w:sz="0" w:space="0" w:color="auto"/>
      </w:divBdr>
    </w:div>
    <w:div w:id="481698672">
      <w:bodyDiv w:val="1"/>
      <w:marLeft w:val="0"/>
      <w:marRight w:val="0"/>
      <w:marTop w:val="0"/>
      <w:marBottom w:val="0"/>
      <w:divBdr>
        <w:top w:val="none" w:sz="0" w:space="0" w:color="auto"/>
        <w:left w:val="none" w:sz="0" w:space="0" w:color="auto"/>
        <w:bottom w:val="none" w:sz="0" w:space="0" w:color="auto"/>
        <w:right w:val="none" w:sz="0" w:space="0" w:color="auto"/>
      </w:divBdr>
    </w:div>
    <w:div w:id="481770861">
      <w:bodyDiv w:val="1"/>
      <w:marLeft w:val="0"/>
      <w:marRight w:val="0"/>
      <w:marTop w:val="0"/>
      <w:marBottom w:val="0"/>
      <w:divBdr>
        <w:top w:val="none" w:sz="0" w:space="0" w:color="auto"/>
        <w:left w:val="none" w:sz="0" w:space="0" w:color="auto"/>
        <w:bottom w:val="none" w:sz="0" w:space="0" w:color="auto"/>
        <w:right w:val="none" w:sz="0" w:space="0" w:color="auto"/>
      </w:divBdr>
    </w:div>
    <w:div w:id="482548096">
      <w:bodyDiv w:val="1"/>
      <w:marLeft w:val="0"/>
      <w:marRight w:val="0"/>
      <w:marTop w:val="0"/>
      <w:marBottom w:val="0"/>
      <w:divBdr>
        <w:top w:val="none" w:sz="0" w:space="0" w:color="auto"/>
        <w:left w:val="none" w:sz="0" w:space="0" w:color="auto"/>
        <w:bottom w:val="none" w:sz="0" w:space="0" w:color="auto"/>
        <w:right w:val="none" w:sz="0" w:space="0" w:color="auto"/>
      </w:divBdr>
    </w:div>
    <w:div w:id="482819870">
      <w:bodyDiv w:val="1"/>
      <w:marLeft w:val="0"/>
      <w:marRight w:val="0"/>
      <w:marTop w:val="0"/>
      <w:marBottom w:val="0"/>
      <w:divBdr>
        <w:top w:val="none" w:sz="0" w:space="0" w:color="auto"/>
        <w:left w:val="none" w:sz="0" w:space="0" w:color="auto"/>
        <w:bottom w:val="none" w:sz="0" w:space="0" w:color="auto"/>
        <w:right w:val="none" w:sz="0" w:space="0" w:color="auto"/>
      </w:divBdr>
    </w:div>
    <w:div w:id="484779233">
      <w:bodyDiv w:val="1"/>
      <w:marLeft w:val="0"/>
      <w:marRight w:val="0"/>
      <w:marTop w:val="0"/>
      <w:marBottom w:val="0"/>
      <w:divBdr>
        <w:top w:val="none" w:sz="0" w:space="0" w:color="auto"/>
        <w:left w:val="none" w:sz="0" w:space="0" w:color="auto"/>
        <w:bottom w:val="none" w:sz="0" w:space="0" w:color="auto"/>
        <w:right w:val="none" w:sz="0" w:space="0" w:color="auto"/>
      </w:divBdr>
    </w:div>
    <w:div w:id="485711525">
      <w:bodyDiv w:val="1"/>
      <w:marLeft w:val="0"/>
      <w:marRight w:val="0"/>
      <w:marTop w:val="0"/>
      <w:marBottom w:val="0"/>
      <w:divBdr>
        <w:top w:val="none" w:sz="0" w:space="0" w:color="auto"/>
        <w:left w:val="none" w:sz="0" w:space="0" w:color="auto"/>
        <w:bottom w:val="none" w:sz="0" w:space="0" w:color="auto"/>
        <w:right w:val="none" w:sz="0" w:space="0" w:color="auto"/>
      </w:divBdr>
    </w:div>
    <w:div w:id="486164936">
      <w:bodyDiv w:val="1"/>
      <w:marLeft w:val="0"/>
      <w:marRight w:val="0"/>
      <w:marTop w:val="0"/>
      <w:marBottom w:val="0"/>
      <w:divBdr>
        <w:top w:val="none" w:sz="0" w:space="0" w:color="auto"/>
        <w:left w:val="none" w:sz="0" w:space="0" w:color="auto"/>
        <w:bottom w:val="none" w:sz="0" w:space="0" w:color="auto"/>
        <w:right w:val="none" w:sz="0" w:space="0" w:color="auto"/>
      </w:divBdr>
    </w:div>
    <w:div w:id="487090222">
      <w:bodyDiv w:val="1"/>
      <w:marLeft w:val="0"/>
      <w:marRight w:val="0"/>
      <w:marTop w:val="0"/>
      <w:marBottom w:val="0"/>
      <w:divBdr>
        <w:top w:val="none" w:sz="0" w:space="0" w:color="auto"/>
        <w:left w:val="none" w:sz="0" w:space="0" w:color="auto"/>
        <w:bottom w:val="none" w:sz="0" w:space="0" w:color="auto"/>
        <w:right w:val="none" w:sz="0" w:space="0" w:color="auto"/>
      </w:divBdr>
    </w:div>
    <w:div w:id="487406029">
      <w:bodyDiv w:val="1"/>
      <w:marLeft w:val="0"/>
      <w:marRight w:val="0"/>
      <w:marTop w:val="0"/>
      <w:marBottom w:val="0"/>
      <w:divBdr>
        <w:top w:val="none" w:sz="0" w:space="0" w:color="auto"/>
        <w:left w:val="none" w:sz="0" w:space="0" w:color="auto"/>
        <w:bottom w:val="none" w:sz="0" w:space="0" w:color="auto"/>
        <w:right w:val="none" w:sz="0" w:space="0" w:color="auto"/>
      </w:divBdr>
    </w:div>
    <w:div w:id="489561340">
      <w:bodyDiv w:val="1"/>
      <w:marLeft w:val="0"/>
      <w:marRight w:val="0"/>
      <w:marTop w:val="0"/>
      <w:marBottom w:val="0"/>
      <w:divBdr>
        <w:top w:val="none" w:sz="0" w:space="0" w:color="auto"/>
        <w:left w:val="none" w:sz="0" w:space="0" w:color="auto"/>
        <w:bottom w:val="none" w:sz="0" w:space="0" w:color="auto"/>
        <w:right w:val="none" w:sz="0" w:space="0" w:color="auto"/>
      </w:divBdr>
    </w:div>
    <w:div w:id="491332211">
      <w:bodyDiv w:val="1"/>
      <w:marLeft w:val="0"/>
      <w:marRight w:val="0"/>
      <w:marTop w:val="0"/>
      <w:marBottom w:val="0"/>
      <w:divBdr>
        <w:top w:val="none" w:sz="0" w:space="0" w:color="auto"/>
        <w:left w:val="none" w:sz="0" w:space="0" w:color="auto"/>
        <w:bottom w:val="none" w:sz="0" w:space="0" w:color="auto"/>
        <w:right w:val="none" w:sz="0" w:space="0" w:color="auto"/>
      </w:divBdr>
    </w:div>
    <w:div w:id="491915129">
      <w:bodyDiv w:val="1"/>
      <w:marLeft w:val="0"/>
      <w:marRight w:val="0"/>
      <w:marTop w:val="0"/>
      <w:marBottom w:val="0"/>
      <w:divBdr>
        <w:top w:val="none" w:sz="0" w:space="0" w:color="auto"/>
        <w:left w:val="none" w:sz="0" w:space="0" w:color="auto"/>
        <w:bottom w:val="none" w:sz="0" w:space="0" w:color="auto"/>
        <w:right w:val="none" w:sz="0" w:space="0" w:color="auto"/>
      </w:divBdr>
    </w:div>
    <w:div w:id="494760879">
      <w:bodyDiv w:val="1"/>
      <w:marLeft w:val="0"/>
      <w:marRight w:val="0"/>
      <w:marTop w:val="0"/>
      <w:marBottom w:val="0"/>
      <w:divBdr>
        <w:top w:val="none" w:sz="0" w:space="0" w:color="auto"/>
        <w:left w:val="none" w:sz="0" w:space="0" w:color="auto"/>
        <w:bottom w:val="none" w:sz="0" w:space="0" w:color="auto"/>
        <w:right w:val="none" w:sz="0" w:space="0" w:color="auto"/>
      </w:divBdr>
    </w:div>
    <w:div w:id="495000367">
      <w:bodyDiv w:val="1"/>
      <w:marLeft w:val="0"/>
      <w:marRight w:val="0"/>
      <w:marTop w:val="0"/>
      <w:marBottom w:val="0"/>
      <w:divBdr>
        <w:top w:val="none" w:sz="0" w:space="0" w:color="auto"/>
        <w:left w:val="none" w:sz="0" w:space="0" w:color="auto"/>
        <w:bottom w:val="none" w:sz="0" w:space="0" w:color="auto"/>
        <w:right w:val="none" w:sz="0" w:space="0" w:color="auto"/>
      </w:divBdr>
    </w:div>
    <w:div w:id="495730174">
      <w:bodyDiv w:val="1"/>
      <w:marLeft w:val="0"/>
      <w:marRight w:val="0"/>
      <w:marTop w:val="0"/>
      <w:marBottom w:val="0"/>
      <w:divBdr>
        <w:top w:val="none" w:sz="0" w:space="0" w:color="auto"/>
        <w:left w:val="none" w:sz="0" w:space="0" w:color="auto"/>
        <w:bottom w:val="none" w:sz="0" w:space="0" w:color="auto"/>
        <w:right w:val="none" w:sz="0" w:space="0" w:color="auto"/>
      </w:divBdr>
    </w:div>
    <w:div w:id="496073320">
      <w:bodyDiv w:val="1"/>
      <w:marLeft w:val="0"/>
      <w:marRight w:val="0"/>
      <w:marTop w:val="0"/>
      <w:marBottom w:val="0"/>
      <w:divBdr>
        <w:top w:val="none" w:sz="0" w:space="0" w:color="auto"/>
        <w:left w:val="none" w:sz="0" w:space="0" w:color="auto"/>
        <w:bottom w:val="none" w:sz="0" w:space="0" w:color="auto"/>
        <w:right w:val="none" w:sz="0" w:space="0" w:color="auto"/>
      </w:divBdr>
    </w:div>
    <w:div w:id="498157987">
      <w:bodyDiv w:val="1"/>
      <w:marLeft w:val="0"/>
      <w:marRight w:val="0"/>
      <w:marTop w:val="0"/>
      <w:marBottom w:val="0"/>
      <w:divBdr>
        <w:top w:val="none" w:sz="0" w:space="0" w:color="auto"/>
        <w:left w:val="none" w:sz="0" w:space="0" w:color="auto"/>
        <w:bottom w:val="none" w:sz="0" w:space="0" w:color="auto"/>
        <w:right w:val="none" w:sz="0" w:space="0" w:color="auto"/>
      </w:divBdr>
    </w:div>
    <w:div w:id="499469576">
      <w:bodyDiv w:val="1"/>
      <w:marLeft w:val="0"/>
      <w:marRight w:val="0"/>
      <w:marTop w:val="0"/>
      <w:marBottom w:val="0"/>
      <w:divBdr>
        <w:top w:val="none" w:sz="0" w:space="0" w:color="auto"/>
        <w:left w:val="none" w:sz="0" w:space="0" w:color="auto"/>
        <w:bottom w:val="none" w:sz="0" w:space="0" w:color="auto"/>
        <w:right w:val="none" w:sz="0" w:space="0" w:color="auto"/>
      </w:divBdr>
    </w:div>
    <w:div w:id="499856524">
      <w:bodyDiv w:val="1"/>
      <w:marLeft w:val="0"/>
      <w:marRight w:val="0"/>
      <w:marTop w:val="0"/>
      <w:marBottom w:val="0"/>
      <w:divBdr>
        <w:top w:val="none" w:sz="0" w:space="0" w:color="auto"/>
        <w:left w:val="none" w:sz="0" w:space="0" w:color="auto"/>
        <w:bottom w:val="none" w:sz="0" w:space="0" w:color="auto"/>
        <w:right w:val="none" w:sz="0" w:space="0" w:color="auto"/>
      </w:divBdr>
    </w:div>
    <w:div w:id="500201821">
      <w:bodyDiv w:val="1"/>
      <w:marLeft w:val="0"/>
      <w:marRight w:val="0"/>
      <w:marTop w:val="0"/>
      <w:marBottom w:val="0"/>
      <w:divBdr>
        <w:top w:val="none" w:sz="0" w:space="0" w:color="auto"/>
        <w:left w:val="none" w:sz="0" w:space="0" w:color="auto"/>
        <w:bottom w:val="none" w:sz="0" w:space="0" w:color="auto"/>
        <w:right w:val="none" w:sz="0" w:space="0" w:color="auto"/>
      </w:divBdr>
    </w:div>
    <w:div w:id="500701905">
      <w:bodyDiv w:val="1"/>
      <w:marLeft w:val="0"/>
      <w:marRight w:val="0"/>
      <w:marTop w:val="0"/>
      <w:marBottom w:val="0"/>
      <w:divBdr>
        <w:top w:val="none" w:sz="0" w:space="0" w:color="auto"/>
        <w:left w:val="none" w:sz="0" w:space="0" w:color="auto"/>
        <w:bottom w:val="none" w:sz="0" w:space="0" w:color="auto"/>
        <w:right w:val="none" w:sz="0" w:space="0" w:color="auto"/>
      </w:divBdr>
    </w:div>
    <w:div w:id="501162557">
      <w:bodyDiv w:val="1"/>
      <w:marLeft w:val="0"/>
      <w:marRight w:val="0"/>
      <w:marTop w:val="0"/>
      <w:marBottom w:val="0"/>
      <w:divBdr>
        <w:top w:val="none" w:sz="0" w:space="0" w:color="auto"/>
        <w:left w:val="none" w:sz="0" w:space="0" w:color="auto"/>
        <w:bottom w:val="none" w:sz="0" w:space="0" w:color="auto"/>
        <w:right w:val="none" w:sz="0" w:space="0" w:color="auto"/>
      </w:divBdr>
    </w:div>
    <w:div w:id="501625639">
      <w:bodyDiv w:val="1"/>
      <w:marLeft w:val="0"/>
      <w:marRight w:val="0"/>
      <w:marTop w:val="0"/>
      <w:marBottom w:val="0"/>
      <w:divBdr>
        <w:top w:val="none" w:sz="0" w:space="0" w:color="auto"/>
        <w:left w:val="none" w:sz="0" w:space="0" w:color="auto"/>
        <w:bottom w:val="none" w:sz="0" w:space="0" w:color="auto"/>
        <w:right w:val="none" w:sz="0" w:space="0" w:color="auto"/>
      </w:divBdr>
    </w:div>
    <w:div w:id="501745086">
      <w:bodyDiv w:val="1"/>
      <w:marLeft w:val="0"/>
      <w:marRight w:val="0"/>
      <w:marTop w:val="0"/>
      <w:marBottom w:val="0"/>
      <w:divBdr>
        <w:top w:val="none" w:sz="0" w:space="0" w:color="auto"/>
        <w:left w:val="none" w:sz="0" w:space="0" w:color="auto"/>
        <w:bottom w:val="none" w:sz="0" w:space="0" w:color="auto"/>
        <w:right w:val="none" w:sz="0" w:space="0" w:color="auto"/>
      </w:divBdr>
    </w:div>
    <w:div w:id="503476891">
      <w:bodyDiv w:val="1"/>
      <w:marLeft w:val="0"/>
      <w:marRight w:val="0"/>
      <w:marTop w:val="0"/>
      <w:marBottom w:val="0"/>
      <w:divBdr>
        <w:top w:val="none" w:sz="0" w:space="0" w:color="auto"/>
        <w:left w:val="none" w:sz="0" w:space="0" w:color="auto"/>
        <w:bottom w:val="none" w:sz="0" w:space="0" w:color="auto"/>
        <w:right w:val="none" w:sz="0" w:space="0" w:color="auto"/>
      </w:divBdr>
    </w:div>
    <w:div w:id="507520168">
      <w:bodyDiv w:val="1"/>
      <w:marLeft w:val="0"/>
      <w:marRight w:val="0"/>
      <w:marTop w:val="0"/>
      <w:marBottom w:val="0"/>
      <w:divBdr>
        <w:top w:val="none" w:sz="0" w:space="0" w:color="auto"/>
        <w:left w:val="none" w:sz="0" w:space="0" w:color="auto"/>
        <w:bottom w:val="none" w:sz="0" w:space="0" w:color="auto"/>
        <w:right w:val="none" w:sz="0" w:space="0" w:color="auto"/>
      </w:divBdr>
    </w:div>
    <w:div w:id="509298452">
      <w:bodyDiv w:val="1"/>
      <w:marLeft w:val="0"/>
      <w:marRight w:val="0"/>
      <w:marTop w:val="0"/>
      <w:marBottom w:val="0"/>
      <w:divBdr>
        <w:top w:val="none" w:sz="0" w:space="0" w:color="auto"/>
        <w:left w:val="none" w:sz="0" w:space="0" w:color="auto"/>
        <w:bottom w:val="none" w:sz="0" w:space="0" w:color="auto"/>
        <w:right w:val="none" w:sz="0" w:space="0" w:color="auto"/>
      </w:divBdr>
    </w:div>
    <w:div w:id="510024707">
      <w:bodyDiv w:val="1"/>
      <w:marLeft w:val="0"/>
      <w:marRight w:val="0"/>
      <w:marTop w:val="0"/>
      <w:marBottom w:val="0"/>
      <w:divBdr>
        <w:top w:val="none" w:sz="0" w:space="0" w:color="auto"/>
        <w:left w:val="none" w:sz="0" w:space="0" w:color="auto"/>
        <w:bottom w:val="none" w:sz="0" w:space="0" w:color="auto"/>
        <w:right w:val="none" w:sz="0" w:space="0" w:color="auto"/>
      </w:divBdr>
    </w:div>
    <w:div w:id="511529903">
      <w:bodyDiv w:val="1"/>
      <w:marLeft w:val="0"/>
      <w:marRight w:val="0"/>
      <w:marTop w:val="0"/>
      <w:marBottom w:val="0"/>
      <w:divBdr>
        <w:top w:val="none" w:sz="0" w:space="0" w:color="auto"/>
        <w:left w:val="none" w:sz="0" w:space="0" w:color="auto"/>
        <w:bottom w:val="none" w:sz="0" w:space="0" w:color="auto"/>
        <w:right w:val="none" w:sz="0" w:space="0" w:color="auto"/>
      </w:divBdr>
    </w:div>
    <w:div w:id="511725352">
      <w:bodyDiv w:val="1"/>
      <w:marLeft w:val="0"/>
      <w:marRight w:val="0"/>
      <w:marTop w:val="0"/>
      <w:marBottom w:val="0"/>
      <w:divBdr>
        <w:top w:val="none" w:sz="0" w:space="0" w:color="auto"/>
        <w:left w:val="none" w:sz="0" w:space="0" w:color="auto"/>
        <w:bottom w:val="none" w:sz="0" w:space="0" w:color="auto"/>
        <w:right w:val="none" w:sz="0" w:space="0" w:color="auto"/>
      </w:divBdr>
    </w:div>
    <w:div w:id="512036580">
      <w:bodyDiv w:val="1"/>
      <w:marLeft w:val="0"/>
      <w:marRight w:val="0"/>
      <w:marTop w:val="0"/>
      <w:marBottom w:val="0"/>
      <w:divBdr>
        <w:top w:val="none" w:sz="0" w:space="0" w:color="auto"/>
        <w:left w:val="none" w:sz="0" w:space="0" w:color="auto"/>
        <w:bottom w:val="none" w:sz="0" w:space="0" w:color="auto"/>
        <w:right w:val="none" w:sz="0" w:space="0" w:color="auto"/>
      </w:divBdr>
    </w:div>
    <w:div w:id="513610562">
      <w:bodyDiv w:val="1"/>
      <w:marLeft w:val="0"/>
      <w:marRight w:val="0"/>
      <w:marTop w:val="0"/>
      <w:marBottom w:val="0"/>
      <w:divBdr>
        <w:top w:val="none" w:sz="0" w:space="0" w:color="auto"/>
        <w:left w:val="none" w:sz="0" w:space="0" w:color="auto"/>
        <w:bottom w:val="none" w:sz="0" w:space="0" w:color="auto"/>
        <w:right w:val="none" w:sz="0" w:space="0" w:color="auto"/>
      </w:divBdr>
    </w:div>
    <w:div w:id="514812119">
      <w:bodyDiv w:val="1"/>
      <w:marLeft w:val="0"/>
      <w:marRight w:val="0"/>
      <w:marTop w:val="0"/>
      <w:marBottom w:val="0"/>
      <w:divBdr>
        <w:top w:val="none" w:sz="0" w:space="0" w:color="auto"/>
        <w:left w:val="none" w:sz="0" w:space="0" w:color="auto"/>
        <w:bottom w:val="none" w:sz="0" w:space="0" w:color="auto"/>
        <w:right w:val="none" w:sz="0" w:space="0" w:color="auto"/>
      </w:divBdr>
    </w:div>
    <w:div w:id="515731981">
      <w:bodyDiv w:val="1"/>
      <w:marLeft w:val="0"/>
      <w:marRight w:val="0"/>
      <w:marTop w:val="0"/>
      <w:marBottom w:val="0"/>
      <w:divBdr>
        <w:top w:val="none" w:sz="0" w:space="0" w:color="auto"/>
        <w:left w:val="none" w:sz="0" w:space="0" w:color="auto"/>
        <w:bottom w:val="none" w:sz="0" w:space="0" w:color="auto"/>
        <w:right w:val="none" w:sz="0" w:space="0" w:color="auto"/>
      </w:divBdr>
    </w:div>
    <w:div w:id="515851041">
      <w:bodyDiv w:val="1"/>
      <w:marLeft w:val="0"/>
      <w:marRight w:val="0"/>
      <w:marTop w:val="0"/>
      <w:marBottom w:val="0"/>
      <w:divBdr>
        <w:top w:val="none" w:sz="0" w:space="0" w:color="auto"/>
        <w:left w:val="none" w:sz="0" w:space="0" w:color="auto"/>
        <w:bottom w:val="none" w:sz="0" w:space="0" w:color="auto"/>
        <w:right w:val="none" w:sz="0" w:space="0" w:color="auto"/>
      </w:divBdr>
    </w:div>
    <w:div w:id="518356066">
      <w:bodyDiv w:val="1"/>
      <w:marLeft w:val="0"/>
      <w:marRight w:val="0"/>
      <w:marTop w:val="0"/>
      <w:marBottom w:val="0"/>
      <w:divBdr>
        <w:top w:val="none" w:sz="0" w:space="0" w:color="auto"/>
        <w:left w:val="none" w:sz="0" w:space="0" w:color="auto"/>
        <w:bottom w:val="none" w:sz="0" w:space="0" w:color="auto"/>
        <w:right w:val="none" w:sz="0" w:space="0" w:color="auto"/>
      </w:divBdr>
    </w:div>
    <w:div w:id="518588100">
      <w:bodyDiv w:val="1"/>
      <w:marLeft w:val="0"/>
      <w:marRight w:val="0"/>
      <w:marTop w:val="0"/>
      <w:marBottom w:val="0"/>
      <w:divBdr>
        <w:top w:val="none" w:sz="0" w:space="0" w:color="auto"/>
        <w:left w:val="none" w:sz="0" w:space="0" w:color="auto"/>
        <w:bottom w:val="none" w:sz="0" w:space="0" w:color="auto"/>
        <w:right w:val="none" w:sz="0" w:space="0" w:color="auto"/>
      </w:divBdr>
    </w:div>
    <w:div w:id="520361849">
      <w:bodyDiv w:val="1"/>
      <w:marLeft w:val="0"/>
      <w:marRight w:val="0"/>
      <w:marTop w:val="0"/>
      <w:marBottom w:val="0"/>
      <w:divBdr>
        <w:top w:val="none" w:sz="0" w:space="0" w:color="auto"/>
        <w:left w:val="none" w:sz="0" w:space="0" w:color="auto"/>
        <w:bottom w:val="none" w:sz="0" w:space="0" w:color="auto"/>
        <w:right w:val="none" w:sz="0" w:space="0" w:color="auto"/>
      </w:divBdr>
    </w:div>
    <w:div w:id="521434074">
      <w:bodyDiv w:val="1"/>
      <w:marLeft w:val="0"/>
      <w:marRight w:val="0"/>
      <w:marTop w:val="0"/>
      <w:marBottom w:val="0"/>
      <w:divBdr>
        <w:top w:val="none" w:sz="0" w:space="0" w:color="auto"/>
        <w:left w:val="none" w:sz="0" w:space="0" w:color="auto"/>
        <w:bottom w:val="none" w:sz="0" w:space="0" w:color="auto"/>
        <w:right w:val="none" w:sz="0" w:space="0" w:color="auto"/>
      </w:divBdr>
    </w:div>
    <w:div w:id="522666484">
      <w:bodyDiv w:val="1"/>
      <w:marLeft w:val="0"/>
      <w:marRight w:val="0"/>
      <w:marTop w:val="0"/>
      <w:marBottom w:val="0"/>
      <w:divBdr>
        <w:top w:val="none" w:sz="0" w:space="0" w:color="auto"/>
        <w:left w:val="none" w:sz="0" w:space="0" w:color="auto"/>
        <w:bottom w:val="none" w:sz="0" w:space="0" w:color="auto"/>
        <w:right w:val="none" w:sz="0" w:space="0" w:color="auto"/>
      </w:divBdr>
    </w:div>
    <w:div w:id="522667715">
      <w:bodyDiv w:val="1"/>
      <w:marLeft w:val="0"/>
      <w:marRight w:val="0"/>
      <w:marTop w:val="0"/>
      <w:marBottom w:val="0"/>
      <w:divBdr>
        <w:top w:val="none" w:sz="0" w:space="0" w:color="auto"/>
        <w:left w:val="none" w:sz="0" w:space="0" w:color="auto"/>
        <w:bottom w:val="none" w:sz="0" w:space="0" w:color="auto"/>
        <w:right w:val="none" w:sz="0" w:space="0" w:color="auto"/>
      </w:divBdr>
    </w:div>
    <w:div w:id="523716124">
      <w:bodyDiv w:val="1"/>
      <w:marLeft w:val="0"/>
      <w:marRight w:val="0"/>
      <w:marTop w:val="0"/>
      <w:marBottom w:val="0"/>
      <w:divBdr>
        <w:top w:val="none" w:sz="0" w:space="0" w:color="auto"/>
        <w:left w:val="none" w:sz="0" w:space="0" w:color="auto"/>
        <w:bottom w:val="none" w:sz="0" w:space="0" w:color="auto"/>
        <w:right w:val="none" w:sz="0" w:space="0" w:color="auto"/>
      </w:divBdr>
    </w:div>
    <w:div w:id="524754675">
      <w:bodyDiv w:val="1"/>
      <w:marLeft w:val="0"/>
      <w:marRight w:val="0"/>
      <w:marTop w:val="0"/>
      <w:marBottom w:val="0"/>
      <w:divBdr>
        <w:top w:val="none" w:sz="0" w:space="0" w:color="auto"/>
        <w:left w:val="none" w:sz="0" w:space="0" w:color="auto"/>
        <w:bottom w:val="none" w:sz="0" w:space="0" w:color="auto"/>
        <w:right w:val="none" w:sz="0" w:space="0" w:color="auto"/>
      </w:divBdr>
    </w:div>
    <w:div w:id="525025433">
      <w:bodyDiv w:val="1"/>
      <w:marLeft w:val="0"/>
      <w:marRight w:val="0"/>
      <w:marTop w:val="0"/>
      <w:marBottom w:val="0"/>
      <w:divBdr>
        <w:top w:val="none" w:sz="0" w:space="0" w:color="auto"/>
        <w:left w:val="none" w:sz="0" w:space="0" w:color="auto"/>
        <w:bottom w:val="none" w:sz="0" w:space="0" w:color="auto"/>
        <w:right w:val="none" w:sz="0" w:space="0" w:color="auto"/>
      </w:divBdr>
    </w:div>
    <w:div w:id="526334299">
      <w:bodyDiv w:val="1"/>
      <w:marLeft w:val="0"/>
      <w:marRight w:val="0"/>
      <w:marTop w:val="0"/>
      <w:marBottom w:val="0"/>
      <w:divBdr>
        <w:top w:val="none" w:sz="0" w:space="0" w:color="auto"/>
        <w:left w:val="none" w:sz="0" w:space="0" w:color="auto"/>
        <w:bottom w:val="none" w:sz="0" w:space="0" w:color="auto"/>
        <w:right w:val="none" w:sz="0" w:space="0" w:color="auto"/>
      </w:divBdr>
    </w:div>
    <w:div w:id="526598784">
      <w:bodyDiv w:val="1"/>
      <w:marLeft w:val="0"/>
      <w:marRight w:val="0"/>
      <w:marTop w:val="0"/>
      <w:marBottom w:val="0"/>
      <w:divBdr>
        <w:top w:val="none" w:sz="0" w:space="0" w:color="auto"/>
        <w:left w:val="none" w:sz="0" w:space="0" w:color="auto"/>
        <w:bottom w:val="none" w:sz="0" w:space="0" w:color="auto"/>
        <w:right w:val="none" w:sz="0" w:space="0" w:color="auto"/>
      </w:divBdr>
    </w:div>
    <w:div w:id="528882022">
      <w:bodyDiv w:val="1"/>
      <w:marLeft w:val="0"/>
      <w:marRight w:val="0"/>
      <w:marTop w:val="0"/>
      <w:marBottom w:val="0"/>
      <w:divBdr>
        <w:top w:val="none" w:sz="0" w:space="0" w:color="auto"/>
        <w:left w:val="none" w:sz="0" w:space="0" w:color="auto"/>
        <w:bottom w:val="none" w:sz="0" w:space="0" w:color="auto"/>
        <w:right w:val="none" w:sz="0" w:space="0" w:color="auto"/>
      </w:divBdr>
    </w:div>
    <w:div w:id="529685603">
      <w:bodyDiv w:val="1"/>
      <w:marLeft w:val="0"/>
      <w:marRight w:val="0"/>
      <w:marTop w:val="0"/>
      <w:marBottom w:val="0"/>
      <w:divBdr>
        <w:top w:val="none" w:sz="0" w:space="0" w:color="auto"/>
        <w:left w:val="none" w:sz="0" w:space="0" w:color="auto"/>
        <w:bottom w:val="none" w:sz="0" w:space="0" w:color="auto"/>
        <w:right w:val="none" w:sz="0" w:space="0" w:color="auto"/>
      </w:divBdr>
    </w:div>
    <w:div w:id="529924637">
      <w:bodyDiv w:val="1"/>
      <w:marLeft w:val="0"/>
      <w:marRight w:val="0"/>
      <w:marTop w:val="0"/>
      <w:marBottom w:val="0"/>
      <w:divBdr>
        <w:top w:val="none" w:sz="0" w:space="0" w:color="auto"/>
        <w:left w:val="none" w:sz="0" w:space="0" w:color="auto"/>
        <w:bottom w:val="none" w:sz="0" w:space="0" w:color="auto"/>
        <w:right w:val="none" w:sz="0" w:space="0" w:color="auto"/>
      </w:divBdr>
    </w:div>
    <w:div w:id="530067815">
      <w:bodyDiv w:val="1"/>
      <w:marLeft w:val="0"/>
      <w:marRight w:val="0"/>
      <w:marTop w:val="0"/>
      <w:marBottom w:val="0"/>
      <w:divBdr>
        <w:top w:val="none" w:sz="0" w:space="0" w:color="auto"/>
        <w:left w:val="none" w:sz="0" w:space="0" w:color="auto"/>
        <w:bottom w:val="none" w:sz="0" w:space="0" w:color="auto"/>
        <w:right w:val="none" w:sz="0" w:space="0" w:color="auto"/>
      </w:divBdr>
    </w:div>
    <w:div w:id="533423749">
      <w:bodyDiv w:val="1"/>
      <w:marLeft w:val="0"/>
      <w:marRight w:val="0"/>
      <w:marTop w:val="0"/>
      <w:marBottom w:val="0"/>
      <w:divBdr>
        <w:top w:val="none" w:sz="0" w:space="0" w:color="auto"/>
        <w:left w:val="none" w:sz="0" w:space="0" w:color="auto"/>
        <w:bottom w:val="none" w:sz="0" w:space="0" w:color="auto"/>
        <w:right w:val="none" w:sz="0" w:space="0" w:color="auto"/>
      </w:divBdr>
    </w:div>
    <w:div w:id="534192752">
      <w:bodyDiv w:val="1"/>
      <w:marLeft w:val="0"/>
      <w:marRight w:val="0"/>
      <w:marTop w:val="0"/>
      <w:marBottom w:val="0"/>
      <w:divBdr>
        <w:top w:val="none" w:sz="0" w:space="0" w:color="auto"/>
        <w:left w:val="none" w:sz="0" w:space="0" w:color="auto"/>
        <w:bottom w:val="none" w:sz="0" w:space="0" w:color="auto"/>
        <w:right w:val="none" w:sz="0" w:space="0" w:color="auto"/>
      </w:divBdr>
    </w:div>
    <w:div w:id="534585216">
      <w:bodyDiv w:val="1"/>
      <w:marLeft w:val="0"/>
      <w:marRight w:val="0"/>
      <w:marTop w:val="0"/>
      <w:marBottom w:val="0"/>
      <w:divBdr>
        <w:top w:val="none" w:sz="0" w:space="0" w:color="auto"/>
        <w:left w:val="none" w:sz="0" w:space="0" w:color="auto"/>
        <w:bottom w:val="none" w:sz="0" w:space="0" w:color="auto"/>
        <w:right w:val="none" w:sz="0" w:space="0" w:color="auto"/>
      </w:divBdr>
    </w:div>
    <w:div w:id="535432177">
      <w:bodyDiv w:val="1"/>
      <w:marLeft w:val="0"/>
      <w:marRight w:val="0"/>
      <w:marTop w:val="0"/>
      <w:marBottom w:val="0"/>
      <w:divBdr>
        <w:top w:val="none" w:sz="0" w:space="0" w:color="auto"/>
        <w:left w:val="none" w:sz="0" w:space="0" w:color="auto"/>
        <w:bottom w:val="none" w:sz="0" w:space="0" w:color="auto"/>
        <w:right w:val="none" w:sz="0" w:space="0" w:color="auto"/>
      </w:divBdr>
    </w:div>
    <w:div w:id="537085701">
      <w:bodyDiv w:val="1"/>
      <w:marLeft w:val="0"/>
      <w:marRight w:val="0"/>
      <w:marTop w:val="0"/>
      <w:marBottom w:val="0"/>
      <w:divBdr>
        <w:top w:val="none" w:sz="0" w:space="0" w:color="auto"/>
        <w:left w:val="none" w:sz="0" w:space="0" w:color="auto"/>
        <w:bottom w:val="none" w:sz="0" w:space="0" w:color="auto"/>
        <w:right w:val="none" w:sz="0" w:space="0" w:color="auto"/>
      </w:divBdr>
    </w:div>
    <w:div w:id="537662868">
      <w:bodyDiv w:val="1"/>
      <w:marLeft w:val="0"/>
      <w:marRight w:val="0"/>
      <w:marTop w:val="0"/>
      <w:marBottom w:val="0"/>
      <w:divBdr>
        <w:top w:val="none" w:sz="0" w:space="0" w:color="auto"/>
        <w:left w:val="none" w:sz="0" w:space="0" w:color="auto"/>
        <w:bottom w:val="none" w:sz="0" w:space="0" w:color="auto"/>
        <w:right w:val="none" w:sz="0" w:space="0" w:color="auto"/>
      </w:divBdr>
    </w:div>
    <w:div w:id="538392411">
      <w:bodyDiv w:val="1"/>
      <w:marLeft w:val="0"/>
      <w:marRight w:val="0"/>
      <w:marTop w:val="0"/>
      <w:marBottom w:val="0"/>
      <w:divBdr>
        <w:top w:val="none" w:sz="0" w:space="0" w:color="auto"/>
        <w:left w:val="none" w:sz="0" w:space="0" w:color="auto"/>
        <w:bottom w:val="none" w:sz="0" w:space="0" w:color="auto"/>
        <w:right w:val="none" w:sz="0" w:space="0" w:color="auto"/>
      </w:divBdr>
    </w:div>
    <w:div w:id="538475614">
      <w:bodyDiv w:val="1"/>
      <w:marLeft w:val="0"/>
      <w:marRight w:val="0"/>
      <w:marTop w:val="0"/>
      <w:marBottom w:val="0"/>
      <w:divBdr>
        <w:top w:val="none" w:sz="0" w:space="0" w:color="auto"/>
        <w:left w:val="none" w:sz="0" w:space="0" w:color="auto"/>
        <w:bottom w:val="none" w:sz="0" w:space="0" w:color="auto"/>
        <w:right w:val="none" w:sz="0" w:space="0" w:color="auto"/>
      </w:divBdr>
    </w:div>
    <w:div w:id="539511422">
      <w:bodyDiv w:val="1"/>
      <w:marLeft w:val="0"/>
      <w:marRight w:val="0"/>
      <w:marTop w:val="0"/>
      <w:marBottom w:val="0"/>
      <w:divBdr>
        <w:top w:val="none" w:sz="0" w:space="0" w:color="auto"/>
        <w:left w:val="none" w:sz="0" w:space="0" w:color="auto"/>
        <w:bottom w:val="none" w:sz="0" w:space="0" w:color="auto"/>
        <w:right w:val="none" w:sz="0" w:space="0" w:color="auto"/>
      </w:divBdr>
    </w:div>
    <w:div w:id="541092469">
      <w:bodyDiv w:val="1"/>
      <w:marLeft w:val="0"/>
      <w:marRight w:val="0"/>
      <w:marTop w:val="0"/>
      <w:marBottom w:val="0"/>
      <w:divBdr>
        <w:top w:val="none" w:sz="0" w:space="0" w:color="auto"/>
        <w:left w:val="none" w:sz="0" w:space="0" w:color="auto"/>
        <w:bottom w:val="none" w:sz="0" w:space="0" w:color="auto"/>
        <w:right w:val="none" w:sz="0" w:space="0" w:color="auto"/>
      </w:divBdr>
    </w:div>
    <w:div w:id="541408362">
      <w:bodyDiv w:val="1"/>
      <w:marLeft w:val="0"/>
      <w:marRight w:val="0"/>
      <w:marTop w:val="0"/>
      <w:marBottom w:val="0"/>
      <w:divBdr>
        <w:top w:val="none" w:sz="0" w:space="0" w:color="auto"/>
        <w:left w:val="none" w:sz="0" w:space="0" w:color="auto"/>
        <w:bottom w:val="none" w:sz="0" w:space="0" w:color="auto"/>
        <w:right w:val="none" w:sz="0" w:space="0" w:color="auto"/>
      </w:divBdr>
    </w:div>
    <w:div w:id="543174752">
      <w:bodyDiv w:val="1"/>
      <w:marLeft w:val="0"/>
      <w:marRight w:val="0"/>
      <w:marTop w:val="0"/>
      <w:marBottom w:val="0"/>
      <w:divBdr>
        <w:top w:val="none" w:sz="0" w:space="0" w:color="auto"/>
        <w:left w:val="none" w:sz="0" w:space="0" w:color="auto"/>
        <w:bottom w:val="none" w:sz="0" w:space="0" w:color="auto"/>
        <w:right w:val="none" w:sz="0" w:space="0" w:color="auto"/>
      </w:divBdr>
    </w:div>
    <w:div w:id="544145428">
      <w:bodyDiv w:val="1"/>
      <w:marLeft w:val="0"/>
      <w:marRight w:val="0"/>
      <w:marTop w:val="0"/>
      <w:marBottom w:val="0"/>
      <w:divBdr>
        <w:top w:val="none" w:sz="0" w:space="0" w:color="auto"/>
        <w:left w:val="none" w:sz="0" w:space="0" w:color="auto"/>
        <w:bottom w:val="none" w:sz="0" w:space="0" w:color="auto"/>
        <w:right w:val="none" w:sz="0" w:space="0" w:color="auto"/>
      </w:divBdr>
    </w:div>
    <w:div w:id="547761129">
      <w:bodyDiv w:val="1"/>
      <w:marLeft w:val="0"/>
      <w:marRight w:val="0"/>
      <w:marTop w:val="0"/>
      <w:marBottom w:val="0"/>
      <w:divBdr>
        <w:top w:val="none" w:sz="0" w:space="0" w:color="auto"/>
        <w:left w:val="none" w:sz="0" w:space="0" w:color="auto"/>
        <w:bottom w:val="none" w:sz="0" w:space="0" w:color="auto"/>
        <w:right w:val="none" w:sz="0" w:space="0" w:color="auto"/>
      </w:divBdr>
    </w:div>
    <w:div w:id="548155183">
      <w:bodyDiv w:val="1"/>
      <w:marLeft w:val="0"/>
      <w:marRight w:val="0"/>
      <w:marTop w:val="0"/>
      <w:marBottom w:val="0"/>
      <w:divBdr>
        <w:top w:val="none" w:sz="0" w:space="0" w:color="auto"/>
        <w:left w:val="none" w:sz="0" w:space="0" w:color="auto"/>
        <w:bottom w:val="none" w:sz="0" w:space="0" w:color="auto"/>
        <w:right w:val="none" w:sz="0" w:space="0" w:color="auto"/>
      </w:divBdr>
    </w:div>
    <w:div w:id="549419303">
      <w:bodyDiv w:val="1"/>
      <w:marLeft w:val="0"/>
      <w:marRight w:val="0"/>
      <w:marTop w:val="0"/>
      <w:marBottom w:val="0"/>
      <w:divBdr>
        <w:top w:val="none" w:sz="0" w:space="0" w:color="auto"/>
        <w:left w:val="none" w:sz="0" w:space="0" w:color="auto"/>
        <w:bottom w:val="none" w:sz="0" w:space="0" w:color="auto"/>
        <w:right w:val="none" w:sz="0" w:space="0" w:color="auto"/>
      </w:divBdr>
    </w:div>
    <w:div w:id="549809293">
      <w:bodyDiv w:val="1"/>
      <w:marLeft w:val="0"/>
      <w:marRight w:val="0"/>
      <w:marTop w:val="0"/>
      <w:marBottom w:val="0"/>
      <w:divBdr>
        <w:top w:val="none" w:sz="0" w:space="0" w:color="auto"/>
        <w:left w:val="none" w:sz="0" w:space="0" w:color="auto"/>
        <w:bottom w:val="none" w:sz="0" w:space="0" w:color="auto"/>
        <w:right w:val="none" w:sz="0" w:space="0" w:color="auto"/>
      </w:divBdr>
    </w:div>
    <w:div w:id="554005333">
      <w:bodyDiv w:val="1"/>
      <w:marLeft w:val="0"/>
      <w:marRight w:val="0"/>
      <w:marTop w:val="0"/>
      <w:marBottom w:val="0"/>
      <w:divBdr>
        <w:top w:val="none" w:sz="0" w:space="0" w:color="auto"/>
        <w:left w:val="none" w:sz="0" w:space="0" w:color="auto"/>
        <w:bottom w:val="none" w:sz="0" w:space="0" w:color="auto"/>
        <w:right w:val="none" w:sz="0" w:space="0" w:color="auto"/>
      </w:divBdr>
    </w:div>
    <w:div w:id="555581304">
      <w:bodyDiv w:val="1"/>
      <w:marLeft w:val="0"/>
      <w:marRight w:val="0"/>
      <w:marTop w:val="0"/>
      <w:marBottom w:val="0"/>
      <w:divBdr>
        <w:top w:val="none" w:sz="0" w:space="0" w:color="auto"/>
        <w:left w:val="none" w:sz="0" w:space="0" w:color="auto"/>
        <w:bottom w:val="none" w:sz="0" w:space="0" w:color="auto"/>
        <w:right w:val="none" w:sz="0" w:space="0" w:color="auto"/>
      </w:divBdr>
    </w:div>
    <w:div w:id="555897480">
      <w:bodyDiv w:val="1"/>
      <w:marLeft w:val="0"/>
      <w:marRight w:val="0"/>
      <w:marTop w:val="0"/>
      <w:marBottom w:val="0"/>
      <w:divBdr>
        <w:top w:val="none" w:sz="0" w:space="0" w:color="auto"/>
        <w:left w:val="none" w:sz="0" w:space="0" w:color="auto"/>
        <w:bottom w:val="none" w:sz="0" w:space="0" w:color="auto"/>
        <w:right w:val="none" w:sz="0" w:space="0" w:color="auto"/>
      </w:divBdr>
    </w:div>
    <w:div w:id="556553725">
      <w:bodyDiv w:val="1"/>
      <w:marLeft w:val="0"/>
      <w:marRight w:val="0"/>
      <w:marTop w:val="0"/>
      <w:marBottom w:val="0"/>
      <w:divBdr>
        <w:top w:val="none" w:sz="0" w:space="0" w:color="auto"/>
        <w:left w:val="none" w:sz="0" w:space="0" w:color="auto"/>
        <w:bottom w:val="none" w:sz="0" w:space="0" w:color="auto"/>
        <w:right w:val="none" w:sz="0" w:space="0" w:color="auto"/>
      </w:divBdr>
    </w:div>
    <w:div w:id="557788457">
      <w:bodyDiv w:val="1"/>
      <w:marLeft w:val="0"/>
      <w:marRight w:val="0"/>
      <w:marTop w:val="0"/>
      <w:marBottom w:val="0"/>
      <w:divBdr>
        <w:top w:val="none" w:sz="0" w:space="0" w:color="auto"/>
        <w:left w:val="none" w:sz="0" w:space="0" w:color="auto"/>
        <w:bottom w:val="none" w:sz="0" w:space="0" w:color="auto"/>
        <w:right w:val="none" w:sz="0" w:space="0" w:color="auto"/>
      </w:divBdr>
    </w:div>
    <w:div w:id="558595740">
      <w:bodyDiv w:val="1"/>
      <w:marLeft w:val="0"/>
      <w:marRight w:val="0"/>
      <w:marTop w:val="0"/>
      <w:marBottom w:val="0"/>
      <w:divBdr>
        <w:top w:val="none" w:sz="0" w:space="0" w:color="auto"/>
        <w:left w:val="none" w:sz="0" w:space="0" w:color="auto"/>
        <w:bottom w:val="none" w:sz="0" w:space="0" w:color="auto"/>
        <w:right w:val="none" w:sz="0" w:space="0" w:color="auto"/>
      </w:divBdr>
    </w:div>
    <w:div w:id="559635050">
      <w:bodyDiv w:val="1"/>
      <w:marLeft w:val="0"/>
      <w:marRight w:val="0"/>
      <w:marTop w:val="0"/>
      <w:marBottom w:val="0"/>
      <w:divBdr>
        <w:top w:val="none" w:sz="0" w:space="0" w:color="auto"/>
        <w:left w:val="none" w:sz="0" w:space="0" w:color="auto"/>
        <w:bottom w:val="none" w:sz="0" w:space="0" w:color="auto"/>
        <w:right w:val="none" w:sz="0" w:space="0" w:color="auto"/>
      </w:divBdr>
    </w:div>
    <w:div w:id="560866345">
      <w:bodyDiv w:val="1"/>
      <w:marLeft w:val="0"/>
      <w:marRight w:val="0"/>
      <w:marTop w:val="0"/>
      <w:marBottom w:val="0"/>
      <w:divBdr>
        <w:top w:val="none" w:sz="0" w:space="0" w:color="auto"/>
        <w:left w:val="none" w:sz="0" w:space="0" w:color="auto"/>
        <w:bottom w:val="none" w:sz="0" w:space="0" w:color="auto"/>
        <w:right w:val="none" w:sz="0" w:space="0" w:color="auto"/>
      </w:divBdr>
    </w:div>
    <w:div w:id="566232889">
      <w:bodyDiv w:val="1"/>
      <w:marLeft w:val="0"/>
      <w:marRight w:val="0"/>
      <w:marTop w:val="0"/>
      <w:marBottom w:val="0"/>
      <w:divBdr>
        <w:top w:val="none" w:sz="0" w:space="0" w:color="auto"/>
        <w:left w:val="none" w:sz="0" w:space="0" w:color="auto"/>
        <w:bottom w:val="none" w:sz="0" w:space="0" w:color="auto"/>
        <w:right w:val="none" w:sz="0" w:space="0" w:color="auto"/>
      </w:divBdr>
    </w:div>
    <w:div w:id="566914134">
      <w:bodyDiv w:val="1"/>
      <w:marLeft w:val="0"/>
      <w:marRight w:val="0"/>
      <w:marTop w:val="0"/>
      <w:marBottom w:val="0"/>
      <w:divBdr>
        <w:top w:val="none" w:sz="0" w:space="0" w:color="auto"/>
        <w:left w:val="none" w:sz="0" w:space="0" w:color="auto"/>
        <w:bottom w:val="none" w:sz="0" w:space="0" w:color="auto"/>
        <w:right w:val="none" w:sz="0" w:space="0" w:color="auto"/>
      </w:divBdr>
    </w:div>
    <w:div w:id="567225184">
      <w:bodyDiv w:val="1"/>
      <w:marLeft w:val="0"/>
      <w:marRight w:val="0"/>
      <w:marTop w:val="0"/>
      <w:marBottom w:val="0"/>
      <w:divBdr>
        <w:top w:val="none" w:sz="0" w:space="0" w:color="auto"/>
        <w:left w:val="none" w:sz="0" w:space="0" w:color="auto"/>
        <w:bottom w:val="none" w:sz="0" w:space="0" w:color="auto"/>
        <w:right w:val="none" w:sz="0" w:space="0" w:color="auto"/>
      </w:divBdr>
    </w:div>
    <w:div w:id="567809946">
      <w:bodyDiv w:val="1"/>
      <w:marLeft w:val="0"/>
      <w:marRight w:val="0"/>
      <w:marTop w:val="0"/>
      <w:marBottom w:val="0"/>
      <w:divBdr>
        <w:top w:val="none" w:sz="0" w:space="0" w:color="auto"/>
        <w:left w:val="none" w:sz="0" w:space="0" w:color="auto"/>
        <w:bottom w:val="none" w:sz="0" w:space="0" w:color="auto"/>
        <w:right w:val="none" w:sz="0" w:space="0" w:color="auto"/>
      </w:divBdr>
    </w:div>
    <w:div w:id="568619065">
      <w:bodyDiv w:val="1"/>
      <w:marLeft w:val="0"/>
      <w:marRight w:val="0"/>
      <w:marTop w:val="0"/>
      <w:marBottom w:val="0"/>
      <w:divBdr>
        <w:top w:val="none" w:sz="0" w:space="0" w:color="auto"/>
        <w:left w:val="none" w:sz="0" w:space="0" w:color="auto"/>
        <w:bottom w:val="none" w:sz="0" w:space="0" w:color="auto"/>
        <w:right w:val="none" w:sz="0" w:space="0" w:color="auto"/>
      </w:divBdr>
    </w:div>
    <w:div w:id="569386099">
      <w:bodyDiv w:val="1"/>
      <w:marLeft w:val="0"/>
      <w:marRight w:val="0"/>
      <w:marTop w:val="0"/>
      <w:marBottom w:val="0"/>
      <w:divBdr>
        <w:top w:val="none" w:sz="0" w:space="0" w:color="auto"/>
        <w:left w:val="none" w:sz="0" w:space="0" w:color="auto"/>
        <w:bottom w:val="none" w:sz="0" w:space="0" w:color="auto"/>
        <w:right w:val="none" w:sz="0" w:space="0" w:color="auto"/>
      </w:divBdr>
    </w:div>
    <w:div w:id="570892655">
      <w:bodyDiv w:val="1"/>
      <w:marLeft w:val="0"/>
      <w:marRight w:val="0"/>
      <w:marTop w:val="0"/>
      <w:marBottom w:val="0"/>
      <w:divBdr>
        <w:top w:val="none" w:sz="0" w:space="0" w:color="auto"/>
        <w:left w:val="none" w:sz="0" w:space="0" w:color="auto"/>
        <w:bottom w:val="none" w:sz="0" w:space="0" w:color="auto"/>
        <w:right w:val="none" w:sz="0" w:space="0" w:color="auto"/>
      </w:divBdr>
    </w:div>
    <w:div w:id="571040381">
      <w:bodyDiv w:val="1"/>
      <w:marLeft w:val="0"/>
      <w:marRight w:val="0"/>
      <w:marTop w:val="0"/>
      <w:marBottom w:val="0"/>
      <w:divBdr>
        <w:top w:val="none" w:sz="0" w:space="0" w:color="auto"/>
        <w:left w:val="none" w:sz="0" w:space="0" w:color="auto"/>
        <w:bottom w:val="none" w:sz="0" w:space="0" w:color="auto"/>
        <w:right w:val="none" w:sz="0" w:space="0" w:color="auto"/>
      </w:divBdr>
    </w:div>
    <w:div w:id="571353189">
      <w:bodyDiv w:val="1"/>
      <w:marLeft w:val="0"/>
      <w:marRight w:val="0"/>
      <w:marTop w:val="0"/>
      <w:marBottom w:val="0"/>
      <w:divBdr>
        <w:top w:val="none" w:sz="0" w:space="0" w:color="auto"/>
        <w:left w:val="none" w:sz="0" w:space="0" w:color="auto"/>
        <w:bottom w:val="none" w:sz="0" w:space="0" w:color="auto"/>
        <w:right w:val="none" w:sz="0" w:space="0" w:color="auto"/>
      </w:divBdr>
    </w:div>
    <w:div w:id="571543585">
      <w:bodyDiv w:val="1"/>
      <w:marLeft w:val="0"/>
      <w:marRight w:val="0"/>
      <w:marTop w:val="0"/>
      <w:marBottom w:val="0"/>
      <w:divBdr>
        <w:top w:val="none" w:sz="0" w:space="0" w:color="auto"/>
        <w:left w:val="none" w:sz="0" w:space="0" w:color="auto"/>
        <w:bottom w:val="none" w:sz="0" w:space="0" w:color="auto"/>
        <w:right w:val="none" w:sz="0" w:space="0" w:color="auto"/>
      </w:divBdr>
    </w:div>
    <w:div w:id="572665086">
      <w:bodyDiv w:val="1"/>
      <w:marLeft w:val="0"/>
      <w:marRight w:val="0"/>
      <w:marTop w:val="0"/>
      <w:marBottom w:val="0"/>
      <w:divBdr>
        <w:top w:val="none" w:sz="0" w:space="0" w:color="auto"/>
        <w:left w:val="none" w:sz="0" w:space="0" w:color="auto"/>
        <w:bottom w:val="none" w:sz="0" w:space="0" w:color="auto"/>
        <w:right w:val="none" w:sz="0" w:space="0" w:color="auto"/>
      </w:divBdr>
    </w:div>
    <w:div w:id="574972056">
      <w:bodyDiv w:val="1"/>
      <w:marLeft w:val="0"/>
      <w:marRight w:val="0"/>
      <w:marTop w:val="0"/>
      <w:marBottom w:val="0"/>
      <w:divBdr>
        <w:top w:val="none" w:sz="0" w:space="0" w:color="auto"/>
        <w:left w:val="none" w:sz="0" w:space="0" w:color="auto"/>
        <w:bottom w:val="none" w:sz="0" w:space="0" w:color="auto"/>
        <w:right w:val="none" w:sz="0" w:space="0" w:color="auto"/>
      </w:divBdr>
    </w:div>
    <w:div w:id="576138039">
      <w:bodyDiv w:val="1"/>
      <w:marLeft w:val="0"/>
      <w:marRight w:val="0"/>
      <w:marTop w:val="0"/>
      <w:marBottom w:val="0"/>
      <w:divBdr>
        <w:top w:val="none" w:sz="0" w:space="0" w:color="auto"/>
        <w:left w:val="none" w:sz="0" w:space="0" w:color="auto"/>
        <w:bottom w:val="none" w:sz="0" w:space="0" w:color="auto"/>
        <w:right w:val="none" w:sz="0" w:space="0" w:color="auto"/>
      </w:divBdr>
    </w:div>
    <w:div w:id="577598525">
      <w:bodyDiv w:val="1"/>
      <w:marLeft w:val="0"/>
      <w:marRight w:val="0"/>
      <w:marTop w:val="0"/>
      <w:marBottom w:val="0"/>
      <w:divBdr>
        <w:top w:val="none" w:sz="0" w:space="0" w:color="auto"/>
        <w:left w:val="none" w:sz="0" w:space="0" w:color="auto"/>
        <w:bottom w:val="none" w:sz="0" w:space="0" w:color="auto"/>
        <w:right w:val="none" w:sz="0" w:space="0" w:color="auto"/>
      </w:divBdr>
    </w:div>
    <w:div w:id="577831150">
      <w:bodyDiv w:val="1"/>
      <w:marLeft w:val="0"/>
      <w:marRight w:val="0"/>
      <w:marTop w:val="0"/>
      <w:marBottom w:val="0"/>
      <w:divBdr>
        <w:top w:val="none" w:sz="0" w:space="0" w:color="auto"/>
        <w:left w:val="none" w:sz="0" w:space="0" w:color="auto"/>
        <w:bottom w:val="none" w:sz="0" w:space="0" w:color="auto"/>
        <w:right w:val="none" w:sz="0" w:space="0" w:color="auto"/>
      </w:divBdr>
    </w:div>
    <w:div w:id="578835447">
      <w:bodyDiv w:val="1"/>
      <w:marLeft w:val="0"/>
      <w:marRight w:val="0"/>
      <w:marTop w:val="0"/>
      <w:marBottom w:val="0"/>
      <w:divBdr>
        <w:top w:val="none" w:sz="0" w:space="0" w:color="auto"/>
        <w:left w:val="none" w:sz="0" w:space="0" w:color="auto"/>
        <w:bottom w:val="none" w:sz="0" w:space="0" w:color="auto"/>
        <w:right w:val="none" w:sz="0" w:space="0" w:color="auto"/>
      </w:divBdr>
    </w:div>
    <w:div w:id="579214555">
      <w:bodyDiv w:val="1"/>
      <w:marLeft w:val="0"/>
      <w:marRight w:val="0"/>
      <w:marTop w:val="0"/>
      <w:marBottom w:val="0"/>
      <w:divBdr>
        <w:top w:val="none" w:sz="0" w:space="0" w:color="auto"/>
        <w:left w:val="none" w:sz="0" w:space="0" w:color="auto"/>
        <w:bottom w:val="none" w:sz="0" w:space="0" w:color="auto"/>
        <w:right w:val="none" w:sz="0" w:space="0" w:color="auto"/>
      </w:divBdr>
    </w:div>
    <w:div w:id="581763414">
      <w:bodyDiv w:val="1"/>
      <w:marLeft w:val="0"/>
      <w:marRight w:val="0"/>
      <w:marTop w:val="0"/>
      <w:marBottom w:val="0"/>
      <w:divBdr>
        <w:top w:val="none" w:sz="0" w:space="0" w:color="auto"/>
        <w:left w:val="none" w:sz="0" w:space="0" w:color="auto"/>
        <w:bottom w:val="none" w:sz="0" w:space="0" w:color="auto"/>
        <w:right w:val="none" w:sz="0" w:space="0" w:color="auto"/>
      </w:divBdr>
    </w:div>
    <w:div w:id="581989881">
      <w:bodyDiv w:val="1"/>
      <w:marLeft w:val="0"/>
      <w:marRight w:val="0"/>
      <w:marTop w:val="0"/>
      <w:marBottom w:val="0"/>
      <w:divBdr>
        <w:top w:val="none" w:sz="0" w:space="0" w:color="auto"/>
        <w:left w:val="none" w:sz="0" w:space="0" w:color="auto"/>
        <w:bottom w:val="none" w:sz="0" w:space="0" w:color="auto"/>
        <w:right w:val="none" w:sz="0" w:space="0" w:color="auto"/>
      </w:divBdr>
    </w:div>
    <w:div w:id="582422794">
      <w:bodyDiv w:val="1"/>
      <w:marLeft w:val="0"/>
      <w:marRight w:val="0"/>
      <w:marTop w:val="0"/>
      <w:marBottom w:val="0"/>
      <w:divBdr>
        <w:top w:val="none" w:sz="0" w:space="0" w:color="auto"/>
        <w:left w:val="none" w:sz="0" w:space="0" w:color="auto"/>
        <w:bottom w:val="none" w:sz="0" w:space="0" w:color="auto"/>
        <w:right w:val="none" w:sz="0" w:space="0" w:color="auto"/>
      </w:divBdr>
    </w:div>
    <w:div w:id="583879335">
      <w:bodyDiv w:val="1"/>
      <w:marLeft w:val="0"/>
      <w:marRight w:val="0"/>
      <w:marTop w:val="0"/>
      <w:marBottom w:val="0"/>
      <w:divBdr>
        <w:top w:val="none" w:sz="0" w:space="0" w:color="auto"/>
        <w:left w:val="none" w:sz="0" w:space="0" w:color="auto"/>
        <w:bottom w:val="none" w:sz="0" w:space="0" w:color="auto"/>
        <w:right w:val="none" w:sz="0" w:space="0" w:color="auto"/>
      </w:divBdr>
    </w:div>
    <w:div w:id="584147176">
      <w:bodyDiv w:val="1"/>
      <w:marLeft w:val="0"/>
      <w:marRight w:val="0"/>
      <w:marTop w:val="0"/>
      <w:marBottom w:val="0"/>
      <w:divBdr>
        <w:top w:val="none" w:sz="0" w:space="0" w:color="auto"/>
        <w:left w:val="none" w:sz="0" w:space="0" w:color="auto"/>
        <w:bottom w:val="none" w:sz="0" w:space="0" w:color="auto"/>
        <w:right w:val="none" w:sz="0" w:space="0" w:color="auto"/>
      </w:divBdr>
    </w:div>
    <w:div w:id="584414945">
      <w:bodyDiv w:val="1"/>
      <w:marLeft w:val="0"/>
      <w:marRight w:val="0"/>
      <w:marTop w:val="0"/>
      <w:marBottom w:val="0"/>
      <w:divBdr>
        <w:top w:val="none" w:sz="0" w:space="0" w:color="auto"/>
        <w:left w:val="none" w:sz="0" w:space="0" w:color="auto"/>
        <w:bottom w:val="none" w:sz="0" w:space="0" w:color="auto"/>
        <w:right w:val="none" w:sz="0" w:space="0" w:color="auto"/>
      </w:divBdr>
    </w:div>
    <w:div w:id="584538796">
      <w:bodyDiv w:val="1"/>
      <w:marLeft w:val="0"/>
      <w:marRight w:val="0"/>
      <w:marTop w:val="0"/>
      <w:marBottom w:val="0"/>
      <w:divBdr>
        <w:top w:val="none" w:sz="0" w:space="0" w:color="auto"/>
        <w:left w:val="none" w:sz="0" w:space="0" w:color="auto"/>
        <w:bottom w:val="none" w:sz="0" w:space="0" w:color="auto"/>
        <w:right w:val="none" w:sz="0" w:space="0" w:color="auto"/>
      </w:divBdr>
    </w:div>
    <w:div w:id="585920270">
      <w:bodyDiv w:val="1"/>
      <w:marLeft w:val="0"/>
      <w:marRight w:val="0"/>
      <w:marTop w:val="0"/>
      <w:marBottom w:val="0"/>
      <w:divBdr>
        <w:top w:val="none" w:sz="0" w:space="0" w:color="auto"/>
        <w:left w:val="none" w:sz="0" w:space="0" w:color="auto"/>
        <w:bottom w:val="none" w:sz="0" w:space="0" w:color="auto"/>
        <w:right w:val="none" w:sz="0" w:space="0" w:color="auto"/>
      </w:divBdr>
    </w:div>
    <w:div w:id="588465882">
      <w:bodyDiv w:val="1"/>
      <w:marLeft w:val="0"/>
      <w:marRight w:val="0"/>
      <w:marTop w:val="0"/>
      <w:marBottom w:val="0"/>
      <w:divBdr>
        <w:top w:val="none" w:sz="0" w:space="0" w:color="auto"/>
        <w:left w:val="none" w:sz="0" w:space="0" w:color="auto"/>
        <w:bottom w:val="none" w:sz="0" w:space="0" w:color="auto"/>
        <w:right w:val="none" w:sz="0" w:space="0" w:color="auto"/>
      </w:divBdr>
    </w:div>
    <w:div w:id="591471552">
      <w:bodyDiv w:val="1"/>
      <w:marLeft w:val="0"/>
      <w:marRight w:val="0"/>
      <w:marTop w:val="0"/>
      <w:marBottom w:val="0"/>
      <w:divBdr>
        <w:top w:val="none" w:sz="0" w:space="0" w:color="auto"/>
        <w:left w:val="none" w:sz="0" w:space="0" w:color="auto"/>
        <w:bottom w:val="none" w:sz="0" w:space="0" w:color="auto"/>
        <w:right w:val="none" w:sz="0" w:space="0" w:color="auto"/>
      </w:divBdr>
    </w:div>
    <w:div w:id="596593886">
      <w:bodyDiv w:val="1"/>
      <w:marLeft w:val="0"/>
      <w:marRight w:val="0"/>
      <w:marTop w:val="0"/>
      <w:marBottom w:val="0"/>
      <w:divBdr>
        <w:top w:val="none" w:sz="0" w:space="0" w:color="auto"/>
        <w:left w:val="none" w:sz="0" w:space="0" w:color="auto"/>
        <w:bottom w:val="none" w:sz="0" w:space="0" w:color="auto"/>
        <w:right w:val="none" w:sz="0" w:space="0" w:color="auto"/>
      </w:divBdr>
    </w:div>
    <w:div w:id="596718717">
      <w:bodyDiv w:val="1"/>
      <w:marLeft w:val="0"/>
      <w:marRight w:val="0"/>
      <w:marTop w:val="0"/>
      <w:marBottom w:val="0"/>
      <w:divBdr>
        <w:top w:val="none" w:sz="0" w:space="0" w:color="auto"/>
        <w:left w:val="none" w:sz="0" w:space="0" w:color="auto"/>
        <w:bottom w:val="none" w:sz="0" w:space="0" w:color="auto"/>
        <w:right w:val="none" w:sz="0" w:space="0" w:color="auto"/>
      </w:divBdr>
    </w:div>
    <w:div w:id="596863110">
      <w:bodyDiv w:val="1"/>
      <w:marLeft w:val="0"/>
      <w:marRight w:val="0"/>
      <w:marTop w:val="0"/>
      <w:marBottom w:val="0"/>
      <w:divBdr>
        <w:top w:val="none" w:sz="0" w:space="0" w:color="auto"/>
        <w:left w:val="none" w:sz="0" w:space="0" w:color="auto"/>
        <w:bottom w:val="none" w:sz="0" w:space="0" w:color="auto"/>
        <w:right w:val="none" w:sz="0" w:space="0" w:color="auto"/>
      </w:divBdr>
    </w:div>
    <w:div w:id="597375415">
      <w:bodyDiv w:val="1"/>
      <w:marLeft w:val="0"/>
      <w:marRight w:val="0"/>
      <w:marTop w:val="0"/>
      <w:marBottom w:val="0"/>
      <w:divBdr>
        <w:top w:val="none" w:sz="0" w:space="0" w:color="auto"/>
        <w:left w:val="none" w:sz="0" w:space="0" w:color="auto"/>
        <w:bottom w:val="none" w:sz="0" w:space="0" w:color="auto"/>
        <w:right w:val="none" w:sz="0" w:space="0" w:color="auto"/>
      </w:divBdr>
    </w:div>
    <w:div w:id="598219448">
      <w:bodyDiv w:val="1"/>
      <w:marLeft w:val="0"/>
      <w:marRight w:val="0"/>
      <w:marTop w:val="0"/>
      <w:marBottom w:val="0"/>
      <w:divBdr>
        <w:top w:val="none" w:sz="0" w:space="0" w:color="auto"/>
        <w:left w:val="none" w:sz="0" w:space="0" w:color="auto"/>
        <w:bottom w:val="none" w:sz="0" w:space="0" w:color="auto"/>
        <w:right w:val="none" w:sz="0" w:space="0" w:color="auto"/>
      </w:divBdr>
    </w:div>
    <w:div w:id="598416636">
      <w:bodyDiv w:val="1"/>
      <w:marLeft w:val="0"/>
      <w:marRight w:val="0"/>
      <w:marTop w:val="0"/>
      <w:marBottom w:val="0"/>
      <w:divBdr>
        <w:top w:val="none" w:sz="0" w:space="0" w:color="auto"/>
        <w:left w:val="none" w:sz="0" w:space="0" w:color="auto"/>
        <w:bottom w:val="none" w:sz="0" w:space="0" w:color="auto"/>
        <w:right w:val="none" w:sz="0" w:space="0" w:color="auto"/>
      </w:divBdr>
    </w:div>
    <w:div w:id="599030291">
      <w:bodyDiv w:val="1"/>
      <w:marLeft w:val="0"/>
      <w:marRight w:val="0"/>
      <w:marTop w:val="0"/>
      <w:marBottom w:val="0"/>
      <w:divBdr>
        <w:top w:val="none" w:sz="0" w:space="0" w:color="auto"/>
        <w:left w:val="none" w:sz="0" w:space="0" w:color="auto"/>
        <w:bottom w:val="none" w:sz="0" w:space="0" w:color="auto"/>
        <w:right w:val="none" w:sz="0" w:space="0" w:color="auto"/>
      </w:divBdr>
    </w:div>
    <w:div w:id="599072955">
      <w:bodyDiv w:val="1"/>
      <w:marLeft w:val="0"/>
      <w:marRight w:val="0"/>
      <w:marTop w:val="0"/>
      <w:marBottom w:val="0"/>
      <w:divBdr>
        <w:top w:val="none" w:sz="0" w:space="0" w:color="auto"/>
        <w:left w:val="none" w:sz="0" w:space="0" w:color="auto"/>
        <w:bottom w:val="none" w:sz="0" w:space="0" w:color="auto"/>
        <w:right w:val="none" w:sz="0" w:space="0" w:color="auto"/>
      </w:divBdr>
    </w:div>
    <w:div w:id="599141863">
      <w:bodyDiv w:val="1"/>
      <w:marLeft w:val="0"/>
      <w:marRight w:val="0"/>
      <w:marTop w:val="0"/>
      <w:marBottom w:val="0"/>
      <w:divBdr>
        <w:top w:val="none" w:sz="0" w:space="0" w:color="auto"/>
        <w:left w:val="none" w:sz="0" w:space="0" w:color="auto"/>
        <w:bottom w:val="none" w:sz="0" w:space="0" w:color="auto"/>
        <w:right w:val="none" w:sz="0" w:space="0" w:color="auto"/>
      </w:divBdr>
    </w:div>
    <w:div w:id="599221231">
      <w:bodyDiv w:val="1"/>
      <w:marLeft w:val="0"/>
      <w:marRight w:val="0"/>
      <w:marTop w:val="0"/>
      <w:marBottom w:val="0"/>
      <w:divBdr>
        <w:top w:val="none" w:sz="0" w:space="0" w:color="auto"/>
        <w:left w:val="none" w:sz="0" w:space="0" w:color="auto"/>
        <w:bottom w:val="none" w:sz="0" w:space="0" w:color="auto"/>
        <w:right w:val="none" w:sz="0" w:space="0" w:color="auto"/>
      </w:divBdr>
    </w:div>
    <w:div w:id="599414893">
      <w:bodyDiv w:val="1"/>
      <w:marLeft w:val="0"/>
      <w:marRight w:val="0"/>
      <w:marTop w:val="0"/>
      <w:marBottom w:val="0"/>
      <w:divBdr>
        <w:top w:val="none" w:sz="0" w:space="0" w:color="auto"/>
        <w:left w:val="none" w:sz="0" w:space="0" w:color="auto"/>
        <w:bottom w:val="none" w:sz="0" w:space="0" w:color="auto"/>
        <w:right w:val="none" w:sz="0" w:space="0" w:color="auto"/>
      </w:divBdr>
    </w:div>
    <w:div w:id="601571553">
      <w:bodyDiv w:val="1"/>
      <w:marLeft w:val="0"/>
      <w:marRight w:val="0"/>
      <w:marTop w:val="0"/>
      <w:marBottom w:val="0"/>
      <w:divBdr>
        <w:top w:val="none" w:sz="0" w:space="0" w:color="auto"/>
        <w:left w:val="none" w:sz="0" w:space="0" w:color="auto"/>
        <w:bottom w:val="none" w:sz="0" w:space="0" w:color="auto"/>
        <w:right w:val="none" w:sz="0" w:space="0" w:color="auto"/>
      </w:divBdr>
    </w:div>
    <w:div w:id="604118983">
      <w:bodyDiv w:val="1"/>
      <w:marLeft w:val="0"/>
      <w:marRight w:val="0"/>
      <w:marTop w:val="0"/>
      <w:marBottom w:val="0"/>
      <w:divBdr>
        <w:top w:val="none" w:sz="0" w:space="0" w:color="auto"/>
        <w:left w:val="none" w:sz="0" w:space="0" w:color="auto"/>
        <w:bottom w:val="none" w:sz="0" w:space="0" w:color="auto"/>
        <w:right w:val="none" w:sz="0" w:space="0" w:color="auto"/>
      </w:divBdr>
    </w:div>
    <w:div w:id="604845587">
      <w:bodyDiv w:val="1"/>
      <w:marLeft w:val="0"/>
      <w:marRight w:val="0"/>
      <w:marTop w:val="0"/>
      <w:marBottom w:val="0"/>
      <w:divBdr>
        <w:top w:val="none" w:sz="0" w:space="0" w:color="auto"/>
        <w:left w:val="none" w:sz="0" w:space="0" w:color="auto"/>
        <w:bottom w:val="none" w:sz="0" w:space="0" w:color="auto"/>
        <w:right w:val="none" w:sz="0" w:space="0" w:color="auto"/>
      </w:divBdr>
    </w:div>
    <w:div w:id="605039637">
      <w:bodyDiv w:val="1"/>
      <w:marLeft w:val="0"/>
      <w:marRight w:val="0"/>
      <w:marTop w:val="0"/>
      <w:marBottom w:val="0"/>
      <w:divBdr>
        <w:top w:val="none" w:sz="0" w:space="0" w:color="auto"/>
        <w:left w:val="none" w:sz="0" w:space="0" w:color="auto"/>
        <w:bottom w:val="none" w:sz="0" w:space="0" w:color="auto"/>
        <w:right w:val="none" w:sz="0" w:space="0" w:color="auto"/>
      </w:divBdr>
    </w:div>
    <w:div w:id="605817712">
      <w:bodyDiv w:val="1"/>
      <w:marLeft w:val="0"/>
      <w:marRight w:val="0"/>
      <w:marTop w:val="0"/>
      <w:marBottom w:val="0"/>
      <w:divBdr>
        <w:top w:val="none" w:sz="0" w:space="0" w:color="auto"/>
        <w:left w:val="none" w:sz="0" w:space="0" w:color="auto"/>
        <w:bottom w:val="none" w:sz="0" w:space="0" w:color="auto"/>
        <w:right w:val="none" w:sz="0" w:space="0" w:color="auto"/>
      </w:divBdr>
    </w:div>
    <w:div w:id="605843404">
      <w:bodyDiv w:val="1"/>
      <w:marLeft w:val="0"/>
      <w:marRight w:val="0"/>
      <w:marTop w:val="0"/>
      <w:marBottom w:val="0"/>
      <w:divBdr>
        <w:top w:val="none" w:sz="0" w:space="0" w:color="auto"/>
        <w:left w:val="none" w:sz="0" w:space="0" w:color="auto"/>
        <w:bottom w:val="none" w:sz="0" w:space="0" w:color="auto"/>
        <w:right w:val="none" w:sz="0" w:space="0" w:color="auto"/>
      </w:divBdr>
    </w:div>
    <w:div w:id="607394405">
      <w:bodyDiv w:val="1"/>
      <w:marLeft w:val="0"/>
      <w:marRight w:val="0"/>
      <w:marTop w:val="0"/>
      <w:marBottom w:val="0"/>
      <w:divBdr>
        <w:top w:val="none" w:sz="0" w:space="0" w:color="auto"/>
        <w:left w:val="none" w:sz="0" w:space="0" w:color="auto"/>
        <w:bottom w:val="none" w:sz="0" w:space="0" w:color="auto"/>
        <w:right w:val="none" w:sz="0" w:space="0" w:color="auto"/>
      </w:divBdr>
    </w:div>
    <w:div w:id="607666548">
      <w:bodyDiv w:val="1"/>
      <w:marLeft w:val="0"/>
      <w:marRight w:val="0"/>
      <w:marTop w:val="0"/>
      <w:marBottom w:val="0"/>
      <w:divBdr>
        <w:top w:val="none" w:sz="0" w:space="0" w:color="auto"/>
        <w:left w:val="none" w:sz="0" w:space="0" w:color="auto"/>
        <w:bottom w:val="none" w:sz="0" w:space="0" w:color="auto"/>
        <w:right w:val="none" w:sz="0" w:space="0" w:color="auto"/>
      </w:divBdr>
    </w:div>
    <w:div w:id="608052762">
      <w:bodyDiv w:val="1"/>
      <w:marLeft w:val="0"/>
      <w:marRight w:val="0"/>
      <w:marTop w:val="0"/>
      <w:marBottom w:val="0"/>
      <w:divBdr>
        <w:top w:val="none" w:sz="0" w:space="0" w:color="auto"/>
        <w:left w:val="none" w:sz="0" w:space="0" w:color="auto"/>
        <w:bottom w:val="none" w:sz="0" w:space="0" w:color="auto"/>
        <w:right w:val="none" w:sz="0" w:space="0" w:color="auto"/>
      </w:divBdr>
    </w:div>
    <w:div w:id="609165035">
      <w:bodyDiv w:val="1"/>
      <w:marLeft w:val="0"/>
      <w:marRight w:val="0"/>
      <w:marTop w:val="0"/>
      <w:marBottom w:val="0"/>
      <w:divBdr>
        <w:top w:val="none" w:sz="0" w:space="0" w:color="auto"/>
        <w:left w:val="none" w:sz="0" w:space="0" w:color="auto"/>
        <w:bottom w:val="none" w:sz="0" w:space="0" w:color="auto"/>
        <w:right w:val="none" w:sz="0" w:space="0" w:color="auto"/>
      </w:divBdr>
    </w:div>
    <w:div w:id="609317585">
      <w:bodyDiv w:val="1"/>
      <w:marLeft w:val="0"/>
      <w:marRight w:val="0"/>
      <w:marTop w:val="0"/>
      <w:marBottom w:val="0"/>
      <w:divBdr>
        <w:top w:val="none" w:sz="0" w:space="0" w:color="auto"/>
        <w:left w:val="none" w:sz="0" w:space="0" w:color="auto"/>
        <w:bottom w:val="none" w:sz="0" w:space="0" w:color="auto"/>
        <w:right w:val="none" w:sz="0" w:space="0" w:color="auto"/>
      </w:divBdr>
    </w:div>
    <w:div w:id="610472802">
      <w:bodyDiv w:val="1"/>
      <w:marLeft w:val="0"/>
      <w:marRight w:val="0"/>
      <w:marTop w:val="0"/>
      <w:marBottom w:val="0"/>
      <w:divBdr>
        <w:top w:val="none" w:sz="0" w:space="0" w:color="auto"/>
        <w:left w:val="none" w:sz="0" w:space="0" w:color="auto"/>
        <w:bottom w:val="none" w:sz="0" w:space="0" w:color="auto"/>
        <w:right w:val="none" w:sz="0" w:space="0" w:color="auto"/>
      </w:divBdr>
    </w:div>
    <w:div w:id="610937161">
      <w:bodyDiv w:val="1"/>
      <w:marLeft w:val="0"/>
      <w:marRight w:val="0"/>
      <w:marTop w:val="0"/>
      <w:marBottom w:val="0"/>
      <w:divBdr>
        <w:top w:val="none" w:sz="0" w:space="0" w:color="auto"/>
        <w:left w:val="none" w:sz="0" w:space="0" w:color="auto"/>
        <w:bottom w:val="none" w:sz="0" w:space="0" w:color="auto"/>
        <w:right w:val="none" w:sz="0" w:space="0" w:color="auto"/>
      </w:divBdr>
    </w:div>
    <w:div w:id="612323827">
      <w:bodyDiv w:val="1"/>
      <w:marLeft w:val="0"/>
      <w:marRight w:val="0"/>
      <w:marTop w:val="0"/>
      <w:marBottom w:val="0"/>
      <w:divBdr>
        <w:top w:val="none" w:sz="0" w:space="0" w:color="auto"/>
        <w:left w:val="none" w:sz="0" w:space="0" w:color="auto"/>
        <w:bottom w:val="none" w:sz="0" w:space="0" w:color="auto"/>
        <w:right w:val="none" w:sz="0" w:space="0" w:color="auto"/>
      </w:divBdr>
    </w:div>
    <w:div w:id="613097669">
      <w:bodyDiv w:val="1"/>
      <w:marLeft w:val="0"/>
      <w:marRight w:val="0"/>
      <w:marTop w:val="0"/>
      <w:marBottom w:val="0"/>
      <w:divBdr>
        <w:top w:val="none" w:sz="0" w:space="0" w:color="auto"/>
        <w:left w:val="none" w:sz="0" w:space="0" w:color="auto"/>
        <w:bottom w:val="none" w:sz="0" w:space="0" w:color="auto"/>
        <w:right w:val="none" w:sz="0" w:space="0" w:color="auto"/>
      </w:divBdr>
    </w:div>
    <w:div w:id="614868058">
      <w:bodyDiv w:val="1"/>
      <w:marLeft w:val="0"/>
      <w:marRight w:val="0"/>
      <w:marTop w:val="0"/>
      <w:marBottom w:val="0"/>
      <w:divBdr>
        <w:top w:val="none" w:sz="0" w:space="0" w:color="auto"/>
        <w:left w:val="none" w:sz="0" w:space="0" w:color="auto"/>
        <w:bottom w:val="none" w:sz="0" w:space="0" w:color="auto"/>
        <w:right w:val="none" w:sz="0" w:space="0" w:color="auto"/>
      </w:divBdr>
    </w:div>
    <w:div w:id="616060751">
      <w:bodyDiv w:val="1"/>
      <w:marLeft w:val="0"/>
      <w:marRight w:val="0"/>
      <w:marTop w:val="0"/>
      <w:marBottom w:val="0"/>
      <w:divBdr>
        <w:top w:val="none" w:sz="0" w:space="0" w:color="auto"/>
        <w:left w:val="none" w:sz="0" w:space="0" w:color="auto"/>
        <w:bottom w:val="none" w:sz="0" w:space="0" w:color="auto"/>
        <w:right w:val="none" w:sz="0" w:space="0" w:color="auto"/>
      </w:divBdr>
    </w:div>
    <w:div w:id="616716220">
      <w:bodyDiv w:val="1"/>
      <w:marLeft w:val="0"/>
      <w:marRight w:val="0"/>
      <w:marTop w:val="0"/>
      <w:marBottom w:val="0"/>
      <w:divBdr>
        <w:top w:val="none" w:sz="0" w:space="0" w:color="auto"/>
        <w:left w:val="none" w:sz="0" w:space="0" w:color="auto"/>
        <w:bottom w:val="none" w:sz="0" w:space="0" w:color="auto"/>
        <w:right w:val="none" w:sz="0" w:space="0" w:color="auto"/>
      </w:divBdr>
    </w:div>
    <w:div w:id="617300499">
      <w:bodyDiv w:val="1"/>
      <w:marLeft w:val="0"/>
      <w:marRight w:val="0"/>
      <w:marTop w:val="0"/>
      <w:marBottom w:val="0"/>
      <w:divBdr>
        <w:top w:val="none" w:sz="0" w:space="0" w:color="auto"/>
        <w:left w:val="none" w:sz="0" w:space="0" w:color="auto"/>
        <w:bottom w:val="none" w:sz="0" w:space="0" w:color="auto"/>
        <w:right w:val="none" w:sz="0" w:space="0" w:color="auto"/>
      </w:divBdr>
    </w:div>
    <w:div w:id="620263281">
      <w:bodyDiv w:val="1"/>
      <w:marLeft w:val="0"/>
      <w:marRight w:val="0"/>
      <w:marTop w:val="0"/>
      <w:marBottom w:val="0"/>
      <w:divBdr>
        <w:top w:val="none" w:sz="0" w:space="0" w:color="auto"/>
        <w:left w:val="none" w:sz="0" w:space="0" w:color="auto"/>
        <w:bottom w:val="none" w:sz="0" w:space="0" w:color="auto"/>
        <w:right w:val="none" w:sz="0" w:space="0" w:color="auto"/>
      </w:divBdr>
    </w:div>
    <w:div w:id="620497119">
      <w:bodyDiv w:val="1"/>
      <w:marLeft w:val="0"/>
      <w:marRight w:val="0"/>
      <w:marTop w:val="0"/>
      <w:marBottom w:val="0"/>
      <w:divBdr>
        <w:top w:val="none" w:sz="0" w:space="0" w:color="auto"/>
        <w:left w:val="none" w:sz="0" w:space="0" w:color="auto"/>
        <w:bottom w:val="none" w:sz="0" w:space="0" w:color="auto"/>
        <w:right w:val="none" w:sz="0" w:space="0" w:color="auto"/>
      </w:divBdr>
    </w:div>
    <w:div w:id="622156046">
      <w:bodyDiv w:val="1"/>
      <w:marLeft w:val="0"/>
      <w:marRight w:val="0"/>
      <w:marTop w:val="0"/>
      <w:marBottom w:val="0"/>
      <w:divBdr>
        <w:top w:val="none" w:sz="0" w:space="0" w:color="auto"/>
        <w:left w:val="none" w:sz="0" w:space="0" w:color="auto"/>
        <w:bottom w:val="none" w:sz="0" w:space="0" w:color="auto"/>
        <w:right w:val="none" w:sz="0" w:space="0" w:color="auto"/>
      </w:divBdr>
    </w:div>
    <w:div w:id="622421931">
      <w:bodyDiv w:val="1"/>
      <w:marLeft w:val="0"/>
      <w:marRight w:val="0"/>
      <w:marTop w:val="0"/>
      <w:marBottom w:val="0"/>
      <w:divBdr>
        <w:top w:val="none" w:sz="0" w:space="0" w:color="auto"/>
        <w:left w:val="none" w:sz="0" w:space="0" w:color="auto"/>
        <w:bottom w:val="none" w:sz="0" w:space="0" w:color="auto"/>
        <w:right w:val="none" w:sz="0" w:space="0" w:color="auto"/>
      </w:divBdr>
    </w:div>
    <w:div w:id="622545147">
      <w:bodyDiv w:val="1"/>
      <w:marLeft w:val="0"/>
      <w:marRight w:val="0"/>
      <w:marTop w:val="0"/>
      <w:marBottom w:val="0"/>
      <w:divBdr>
        <w:top w:val="none" w:sz="0" w:space="0" w:color="auto"/>
        <w:left w:val="none" w:sz="0" w:space="0" w:color="auto"/>
        <w:bottom w:val="none" w:sz="0" w:space="0" w:color="auto"/>
        <w:right w:val="none" w:sz="0" w:space="0" w:color="auto"/>
      </w:divBdr>
    </w:div>
    <w:div w:id="622928928">
      <w:bodyDiv w:val="1"/>
      <w:marLeft w:val="0"/>
      <w:marRight w:val="0"/>
      <w:marTop w:val="0"/>
      <w:marBottom w:val="0"/>
      <w:divBdr>
        <w:top w:val="none" w:sz="0" w:space="0" w:color="auto"/>
        <w:left w:val="none" w:sz="0" w:space="0" w:color="auto"/>
        <w:bottom w:val="none" w:sz="0" w:space="0" w:color="auto"/>
        <w:right w:val="none" w:sz="0" w:space="0" w:color="auto"/>
      </w:divBdr>
    </w:div>
    <w:div w:id="623384036">
      <w:bodyDiv w:val="1"/>
      <w:marLeft w:val="0"/>
      <w:marRight w:val="0"/>
      <w:marTop w:val="0"/>
      <w:marBottom w:val="0"/>
      <w:divBdr>
        <w:top w:val="none" w:sz="0" w:space="0" w:color="auto"/>
        <w:left w:val="none" w:sz="0" w:space="0" w:color="auto"/>
        <w:bottom w:val="none" w:sz="0" w:space="0" w:color="auto"/>
        <w:right w:val="none" w:sz="0" w:space="0" w:color="auto"/>
      </w:divBdr>
    </w:div>
    <w:div w:id="625502718">
      <w:bodyDiv w:val="1"/>
      <w:marLeft w:val="0"/>
      <w:marRight w:val="0"/>
      <w:marTop w:val="0"/>
      <w:marBottom w:val="0"/>
      <w:divBdr>
        <w:top w:val="none" w:sz="0" w:space="0" w:color="auto"/>
        <w:left w:val="none" w:sz="0" w:space="0" w:color="auto"/>
        <w:bottom w:val="none" w:sz="0" w:space="0" w:color="auto"/>
        <w:right w:val="none" w:sz="0" w:space="0" w:color="auto"/>
      </w:divBdr>
    </w:div>
    <w:div w:id="625893973">
      <w:bodyDiv w:val="1"/>
      <w:marLeft w:val="0"/>
      <w:marRight w:val="0"/>
      <w:marTop w:val="0"/>
      <w:marBottom w:val="0"/>
      <w:divBdr>
        <w:top w:val="none" w:sz="0" w:space="0" w:color="auto"/>
        <w:left w:val="none" w:sz="0" w:space="0" w:color="auto"/>
        <w:bottom w:val="none" w:sz="0" w:space="0" w:color="auto"/>
        <w:right w:val="none" w:sz="0" w:space="0" w:color="auto"/>
      </w:divBdr>
    </w:div>
    <w:div w:id="626007299">
      <w:bodyDiv w:val="1"/>
      <w:marLeft w:val="0"/>
      <w:marRight w:val="0"/>
      <w:marTop w:val="0"/>
      <w:marBottom w:val="0"/>
      <w:divBdr>
        <w:top w:val="none" w:sz="0" w:space="0" w:color="auto"/>
        <w:left w:val="none" w:sz="0" w:space="0" w:color="auto"/>
        <w:bottom w:val="none" w:sz="0" w:space="0" w:color="auto"/>
        <w:right w:val="none" w:sz="0" w:space="0" w:color="auto"/>
      </w:divBdr>
    </w:div>
    <w:div w:id="626088075">
      <w:bodyDiv w:val="1"/>
      <w:marLeft w:val="0"/>
      <w:marRight w:val="0"/>
      <w:marTop w:val="0"/>
      <w:marBottom w:val="0"/>
      <w:divBdr>
        <w:top w:val="none" w:sz="0" w:space="0" w:color="auto"/>
        <w:left w:val="none" w:sz="0" w:space="0" w:color="auto"/>
        <w:bottom w:val="none" w:sz="0" w:space="0" w:color="auto"/>
        <w:right w:val="none" w:sz="0" w:space="0" w:color="auto"/>
      </w:divBdr>
    </w:div>
    <w:div w:id="626358275">
      <w:bodyDiv w:val="1"/>
      <w:marLeft w:val="0"/>
      <w:marRight w:val="0"/>
      <w:marTop w:val="0"/>
      <w:marBottom w:val="0"/>
      <w:divBdr>
        <w:top w:val="none" w:sz="0" w:space="0" w:color="auto"/>
        <w:left w:val="none" w:sz="0" w:space="0" w:color="auto"/>
        <w:bottom w:val="none" w:sz="0" w:space="0" w:color="auto"/>
        <w:right w:val="none" w:sz="0" w:space="0" w:color="auto"/>
      </w:divBdr>
    </w:div>
    <w:div w:id="627317158">
      <w:bodyDiv w:val="1"/>
      <w:marLeft w:val="0"/>
      <w:marRight w:val="0"/>
      <w:marTop w:val="0"/>
      <w:marBottom w:val="0"/>
      <w:divBdr>
        <w:top w:val="none" w:sz="0" w:space="0" w:color="auto"/>
        <w:left w:val="none" w:sz="0" w:space="0" w:color="auto"/>
        <w:bottom w:val="none" w:sz="0" w:space="0" w:color="auto"/>
        <w:right w:val="none" w:sz="0" w:space="0" w:color="auto"/>
      </w:divBdr>
    </w:div>
    <w:div w:id="628316895">
      <w:bodyDiv w:val="1"/>
      <w:marLeft w:val="0"/>
      <w:marRight w:val="0"/>
      <w:marTop w:val="0"/>
      <w:marBottom w:val="0"/>
      <w:divBdr>
        <w:top w:val="none" w:sz="0" w:space="0" w:color="auto"/>
        <w:left w:val="none" w:sz="0" w:space="0" w:color="auto"/>
        <w:bottom w:val="none" w:sz="0" w:space="0" w:color="auto"/>
        <w:right w:val="none" w:sz="0" w:space="0" w:color="auto"/>
      </w:divBdr>
    </w:div>
    <w:div w:id="629172853">
      <w:bodyDiv w:val="1"/>
      <w:marLeft w:val="0"/>
      <w:marRight w:val="0"/>
      <w:marTop w:val="0"/>
      <w:marBottom w:val="0"/>
      <w:divBdr>
        <w:top w:val="none" w:sz="0" w:space="0" w:color="auto"/>
        <w:left w:val="none" w:sz="0" w:space="0" w:color="auto"/>
        <w:bottom w:val="none" w:sz="0" w:space="0" w:color="auto"/>
        <w:right w:val="none" w:sz="0" w:space="0" w:color="auto"/>
      </w:divBdr>
    </w:div>
    <w:div w:id="629867545">
      <w:bodyDiv w:val="1"/>
      <w:marLeft w:val="0"/>
      <w:marRight w:val="0"/>
      <w:marTop w:val="0"/>
      <w:marBottom w:val="0"/>
      <w:divBdr>
        <w:top w:val="none" w:sz="0" w:space="0" w:color="auto"/>
        <w:left w:val="none" w:sz="0" w:space="0" w:color="auto"/>
        <w:bottom w:val="none" w:sz="0" w:space="0" w:color="auto"/>
        <w:right w:val="none" w:sz="0" w:space="0" w:color="auto"/>
      </w:divBdr>
    </w:div>
    <w:div w:id="630483276">
      <w:bodyDiv w:val="1"/>
      <w:marLeft w:val="0"/>
      <w:marRight w:val="0"/>
      <w:marTop w:val="0"/>
      <w:marBottom w:val="0"/>
      <w:divBdr>
        <w:top w:val="none" w:sz="0" w:space="0" w:color="auto"/>
        <w:left w:val="none" w:sz="0" w:space="0" w:color="auto"/>
        <w:bottom w:val="none" w:sz="0" w:space="0" w:color="auto"/>
        <w:right w:val="none" w:sz="0" w:space="0" w:color="auto"/>
      </w:divBdr>
    </w:div>
    <w:div w:id="632105273">
      <w:bodyDiv w:val="1"/>
      <w:marLeft w:val="0"/>
      <w:marRight w:val="0"/>
      <w:marTop w:val="0"/>
      <w:marBottom w:val="0"/>
      <w:divBdr>
        <w:top w:val="none" w:sz="0" w:space="0" w:color="auto"/>
        <w:left w:val="none" w:sz="0" w:space="0" w:color="auto"/>
        <w:bottom w:val="none" w:sz="0" w:space="0" w:color="auto"/>
        <w:right w:val="none" w:sz="0" w:space="0" w:color="auto"/>
      </w:divBdr>
    </w:div>
    <w:div w:id="632490101">
      <w:bodyDiv w:val="1"/>
      <w:marLeft w:val="0"/>
      <w:marRight w:val="0"/>
      <w:marTop w:val="0"/>
      <w:marBottom w:val="0"/>
      <w:divBdr>
        <w:top w:val="none" w:sz="0" w:space="0" w:color="auto"/>
        <w:left w:val="none" w:sz="0" w:space="0" w:color="auto"/>
        <w:bottom w:val="none" w:sz="0" w:space="0" w:color="auto"/>
        <w:right w:val="none" w:sz="0" w:space="0" w:color="auto"/>
      </w:divBdr>
    </w:div>
    <w:div w:id="633683779">
      <w:bodyDiv w:val="1"/>
      <w:marLeft w:val="0"/>
      <w:marRight w:val="0"/>
      <w:marTop w:val="0"/>
      <w:marBottom w:val="0"/>
      <w:divBdr>
        <w:top w:val="none" w:sz="0" w:space="0" w:color="auto"/>
        <w:left w:val="none" w:sz="0" w:space="0" w:color="auto"/>
        <w:bottom w:val="none" w:sz="0" w:space="0" w:color="auto"/>
        <w:right w:val="none" w:sz="0" w:space="0" w:color="auto"/>
      </w:divBdr>
    </w:div>
    <w:div w:id="635650481">
      <w:bodyDiv w:val="1"/>
      <w:marLeft w:val="0"/>
      <w:marRight w:val="0"/>
      <w:marTop w:val="0"/>
      <w:marBottom w:val="0"/>
      <w:divBdr>
        <w:top w:val="none" w:sz="0" w:space="0" w:color="auto"/>
        <w:left w:val="none" w:sz="0" w:space="0" w:color="auto"/>
        <w:bottom w:val="none" w:sz="0" w:space="0" w:color="auto"/>
        <w:right w:val="none" w:sz="0" w:space="0" w:color="auto"/>
      </w:divBdr>
    </w:div>
    <w:div w:id="635840673">
      <w:bodyDiv w:val="1"/>
      <w:marLeft w:val="0"/>
      <w:marRight w:val="0"/>
      <w:marTop w:val="0"/>
      <w:marBottom w:val="0"/>
      <w:divBdr>
        <w:top w:val="none" w:sz="0" w:space="0" w:color="auto"/>
        <w:left w:val="none" w:sz="0" w:space="0" w:color="auto"/>
        <w:bottom w:val="none" w:sz="0" w:space="0" w:color="auto"/>
        <w:right w:val="none" w:sz="0" w:space="0" w:color="auto"/>
      </w:divBdr>
    </w:div>
    <w:div w:id="636031048">
      <w:bodyDiv w:val="1"/>
      <w:marLeft w:val="0"/>
      <w:marRight w:val="0"/>
      <w:marTop w:val="0"/>
      <w:marBottom w:val="0"/>
      <w:divBdr>
        <w:top w:val="none" w:sz="0" w:space="0" w:color="auto"/>
        <w:left w:val="none" w:sz="0" w:space="0" w:color="auto"/>
        <w:bottom w:val="none" w:sz="0" w:space="0" w:color="auto"/>
        <w:right w:val="none" w:sz="0" w:space="0" w:color="auto"/>
      </w:divBdr>
    </w:div>
    <w:div w:id="638655155">
      <w:bodyDiv w:val="1"/>
      <w:marLeft w:val="0"/>
      <w:marRight w:val="0"/>
      <w:marTop w:val="0"/>
      <w:marBottom w:val="0"/>
      <w:divBdr>
        <w:top w:val="none" w:sz="0" w:space="0" w:color="auto"/>
        <w:left w:val="none" w:sz="0" w:space="0" w:color="auto"/>
        <w:bottom w:val="none" w:sz="0" w:space="0" w:color="auto"/>
        <w:right w:val="none" w:sz="0" w:space="0" w:color="auto"/>
      </w:divBdr>
    </w:div>
    <w:div w:id="639306907">
      <w:bodyDiv w:val="1"/>
      <w:marLeft w:val="0"/>
      <w:marRight w:val="0"/>
      <w:marTop w:val="0"/>
      <w:marBottom w:val="0"/>
      <w:divBdr>
        <w:top w:val="none" w:sz="0" w:space="0" w:color="auto"/>
        <w:left w:val="none" w:sz="0" w:space="0" w:color="auto"/>
        <w:bottom w:val="none" w:sz="0" w:space="0" w:color="auto"/>
        <w:right w:val="none" w:sz="0" w:space="0" w:color="auto"/>
      </w:divBdr>
    </w:div>
    <w:div w:id="639506384">
      <w:bodyDiv w:val="1"/>
      <w:marLeft w:val="0"/>
      <w:marRight w:val="0"/>
      <w:marTop w:val="0"/>
      <w:marBottom w:val="0"/>
      <w:divBdr>
        <w:top w:val="none" w:sz="0" w:space="0" w:color="auto"/>
        <w:left w:val="none" w:sz="0" w:space="0" w:color="auto"/>
        <w:bottom w:val="none" w:sz="0" w:space="0" w:color="auto"/>
        <w:right w:val="none" w:sz="0" w:space="0" w:color="auto"/>
      </w:divBdr>
    </w:div>
    <w:div w:id="641273836">
      <w:bodyDiv w:val="1"/>
      <w:marLeft w:val="0"/>
      <w:marRight w:val="0"/>
      <w:marTop w:val="0"/>
      <w:marBottom w:val="0"/>
      <w:divBdr>
        <w:top w:val="none" w:sz="0" w:space="0" w:color="auto"/>
        <w:left w:val="none" w:sz="0" w:space="0" w:color="auto"/>
        <w:bottom w:val="none" w:sz="0" w:space="0" w:color="auto"/>
        <w:right w:val="none" w:sz="0" w:space="0" w:color="auto"/>
      </w:divBdr>
    </w:div>
    <w:div w:id="641349322">
      <w:bodyDiv w:val="1"/>
      <w:marLeft w:val="0"/>
      <w:marRight w:val="0"/>
      <w:marTop w:val="0"/>
      <w:marBottom w:val="0"/>
      <w:divBdr>
        <w:top w:val="none" w:sz="0" w:space="0" w:color="auto"/>
        <w:left w:val="none" w:sz="0" w:space="0" w:color="auto"/>
        <w:bottom w:val="none" w:sz="0" w:space="0" w:color="auto"/>
        <w:right w:val="none" w:sz="0" w:space="0" w:color="auto"/>
      </w:divBdr>
    </w:div>
    <w:div w:id="641663340">
      <w:bodyDiv w:val="1"/>
      <w:marLeft w:val="0"/>
      <w:marRight w:val="0"/>
      <w:marTop w:val="0"/>
      <w:marBottom w:val="0"/>
      <w:divBdr>
        <w:top w:val="none" w:sz="0" w:space="0" w:color="auto"/>
        <w:left w:val="none" w:sz="0" w:space="0" w:color="auto"/>
        <w:bottom w:val="none" w:sz="0" w:space="0" w:color="auto"/>
        <w:right w:val="none" w:sz="0" w:space="0" w:color="auto"/>
      </w:divBdr>
    </w:div>
    <w:div w:id="642345287">
      <w:bodyDiv w:val="1"/>
      <w:marLeft w:val="0"/>
      <w:marRight w:val="0"/>
      <w:marTop w:val="0"/>
      <w:marBottom w:val="0"/>
      <w:divBdr>
        <w:top w:val="none" w:sz="0" w:space="0" w:color="auto"/>
        <w:left w:val="none" w:sz="0" w:space="0" w:color="auto"/>
        <w:bottom w:val="none" w:sz="0" w:space="0" w:color="auto"/>
        <w:right w:val="none" w:sz="0" w:space="0" w:color="auto"/>
      </w:divBdr>
    </w:div>
    <w:div w:id="643192865">
      <w:bodyDiv w:val="1"/>
      <w:marLeft w:val="0"/>
      <w:marRight w:val="0"/>
      <w:marTop w:val="0"/>
      <w:marBottom w:val="0"/>
      <w:divBdr>
        <w:top w:val="none" w:sz="0" w:space="0" w:color="auto"/>
        <w:left w:val="none" w:sz="0" w:space="0" w:color="auto"/>
        <w:bottom w:val="none" w:sz="0" w:space="0" w:color="auto"/>
        <w:right w:val="none" w:sz="0" w:space="0" w:color="auto"/>
      </w:divBdr>
    </w:div>
    <w:div w:id="643895744">
      <w:bodyDiv w:val="1"/>
      <w:marLeft w:val="0"/>
      <w:marRight w:val="0"/>
      <w:marTop w:val="0"/>
      <w:marBottom w:val="0"/>
      <w:divBdr>
        <w:top w:val="none" w:sz="0" w:space="0" w:color="auto"/>
        <w:left w:val="none" w:sz="0" w:space="0" w:color="auto"/>
        <w:bottom w:val="none" w:sz="0" w:space="0" w:color="auto"/>
        <w:right w:val="none" w:sz="0" w:space="0" w:color="auto"/>
      </w:divBdr>
    </w:div>
    <w:div w:id="646057149">
      <w:bodyDiv w:val="1"/>
      <w:marLeft w:val="0"/>
      <w:marRight w:val="0"/>
      <w:marTop w:val="0"/>
      <w:marBottom w:val="0"/>
      <w:divBdr>
        <w:top w:val="none" w:sz="0" w:space="0" w:color="auto"/>
        <w:left w:val="none" w:sz="0" w:space="0" w:color="auto"/>
        <w:bottom w:val="none" w:sz="0" w:space="0" w:color="auto"/>
        <w:right w:val="none" w:sz="0" w:space="0" w:color="auto"/>
      </w:divBdr>
    </w:div>
    <w:div w:id="647250238">
      <w:bodyDiv w:val="1"/>
      <w:marLeft w:val="0"/>
      <w:marRight w:val="0"/>
      <w:marTop w:val="0"/>
      <w:marBottom w:val="0"/>
      <w:divBdr>
        <w:top w:val="none" w:sz="0" w:space="0" w:color="auto"/>
        <w:left w:val="none" w:sz="0" w:space="0" w:color="auto"/>
        <w:bottom w:val="none" w:sz="0" w:space="0" w:color="auto"/>
        <w:right w:val="none" w:sz="0" w:space="0" w:color="auto"/>
      </w:divBdr>
    </w:div>
    <w:div w:id="647827426">
      <w:bodyDiv w:val="1"/>
      <w:marLeft w:val="0"/>
      <w:marRight w:val="0"/>
      <w:marTop w:val="0"/>
      <w:marBottom w:val="0"/>
      <w:divBdr>
        <w:top w:val="none" w:sz="0" w:space="0" w:color="auto"/>
        <w:left w:val="none" w:sz="0" w:space="0" w:color="auto"/>
        <w:bottom w:val="none" w:sz="0" w:space="0" w:color="auto"/>
        <w:right w:val="none" w:sz="0" w:space="0" w:color="auto"/>
      </w:divBdr>
    </w:div>
    <w:div w:id="648099722">
      <w:bodyDiv w:val="1"/>
      <w:marLeft w:val="0"/>
      <w:marRight w:val="0"/>
      <w:marTop w:val="0"/>
      <w:marBottom w:val="0"/>
      <w:divBdr>
        <w:top w:val="none" w:sz="0" w:space="0" w:color="auto"/>
        <w:left w:val="none" w:sz="0" w:space="0" w:color="auto"/>
        <w:bottom w:val="none" w:sz="0" w:space="0" w:color="auto"/>
        <w:right w:val="none" w:sz="0" w:space="0" w:color="auto"/>
      </w:divBdr>
    </w:div>
    <w:div w:id="649407461">
      <w:bodyDiv w:val="1"/>
      <w:marLeft w:val="0"/>
      <w:marRight w:val="0"/>
      <w:marTop w:val="0"/>
      <w:marBottom w:val="0"/>
      <w:divBdr>
        <w:top w:val="none" w:sz="0" w:space="0" w:color="auto"/>
        <w:left w:val="none" w:sz="0" w:space="0" w:color="auto"/>
        <w:bottom w:val="none" w:sz="0" w:space="0" w:color="auto"/>
        <w:right w:val="none" w:sz="0" w:space="0" w:color="auto"/>
      </w:divBdr>
    </w:div>
    <w:div w:id="649939169">
      <w:bodyDiv w:val="1"/>
      <w:marLeft w:val="0"/>
      <w:marRight w:val="0"/>
      <w:marTop w:val="0"/>
      <w:marBottom w:val="0"/>
      <w:divBdr>
        <w:top w:val="none" w:sz="0" w:space="0" w:color="auto"/>
        <w:left w:val="none" w:sz="0" w:space="0" w:color="auto"/>
        <w:bottom w:val="none" w:sz="0" w:space="0" w:color="auto"/>
        <w:right w:val="none" w:sz="0" w:space="0" w:color="auto"/>
      </w:divBdr>
    </w:div>
    <w:div w:id="650445736">
      <w:bodyDiv w:val="1"/>
      <w:marLeft w:val="0"/>
      <w:marRight w:val="0"/>
      <w:marTop w:val="0"/>
      <w:marBottom w:val="0"/>
      <w:divBdr>
        <w:top w:val="none" w:sz="0" w:space="0" w:color="auto"/>
        <w:left w:val="none" w:sz="0" w:space="0" w:color="auto"/>
        <w:bottom w:val="none" w:sz="0" w:space="0" w:color="auto"/>
        <w:right w:val="none" w:sz="0" w:space="0" w:color="auto"/>
      </w:divBdr>
    </w:div>
    <w:div w:id="651329414">
      <w:bodyDiv w:val="1"/>
      <w:marLeft w:val="0"/>
      <w:marRight w:val="0"/>
      <w:marTop w:val="0"/>
      <w:marBottom w:val="0"/>
      <w:divBdr>
        <w:top w:val="none" w:sz="0" w:space="0" w:color="auto"/>
        <w:left w:val="none" w:sz="0" w:space="0" w:color="auto"/>
        <w:bottom w:val="none" w:sz="0" w:space="0" w:color="auto"/>
        <w:right w:val="none" w:sz="0" w:space="0" w:color="auto"/>
      </w:divBdr>
    </w:div>
    <w:div w:id="651449346">
      <w:bodyDiv w:val="1"/>
      <w:marLeft w:val="0"/>
      <w:marRight w:val="0"/>
      <w:marTop w:val="0"/>
      <w:marBottom w:val="0"/>
      <w:divBdr>
        <w:top w:val="none" w:sz="0" w:space="0" w:color="auto"/>
        <w:left w:val="none" w:sz="0" w:space="0" w:color="auto"/>
        <w:bottom w:val="none" w:sz="0" w:space="0" w:color="auto"/>
        <w:right w:val="none" w:sz="0" w:space="0" w:color="auto"/>
      </w:divBdr>
    </w:div>
    <w:div w:id="652104466">
      <w:bodyDiv w:val="1"/>
      <w:marLeft w:val="0"/>
      <w:marRight w:val="0"/>
      <w:marTop w:val="0"/>
      <w:marBottom w:val="0"/>
      <w:divBdr>
        <w:top w:val="none" w:sz="0" w:space="0" w:color="auto"/>
        <w:left w:val="none" w:sz="0" w:space="0" w:color="auto"/>
        <w:bottom w:val="none" w:sz="0" w:space="0" w:color="auto"/>
        <w:right w:val="none" w:sz="0" w:space="0" w:color="auto"/>
      </w:divBdr>
    </w:div>
    <w:div w:id="653602514">
      <w:bodyDiv w:val="1"/>
      <w:marLeft w:val="0"/>
      <w:marRight w:val="0"/>
      <w:marTop w:val="0"/>
      <w:marBottom w:val="0"/>
      <w:divBdr>
        <w:top w:val="none" w:sz="0" w:space="0" w:color="auto"/>
        <w:left w:val="none" w:sz="0" w:space="0" w:color="auto"/>
        <w:bottom w:val="none" w:sz="0" w:space="0" w:color="auto"/>
        <w:right w:val="none" w:sz="0" w:space="0" w:color="auto"/>
      </w:divBdr>
    </w:div>
    <w:div w:id="655232860">
      <w:bodyDiv w:val="1"/>
      <w:marLeft w:val="0"/>
      <w:marRight w:val="0"/>
      <w:marTop w:val="0"/>
      <w:marBottom w:val="0"/>
      <w:divBdr>
        <w:top w:val="none" w:sz="0" w:space="0" w:color="auto"/>
        <w:left w:val="none" w:sz="0" w:space="0" w:color="auto"/>
        <w:bottom w:val="none" w:sz="0" w:space="0" w:color="auto"/>
        <w:right w:val="none" w:sz="0" w:space="0" w:color="auto"/>
      </w:divBdr>
    </w:div>
    <w:div w:id="657347634">
      <w:bodyDiv w:val="1"/>
      <w:marLeft w:val="0"/>
      <w:marRight w:val="0"/>
      <w:marTop w:val="0"/>
      <w:marBottom w:val="0"/>
      <w:divBdr>
        <w:top w:val="none" w:sz="0" w:space="0" w:color="auto"/>
        <w:left w:val="none" w:sz="0" w:space="0" w:color="auto"/>
        <w:bottom w:val="none" w:sz="0" w:space="0" w:color="auto"/>
        <w:right w:val="none" w:sz="0" w:space="0" w:color="auto"/>
      </w:divBdr>
    </w:div>
    <w:div w:id="657726696">
      <w:bodyDiv w:val="1"/>
      <w:marLeft w:val="0"/>
      <w:marRight w:val="0"/>
      <w:marTop w:val="0"/>
      <w:marBottom w:val="0"/>
      <w:divBdr>
        <w:top w:val="none" w:sz="0" w:space="0" w:color="auto"/>
        <w:left w:val="none" w:sz="0" w:space="0" w:color="auto"/>
        <w:bottom w:val="none" w:sz="0" w:space="0" w:color="auto"/>
        <w:right w:val="none" w:sz="0" w:space="0" w:color="auto"/>
      </w:divBdr>
    </w:div>
    <w:div w:id="658847371">
      <w:bodyDiv w:val="1"/>
      <w:marLeft w:val="0"/>
      <w:marRight w:val="0"/>
      <w:marTop w:val="0"/>
      <w:marBottom w:val="0"/>
      <w:divBdr>
        <w:top w:val="none" w:sz="0" w:space="0" w:color="auto"/>
        <w:left w:val="none" w:sz="0" w:space="0" w:color="auto"/>
        <w:bottom w:val="none" w:sz="0" w:space="0" w:color="auto"/>
        <w:right w:val="none" w:sz="0" w:space="0" w:color="auto"/>
      </w:divBdr>
    </w:div>
    <w:div w:id="660281659">
      <w:bodyDiv w:val="1"/>
      <w:marLeft w:val="0"/>
      <w:marRight w:val="0"/>
      <w:marTop w:val="0"/>
      <w:marBottom w:val="0"/>
      <w:divBdr>
        <w:top w:val="none" w:sz="0" w:space="0" w:color="auto"/>
        <w:left w:val="none" w:sz="0" w:space="0" w:color="auto"/>
        <w:bottom w:val="none" w:sz="0" w:space="0" w:color="auto"/>
        <w:right w:val="none" w:sz="0" w:space="0" w:color="auto"/>
      </w:divBdr>
    </w:div>
    <w:div w:id="663320133">
      <w:bodyDiv w:val="1"/>
      <w:marLeft w:val="0"/>
      <w:marRight w:val="0"/>
      <w:marTop w:val="0"/>
      <w:marBottom w:val="0"/>
      <w:divBdr>
        <w:top w:val="none" w:sz="0" w:space="0" w:color="auto"/>
        <w:left w:val="none" w:sz="0" w:space="0" w:color="auto"/>
        <w:bottom w:val="none" w:sz="0" w:space="0" w:color="auto"/>
        <w:right w:val="none" w:sz="0" w:space="0" w:color="auto"/>
      </w:divBdr>
    </w:div>
    <w:div w:id="664741973">
      <w:bodyDiv w:val="1"/>
      <w:marLeft w:val="0"/>
      <w:marRight w:val="0"/>
      <w:marTop w:val="0"/>
      <w:marBottom w:val="0"/>
      <w:divBdr>
        <w:top w:val="none" w:sz="0" w:space="0" w:color="auto"/>
        <w:left w:val="none" w:sz="0" w:space="0" w:color="auto"/>
        <w:bottom w:val="none" w:sz="0" w:space="0" w:color="auto"/>
        <w:right w:val="none" w:sz="0" w:space="0" w:color="auto"/>
      </w:divBdr>
    </w:div>
    <w:div w:id="665937846">
      <w:bodyDiv w:val="1"/>
      <w:marLeft w:val="0"/>
      <w:marRight w:val="0"/>
      <w:marTop w:val="0"/>
      <w:marBottom w:val="0"/>
      <w:divBdr>
        <w:top w:val="none" w:sz="0" w:space="0" w:color="auto"/>
        <w:left w:val="none" w:sz="0" w:space="0" w:color="auto"/>
        <w:bottom w:val="none" w:sz="0" w:space="0" w:color="auto"/>
        <w:right w:val="none" w:sz="0" w:space="0" w:color="auto"/>
      </w:divBdr>
    </w:div>
    <w:div w:id="666056286">
      <w:bodyDiv w:val="1"/>
      <w:marLeft w:val="0"/>
      <w:marRight w:val="0"/>
      <w:marTop w:val="0"/>
      <w:marBottom w:val="0"/>
      <w:divBdr>
        <w:top w:val="none" w:sz="0" w:space="0" w:color="auto"/>
        <w:left w:val="none" w:sz="0" w:space="0" w:color="auto"/>
        <w:bottom w:val="none" w:sz="0" w:space="0" w:color="auto"/>
        <w:right w:val="none" w:sz="0" w:space="0" w:color="auto"/>
      </w:divBdr>
    </w:div>
    <w:div w:id="668094904">
      <w:bodyDiv w:val="1"/>
      <w:marLeft w:val="0"/>
      <w:marRight w:val="0"/>
      <w:marTop w:val="0"/>
      <w:marBottom w:val="0"/>
      <w:divBdr>
        <w:top w:val="none" w:sz="0" w:space="0" w:color="auto"/>
        <w:left w:val="none" w:sz="0" w:space="0" w:color="auto"/>
        <w:bottom w:val="none" w:sz="0" w:space="0" w:color="auto"/>
        <w:right w:val="none" w:sz="0" w:space="0" w:color="auto"/>
      </w:divBdr>
    </w:div>
    <w:div w:id="668364069">
      <w:bodyDiv w:val="1"/>
      <w:marLeft w:val="0"/>
      <w:marRight w:val="0"/>
      <w:marTop w:val="0"/>
      <w:marBottom w:val="0"/>
      <w:divBdr>
        <w:top w:val="none" w:sz="0" w:space="0" w:color="auto"/>
        <w:left w:val="none" w:sz="0" w:space="0" w:color="auto"/>
        <w:bottom w:val="none" w:sz="0" w:space="0" w:color="auto"/>
        <w:right w:val="none" w:sz="0" w:space="0" w:color="auto"/>
      </w:divBdr>
    </w:div>
    <w:div w:id="668365393">
      <w:bodyDiv w:val="1"/>
      <w:marLeft w:val="0"/>
      <w:marRight w:val="0"/>
      <w:marTop w:val="0"/>
      <w:marBottom w:val="0"/>
      <w:divBdr>
        <w:top w:val="none" w:sz="0" w:space="0" w:color="auto"/>
        <w:left w:val="none" w:sz="0" w:space="0" w:color="auto"/>
        <w:bottom w:val="none" w:sz="0" w:space="0" w:color="auto"/>
        <w:right w:val="none" w:sz="0" w:space="0" w:color="auto"/>
      </w:divBdr>
    </w:div>
    <w:div w:id="668750839">
      <w:bodyDiv w:val="1"/>
      <w:marLeft w:val="0"/>
      <w:marRight w:val="0"/>
      <w:marTop w:val="0"/>
      <w:marBottom w:val="0"/>
      <w:divBdr>
        <w:top w:val="none" w:sz="0" w:space="0" w:color="auto"/>
        <w:left w:val="none" w:sz="0" w:space="0" w:color="auto"/>
        <w:bottom w:val="none" w:sz="0" w:space="0" w:color="auto"/>
        <w:right w:val="none" w:sz="0" w:space="0" w:color="auto"/>
      </w:divBdr>
    </w:div>
    <w:div w:id="669606440">
      <w:bodyDiv w:val="1"/>
      <w:marLeft w:val="0"/>
      <w:marRight w:val="0"/>
      <w:marTop w:val="0"/>
      <w:marBottom w:val="0"/>
      <w:divBdr>
        <w:top w:val="none" w:sz="0" w:space="0" w:color="auto"/>
        <w:left w:val="none" w:sz="0" w:space="0" w:color="auto"/>
        <w:bottom w:val="none" w:sz="0" w:space="0" w:color="auto"/>
        <w:right w:val="none" w:sz="0" w:space="0" w:color="auto"/>
      </w:divBdr>
    </w:div>
    <w:div w:id="670066704">
      <w:bodyDiv w:val="1"/>
      <w:marLeft w:val="0"/>
      <w:marRight w:val="0"/>
      <w:marTop w:val="0"/>
      <w:marBottom w:val="0"/>
      <w:divBdr>
        <w:top w:val="none" w:sz="0" w:space="0" w:color="auto"/>
        <w:left w:val="none" w:sz="0" w:space="0" w:color="auto"/>
        <w:bottom w:val="none" w:sz="0" w:space="0" w:color="auto"/>
        <w:right w:val="none" w:sz="0" w:space="0" w:color="auto"/>
      </w:divBdr>
    </w:div>
    <w:div w:id="671226124">
      <w:bodyDiv w:val="1"/>
      <w:marLeft w:val="0"/>
      <w:marRight w:val="0"/>
      <w:marTop w:val="0"/>
      <w:marBottom w:val="0"/>
      <w:divBdr>
        <w:top w:val="none" w:sz="0" w:space="0" w:color="auto"/>
        <w:left w:val="none" w:sz="0" w:space="0" w:color="auto"/>
        <w:bottom w:val="none" w:sz="0" w:space="0" w:color="auto"/>
        <w:right w:val="none" w:sz="0" w:space="0" w:color="auto"/>
      </w:divBdr>
    </w:div>
    <w:div w:id="674646784">
      <w:bodyDiv w:val="1"/>
      <w:marLeft w:val="0"/>
      <w:marRight w:val="0"/>
      <w:marTop w:val="0"/>
      <w:marBottom w:val="0"/>
      <w:divBdr>
        <w:top w:val="none" w:sz="0" w:space="0" w:color="auto"/>
        <w:left w:val="none" w:sz="0" w:space="0" w:color="auto"/>
        <w:bottom w:val="none" w:sz="0" w:space="0" w:color="auto"/>
        <w:right w:val="none" w:sz="0" w:space="0" w:color="auto"/>
      </w:divBdr>
    </w:div>
    <w:div w:id="675303312">
      <w:bodyDiv w:val="1"/>
      <w:marLeft w:val="0"/>
      <w:marRight w:val="0"/>
      <w:marTop w:val="0"/>
      <w:marBottom w:val="0"/>
      <w:divBdr>
        <w:top w:val="none" w:sz="0" w:space="0" w:color="auto"/>
        <w:left w:val="none" w:sz="0" w:space="0" w:color="auto"/>
        <w:bottom w:val="none" w:sz="0" w:space="0" w:color="auto"/>
        <w:right w:val="none" w:sz="0" w:space="0" w:color="auto"/>
      </w:divBdr>
    </w:div>
    <w:div w:id="676149908">
      <w:bodyDiv w:val="1"/>
      <w:marLeft w:val="0"/>
      <w:marRight w:val="0"/>
      <w:marTop w:val="0"/>
      <w:marBottom w:val="0"/>
      <w:divBdr>
        <w:top w:val="none" w:sz="0" w:space="0" w:color="auto"/>
        <w:left w:val="none" w:sz="0" w:space="0" w:color="auto"/>
        <w:bottom w:val="none" w:sz="0" w:space="0" w:color="auto"/>
        <w:right w:val="none" w:sz="0" w:space="0" w:color="auto"/>
      </w:divBdr>
    </w:div>
    <w:div w:id="677075944">
      <w:bodyDiv w:val="1"/>
      <w:marLeft w:val="0"/>
      <w:marRight w:val="0"/>
      <w:marTop w:val="0"/>
      <w:marBottom w:val="0"/>
      <w:divBdr>
        <w:top w:val="none" w:sz="0" w:space="0" w:color="auto"/>
        <w:left w:val="none" w:sz="0" w:space="0" w:color="auto"/>
        <w:bottom w:val="none" w:sz="0" w:space="0" w:color="auto"/>
        <w:right w:val="none" w:sz="0" w:space="0" w:color="auto"/>
      </w:divBdr>
    </w:div>
    <w:div w:id="679157589">
      <w:bodyDiv w:val="1"/>
      <w:marLeft w:val="0"/>
      <w:marRight w:val="0"/>
      <w:marTop w:val="0"/>
      <w:marBottom w:val="0"/>
      <w:divBdr>
        <w:top w:val="none" w:sz="0" w:space="0" w:color="auto"/>
        <w:left w:val="none" w:sz="0" w:space="0" w:color="auto"/>
        <w:bottom w:val="none" w:sz="0" w:space="0" w:color="auto"/>
        <w:right w:val="none" w:sz="0" w:space="0" w:color="auto"/>
      </w:divBdr>
    </w:div>
    <w:div w:id="679165555">
      <w:bodyDiv w:val="1"/>
      <w:marLeft w:val="0"/>
      <w:marRight w:val="0"/>
      <w:marTop w:val="0"/>
      <w:marBottom w:val="0"/>
      <w:divBdr>
        <w:top w:val="none" w:sz="0" w:space="0" w:color="auto"/>
        <w:left w:val="none" w:sz="0" w:space="0" w:color="auto"/>
        <w:bottom w:val="none" w:sz="0" w:space="0" w:color="auto"/>
        <w:right w:val="none" w:sz="0" w:space="0" w:color="auto"/>
      </w:divBdr>
    </w:div>
    <w:div w:id="679818025">
      <w:bodyDiv w:val="1"/>
      <w:marLeft w:val="0"/>
      <w:marRight w:val="0"/>
      <w:marTop w:val="0"/>
      <w:marBottom w:val="0"/>
      <w:divBdr>
        <w:top w:val="none" w:sz="0" w:space="0" w:color="auto"/>
        <w:left w:val="none" w:sz="0" w:space="0" w:color="auto"/>
        <w:bottom w:val="none" w:sz="0" w:space="0" w:color="auto"/>
        <w:right w:val="none" w:sz="0" w:space="0" w:color="auto"/>
      </w:divBdr>
    </w:div>
    <w:div w:id="680401985">
      <w:bodyDiv w:val="1"/>
      <w:marLeft w:val="0"/>
      <w:marRight w:val="0"/>
      <w:marTop w:val="0"/>
      <w:marBottom w:val="0"/>
      <w:divBdr>
        <w:top w:val="none" w:sz="0" w:space="0" w:color="auto"/>
        <w:left w:val="none" w:sz="0" w:space="0" w:color="auto"/>
        <w:bottom w:val="none" w:sz="0" w:space="0" w:color="auto"/>
        <w:right w:val="none" w:sz="0" w:space="0" w:color="auto"/>
      </w:divBdr>
    </w:div>
    <w:div w:id="680855402">
      <w:bodyDiv w:val="1"/>
      <w:marLeft w:val="0"/>
      <w:marRight w:val="0"/>
      <w:marTop w:val="0"/>
      <w:marBottom w:val="0"/>
      <w:divBdr>
        <w:top w:val="none" w:sz="0" w:space="0" w:color="auto"/>
        <w:left w:val="none" w:sz="0" w:space="0" w:color="auto"/>
        <w:bottom w:val="none" w:sz="0" w:space="0" w:color="auto"/>
        <w:right w:val="none" w:sz="0" w:space="0" w:color="auto"/>
      </w:divBdr>
    </w:div>
    <w:div w:id="680937342">
      <w:bodyDiv w:val="1"/>
      <w:marLeft w:val="0"/>
      <w:marRight w:val="0"/>
      <w:marTop w:val="0"/>
      <w:marBottom w:val="0"/>
      <w:divBdr>
        <w:top w:val="none" w:sz="0" w:space="0" w:color="auto"/>
        <w:left w:val="none" w:sz="0" w:space="0" w:color="auto"/>
        <w:bottom w:val="none" w:sz="0" w:space="0" w:color="auto"/>
        <w:right w:val="none" w:sz="0" w:space="0" w:color="auto"/>
      </w:divBdr>
    </w:div>
    <w:div w:id="681669908">
      <w:bodyDiv w:val="1"/>
      <w:marLeft w:val="0"/>
      <w:marRight w:val="0"/>
      <w:marTop w:val="0"/>
      <w:marBottom w:val="0"/>
      <w:divBdr>
        <w:top w:val="none" w:sz="0" w:space="0" w:color="auto"/>
        <w:left w:val="none" w:sz="0" w:space="0" w:color="auto"/>
        <w:bottom w:val="none" w:sz="0" w:space="0" w:color="auto"/>
        <w:right w:val="none" w:sz="0" w:space="0" w:color="auto"/>
      </w:divBdr>
    </w:div>
    <w:div w:id="682246791">
      <w:bodyDiv w:val="1"/>
      <w:marLeft w:val="0"/>
      <w:marRight w:val="0"/>
      <w:marTop w:val="0"/>
      <w:marBottom w:val="0"/>
      <w:divBdr>
        <w:top w:val="none" w:sz="0" w:space="0" w:color="auto"/>
        <w:left w:val="none" w:sz="0" w:space="0" w:color="auto"/>
        <w:bottom w:val="none" w:sz="0" w:space="0" w:color="auto"/>
        <w:right w:val="none" w:sz="0" w:space="0" w:color="auto"/>
      </w:divBdr>
    </w:div>
    <w:div w:id="684095803">
      <w:bodyDiv w:val="1"/>
      <w:marLeft w:val="0"/>
      <w:marRight w:val="0"/>
      <w:marTop w:val="0"/>
      <w:marBottom w:val="0"/>
      <w:divBdr>
        <w:top w:val="none" w:sz="0" w:space="0" w:color="auto"/>
        <w:left w:val="none" w:sz="0" w:space="0" w:color="auto"/>
        <w:bottom w:val="none" w:sz="0" w:space="0" w:color="auto"/>
        <w:right w:val="none" w:sz="0" w:space="0" w:color="auto"/>
      </w:divBdr>
    </w:div>
    <w:div w:id="684096101">
      <w:bodyDiv w:val="1"/>
      <w:marLeft w:val="0"/>
      <w:marRight w:val="0"/>
      <w:marTop w:val="0"/>
      <w:marBottom w:val="0"/>
      <w:divBdr>
        <w:top w:val="none" w:sz="0" w:space="0" w:color="auto"/>
        <w:left w:val="none" w:sz="0" w:space="0" w:color="auto"/>
        <w:bottom w:val="none" w:sz="0" w:space="0" w:color="auto"/>
        <w:right w:val="none" w:sz="0" w:space="0" w:color="auto"/>
      </w:divBdr>
    </w:div>
    <w:div w:id="684599892">
      <w:bodyDiv w:val="1"/>
      <w:marLeft w:val="0"/>
      <w:marRight w:val="0"/>
      <w:marTop w:val="0"/>
      <w:marBottom w:val="0"/>
      <w:divBdr>
        <w:top w:val="none" w:sz="0" w:space="0" w:color="auto"/>
        <w:left w:val="none" w:sz="0" w:space="0" w:color="auto"/>
        <w:bottom w:val="none" w:sz="0" w:space="0" w:color="auto"/>
        <w:right w:val="none" w:sz="0" w:space="0" w:color="auto"/>
      </w:divBdr>
    </w:div>
    <w:div w:id="685064379">
      <w:bodyDiv w:val="1"/>
      <w:marLeft w:val="0"/>
      <w:marRight w:val="0"/>
      <w:marTop w:val="0"/>
      <w:marBottom w:val="0"/>
      <w:divBdr>
        <w:top w:val="none" w:sz="0" w:space="0" w:color="auto"/>
        <w:left w:val="none" w:sz="0" w:space="0" w:color="auto"/>
        <w:bottom w:val="none" w:sz="0" w:space="0" w:color="auto"/>
        <w:right w:val="none" w:sz="0" w:space="0" w:color="auto"/>
      </w:divBdr>
    </w:div>
    <w:div w:id="686296097">
      <w:bodyDiv w:val="1"/>
      <w:marLeft w:val="0"/>
      <w:marRight w:val="0"/>
      <w:marTop w:val="0"/>
      <w:marBottom w:val="0"/>
      <w:divBdr>
        <w:top w:val="none" w:sz="0" w:space="0" w:color="auto"/>
        <w:left w:val="none" w:sz="0" w:space="0" w:color="auto"/>
        <w:bottom w:val="none" w:sz="0" w:space="0" w:color="auto"/>
        <w:right w:val="none" w:sz="0" w:space="0" w:color="auto"/>
      </w:divBdr>
    </w:div>
    <w:div w:id="689138456">
      <w:bodyDiv w:val="1"/>
      <w:marLeft w:val="0"/>
      <w:marRight w:val="0"/>
      <w:marTop w:val="0"/>
      <w:marBottom w:val="0"/>
      <w:divBdr>
        <w:top w:val="none" w:sz="0" w:space="0" w:color="auto"/>
        <w:left w:val="none" w:sz="0" w:space="0" w:color="auto"/>
        <w:bottom w:val="none" w:sz="0" w:space="0" w:color="auto"/>
        <w:right w:val="none" w:sz="0" w:space="0" w:color="auto"/>
      </w:divBdr>
    </w:div>
    <w:div w:id="691104107">
      <w:bodyDiv w:val="1"/>
      <w:marLeft w:val="0"/>
      <w:marRight w:val="0"/>
      <w:marTop w:val="0"/>
      <w:marBottom w:val="0"/>
      <w:divBdr>
        <w:top w:val="none" w:sz="0" w:space="0" w:color="auto"/>
        <w:left w:val="none" w:sz="0" w:space="0" w:color="auto"/>
        <w:bottom w:val="none" w:sz="0" w:space="0" w:color="auto"/>
        <w:right w:val="none" w:sz="0" w:space="0" w:color="auto"/>
      </w:divBdr>
    </w:div>
    <w:div w:id="691565245">
      <w:bodyDiv w:val="1"/>
      <w:marLeft w:val="0"/>
      <w:marRight w:val="0"/>
      <w:marTop w:val="0"/>
      <w:marBottom w:val="0"/>
      <w:divBdr>
        <w:top w:val="none" w:sz="0" w:space="0" w:color="auto"/>
        <w:left w:val="none" w:sz="0" w:space="0" w:color="auto"/>
        <w:bottom w:val="none" w:sz="0" w:space="0" w:color="auto"/>
        <w:right w:val="none" w:sz="0" w:space="0" w:color="auto"/>
      </w:divBdr>
    </w:div>
    <w:div w:id="692419060">
      <w:bodyDiv w:val="1"/>
      <w:marLeft w:val="0"/>
      <w:marRight w:val="0"/>
      <w:marTop w:val="0"/>
      <w:marBottom w:val="0"/>
      <w:divBdr>
        <w:top w:val="none" w:sz="0" w:space="0" w:color="auto"/>
        <w:left w:val="none" w:sz="0" w:space="0" w:color="auto"/>
        <w:bottom w:val="none" w:sz="0" w:space="0" w:color="auto"/>
        <w:right w:val="none" w:sz="0" w:space="0" w:color="auto"/>
      </w:divBdr>
    </w:div>
    <w:div w:id="693504769">
      <w:bodyDiv w:val="1"/>
      <w:marLeft w:val="0"/>
      <w:marRight w:val="0"/>
      <w:marTop w:val="0"/>
      <w:marBottom w:val="0"/>
      <w:divBdr>
        <w:top w:val="none" w:sz="0" w:space="0" w:color="auto"/>
        <w:left w:val="none" w:sz="0" w:space="0" w:color="auto"/>
        <w:bottom w:val="none" w:sz="0" w:space="0" w:color="auto"/>
        <w:right w:val="none" w:sz="0" w:space="0" w:color="auto"/>
      </w:divBdr>
    </w:div>
    <w:div w:id="693965054">
      <w:bodyDiv w:val="1"/>
      <w:marLeft w:val="0"/>
      <w:marRight w:val="0"/>
      <w:marTop w:val="0"/>
      <w:marBottom w:val="0"/>
      <w:divBdr>
        <w:top w:val="none" w:sz="0" w:space="0" w:color="auto"/>
        <w:left w:val="none" w:sz="0" w:space="0" w:color="auto"/>
        <w:bottom w:val="none" w:sz="0" w:space="0" w:color="auto"/>
        <w:right w:val="none" w:sz="0" w:space="0" w:color="auto"/>
      </w:divBdr>
    </w:div>
    <w:div w:id="694039975">
      <w:bodyDiv w:val="1"/>
      <w:marLeft w:val="0"/>
      <w:marRight w:val="0"/>
      <w:marTop w:val="0"/>
      <w:marBottom w:val="0"/>
      <w:divBdr>
        <w:top w:val="none" w:sz="0" w:space="0" w:color="auto"/>
        <w:left w:val="none" w:sz="0" w:space="0" w:color="auto"/>
        <w:bottom w:val="none" w:sz="0" w:space="0" w:color="auto"/>
        <w:right w:val="none" w:sz="0" w:space="0" w:color="auto"/>
      </w:divBdr>
    </w:div>
    <w:div w:id="695086205">
      <w:bodyDiv w:val="1"/>
      <w:marLeft w:val="0"/>
      <w:marRight w:val="0"/>
      <w:marTop w:val="0"/>
      <w:marBottom w:val="0"/>
      <w:divBdr>
        <w:top w:val="none" w:sz="0" w:space="0" w:color="auto"/>
        <w:left w:val="none" w:sz="0" w:space="0" w:color="auto"/>
        <w:bottom w:val="none" w:sz="0" w:space="0" w:color="auto"/>
        <w:right w:val="none" w:sz="0" w:space="0" w:color="auto"/>
      </w:divBdr>
    </w:div>
    <w:div w:id="695738441">
      <w:bodyDiv w:val="1"/>
      <w:marLeft w:val="0"/>
      <w:marRight w:val="0"/>
      <w:marTop w:val="0"/>
      <w:marBottom w:val="0"/>
      <w:divBdr>
        <w:top w:val="none" w:sz="0" w:space="0" w:color="auto"/>
        <w:left w:val="none" w:sz="0" w:space="0" w:color="auto"/>
        <w:bottom w:val="none" w:sz="0" w:space="0" w:color="auto"/>
        <w:right w:val="none" w:sz="0" w:space="0" w:color="auto"/>
      </w:divBdr>
    </w:div>
    <w:div w:id="697045496">
      <w:bodyDiv w:val="1"/>
      <w:marLeft w:val="0"/>
      <w:marRight w:val="0"/>
      <w:marTop w:val="0"/>
      <w:marBottom w:val="0"/>
      <w:divBdr>
        <w:top w:val="none" w:sz="0" w:space="0" w:color="auto"/>
        <w:left w:val="none" w:sz="0" w:space="0" w:color="auto"/>
        <w:bottom w:val="none" w:sz="0" w:space="0" w:color="auto"/>
        <w:right w:val="none" w:sz="0" w:space="0" w:color="auto"/>
      </w:divBdr>
    </w:div>
    <w:div w:id="697585372">
      <w:bodyDiv w:val="1"/>
      <w:marLeft w:val="0"/>
      <w:marRight w:val="0"/>
      <w:marTop w:val="0"/>
      <w:marBottom w:val="0"/>
      <w:divBdr>
        <w:top w:val="none" w:sz="0" w:space="0" w:color="auto"/>
        <w:left w:val="none" w:sz="0" w:space="0" w:color="auto"/>
        <w:bottom w:val="none" w:sz="0" w:space="0" w:color="auto"/>
        <w:right w:val="none" w:sz="0" w:space="0" w:color="auto"/>
      </w:divBdr>
    </w:div>
    <w:div w:id="697899932">
      <w:bodyDiv w:val="1"/>
      <w:marLeft w:val="0"/>
      <w:marRight w:val="0"/>
      <w:marTop w:val="0"/>
      <w:marBottom w:val="0"/>
      <w:divBdr>
        <w:top w:val="none" w:sz="0" w:space="0" w:color="auto"/>
        <w:left w:val="none" w:sz="0" w:space="0" w:color="auto"/>
        <w:bottom w:val="none" w:sz="0" w:space="0" w:color="auto"/>
        <w:right w:val="none" w:sz="0" w:space="0" w:color="auto"/>
      </w:divBdr>
    </w:div>
    <w:div w:id="698552762">
      <w:bodyDiv w:val="1"/>
      <w:marLeft w:val="0"/>
      <w:marRight w:val="0"/>
      <w:marTop w:val="0"/>
      <w:marBottom w:val="0"/>
      <w:divBdr>
        <w:top w:val="none" w:sz="0" w:space="0" w:color="auto"/>
        <w:left w:val="none" w:sz="0" w:space="0" w:color="auto"/>
        <w:bottom w:val="none" w:sz="0" w:space="0" w:color="auto"/>
        <w:right w:val="none" w:sz="0" w:space="0" w:color="auto"/>
      </w:divBdr>
    </w:div>
    <w:div w:id="699477813">
      <w:bodyDiv w:val="1"/>
      <w:marLeft w:val="0"/>
      <w:marRight w:val="0"/>
      <w:marTop w:val="0"/>
      <w:marBottom w:val="0"/>
      <w:divBdr>
        <w:top w:val="none" w:sz="0" w:space="0" w:color="auto"/>
        <w:left w:val="none" w:sz="0" w:space="0" w:color="auto"/>
        <w:bottom w:val="none" w:sz="0" w:space="0" w:color="auto"/>
        <w:right w:val="none" w:sz="0" w:space="0" w:color="auto"/>
      </w:divBdr>
    </w:div>
    <w:div w:id="699824265">
      <w:bodyDiv w:val="1"/>
      <w:marLeft w:val="0"/>
      <w:marRight w:val="0"/>
      <w:marTop w:val="0"/>
      <w:marBottom w:val="0"/>
      <w:divBdr>
        <w:top w:val="none" w:sz="0" w:space="0" w:color="auto"/>
        <w:left w:val="none" w:sz="0" w:space="0" w:color="auto"/>
        <w:bottom w:val="none" w:sz="0" w:space="0" w:color="auto"/>
        <w:right w:val="none" w:sz="0" w:space="0" w:color="auto"/>
      </w:divBdr>
    </w:div>
    <w:div w:id="700015554">
      <w:bodyDiv w:val="1"/>
      <w:marLeft w:val="0"/>
      <w:marRight w:val="0"/>
      <w:marTop w:val="0"/>
      <w:marBottom w:val="0"/>
      <w:divBdr>
        <w:top w:val="none" w:sz="0" w:space="0" w:color="auto"/>
        <w:left w:val="none" w:sz="0" w:space="0" w:color="auto"/>
        <w:bottom w:val="none" w:sz="0" w:space="0" w:color="auto"/>
        <w:right w:val="none" w:sz="0" w:space="0" w:color="auto"/>
      </w:divBdr>
    </w:div>
    <w:div w:id="700787712">
      <w:bodyDiv w:val="1"/>
      <w:marLeft w:val="0"/>
      <w:marRight w:val="0"/>
      <w:marTop w:val="0"/>
      <w:marBottom w:val="0"/>
      <w:divBdr>
        <w:top w:val="none" w:sz="0" w:space="0" w:color="auto"/>
        <w:left w:val="none" w:sz="0" w:space="0" w:color="auto"/>
        <w:bottom w:val="none" w:sz="0" w:space="0" w:color="auto"/>
        <w:right w:val="none" w:sz="0" w:space="0" w:color="auto"/>
      </w:divBdr>
    </w:div>
    <w:div w:id="700865419">
      <w:bodyDiv w:val="1"/>
      <w:marLeft w:val="0"/>
      <w:marRight w:val="0"/>
      <w:marTop w:val="0"/>
      <w:marBottom w:val="0"/>
      <w:divBdr>
        <w:top w:val="none" w:sz="0" w:space="0" w:color="auto"/>
        <w:left w:val="none" w:sz="0" w:space="0" w:color="auto"/>
        <w:bottom w:val="none" w:sz="0" w:space="0" w:color="auto"/>
        <w:right w:val="none" w:sz="0" w:space="0" w:color="auto"/>
      </w:divBdr>
    </w:div>
    <w:div w:id="701174843">
      <w:bodyDiv w:val="1"/>
      <w:marLeft w:val="0"/>
      <w:marRight w:val="0"/>
      <w:marTop w:val="0"/>
      <w:marBottom w:val="0"/>
      <w:divBdr>
        <w:top w:val="none" w:sz="0" w:space="0" w:color="auto"/>
        <w:left w:val="none" w:sz="0" w:space="0" w:color="auto"/>
        <w:bottom w:val="none" w:sz="0" w:space="0" w:color="auto"/>
        <w:right w:val="none" w:sz="0" w:space="0" w:color="auto"/>
      </w:divBdr>
    </w:div>
    <w:div w:id="702827008">
      <w:bodyDiv w:val="1"/>
      <w:marLeft w:val="0"/>
      <w:marRight w:val="0"/>
      <w:marTop w:val="0"/>
      <w:marBottom w:val="0"/>
      <w:divBdr>
        <w:top w:val="none" w:sz="0" w:space="0" w:color="auto"/>
        <w:left w:val="none" w:sz="0" w:space="0" w:color="auto"/>
        <w:bottom w:val="none" w:sz="0" w:space="0" w:color="auto"/>
        <w:right w:val="none" w:sz="0" w:space="0" w:color="auto"/>
      </w:divBdr>
    </w:div>
    <w:div w:id="703091001">
      <w:bodyDiv w:val="1"/>
      <w:marLeft w:val="0"/>
      <w:marRight w:val="0"/>
      <w:marTop w:val="0"/>
      <w:marBottom w:val="0"/>
      <w:divBdr>
        <w:top w:val="none" w:sz="0" w:space="0" w:color="auto"/>
        <w:left w:val="none" w:sz="0" w:space="0" w:color="auto"/>
        <w:bottom w:val="none" w:sz="0" w:space="0" w:color="auto"/>
        <w:right w:val="none" w:sz="0" w:space="0" w:color="auto"/>
      </w:divBdr>
    </w:div>
    <w:div w:id="704065496">
      <w:bodyDiv w:val="1"/>
      <w:marLeft w:val="0"/>
      <w:marRight w:val="0"/>
      <w:marTop w:val="0"/>
      <w:marBottom w:val="0"/>
      <w:divBdr>
        <w:top w:val="none" w:sz="0" w:space="0" w:color="auto"/>
        <w:left w:val="none" w:sz="0" w:space="0" w:color="auto"/>
        <w:bottom w:val="none" w:sz="0" w:space="0" w:color="auto"/>
        <w:right w:val="none" w:sz="0" w:space="0" w:color="auto"/>
      </w:divBdr>
    </w:div>
    <w:div w:id="705182275">
      <w:bodyDiv w:val="1"/>
      <w:marLeft w:val="0"/>
      <w:marRight w:val="0"/>
      <w:marTop w:val="0"/>
      <w:marBottom w:val="0"/>
      <w:divBdr>
        <w:top w:val="none" w:sz="0" w:space="0" w:color="auto"/>
        <w:left w:val="none" w:sz="0" w:space="0" w:color="auto"/>
        <w:bottom w:val="none" w:sz="0" w:space="0" w:color="auto"/>
        <w:right w:val="none" w:sz="0" w:space="0" w:color="auto"/>
      </w:divBdr>
    </w:div>
    <w:div w:id="705837816">
      <w:bodyDiv w:val="1"/>
      <w:marLeft w:val="0"/>
      <w:marRight w:val="0"/>
      <w:marTop w:val="0"/>
      <w:marBottom w:val="0"/>
      <w:divBdr>
        <w:top w:val="none" w:sz="0" w:space="0" w:color="auto"/>
        <w:left w:val="none" w:sz="0" w:space="0" w:color="auto"/>
        <w:bottom w:val="none" w:sz="0" w:space="0" w:color="auto"/>
        <w:right w:val="none" w:sz="0" w:space="0" w:color="auto"/>
      </w:divBdr>
    </w:div>
    <w:div w:id="708341150">
      <w:bodyDiv w:val="1"/>
      <w:marLeft w:val="0"/>
      <w:marRight w:val="0"/>
      <w:marTop w:val="0"/>
      <w:marBottom w:val="0"/>
      <w:divBdr>
        <w:top w:val="none" w:sz="0" w:space="0" w:color="auto"/>
        <w:left w:val="none" w:sz="0" w:space="0" w:color="auto"/>
        <w:bottom w:val="none" w:sz="0" w:space="0" w:color="auto"/>
        <w:right w:val="none" w:sz="0" w:space="0" w:color="auto"/>
      </w:divBdr>
    </w:div>
    <w:div w:id="708988388">
      <w:bodyDiv w:val="1"/>
      <w:marLeft w:val="0"/>
      <w:marRight w:val="0"/>
      <w:marTop w:val="0"/>
      <w:marBottom w:val="0"/>
      <w:divBdr>
        <w:top w:val="none" w:sz="0" w:space="0" w:color="auto"/>
        <w:left w:val="none" w:sz="0" w:space="0" w:color="auto"/>
        <w:bottom w:val="none" w:sz="0" w:space="0" w:color="auto"/>
        <w:right w:val="none" w:sz="0" w:space="0" w:color="auto"/>
      </w:divBdr>
    </w:div>
    <w:div w:id="709233127">
      <w:bodyDiv w:val="1"/>
      <w:marLeft w:val="0"/>
      <w:marRight w:val="0"/>
      <w:marTop w:val="0"/>
      <w:marBottom w:val="0"/>
      <w:divBdr>
        <w:top w:val="none" w:sz="0" w:space="0" w:color="auto"/>
        <w:left w:val="none" w:sz="0" w:space="0" w:color="auto"/>
        <w:bottom w:val="none" w:sz="0" w:space="0" w:color="auto"/>
        <w:right w:val="none" w:sz="0" w:space="0" w:color="auto"/>
      </w:divBdr>
    </w:div>
    <w:div w:id="710881927">
      <w:bodyDiv w:val="1"/>
      <w:marLeft w:val="0"/>
      <w:marRight w:val="0"/>
      <w:marTop w:val="0"/>
      <w:marBottom w:val="0"/>
      <w:divBdr>
        <w:top w:val="none" w:sz="0" w:space="0" w:color="auto"/>
        <w:left w:val="none" w:sz="0" w:space="0" w:color="auto"/>
        <w:bottom w:val="none" w:sz="0" w:space="0" w:color="auto"/>
        <w:right w:val="none" w:sz="0" w:space="0" w:color="auto"/>
      </w:divBdr>
    </w:div>
    <w:div w:id="711269266">
      <w:bodyDiv w:val="1"/>
      <w:marLeft w:val="0"/>
      <w:marRight w:val="0"/>
      <w:marTop w:val="0"/>
      <w:marBottom w:val="0"/>
      <w:divBdr>
        <w:top w:val="none" w:sz="0" w:space="0" w:color="auto"/>
        <w:left w:val="none" w:sz="0" w:space="0" w:color="auto"/>
        <w:bottom w:val="none" w:sz="0" w:space="0" w:color="auto"/>
        <w:right w:val="none" w:sz="0" w:space="0" w:color="auto"/>
      </w:divBdr>
    </w:div>
    <w:div w:id="712777059">
      <w:bodyDiv w:val="1"/>
      <w:marLeft w:val="0"/>
      <w:marRight w:val="0"/>
      <w:marTop w:val="0"/>
      <w:marBottom w:val="0"/>
      <w:divBdr>
        <w:top w:val="none" w:sz="0" w:space="0" w:color="auto"/>
        <w:left w:val="none" w:sz="0" w:space="0" w:color="auto"/>
        <w:bottom w:val="none" w:sz="0" w:space="0" w:color="auto"/>
        <w:right w:val="none" w:sz="0" w:space="0" w:color="auto"/>
      </w:divBdr>
    </w:div>
    <w:div w:id="713430388">
      <w:bodyDiv w:val="1"/>
      <w:marLeft w:val="0"/>
      <w:marRight w:val="0"/>
      <w:marTop w:val="0"/>
      <w:marBottom w:val="0"/>
      <w:divBdr>
        <w:top w:val="none" w:sz="0" w:space="0" w:color="auto"/>
        <w:left w:val="none" w:sz="0" w:space="0" w:color="auto"/>
        <w:bottom w:val="none" w:sz="0" w:space="0" w:color="auto"/>
        <w:right w:val="none" w:sz="0" w:space="0" w:color="auto"/>
      </w:divBdr>
    </w:div>
    <w:div w:id="713768661">
      <w:bodyDiv w:val="1"/>
      <w:marLeft w:val="0"/>
      <w:marRight w:val="0"/>
      <w:marTop w:val="0"/>
      <w:marBottom w:val="0"/>
      <w:divBdr>
        <w:top w:val="none" w:sz="0" w:space="0" w:color="auto"/>
        <w:left w:val="none" w:sz="0" w:space="0" w:color="auto"/>
        <w:bottom w:val="none" w:sz="0" w:space="0" w:color="auto"/>
        <w:right w:val="none" w:sz="0" w:space="0" w:color="auto"/>
      </w:divBdr>
    </w:div>
    <w:div w:id="713846245">
      <w:bodyDiv w:val="1"/>
      <w:marLeft w:val="0"/>
      <w:marRight w:val="0"/>
      <w:marTop w:val="0"/>
      <w:marBottom w:val="0"/>
      <w:divBdr>
        <w:top w:val="none" w:sz="0" w:space="0" w:color="auto"/>
        <w:left w:val="none" w:sz="0" w:space="0" w:color="auto"/>
        <w:bottom w:val="none" w:sz="0" w:space="0" w:color="auto"/>
        <w:right w:val="none" w:sz="0" w:space="0" w:color="auto"/>
      </w:divBdr>
    </w:div>
    <w:div w:id="713969376">
      <w:bodyDiv w:val="1"/>
      <w:marLeft w:val="0"/>
      <w:marRight w:val="0"/>
      <w:marTop w:val="0"/>
      <w:marBottom w:val="0"/>
      <w:divBdr>
        <w:top w:val="none" w:sz="0" w:space="0" w:color="auto"/>
        <w:left w:val="none" w:sz="0" w:space="0" w:color="auto"/>
        <w:bottom w:val="none" w:sz="0" w:space="0" w:color="auto"/>
        <w:right w:val="none" w:sz="0" w:space="0" w:color="auto"/>
      </w:divBdr>
    </w:div>
    <w:div w:id="714544997">
      <w:bodyDiv w:val="1"/>
      <w:marLeft w:val="0"/>
      <w:marRight w:val="0"/>
      <w:marTop w:val="0"/>
      <w:marBottom w:val="0"/>
      <w:divBdr>
        <w:top w:val="none" w:sz="0" w:space="0" w:color="auto"/>
        <w:left w:val="none" w:sz="0" w:space="0" w:color="auto"/>
        <w:bottom w:val="none" w:sz="0" w:space="0" w:color="auto"/>
        <w:right w:val="none" w:sz="0" w:space="0" w:color="auto"/>
      </w:divBdr>
    </w:div>
    <w:div w:id="714888559">
      <w:bodyDiv w:val="1"/>
      <w:marLeft w:val="0"/>
      <w:marRight w:val="0"/>
      <w:marTop w:val="0"/>
      <w:marBottom w:val="0"/>
      <w:divBdr>
        <w:top w:val="none" w:sz="0" w:space="0" w:color="auto"/>
        <w:left w:val="none" w:sz="0" w:space="0" w:color="auto"/>
        <w:bottom w:val="none" w:sz="0" w:space="0" w:color="auto"/>
        <w:right w:val="none" w:sz="0" w:space="0" w:color="auto"/>
      </w:divBdr>
    </w:div>
    <w:div w:id="717322916">
      <w:bodyDiv w:val="1"/>
      <w:marLeft w:val="0"/>
      <w:marRight w:val="0"/>
      <w:marTop w:val="0"/>
      <w:marBottom w:val="0"/>
      <w:divBdr>
        <w:top w:val="none" w:sz="0" w:space="0" w:color="auto"/>
        <w:left w:val="none" w:sz="0" w:space="0" w:color="auto"/>
        <w:bottom w:val="none" w:sz="0" w:space="0" w:color="auto"/>
        <w:right w:val="none" w:sz="0" w:space="0" w:color="auto"/>
      </w:divBdr>
    </w:div>
    <w:div w:id="718626110">
      <w:bodyDiv w:val="1"/>
      <w:marLeft w:val="0"/>
      <w:marRight w:val="0"/>
      <w:marTop w:val="0"/>
      <w:marBottom w:val="0"/>
      <w:divBdr>
        <w:top w:val="none" w:sz="0" w:space="0" w:color="auto"/>
        <w:left w:val="none" w:sz="0" w:space="0" w:color="auto"/>
        <w:bottom w:val="none" w:sz="0" w:space="0" w:color="auto"/>
        <w:right w:val="none" w:sz="0" w:space="0" w:color="auto"/>
      </w:divBdr>
    </w:div>
    <w:div w:id="720251483">
      <w:bodyDiv w:val="1"/>
      <w:marLeft w:val="0"/>
      <w:marRight w:val="0"/>
      <w:marTop w:val="0"/>
      <w:marBottom w:val="0"/>
      <w:divBdr>
        <w:top w:val="none" w:sz="0" w:space="0" w:color="auto"/>
        <w:left w:val="none" w:sz="0" w:space="0" w:color="auto"/>
        <w:bottom w:val="none" w:sz="0" w:space="0" w:color="auto"/>
        <w:right w:val="none" w:sz="0" w:space="0" w:color="auto"/>
      </w:divBdr>
    </w:div>
    <w:div w:id="721710536">
      <w:bodyDiv w:val="1"/>
      <w:marLeft w:val="0"/>
      <w:marRight w:val="0"/>
      <w:marTop w:val="0"/>
      <w:marBottom w:val="0"/>
      <w:divBdr>
        <w:top w:val="none" w:sz="0" w:space="0" w:color="auto"/>
        <w:left w:val="none" w:sz="0" w:space="0" w:color="auto"/>
        <w:bottom w:val="none" w:sz="0" w:space="0" w:color="auto"/>
        <w:right w:val="none" w:sz="0" w:space="0" w:color="auto"/>
      </w:divBdr>
    </w:div>
    <w:div w:id="722367701">
      <w:bodyDiv w:val="1"/>
      <w:marLeft w:val="0"/>
      <w:marRight w:val="0"/>
      <w:marTop w:val="0"/>
      <w:marBottom w:val="0"/>
      <w:divBdr>
        <w:top w:val="none" w:sz="0" w:space="0" w:color="auto"/>
        <w:left w:val="none" w:sz="0" w:space="0" w:color="auto"/>
        <w:bottom w:val="none" w:sz="0" w:space="0" w:color="auto"/>
        <w:right w:val="none" w:sz="0" w:space="0" w:color="auto"/>
      </w:divBdr>
    </w:div>
    <w:div w:id="723410782">
      <w:bodyDiv w:val="1"/>
      <w:marLeft w:val="0"/>
      <w:marRight w:val="0"/>
      <w:marTop w:val="0"/>
      <w:marBottom w:val="0"/>
      <w:divBdr>
        <w:top w:val="none" w:sz="0" w:space="0" w:color="auto"/>
        <w:left w:val="none" w:sz="0" w:space="0" w:color="auto"/>
        <w:bottom w:val="none" w:sz="0" w:space="0" w:color="auto"/>
        <w:right w:val="none" w:sz="0" w:space="0" w:color="auto"/>
      </w:divBdr>
    </w:div>
    <w:div w:id="723648533">
      <w:bodyDiv w:val="1"/>
      <w:marLeft w:val="0"/>
      <w:marRight w:val="0"/>
      <w:marTop w:val="0"/>
      <w:marBottom w:val="0"/>
      <w:divBdr>
        <w:top w:val="none" w:sz="0" w:space="0" w:color="auto"/>
        <w:left w:val="none" w:sz="0" w:space="0" w:color="auto"/>
        <w:bottom w:val="none" w:sz="0" w:space="0" w:color="auto"/>
        <w:right w:val="none" w:sz="0" w:space="0" w:color="auto"/>
      </w:divBdr>
    </w:div>
    <w:div w:id="724254248">
      <w:bodyDiv w:val="1"/>
      <w:marLeft w:val="0"/>
      <w:marRight w:val="0"/>
      <w:marTop w:val="0"/>
      <w:marBottom w:val="0"/>
      <w:divBdr>
        <w:top w:val="none" w:sz="0" w:space="0" w:color="auto"/>
        <w:left w:val="none" w:sz="0" w:space="0" w:color="auto"/>
        <w:bottom w:val="none" w:sz="0" w:space="0" w:color="auto"/>
        <w:right w:val="none" w:sz="0" w:space="0" w:color="auto"/>
      </w:divBdr>
    </w:div>
    <w:div w:id="726101631">
      <w:bodyDiv w:val="1"/>
      <w:marLeft w:val="0"/>
      <w:marRight w:val="0"/>
      <w:marTop w:val="0"/>
      <w:marBottom w:val="0"/>
      <w:divBdr>
        <w:top w:val="none" w:sz="0" w:space="0" w:color="auto"/>
        <w:left w:val="none" w:sz="0" w:space="0" w:color="auto"/>
        <w:bottom w:val="none" w:sz="0" w:space="0" w:color="auto"/>
        <w:right w:val="none" w:sz="0" w:space="0" w:color="auto"/>
      </w:divBdr>
    </w:div>
    <w:div w:id="726148029">
      <w:bodyDiv w:val="1"/>
      <w:marLeft w:val="0"/>
      <w:marRight w:val="0"/>
      <w:marTop w:val="0"/>
      <w:marBottom w:val="0"/>
      <w:divBdr>
        <w:top w:val="none" w:sz="0" w:space="0" w:color="auto"/>
        <w:left w:val="none" w:sz="0" w:space="0" w:color="auto"/>
        <w:bottom w:val="none" w:sz="0" w:space="0" w:color="auto"/>
        <w:right w:val="none" w:sz="0" w:space="0" w:color="auto"/>
      </w:divBdr>
    </w:div>
    <w:div w:id="726925461">
      <w:bodyDiv w:val="1"/>
      <w:marLeft w:val="0"/>
      <w:marRight w:val="0"/>
      <w:marTop w:val="0"/>
      <w:marBottom w:val="0"/>
      <w:divBdr>
        <w:top w:val="none" w:sz="0" w:space="0" w:color="auto"/>
        <w:left w:val="none" w:sz="0" w:space="0" w:color="auto"/>
        <w:bottom w:val="none" w:sz="0" w:space="0" w:color="auto"/>
        <w:right w:val="none" w:sz="0" w:space="0" w:color="auto"/>
      </w:divBdr>
    </w:div>
    <w:div w:id="728186150">
      <w:bodyDiv w:val="1"/>
      <w:marLeft w:val="0"/>
      <w:marRight w:val="0"/>
      <w:marTop w:val="0"/>
      <w:marBottom w:val="0"/>
      <w:divBdr>
        <w:top w:val="none" w:sz="0" w:space="0" w:color="auto"/>
        <w:left w:val="none" w:sz="0" w:space="0" w:color="auto"/>
        <w:bottom w:val="none" w:sz="0" w:space="0" w:color="auto"/>
        <w:right w:val="none" w:sz="0" w:space="0" w:color="auto"/>
      </w:divBdr>
    </w:div>
    <w:div w:id="729110585">
      <w:bodyDiv w:val="1"/>
      <w:marLeft w:val="0"/>
      <w:marRight w:val="0"/>
      <w:marTop w:val="0"/>
      <w:marBottom w:val="0"/>
      <w:divBdr>
        <w:top w:val="none" w:sz="0" w:space="0" w:color="auto"/>
        <w:left w:val="none" w:sz="0" w:space="0" w:color="auto"/>
        <w:bottom w:val="none" w:sz="0" w:space="0" w:color="auto"/>
        <w:right w:val="none" w:sz="0" w:space="0" w:color="auto"/>
      </w:divBdr>
    </w:div>
    <w:div w:id="729308192">
      <w:bodyDiv w:val="1"/>
      <w:marLeft w:val="0"/>
      <w:marRight w:val="0"/>
      <w:marTop w:val="0"/>
      <w:marBottom w:val="0"/>
      <w:divBdr>
        <w:top w:val="none" w:sz="0" w:space="0" w:color="auto"/>
        <w:left w:val="none" w:sz="0" w:space="0" w:color="auto"/>
        <w:bottom w:val="none" w:sz="0" w:space="0" w:color="auto"/>
        <w:right w:val="none" w:sz="0" w:space="0" w:color="auto"/>
      </w:divBdr>
    </w:div>
    <w:div w:id="731735039">
      <w:bodyDiv w:val="1"/>
      <w:marLeft w:val="0"/>
      <w:marRight w:val="0"/>
      <w:marTop w:val="0"/>
      <w:marBottom w:val="0"/>
      <w:divBdr>
        <w:top w:val="none" w:sz="0" w:space="0" w:color="auto"/>
        <w:left w:val="none" w:sz="0" w:space="0" w:color="auto"/>
        <w:bottom w:val="none" w:sz="0" w:space="0" w:color="auto"/>
        <w:right w:val="none" w:sz="0" w:space="0" w:color="auto"/>
      </w:divBdr>
    </w:div>
    <w:div w:id="732194059">
      <w:bodyDiv w:val="1"/>
      <w:marLeft w:val="0"/>
      <w:marRight w:val="0"/>
      <w:marTop w:val="0"/>
      <w:marBottom w:val="0"/>
      <w:divBdr>
        <w:top w:val="none" w:sz="0" w:space="0" w:color="auto"/>
        <w:left w:val="none" w:sz="0" w:space="0" w:color="auto"/>
        <w:bottom w:val="none" w:sz="0" w:space="0" w:color="auto"/>
        <w:right w:val="none" w:sz="0" w:space="0" w:color="auto"/>
      </w:divBdr>
    </w:div>
    <w:div w:id="732578375">
      <w:bodyDiv w:val="1"/>
      <w:marLeft w:val="0"/>
      <w:marRight w:val="0"/>
      <w:marTop w:val="0"/>
      <w:marBottom w:val="0"/>
      <w:divBdr>
        <w:top w:val="none" w:sz="0" w:space="0" w:color="auto"/>
        <w:left w:val="none" w:sz="0" w:space="0" w:color="auto"/>
        <w:bottom w:val="none" w:sz="0" w:space="0" w:color="auto"/>
        <w:right w:val="none" w:sz="0" w:space="0" w:color="auto"/>
      </w:divBdr>
    </w:div>
    <w:div w:id="734426188">
      <w:bodyDiv w:val="1"/>
      <w:marLeft w:val="0"/>
      <w:marRight w:val="0"/>
      <w:marTop w:val="0"/>
      <w:marBottom w:val="0"/>
      <w:divBdr>
        <w:top w:val="none" w:sz="0" w:space="0" w:color="auto"/>
        <w:left w:val="none" w:sz="0" w:space="0" w:color="auto"/>
        <w:bottom w:val="none" w:sz="0" w:space="0" w:color="auto"/>
        <w:right w:val="none" w:sz="0" w:space="0" w:color="auto"/>
      </w:divBdr>
    </w:div>
    <w:div w:id="736511990">
      <w:bodyDiv w:val="1"/>
      <w:marLeft w:val="0"/>
      <w:marRight w:val="0"/>
      <w:marTop w:val="0"/>
      <w:marBottom w:val="0"/>
      <w:divBdr>
        <w:top w:val="none" w:sz="0" w:space="0" w:color="auto"/>
        <w:left w:val="none" w:sz="0" w:space="0" w:color="auto"/>
        <w:bottom w:val="none" w:sz="0" w:space="0" w:color="auto"/>
        <w:right w:val="none" w:sz="0" w:space="0" w:color="auto"/>
      </w:divBdr>
    </w:div>
    <w:div w:id="737215799">
      <w:bodyDiv w:val="1"/>
      <w:marLeft w:val="0"/>
      <w:marRight w:val="0"/>
      <w:marTop w:val="0"/>
      <w:marBottom w:val="0"/>
      <w:divBdr>
        <w:top w:val="none" w:sz="0" w:space="0" w:color="auto"/>
        <w:left w:val="none" w:sz="0" w:space="0" w:color="auto"/>
        <w:bottom w:val="none" w:sz="0" w:space="0" w:color="auto"/>
        <w:right w:val="none" w:sz="0" w:space="0" w:color="auto"/>
      </w:divBdr>
    </w:div>
    <w:div w:id="737754235">
      <w:bodyDiv w:val="1"/>
      <w:marLeft w:val="0"/>
      <w:marRight w:val="0"/>
      <w:marTop w:val="0"/>
      <w:marBottom w:val="0"/>
      <w:divBdr>
        <w:top w:val="none" w:sz="0" w:space="0" w:color="auto"/>
        <w:left w:val="none" w:sz="0" w:space="0" w:color="auto"/>
        <w:bottom w:val="none" w:sz="0" w:space="0" w:color="auto"/>
        <w:right w:val="none" w:sz="0" w:space="0" w:color="auto"/>
      </w:divBdr>
    </w:div>
    <w:div w:id="739446621">
      <w:bodyDiv w:val="1"/>
      <w:marLeft w:val="0"/>
      <w:marRight w:val="0"/>
      <w:marTop w:val="0"/>
      <w:marBottom w:val="0"/>
      <w:divBdr>
        <w:top w:val="none" w:sz="0" w:space="0" w:color="auto"/>
        <w:left w:val="none" w:sz="0" w:space="0" w:color="auto"/>
        <w:bottom w:val="none" w:sz="0" w:space="0" w:color="auto"/>
        <w:right w:val="none" w:sz="0" w:space="0" w:color="auto"/>
      </w:divBdr>
    </w:div>
    <w:div w:id="743995260">
      <w:bodyDiv w:val="1"/>
      <w:marLeft w:val="0"/>
      <w:marRight w:val="0"/>
      <w:marTop w:val="0"/>
      <w:marBottom w:val="0"/>
      <w:divBdr>
        <w:top w:val="none" w:sz="0" w:space="0" w:color="auto"/>
        <w:left w:val="none" w:sz="0" w:space="0" w:color="auto"/>
        <w:bottom w:val="none" w:sz="0" w:space="0" w:color="auto"/>
        <w:right w:val="none" w:sz="0" w:space="0" w:color="auto"/>
      </w:divBdr>
    </w:div>
    <w:div w:id="744036165">
      <w:bodyDiv w:val="1"/>
      <w:marLeft w:val="0"/>
      <w:marRight w:val="0"/>
      <w:marTop w:val="0"/>
      <w:marBottom w:val="0"/>
      <w:divBdr>
        <w:top w:val="none" w:sz="0" w:space="0" w:color="auto"/>
        <w:left w:val="none" w:sz="0" w:space="0" w:color="auto"/>
        <w:bottom w:val="none" w:sz="0" w:space="0" w:color="auto"/>
        <w:right w:val="none" w:sz="0" w:space="0" w:color="auto"/>
      </w:divBdr>
    </w:div>
    <w:div w:id="754472252">
      <w:bodyDiv w:val="1"/>
      <w:marLeft w:val="0"/>
      <w:marRight w:val="0"/>
      <w:marTop w:val="0"/>
      <w:marBottom w:val="0"/>
      <w:divBdr>
        <w:top w:val="none" w:sz="0" w:space="0" w:color="auto"/>
        <w:left w:val="none" w:sz="0" w:space="0" w:color="auto"/>
        <w:bottom w:val="none" w:sz="0" w:space="0" w:color="auto"/>
        <w:right w:val="none" w:sz="0" w:space="0" w:color="auto"/>
      </w:divBdr>
    </w:div>
    <w:div w:id="754976250">
      <w:bodyDiv w:val="1"/>
      <w:marLeft w:val="0"/>
      <w:marRight w:val="0"/>
      <w:marTop w:val="0"/>
      <w:marBottom w:val="0"/>
      <w:divBdr>
        <w:top w:val="none" w:sz="0" w:space="0" w:color="auto"/>
        <w:left w:val="none" w:sz="0" w:space="0" w:color="auto"/>
        <w:bottom w:val="none" w:sz="0" w:space="0" w:color="auto"/>
        <w:right w:val="none" w:sz="0" w:space="0" w:color="auto"/>
      </w:divBdr>
    </w:div>
    <w:div w:id="755630974">
      <w:bodyDiv w:val="1"/>
      <w:marLeft w:val="0"/>
      <w:marRight w:val="0"/>
      <w:marTop w:val="0"/>
      <w:marBottom w:val="0"/>
      <w:divBdr>
        <w:top w:val="none" w:sz="0" w:space="0" w:color="auto"/>
        <w:left w:val="none" w:sz="0" w:space="0" w:color="auto"/>
        <w:bottom w:val="none" w:sz="0" w:space="0" w:color="auto"/>
        <w:right w:val="none" w:sz="0" w:space="0" w:color="auto"/>
      </w:divBdr>
    </w:div>
    <w:div w:id="755639032">
      <w:bodyDiv w:val="1"/>
      <w:marLeft w:val="0"/>
      <w:marRight w:val="0"/>
      <w:marTop w:val="0"/>
      <w:marBottom w:val="0"/>
      <w:divBdr>
        <w:top w:val="none" w:sz="0" w:space="0" w:color="auto"/>
        <w:left w:val="none" w:sz="0" w:space="0" w:color="auto"/>
        <w:bottom w:val="none" w:sz="0" w:space="0" w:color="auto"/>
        <w:right w:val="none" w:sz="0" w:space="0" w:color="auto"/>
      </w:divBdr>
    </w:div>
    <w:div w:id="757797990">
      <w:bodyDiv w:val="1"/>
      <w:marLeft w:val="0"/>
      <w:marRight w:val="0"/>
      <w:marTop w:val="0"/>
      <w:marBottom w:val="0"/>
      <w:divBdr>
        <w:top w:val="none" w:sz="0" w:space="0" w:color="auto"/>
        <w:left w:val="none" w:sz="0" w:space="0" w:color="auto"/>
        <w:bottom w:val="none" w:sz="0" w:space="0" w:color="auto"/>
        <w:right w:val="none" w:sz="0" w:space="0" w:color="auto"/>
      </w:divBdr>
    </w:div>
    <w:div w:id="758065408">
      <w:bodyDiv w:val="1"/>
      <w:marLeft w:val="0"/>
      <w:marRight w:val="0"/>
      <w:marTop w:val="0"/>
      <w:marBottom w:val="0"/>
      <w:divBdr>
        <w:top w:val="none" w:sz="0" w:space="0" w:color="auto"/>
        <w:left w:val="none" w:sz="0" w:space="0" w:color="auto"/>
        <w:bottom w:val="none" w:sz="0" w:space="0" w:color="auto"/>
        <w:right w:val="none" w:sz="0" w:space="0" w:color="auto"/>
      </w:divBdr>
    </w:div>
    <w:div w:id="758450627">
      <w:bodyDiv w:val="1"/>
      <w:marLeft w:val="0"/>
      <w:marRight w:val="0"/>
      <w:marTop w:val="0"/>
      <w:marBottom w:val="0"/>
      <w:divBdr>
        <w:top w:val="none" w:sz="0" w:space="0" w:color="auto"/>
        <w:left w:val="none" w:sz="0" w:space="0" w:color="auto"/>
        <w:bottom w:val="none" w:sz="0" w:space="0" w:color="auto"/>
        <w:right w:val="none" w:sz="0" w:space="0" w:color="auto"/>
      </w:divBdr>
    </w:div>
    <w:div w:id="759254163">
      <w:bodyDiv w:val="1"/>
      <w:marLeft w:val="0"/>
      <w:marRight w:val="0"/>
      <w:marTop w:val="0"/>
      <w:marBottom w:val="0"/>
      <w:divBdr>
        <w:top w:val="none" w:sz="0" w:space="0" w:color="auto"/>
        <w:left w:val="none" w:sz="0" w:space="0" w:color="auto"/>
        <w:bottom w:val="none" w:sz="0" w:space="0" w:color="auto"/>
        <w:right w:val="none" w:sz="0" w:space="0" w:color="auto"/>
      </w:divBdr>
    </w:div>
    <w:div w:id="760294748">
      <w:bodyDiv w:val="1"/>
      <w:marLeft w:val="0"/>
      <w:marRight w:val="0"/>
      <w:marTop w:val="0"/>
      <w:marBottom w:val="0"/>
      <w:divBdr>
        <w:top w:val="none" w:sz="0" w:space="0" w:color="auto"/>
        <w:left w:val="none" w:sz="0" w:space="0" w:color="auto"/>
        <w:bottom w:val="none" w:sz="0" w:space="0" w:color="auto"/>
        <w:right w:val="none" w:sz="0" w:space="0" w:color="auto"/>
      </w:divBdr>
    </w:div>
    <w:div w:id="760836054">
      <w:bodyDiv w:val="1"/>
      <w:marLeft w:val="0"/>
      <w:marRight w:val="0"/>
      <w:marTop w:val="0"/>
      <w:marBottom w:val="0"/>
      <w:divBdr>
        <w:top w:val="none" w:sz="0" w:space="0" w:color="auto"/>
        <w:left w:val="none" w:sz="0" w:space="0" w:color="auto"/>
        <w:bottom w:val="none" w:sz="0" w:space="0" w:color="auto"/>
        <w:right w:val="none" w:sz="0" w:space="0" w:color="auto"/>
      </w:divBdr>
    </w:div>
    <w:div w:id="760877408">
      <w:bodyDiv w:val="1"/>
      <w:marLeft w:val="0"/>
      <w:marRight w:val="0"/>
      <w:marTop w:val="0"/>
      <w:marBottom w:val="0"/>
      <w:divBdr>
        <w:top w:val="none" w:sz="0" w:space="0" w:color="auto"/>
        <w:left w:val="none" w:sz="0" w:space="0" w:color="auto"/>
        <w:bottom w:val="none" w:sz="0" w:space="0" w:color="auto"/>
        <w:right w:val="none" w:sz="0" w:space="0" w:color="auto"/>
      </w:divBdr>
    </w:div>
    <w:div w:id="761756020">
      <w:bodyDiv w:val="1"/>
      <w:marLeft w:val="0"/>
      <w:marRight w:val="0"/>
      <w:marTop w:val="0"/>
      <w:marBottom w:val="0"/>
      <w:divBdr>
        <w:top w:val="none" w:sz="0" w:space="0" w:color="auto"/>
        <w:left w:val="none" w:sz="0" w:space="0" w:color="auto"/>
        <w:bottom w:val="none" w:sz="0" w:space="0" w:color="auto"/>
        <w:right w:val="none" w:sz="0" w:space="0" w:color="auto"/>
      </w:divBdr>
    </w:div>
    <w:div w:id="762147357">
      <w:bodyDiv w:val="1"/>
      <w:marLeft w:val="0"/>
      <w:marRight w:val="0"/>
      <w:marTop w:val="0"/>
      <w:marBottom w:val="0"/>
      <w:divBdr>
        <w:top w:val="none" w:sz="0" w:space="0" w:color="auto"/>
        <w:left w:val="none" w:sz="0" w:space="0" w:color="auto"/>
        <w:bottom w:val="none" w:sz="0" w:space="0" w:color="auto"/>
        <w:right w:val="none" w:sz="0" w:space="0" w:color="auto"/>
      </w:divBdr>
    </w:div>
    <w:div w:id="76384550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764808571">
      <w:bodyDiv w:val="1"/>
      <w:marLeft w:val="0"/>
      <w:marRight w:val="0"/>
      <w:marTop w:val="0"/>
      <w:marBottom w:val="0"/>
      <w:divBdr>
        <w:top w:val="none" w:sz="0" w:space="0" w:color="auto"/>
        <w:left w:val="none" w:sz="0" w:space="0" w:color="auto"/>
        <w:bottom w:val="none" w:sz="0" w:space="0" w:color="auto"/>
        <w:right w:val="none" w:sz="0" w:space="0" w:color="auto"/>
      </w:divBdr>
    </w:div>
    <w:div w:id="766004153">
      <w:bodyDiv w:val="1"/>
      <w:marLeft w:val="0"/>
      <w:marRight w:val="0"/>
      <w:marTop w:val="0"/>
      <w:marBottom w:val="0"/>
      <w:divBdr>
        <w:top w:val="none" w:sz="0" w:space="0" w:color="auto"/>
        <w:left w:val="none" w:sz="0" w:space="0" w:color="auto"/>
        <w:bottom w:val="none" w:sz="0" w:space="0" w:color="auto"/>
        <w:right w:val="none" w:sz="0" w:space="0" w:color="auto"/>
      </w:divBdr>
    </w:div>
    <w:div w:id="767314249">
      <w:bodyDiv w:val="1"/>
      <w:marLeft w:val="0"/>
      <w:marRight w:val="0"/>
      <w:marTop w:val="0"/>
      <w:marBottom w:val="0"/>
      <w:divBdr>
        <w:top w:val="none" w:sz="0" w:space="0" w:color="auto"/>
        <w:left w:val="none" w:sz="0" w:space="0" w:color="auto"/>
        <w:bottom w:val="none" w:sz="0" w:space="0" w:color="auto"/>
        <w:right w:val="none" w:sz="0" w:space="0" w:color="auto"/>
      </w:divBdr>
    </w:div>
    <w:div w:id="770510867">
      <w:bodyDiv w:val="1"/>
      <w:marLeft w:val="0"/>
      <w:marRight w:val="0"/>
      <w:marTop w:val="0"/>
      <w:marBottom w:val="0"/>
      <w:divBdr>
        <w:top w:val="none" w:sz="0" w:space="0" w:color="auto"/>
        <w:left w:val="none" w:sz="0" w:space="0" w:color="auto"/>
        <w:bottom w:val="none" w:sz="0" w:space="0" w:color="auto"/>
        <w:right w:val="none" w:sz="0" w:space="0" w:color="auto"/>
      </w:divBdr>
    </w:div>
    <w:div w:id="771436214">
      <w:bodyDiv w:val="1"/>
      <w:marLeft w:val="0"/>
      <w:marRight w:val="0"/>
      <w:marTop w:val="0"/>
      <w:marBottom w:val="0"/>
      <w:divBdr>
        <w:top w:val="none" w:sz="0" w:space="0" w:color="auto"/>
        <w:left w:val="none" w:sz="0" w:space="0" w:color="auto"/>
        <w:bottom w:val="none" w:sz="0" w:space="0" w:color="auto"/>
        <w:right w:val="none" w:sz="0" w:space="0" w:color="auto"/>
      </w:divBdr>
    </w:div>
    <w:div w:id="772088530">
      <w:bodyDiv w:val="1"/>
      <w:marLeft w:val="0"/>
      <w:marRight w:val="0"/>
      <w:marTop w:val="0"/>
      <w:marBottom w:val="0"/>
      <w:divBdr>
        <w:top w:val="none" w:sz="0" w:space="0" w:color="auto"/>
        <w:left w:val="none" w:sz="0" w:space="0" w:color="auto"/>
        <w:bottom w:val="none" w:sz="0" w:space="0" w:color="auto"/>
        <w:right w:val="none" w:sz="0" w:space="0" w:color="auto"/>
      </w:divBdr>
    </w:div>
    <w:div w:id="774056827">
      <w:bodyDiv w:val="1"/>
      <w:marLeft w:val="0"/>
      <w:marRight w:val="0"/>
      <w:marTop w:val="0"/>
      <w:marBottom w:val="0"/>
      <w:divBdr>
        <w:top w:val="none" w:sz="0" w:space="0" w:color="auto"/>
        <w:left w:val="none" w:sz="0" w:space="0" w:color="auto"/>
        <w:bottom w:val="none" w:sz="0" w:space="0" w:color="auto"/>
        <w:right w:val="none" w:sz="0" w:space="0" w:color="auto"/>
      </w:divBdr>
    </w:div>
    <w:div w:id="774790685">
      <w:bodyDiv w:val="1"/>
      <w:marLeft w:val="0"/>
      <w:marRight w:val="0"/>
      <w:marTop w:val="0"/>
      <w:marBottom w:val="0"/>
      <w:divBdr>
        <w:top w:val="none" w:sz="0" w:space="0" w:color="auto"/>
        <w:left w:val="none" w:sz="0" w:space="0" w:color="auto"/>
        <w:bottom w:val="none" w:sz="0" w:space="0" w:color="auto"/>
        <w:right w:val="none" w:sz="0" w:space="0" w:color="auto"/>
      </w:divBdr>
    </w:div>
    <w:div w:id="776562204">
      <w:bodyDiv w:val="1"/>
      <w:marLeft w:val="0"/>
      <w:marRight w:val="0"/>
      <w:marTop w:val="0"/>
      <w:marBottom w:val="0"/>
      <w:divBdr>
        <w:top w:val="none" w:sz="0" w:space="0" w:color="auto"/>
        <w:left w:val="none" w:sz="0" w:space="0" w:color="auto"/>
        <w:bottom w:val="none" w:sz="0" w:space="0" w:color="auto"/>
        <w:right w:val="none" w:sz="0" w:space="0" w:color="auto"/>
      </w:divBdr>
    </w:div>
    <w:div w:id="776945461">
      <w:bodyDiv w:val="1"/>
      <w:marLeft w:val="0"/>
      <w:marRight w:val="0"/>
      <w:marTop w:val="0"/>
      <w:marBottom w:val="0"/>
      <w:divBdr>
        <w:top w:val="none" w:sz="0" w:space="0" w:color="auto"/>
        <w:left w:val="none" w:sz="0" w:space="0" w:color="auto"/>
        <w:bottom w:val="none" w:sz="0" w:space="0" w:color="auto"/>
        <w:right w:val="none" w:sz="0" w:space="0" w:color="auto"/>
      </w:divBdr>
    </w:div>
    <w:div w:id="778568288">
      <w:bodyDiv w:val="1"/>
      <w:marLeft w:val="0"/>
      <w:marRight w:val="0"/>
      <w:marTop w:val="0"/>
      <w:marBottom w:val="0"/>
      <w:divBdr>
        <w:top w:val="none" w:sz="0" w:space="0" w:color="auto"/>
        <w:left w:val="none" w:sz="0" w:space="0" w:color="auto"/>
        <w:bottom w:val="none" w:sz="0" w:space="0" w:color="auto"/>
        <w:right w:val="none" w:sz="0" w:space="0" w:color="auto"/>
      </w:divBdr>
    </w:div>
    <w:div w:id="780802510">
      <w:bodyDiv w:val="1"/>
      <w:marLeft w:val="0"/>
      <w:marRight w:val="0"/>
      <w:marTop w:val="0"/>
      <w:marBottom w:val="0"/>
      <w:divBdr>
        <w:top w:val="none" w:sz="0" w:space="0" w:color="auto"/>
        <w:left w:val="none" w:sz="0" w:space="0" w:color="auto"/>
        <w:bottom w:val="none" w:sz="0" w:space="0" w:color="auto"/>
        <w:right w:val="none" w:sz="0" w:space="0" w:color="auto"/>
      </w:divBdr>
    </w:div>
    <w:div w:id="783421590">
      <w:bodyDiv w:val="1"/>
      <w:marLeft w:val="0"/>
      <w:marRight w:val="0"/>
      <w:marTop w:val="0"/>
      <w:marBottom w:val="0"/>
      <w:divBdr>
        <w:top w:val="none" w:sz="0" w:space="0" w:color="auto"/>
        <w:left w:val="none" w:sz="0" w:space="0" w:color="auto"/>
        <w:bottom w:val="none" w:sz="0" w:space="0" w:color="auto"/>
        <w:right w:val="none" w:sz="0" w:space="0" w:color="auto"/>
      </w:divBdr>
    </w:div>
    <w:div w:id="783504373">
      <w:bodyDiv w:val="1"/>
      <w:marLeft w:val="0"/>
      <w:marRight w:val="0"/>
      <w:marTop w:val="0"/>
      <w:marBottom w:val="0"/>
      <w:divBdr>
        <w:top w:val="none" w:sz="0" w:space="0" w:color="auto"/>
        <w:left w:val="none" w:sz="0" w:space="0" w:color="auto"/>
        <w:bottom w:val="none" w:sz="0" w:space="0" w:color="auto"/>
        <w:right w:val="none" w:sz="0" w:space="0" w:color="auto"/>
      </w:divBdr>
    </w:div>
    <w:div w:id="783812109">
      <w:bodyDiv w:val="1"/>
      <w:marLeft w:val="0"/>
      <w:marRight w:val="0"/>
      <w:marTop w:val="0"/>
      <w:marBottom w:val="0"/>
      <w:divBdr>
        <w:top w:val="none" w:sz="0" w:space="0" w:color="auto"/>
        <w:left w:val="none" w:sz="0" w:space="0" w:color="auto"/>
        <w:bottom w:val="none" w:sz="0" w:space="0" w:color="auto"/>
        <w:right w:val="none" w:sz="0" w:space="0" w:color="auto"/>
      </w:divBdr>
    </w:div>
    <w:div w:id="787310199">
      <w:bodyDiv w:val="1"/>
      <w:marLeft w:val="0"/>
      <w:marRight w:val="0"/>
      <w:marTop w:val="0"/>
      <w:marBottom w:val="0"/>
      <w:divBdr>
        <w:top w:val="none" w:sz="0" w:space="0" w:color="auto"/>
        <w:left w:val="none" w:sz="0" w:space="0" w:color="auto"/>
        <w:bottom w:val="none" w:sz="0" w:space="0" w:color="auto"/>
        <w:right w:val="none" w:sz="0" w:space="0" w:color="auto"/>
      </w:divBdr>
    </w:div>
    <w:div w:id="792986330">
      <w:bodyDiv w:val="1"/>
      <w:marLeft w:val="0"/>
      <w:marRight w:val="0"/>
      <w:marTop w:val="0"/>
      <w:marBottom w:val="0"/>
      <w:divBdr>
        <w:top w:val="none" w:sz="0" w:space="0" w:color="auto"/>
        <w:left w:val="none" w:sz="0" w:space="0" w:color="auto"/>
        <w:bottom w:val="none" w:sz="0" w:space="0" w:color="auto"/>
        <w:right w:val="none" w:sz="0" w:space="0" w:color="auto"/>
      </w:divBdr>
    </w:div>
    <w:div w:id="793212714">
      <w:bodyDiv w:val="1"/>
      <w:marLeft w:val="0"/>
      <w:marRight w:val="0"/>
      <w:marTop w:val="0"/>
      <w:marBottom w:val="0"/>
      <w:divBdr>
        <w:top w:val="none" w:sz="0" w:space="0" w:color="auto"/>
        <w:left w:val="none" w:sz="0" w:space="0" w:color="auto"/>
        <w:bottom w:val="none" w:sz="0" w:space="0" w:color="auto"/>
        <w:right w:val="none" w:sz="0" w:space="0" w:color="auto"/>
      </w:divBdr>
    </w:div>
    <w:div w:id="793670759">
      <w:bodyDiv w:val="1"/>
      <w:marLeft w:val="0"/>
      <w:marRight w:val="0"/>
      <w:marTop w:val="0"/>
      <w:marBottom w:val="0"/>
      <w:divBdr>
        <w:top w:val="none" w:sz="0" w:space="0" w:color="auto"/>
        <w:left w:val="none" w:sz="0" w:space="0" w:color="auto"/>
        <w:bottom w:val="none" w:sz="0" w:space="0" w:color="auto"/>
        <w:right w:val="none" w:sz="0" w:space="0" w:color="auto"/>
      </w:divBdr>
    </w:div>
    <w:div w:id="793719593">
      <w:bodyDiv w:val="1"/>
      <w:marLeft w:val="0"/>
      <w:marRight w:val="0"/>
      <w:marTop w:val="0"/>
      <w:marBottom w:val="0"/>
      <w:divBdr>
        <w:top w:val="none" w:sz="0" w:space="0" w:color="auto"/>
        <w:left w:val="none" w:sz="0" w:space="0" w:color="auto"/>
        <w:bottom w:val="none" w:sz="0" w:space="0" w:color="auto"/>
        <w:right w:val="none" w:sz="0" w:space="0" w:color="auto"/>
      </w:divBdr>
    </w:div>
    <w:div w:id="793720257">
      <w:bodyDiv w:val="1"/>
      <w:marLeft w:val="0"/>
      <w:marRight w:val="0"/>
      <w:marTop w:val="0"/>
      <w:marBottom w:val="0"/>
      <w:divBdr>
        <w:top w:val="none" w:sz="0" w:space="0" w:color="auto"/>
        <w:left w:val="none" w:sz="0" w:space="0" w:color="auto"/>
        <w:bottom w:val="none" w:sz="0" w:space="0" w:color="auto"/>
        <w:right w:val="none" w:sz="0" w:space="0" w:color="auto"/>
      </w:divBdr>
    </w:div>
    <w:div w:id="794182282">
      <w:bodyDiv w:val="1"/>
      <w:marLeft w:val="0"/>
      <w:marRight w:val="0"/>
      <w:marTop w:val="0"/>
      <w:marBottom w:val="0"/>
      <w:divBdr>
        <w:top w:val="none" w:sz="0" w:space="0" w:color="auto"/>
        <w:left w:val="none" w:sz="0" w:space="0" w:color="auto"/>
        <w:bottom w:val="none" w:sz="0" w:space="0" w:color="auto"/>
        <w:right w:val="none" w:sz="0" w:space="0" w:color="auto"/>
      </w:divBdr>
    </w:div>
    <w:div w:id="795831901">
      <w:bodyDiv w:val="1"/>
      <w:marLeft w:val="0"/>
      <w:marRight w:val="0"/>
      <w:marTop w:val="0"/>
      <w:marBottom w:val="0"/>
      <w:divBdr>
        <w:top w:val="none" w:sz="0" w:space="0" w:color="auto"/>
        <w:left w:val="none" w:sz="0" w:space="0" w:color="auto"/>
        <w:bottom w:val="none" w:sz="0" w:space="0" w:color="auto"/>
        <w:right w:val="none" w:sz="0" w:space="0" w:color="auto"/>
      </w:divBdr>
    </w:div>
    <w:div w:id="796072575">
      <w:bodyDiv w:val="1"/>
      <w:marLeft w:val="0"/>
      <w:marRight w:val="0"/>
      <w:marTop w:val="0"/>
      <w:marBottom w:val="0"/>
      <w:divBdr>
        <w:top w:val="none" w:sz="0" w:space="0" w:color="auto"/>
        <w:left w:val="none" w:sz="0" w:space="0" w:color="auto"/>
        <w:bottom w:val="none" w:sz="0" w:space="0" w:color="auto"/>
        <w:right w:val="none" w:sz="0" w:space="0" w:color="auto"/>
      </w:divBdr>
    </w:div>
    <w:div w:id="796142563">
      <w:bodyDiv w:val="1"/>
      <w:marLeft w:val="0"/>
      <w:marRight w:val="0"/>
      <w:marTop w:val="0"/>
      <w:marBottom w:val="0"/>
      <w:divBdr>
        <w:top w:val="none" w:sz="0" w:space="0" w:color="auto"/>
        <w:left w:val="none" w:sz="0" w:space="0" w:color="auto"/>
        <w:bottom w:val="none" w:sz="0" w:space="0" w:color="auto"/>
        <w:right w:val="none" w:sz="0" w:space="0" w:color="auto"/>
      </w:divBdr>
    </w:div>
    <w:div w:id="796221114">
      <w:bodyDiv w:val="1"/>
      <w:marLeft w:val="0"/>
      <w:marRight w:val="0"/>
      <w:marTop w:val="0"/>
      <w:marBottom w:val="0"/>
      <w:divBdr>
        <w:top w:val="none" w:sz="0" w:space="0" w:color="auto"/>
        <w:left w:val="none" w:sz="0" w:space="0" w:color="auto"/>
        <w:bottom w:val="none" w:sz="0" w:space="0" w:color="auto"/>
        <w:right w:val="none" w:sz="0" w:space="0" w:color="auto"/>
      </w:divBdr>
    </w:div>
    <w:div w:id="797724007">
      <w:bodyDiv w:val="1"/>
      <w:marLeft w:val="0"/>
      <w:marRight w:val="0"/>
      <w:marTop w:val="0"/>
      <w:marBottom w:val="0"/>
      <w:divBdr>
        <w:top w:val="none" w:sz="0" w:space="0" w:color="auto"/>
        <w:left w:val="none" w:sz="0" w:space="0" w:color="auto"/>
        <w:bottom w:val="none" w:sz="0" w:space="0" w:color="auto"/>
        <w:right w:val="none" w:sz="0" w:space="0" w:color="auto"/>
      </w:divBdr>
    </w:div>
    <w:div w:id="798382600">
      <w:bodyDiv w:val="1"/>
      <w:marLeft w:val="0"/>
      <w:marRight w:val="0"/>
      <w:marTop w:val="0"/>
      <w:marBottom w:val="0"/>
      <w:divBdr>
        <w:top w:val="none" w:sz="0" w:space="0" w:color="auto"/>
        <w:left w:val="none" w:sz="0" w:space="0" w:color="auto"/>
        <w:bottom w:val="none" w:sz="0" w:space="0" w:color="auto"/>
        <w:right w:val="none" w:sz="0" w:space="0" w:color="auto"/>
      </w:divBdr>
    </w:div>
    <w:div w:id="801847581">
      <w:bodyDiv w:val="1"/>
      <w:marLeft w:val="0"/>
      <w:marRight w:val="0"/>
      <w:marTop w:val="0"/>
      <w:marBottom w:val="0"/>
      <w:divBdr>
        <w:top w:val="none" w:sz="0" w:space="0" w:color="auto"/>
        <w:left w:val="none" w:sz="0" w:space="0" w:color="auto"/>
        <w:bottom w:val="none" w:sz="0" w:space="0" w:color="auto"/>
        <w:right w:val="none" w:sz="0" w:space="0" w:color="auto"/>
      </w:divBdr>
    </w:div>
    <w:div w:id="801850547">
      <w:bodyDiv w:val="1"/>
      <w:marLeft w:val="0"/>
      <w:marRight w:val="0"/>
      <w:marTop w:val="0"/>
      <w:marBottom w:val="0"/>
      <w:divBdr>
        <w:top w:val="none" w:sz="0" w:space="0" w:color="auto"/>
        <w:left w:val="none" w:sz="0" w:space="0" w:color="auto"/>
        <w:bottom w:val="none" w:sz="0" w:space="0" w:color="auto"/>
        <w:right w:val="none" w:sz="0" w:space="0" w:color="auto"/>
      </w:divBdr>
    </w:div>
    <w:div w:id="802163733">
      <w:bodyDiv w:val="1"/>
      <w:marLeft w:val="0"/>
      <w:marRight w:val="0"/>
      <w:marTop w:val="0"/>
      <w:marBottom w:val="0"/>
      <w:divBdr>
        <w:top w:val="none" w:sz="0" w:space="0" w:color="auto"/>
        <w:left w:val="none" w:sz="0" w:space="0" w:color="auto"/>
        <w:bottom w:val="none" w:sz="0" w:space="0" w:color="auto"/>
        <w:right w:val="none" w:sz="0" w:space="0" w:color="auto"/>
      </w:divBdr>
    </w:div>
    <w:div w:id="803502249">
      <w:bodyDiv w:val="1"/>
      <w:marLeft w:val="0"/>
      <w:marRight w:val="0"/>
      <w:marTop w:val="0"/>
      <w:marBottom w:val="0"/>
      <w:divBdr>
        <w:top w:val="none" w:sz="0" w:space="0" w:color="auto"/>
        <w:left w:val="none" w:sz="0" w:space="0" w:color="auto"/>
        <w:bottom w:val="none" w:sz="0" w:space="0" w:color="auto"/>
        <w:right w:val="none" w:sz="0" w:space="0" w:color="auto"/>
      </w:divBdr>
    </w:div>
    <w:div w:id="804204816">
      <w:bodyDiv w:val="1"/>
      <w:marLeft w:val="0"/>
      <w:marRight w:val="0"/>
      <w:marTop w:val="0"/>
      <w:marBottom w:val="0"/>
      <w:divBdr>
        <w:top w:val="none" w:sz="0" w:space="0" w:color="auto"/>
        <w:left w:val="none" w:sz="0" w:space="0" w:color="auto"/>
        <w:bottom w:val="none" w:sz="0" w:space="0" w:color="auto"/>
        <w:right w:val="none" w:sz="0" w:space="0" w:color="auto"/>
      </w:divBdr>
    </w:div>
    <w:div w:id="805127884">
      <w:bodyDiv w:val="1"/>
      <w:marLeft w:val="0"/>
      <w:marRight w:val="0"/>
      <w:marTop w:val="0"/>
      <w:marBottom w:val="0"/>
      <w:divBdr>
        <w:top w:val="none" w:sz="0" w:space="0" w:color="auto"/>
        <w:left w:val="none" w:sz="0" w:space="0" w:color="auto"/>
        <w:bottom w:val="none" w:sz="0" w:space="0" w:color="auto"/>
        <w:right w:val="none" w:sz="0" w:space="0" w:color="auto"/>
      </w:divBdr>
    </w:div>
    <w:div w:id="806049250">
      <w:bodyDiv w:val="1"/>
      <w:marLeft w:val="0"/>
      <w:marRight w:val="0"/>
      <w:marTop w:val="0"/>
      <w:marBottom w:val="0"/>
      <w:divBdr>
        <w:top w:val="none" w:sz="0" w:space="0" w:color="auto"/>
        <w:left w:val="none" w:sz="0" w:space="0" w:color="auto"/>
        <w:bottom w:val="none" w:sz="0" w:space="0" w:color="auto"/>
        <w:right w:val="none" w:sz="0" w:space="0" w:color="auto"/>
      </w:divBdr>
    </w:div>
    <w:div w:id="806700243">
      <w:bodyDiv w:val="1"/>
      <w:marLeft w:val="0"/>
      <w:marRight w:val="0"/>
      <w:marTop w:val="0"/>
      <w:marBottom w:val="0"/>
      <w:divBdr>
        <w:top w:val="none" w:sz="0" w:space="0" w:color="auto"/>
        <w:left w:val="none" w:sz="0" w:space="0" w:color="auto"/>
        <w:bottom w:val="none" w:sz="0" w:space="0" w:color="auto"/>
        <w:right w:val="none" w:sz="0" w:space="0" w:color="auto"/>
      </w:divBdr>
    </w:div>
    <w:div w:id="807286082">
      <w:bodyDiv w:val="1"/>
      <w:marLeft w:val="0"/>
      <w:marRight w:val="0"/>
      <w:marTop w:val="0"/>
      <w:marBottom w:val="0"/>
      <w:divBdr>
        <w:top w:val="none" w:sz="0" w:space="0" w:color="auto"/>
        <w:left w:val="none" w:sz="0" w:space="0" w:color="auto"/>
        <w:bottom w:val="none" w:sz="0" w:space="0" w:color="auto"/>
        <w:right w:val="none" w:sz="0" w:space="0" w:color="auto"/>
      </w:divBdr>
    </w:div>
    <w:div w:id="807626090">
      <w:bodyDiv w:val="1"/>
      <w:marLeft w:val="0"/>
      <w:marRight w:val="0"/>
      <w:marTop w:val="0"/>
      <w:marBottom w:val="0"/>
      <w:divBdr>
        <w:top w:val="none" w:sz="0" w:space="0" w:color="auto"/>
        <w:left w:val="none" w:sz="0" w:space="0" w:color="auto"/>
        <w:bottom w:val="none" w:sz="0" w:space="0" w:color="auto"/>
        <w:right w:val="none" w:sz="0" w:space="0" w:color="auto"/>
      </w:divBdr>
    </w:div>
    <w:div w:id="808936914">
      <w:bodyDiv w:val="1"/>
      <w:marLeft w:val="0"/>
      <w:marRight w:val="0"/>
      <w:marTop w:val="0"/>
      <w:marBottom w:val="0"/>
      <w:divBdr>
        <w:top w:val="none" w:sz="0" w:space="0" w:color="auto"/>
        <w:left w:val="none" w:sz="0" w:space="0" w:color="auto"/>
        <w:bottom w:val="none" w:sz="0" w:space="0" w:color="auto"/>
        <w:right w:val="none" w:sz="0" w:space="0" w:color="auto"/>
      </w:divBdr>
    </w:div>
    <w:div w:id="811555794">
      <w:bodyDiv w:val="1"/>
      <w:marLeft w:val="0"/>
      <w:marRight w:val="0"/>
      <w:marTop w:val="0"/>
      <w:marBottom w:val="0"/>
      <w:divBdr>
        <w:top w:val="none" w:sz="0" w:space="0" w:color="auto"/>
        <w:left w:val="none" w:sz="0" w:space="0" w:color="auto"/>
        <w:bottom w:val="none" w:sz="0" w:space="0" w:color="auto"/>
        <w:right w:val="none" w:sz="0" w:space="0" w:color="auto"/>
      </w:divBdr>
    </w:div>
    <w:div w:id="811598900">
      <w:bodyDiv w:val="1"/>
      <w:marLeft w:val="0"/>
      <w:marRight w:val="0"/>
      <w:marTop w:val="0"/>
      <w:marBottom w:val="0"/>
      <w:divBdr>
        <w:top w:val="none" w:sz="0" w:space="0" w:color="auto"/>
        <w:left w:val="none" w:sz="0" w:space="0" w:color="auto"/>
        <w:bottom w:val="none" w:sz="0" w:space="0" w:color="auto"/>
        <w:right w:val="none" w:sz="0" w:space="0" w:color="auto"/>
      </w:divBdr>
    </w:div>
    <w:div w:id="812141508">
      <w:bodyDiv w:val="1"/>
      <w:marLeft w:val="0"/>
      <w:marRight w:val="0"/>
      <w:marTop w:val="0"/>
      <w:marBottom w:val="0"/>
      <w:divBdr>
        <w:top w:val="none" w:sz="0" w:space="0" w:color="auto"/>
        <w:left w:val="none" w:sz="0" w:space="0" w:color="auto"/>
        <w:bottom w:val="none" w:sz="0" w:space="0" w:color="auto"/>
        <w:right w:val="none" w:sz="0" w:space="0" w:color="auto"/>
      </w:divBdr>
    </w:div>
    <w:div w:id="813105717">
      <w:bodyDiv w:val="1"/>
      <w:marLeft w:val="0"/>
      <w:marRight w:val="0"/>
      <w:marTop w:val="0"/>
      <w:marBottom w:val="0"/>
      <w:divBdr>
        <w:top w:val="none" w:sz="0" w:space="0" w:color="auto"/>
        <w:left w:val="none" w:sz="0" w:space="0" w:color="auto"/>
        <w:bottom w:val="none" w:sz="0" w:space="0" w:color="auto"/>
        <w:right w:val="none" w:sz="0" w:space="0" w:color="auto"/>
      </w:divBdr>
    </w:div>
    <w:div w:id="813640094">
      <w:bodyDiv w:val="1"/>
      <w:marLeft w:val="0"/>
      <w:marRight w:val="0"/>
      <w:marTop w:val="0"/>
      <w:marBottom w:val="0"/>
      <w:divBdr>
        <w:top w:val="none" w:sz="0" w:space="0" w:color="auto"/>
        <w:left w:val="none" w:sz="0" w:space="0" w:color="auto"/>
        <w:bottom w:val="none" w:sz="0" w:space="0" w:color="auto"/>
        <w:right w:val="none" w:sz="0" w:space="0" w:color="auto"/>
      </w:divBdr>
    </w:div>
    <w:div w:id="815924776">
      <w:bodyDiv w:val="1"/>
      <w:marLeft w:val="0"/>
      <w:marRight w:val="0"/>
      <w:marTop w:val="0"/>
      <w:marBottom w:val="0"/>
      <w:divBdr>
        <w:top w:val="none" w:sz="0" w:space="0" w:color="auto"/>
        <w:left w:val="none" w:sz="0" w:space="0" w:color="auto"/>
        <w:bottom w:val="none" w:sz="0" w:space="0" w:color="auto"/>
        <w:right w:val="none" w:sz="0" w:space="0" w:color="auto"/>
      </w:divBdr>
    </w:div>
    <w:div w:id="816532352">
      <w:bodyDiv w:val="1"/>
      <w:marLeft w:val="0"/>
      <w:marRight w:val="0"/>
      <w:marTop w:val="0"/>
      <w:marBottom w:val="0"/>
      <w:divBdr>
        <w:top w:val="none" w:sz="0" w:space="0" w:color="auto"/>
        <w:left w:val="none" w:sz="0" w:space="0" w:color="auto"/>
        <w:bottom w:val="none" w:sz="0" w:space="0" w:color="auto"/>
        <w:right w:val="none" w:sz="0" w:space="0" w:color="auto"/>
      </w:divBdr>
    </w:div>
    <w:div w:id="816921843">
      <w:bodyDiv w:val="1"/>
      <w:marLeft w:val="0"/>
      <w:marRight w:val="0"/>
      <w:marTop w:val="0"/>
      <w:marBottom w:val="0"/>
      <w:divBdr>
        <w:top w:val="none" w:sz="0" w:space="0" w:color="auto"/>
        <w:left w:val="none" w:sz="0" w:space="0" w:color="auto"/>
        <w:bottom w:val="none" w:sz="0" w:space="0" w:color="auto"/>
        <w:right w:val="none" w:sz="0" w:space="0" w:color="auto"/>
      </w:divBdr>
    </w:div>
    <w:div w:id="818814616">
      <w:bodyDiv w:val="1"/>
      <w:marLeft w:val="0"/>
      <w:marRight w:val="0"/>
      <w:marTop w:val="0"/>
      <w:marBottom w:val="0"/>
      <w:divBdr>
        <w:top w:val="none" w:sz="0" w:space="0" w:color="auto"/>
        <w:left w:val="none" w:sz="0" w:space="0" w:color="auto"/>
        <w:bottom w:val="none" w:sz="0" w:space="0" w:color="auto"/>
        <w:right w:val="none" w:sz="0" w:space="0" w:color="auto"/>
      </w:divBdr>
    </w:div>
    <w:div w:id="819155316">
      <w:bodyDiv w:val="1"/>
      <w:marLeft w:val="0"/>
      <w:marRight w:val="0"/>
      <w:marTop w:val="0"/>
      <w:marBottom w:val="0"/>
      <w:divBdr>
        <w:top w:val="none" w:sz="0" w:space="0" w:color="auto"/>
        <w:left w:val="none" w:sz="0" w:space="0" w:color="auto"/>
        <w:bottom w:val="none" w:sz="0" w:space="0" w:color="auto"/>
        <w:right w:val="none" w:sz="0" w:space="0" w:color="auto"/>
      </w:divBdr>
    </w:div>
    <w:div w:id="819811928">
      <w:bodyDiv w:val="1"/>
      <w:marLeft w:val="0"/>
      <w:marRight w:val="0"/>
      <w:marTop w:val="0"/>
      <w:marBottom w:val="0"/>
      <w:divBdr>
        <w:top w:val="none" w:sz="0" w:space="0" w:color="auto"/>
        <w:left w:val="none" w:sz="0" w:space="0" w:color="auto"/>
        <w:bottom w:val="none" w:sz="0" w:space="0" w:color="auto"/>
        <w:right w:val="none" w:sz="0" w:space="0" w:color="auto"/>
      </w:divBdr>
    </w:div>
    <w:div w:id="820579223">
      <w:bodyDiv w:val="1"/>
      <w:marLeft w:val="0"/>
      <w:marRight w:val="0"/>
      <w:marTop w:val="0"/>
      <w:marBottom w:val="0"/>
      <w:divBdr>
        <w:top w:val="none" w:sz="0" w:space="0" w:color="auto"/>
        <w:left w:val="none" w:sz="0" w:space="0" w:color="auto"/>
        <w:bottom w:val="none" w:sz="0" w:space="0" w:color="auto"/>
        <w:right w:val="none" w:sz="0" w:space="0" w:color="auto"/>
      </w:divBdr>
    </w:div>
    <w:div w:id="821117537">
      <w:bodyDiv w:val="1"/>
      <w:marLeft w:val="0"/>
      <w:marRight w:val="0"/>
      <w:marTop w:val="0"/>
      <w:marBottom w:val="0"/>
      <w:divBdr>
        <w:top w:val="none" w:sz="0" w:space="0" w:color="auto"/>
        <w:left w:val="none" w:sz="0" w:space="0" w:color="auto"/>
        <w:bottom w:val="none" w:sz="0" w:space="0" w:color="auto"/>
        <w:right w:val="none" w:sz="0" w:space="0" w:color="auto"/>
      </w:divBdr>
    </w:div>
    <w:div w:id="821198556">
      <w:bodyDiv w:val="1"/>
      <w:marLeft w:val="0"/>
      <w:marRight w:val="0"/>
      <w:marTop w:val="0"/>
      <w:marBottom w:val="0"/>
      <w:divBdr>
        <w:top w:val="none" w:sz="0" w:space="0" w:color="auto"/>
        <w:left w:val="none" w:sz="0" w:space="0" w:color="auto"/>
        <w:bottom w:val="none" w:sz="0" w:space="0" w:color="auto"/>
        <w:right w:val="none" w:sz="0" w:space="0" w:color="auto"/>
      </w:divBdr>
    </w:div>
    <w:div w:id="822620387">
      <w:bodyDiv w:val="1"/>
      <w:marLeft w:val="0"/>
      <w:marRight w:val="0"/>
      <w:marTop w:val="0"/>
      <w:marBottom w:val="0"/>
      <w:divBdr>
        <w:top w:val="none" w:sz="0" w:space="0" w:color="auto"/>
        <w:left w:val="none" w:sz="0" w:space="0" w:color="auto"/>
        <w:bottom w:val="none" w:sz="0" w:space="0" w:color="auto"/>
        <w:right w:val="none" w:sz="0" w:space="0" w:color="auto"/>
      </w:divBdr>
    </w:div>
    <w:div w:id="823741192">
      <w:bodyDiv w:val="1"/>
      <w:marLeft w:val="0"/>
      <w:marRight w:val="0"/>
      <w:marTop w:val="0"/>
      <w:marBottom w:val="0"/>
      <w:divBdr>
        <w:top w:val="none" w:sz="0" w:space="0" w:color="auto"/>
        <w:left w:val="none" w:sz="0" w:space="0" w:color="auto"/>
        <w:bottom w:val="none" w:sz="0" w:space="0" w:color="auto"/>
        <w:right w:val="none" w:sz="0" w:space="0" w:color="auto"/>
      </w:divBdr>
    </w:div>
    <w:div w:id="824904108">
      <w:bodyDiv w:val="1"/>
      <w:marLeft w:val="0"/>
      <w:marRight w:val="0"/>
      <w:marTop w:val="0"/>
      <w:marBottom w:val="0"/>
      <w:divBdr>
        <w:top w:val="none" w:sz="0" w:space="0" w:color="auto"/>
        <w:left w:val="none" w:sz="0" w:space="0" w:color="auto"/>
        <w:bottom w:val="none" w:sz="0" w:space="0" w:color="auto"/>
        <w:right w:val="none" w:sz="0" w:space="0" w:color="auto"/>
      </w:divBdr>
    </w:div>
    <w:div w:id="825434342">
      <w:bodyDiv w:val="1"/>
      <w:marLeft w:val="0"/>
      <w:marRight w:val="0"/>
      <w:marTop w:val="0"/>
      <w:marBottom w:val="0"/>
      <w:divBdr>
        <w:top w:val="none" w:sz="0" w:space="0" w:color="auto"/>
        <w:left w:val="none" w:sz="0" w:space="0" w:color="auto"/>
        <w:bottom w:val="none" w:sz="0" w:space="0" w:color="auto"/>
        <w:right w:val="none" w:sz="0" w:space="0" w:color="auto"/>
      </w:divBdr>
    </w:div>
    <w:div w:id="825978197">
      <w:bodyDiv w:val="1"/>
      <w:marLeft w:val="0"/>
      <w:marRight w:val="0"/>
      <w:marTop w:val="0"/>
      <w:marBottom w:val="0"/>
      <w:divBdr>
        <w:top w:val="none" w:sz="0" w:space="0" w:color="auto"/>
        <w:left w:val="none" w:sz="0" w:space="0" w:color="auto"/>
        <w:bottom w:val="none" w:sz="0" w:space="0" w:color="auto"/>
        <w:right w:val="none" w:sz="0" w:space="0" w:color="auto"/>
      </w:divBdr>
    </w:div>
    <w:div w:id="826631172">
      <w:bodyDiv w:val="1"/>
      <w:marLeft w:val="0"/>
      <w:marRight w:val="0"/>
      <w:marTop w:val="0"/>
      <w:marBottom w:val="0"/>
      <w:divBdr>
        <w:top w:val="none" w:sz="0" w:space="0" w:color="auto"/>
        <w:left w:val="none" w:sz="0" w:space="0" w:color="auto"/>
        <w:bottom w:val="none" w:sz="0" w:space="0" w:color="auto"/>
        <w:right w:val="none" w:sz="0" w:space="0" w:color="auto"/>
      </w:divBdr>
    </w:div>
    <w:div w:id="826672428">
      <w:bodyDiv w:val="1"/>
      <w:marLeft w:val="0"/>
      <w:marRight w:val="0"/>
      <w:marTop w:val="0"/>
      <w:marBottom w:val="0"/>
      <w:divBdr>
        <w:top w:val="none" w:sz="0" w:space="0" w:color="auto"/>
        <w:left w:val="none" w:sz="0" w:space="0" w:color="auto"/>
        <w:bottom w:val="none" w:sz="0" w:space="0" w:color="auto"/>
        <w:right w:val="none" w:sz="0" w:space="0" w:color="auto"/>
      </w:divBdr>
    </w:div>
    <w:div w:id="827676199">
      <w:bodyDiv w:val="1"/>
      <w:marLeft w:val="0"/>
      <w:marRight w:val="0"/>
      <w:marTop w:val="0"/>
      <w:marBottom w:val="0"/>
      <w:divBdr>
        <w:top w:val="none" w:sz="0" w:space="0" w:color="auto"/>
        <w:left w:val="none" w:sz="0" w:space="0" w:color="auto"/>
        <w:bottom w:val="none" w:sz="0" w:space="0" w:color="auto"/>
        <w:right w:val="none" w:sz="0" w:space="0" w:color="auto"/>
      </w:divBdr>
    </w:div>
    <w:div w:id="828137324">
      <w:bodyDiv w:val="1"/>
      <w:marLeft w:val="0"/>
      <w:marRight w:val="0"/>
      <w:marTop w:val="0"/>
      <w:marBottom w:val="0"/>
      <w:divBdr>
        <w:top w:val="none" w:sz="0" w:space="0" w:color="auto"/>
        <w:left w:val="none" w:sz="0" w:space="0" w:color="auto"/>
        <w:bottom w:val="none" w:sz="0" w:space="0" w:color="auto"/>
        <w:right w:val="none" w:sz="0" w:space="0" w:color="auto"/>
      </w:divBdr>
    </w:div>
    <w:div w:id="828592975">
      <w:bodyDiv w:val="1"/>
      <w:marLeft w:val="0"/>
      <w:marRight w:val="0"/>
      <w:marTop w:val="0"/>
      <w:marBottom w:val="0"/>
      <w:divBdr>
        <w:top w:val="none" w:sz="0" w:space="0" w:color="auto"/>
        <w:left w:val="none" w:sz="0" w:space="0" w:color="auto"/>
        <w:bottom w:val="none" w:sz="0" w:space="0" w:color="auto"/>
        <w:right w:val="none" w:sz="0" w:space="0" w:color="auto"/>
      </w:divBdr>
    </w:div>
    <w:div w:id="831339224">
      <w:bodyDiv w:val="1"/>
      <w:marLeft w:val="0"/>
      <w:marRight w:val="0"/>
      <w:marTop w:val="0"/>
      <w:marBottom w:val="0"/>
      <w:divBdr>
        <w:top w:val="none" w:sz="0" w:space="0" w:color="auto"/>
        <w:left w:val="none" w:sz="0" w:space="0" w:color="auto"/>
        <w:bottom w:val="none" w:sz="0" w:space="0" w:color="auto"/>
        <w:right w:val="none" w:sz="0" w:space="0" w:color="auto"/>
      </w:divBdr>
    </w:div>
    <w:div w:id="832794012">
      <w:bodyDiv w:val="1"/>
      <w:marLeft w:val="0"/>
      <w:marRight w:val="0"/>
      <w:marTop w:val="0"/>
      <w:marBottom w:val="0"/>
      <w:divBdr>
        <w:top w:val="none" w:sz="0" w:space="0" w:color="auto"/>
        <w:left w:val="none" w:sz="0" w:space="0" w:color="auto"/>
        <w:bottom w:val="none" w:sz="0" w:space="0" w:color="auto"/>
        <w:right w:val="none" w:sz="0" w:space="0" w:color="auto"/>
      </w:divBdr>
    </w:div>
    <w:div w:id="833060331">
      <w:bodyDiv w:val="1"/>
      <w:marLeft w:val="0"/>
      <w:marRight w:val="0"/>
      <w:marTop w:val="0"/>
      <w:marBottom w:val="0"/>
      <w:divBdr>
        <w:top w:val="none" w:sz="0" w:space="0" w:color="auto"/>
        <w:left w:val="none" w:sz="0" w:space="0" w:color="auto"/>
        <w:bottom w:val="none" w:sz="0" w:space="0" w:color="auto"/>
        <w:right w:val="none" w:sz="0" w:space="0" w:color="auto"/>
      </w:divBdr>
    </w:div>
    <w:div w:id="835724096">
      <w:bodyDiv w:val="1"/>
      <w:marLeft w:val="0"/>
      <w:marRight w:val="0"/>
      <w:marTop w:val="0"/>
      <w:marBottom w:val="0"/>
      <w:divBdr>
        <w:top w:val="none" w:sz="0" w:space="0" w:color="auto"/>
        <w:left w:val="none" w:sz="0" w:space="0" w:color="auto"/>
        <w:bottom w:val="none" w:sz="0" w:space="0" w:color="auto"/>
        <w:right w:val="none" w:sz="0" w:space="0" w:color="auto"/>
      </w:divBdr>
    </w:div>
    <w:div w:id="837113985">
      <w:bodyDiv w:val="1"/>
      <w:marLeft w:val="0"/>
      <w:marRight w:val="0"/>
      <w:marTop w:val="0"/>
      <w:marBottom w:val="0"/>
      <w:divBdr>
        <w:top w:val="none" w:sz="0" w:space="0" w:color="auto"/>
        <w:left w:val="none" w:sz="0" w:space="0" w:color="auto"/>
        <w:bottom w:val="none" w:sz="0" w:space="0" w:color="auto"/>
        <w:right w:val="none" w:sz="0" w:space="0" w:color="auto"/>
      </w:divBdr>
    </w:div>
    <w:div w:id="838350886">
      <w:bodyDiv w:val="1"/>
      <w:marLeft w:val="0"/>
      <w:marRight w:val="0"/>
      <w:marTop w:val="0"/>
      <w:marBottom w:val="0"/>
      <w:divBdr>
        <w:top w:val="none" w:sz="0" w:space="0" w:color="auto"/>
        <w:left w:val="none" w:sz="0" w:space="0" w:color="auto"/>
        <w:bottom w:val="none" w:sz="0" w:space="0" w:color="auto"/>
        <w:right w:val="none" w:sz="0" w:space="0" w:color="auto"/>
      </w:divBdr>
    </w:div>
    <w:div w:id="838694190">
      <w:bodyDiv w:val="1"/>
      <w:marLeft w:val="0"/>
      <w:marRight w:val="0"/>
      <w:marTop w:val="0"/>
      <w:marBottom w:val="0"/>
      <w:divBdr>
        <w:top w:val="none" w:sz="0" w:space="0" w:color="auto"/>
        <w:left w:val="none" w:sz="0" w:space="0" w:color="auto"/>
        <w:bottom w:val="none" w:sz="0" w:space="0" w:color="auto"/>
        <w:right w:val="none" w:sz="0" w:space="0" w:color="auto"/>
      </w:divBdr>
    </w:div>
    <w:div w:id="841893087">
      <w:bodyDiv w:val="1"/>
      <w:marLeft w:val="0"/>
      <w:marRight w:val="0"/>
      <w:marTop w:val="0"/>
      <w:marBottom w:val="0"/>
      <w:divBdr>
        <w:top w:val="none" w:sz="0" w:space="0" w:color="auto"/>
        <w:left w:val="none" w:sz="0" w:space="0" w:color="auto"/>
        <w:bottom w:val="none" w:sz="0" w:space="0" w:color="auto"/>
        <w:right w:val="none" w:sz="0" w:space="0" w:color="auto"/>
      </w:divBdr>
    </w:div>
    <w:div w:id="846477280">
      <w:bodyDiv w:val="1"/>
      <w:marLeft w:val="0"/>
      <w:marRight w:val="0"/>
      <w:marTop w:val="0"/>
      <w:marBottom w:val="0"/>
      <w:divBdr>
        <w:top w:val="none" w:sz="0" w:space="0" w:color="auto"/>
        <w:left w:val="none" w:sz="0" w:space="0" w:color="auto"/>
        <w:bottom w:val="none" w:sz="0" w:space="0" w:color="auto"/>
        <w:right w:val="none" w:sz="0" w:space="0" w:color="auto"/>
      </w:divBdr>
    </w:div>
    <w:div w:id="847135912">
      <w:bodyDiv w:val="1"/>
      <w:marLeft w:val="0"/>
      <w:marRight w:val="0"/>
      <w:marTop w:val="0"/>
      <w:marBottom w:val="0"/>
      <w:divBdr>
        <w:top w:val="none" w:sz="0" w:space="0" w:color="auto"/>
        <w:left w:val="none" w:sz="0" w:space="0" w:color="auto"/>
        <w:bottom w:val="none" w:sz="0" w:space="0" w:color="auto"/>
        <w:right w:val="none" w:sz="0" w:space="0" w:color="auto"/>
      </w:divBdr>
    </w:div>
    <w:div w:id="848176098">
      <w:bodyDiv w:val="1"/>
      <w:marLeft w:val="0"/>
      <w:marRight w:val="0"/>
      <w:marTop w:val="0"/>
      <w:marBottom w:val="0"/>
      <w:divBdr>
        <w:top w:val="none" w:sz="0" w:space="0" w:color="auto"/>
        <w:left w:val="none" w:sz="0" w:space="0" w:color="auto"/>
        <w:bottom w:val="none" w:sz="0" w:space="0" w:color="auto"/>
        <w:right w:val="none" w:sz="0" w:space="0" w:color="auto"/>
      </w:divBdr>
    </w:div>
    <w:div w:id="848329509">
      <w:bodyDiv w:val="1"/>
      <w:marLeft w:val="0"/>
      <w:marRight w:val="0"/>
      <w:marTop w:val="0"/>
      <w:marBottom w:val="0"/>
      <w:divBdr>
        <w:top w:val="none" w:sz="0" w:space="0" w:color="auto"/>
        <w:left w:val="none" w:sz="0" w:space="0" w:color="auto"/>
        <w:bottom w:val="none" w:sz="0" w:space="0" w:color="auto"/>
        <w:right w:val="none" w:sz="0" w:space="0" w:color="auto"/>
      </w:divBdr>
    </w:div>
    <w:div w:id="848519379">
      <w:bodyDiv w:val="1"/>
      <w:marLeft w:val="0"/>
      <w:marRight w:val="0"/>
      <w:marTop w:val="0"/>
      <w:marBottom w:val="0"/>
      <w:divBdr>
        <w:top w:val="none" w:sz="0" w:space="0" w:color="auto"/>
        <w:left w:val="none" w:sz="0" w:space="0" w:color="auto"/>
        <w:bottom w:val="none" w:sz="0" w:space="0" w:color="auto"/>
        <w:right w:val="none" w:sz="0" w:space="0" w:color="auto"/>
      </w:divBdr>
    </w:div>
    <w:div w:id="848713083">
      <w:bodyDiv w:val="1"/>
      <w:marLeft w:val="0"/>
      <w:marRight w:val="0"/>
      <w:marTop w:val="0"/>
      <w:marBottom w:val="0"/>
      <w:divBdr>
        <w:top w:val="none" w:sz="0" w:space="0" w:color="auto"/>
        <w:left w:val="none" w:sz="0" w:space="0" w:color="auto"/>
        <w:bottom w:val="none" w:sz="0" w:space="0" w:color="auto"/>
        <w:right w:val="none" w:sz="0" w:space="0" w:color="auto"/>
      </w:divBdr>
    </w:div>
    <w:div w:id="848906050">
      <w:bodyDiv w:val="1"/>
      <w:marLeft w:val="0"/>
      <w:marRight w:val="0"/>
      <w:marTop w:val="0"/>
      <w:marBottom w:val="0"/>
      <w:divBdr>
        <w:top w:val="none" w:sz="0" w:space="0" w:color="auto"/>
        <w:left w:val="none" w:sz="0" w:space="0" w:color="auto"/>
        <w:bottom w:val="none" w:sz="0" w:space="0" w:color="auto"/>
        <w:right w:val="none" w:sz="0" w:space="0" w:color="auto"/>
      </w:divBdr>
    </w:div>
    <w:div w:id="851191036">
      <w:bodyDiv w:val="1"/>
      <w:marLeft w:val="0"/>
      <w:marRight w:val="0"/>
      <w:marTop w:val="0"/>
      <w:marBottom w:val="0"/>
      <w:divBdr>
        <w:top w:val="none" w:sz="0" w:space="0" w:color="auto"/>
        <w:left w:val="none" w:sz="0" w:space="0" w:color="auto"/>
        <w:bottom w:val="none" w:sz="0" w:space="0" w:color="auto"/>
        <w:right w:val="none" w:sz="0" w:space="0" w:color="auto"/>
      </w:divBdr>
    </w:div>
    <w:div w:id="855579874">
      <w:bodyDiv w:val="1"/>
      <w:marLeft w:val="0"/>
      <w:marRight w:val="0"/>
      <w:marTop w:val="0"/>
      <w:marBottom w:val="0"/>
      <w:divBdr>
        <w:top w:val="none" w:sz="0" w:space="0" w:color="auto"/>
        <w:left w:val="none" w:sz="0" w:space="0" w:color="auto"/>
        <w:bottom w:val="none" w:sz="0" w:space="0" w:color="auto"/>
        <w:right w:val="none" w:sz="0" w:space="0" w:color="auto"/>
      </w:divBdr>
    </w:div>
    <w:div w:id="855995090">
      <w:bodyDiv w:val="1"/>
      <w:marLeft w:val="0"/>
      <w:marRight w:val="0"/>
      <w:marTop w:val="0"/>
      <w:marBottom w:val="0"/>
      <w:divBdr>
        <w:top w:val="none" w:sz="0" w:space="0" w:color="auto"/>
        <w:left w:val="none" w:sz="0" w:space="0" w:color="auto"/>
        <w:bottom w:val="none" w:sz="0" w:space="0" w:color="auto"/>
        <w:right w:val="none" w:sz="0" w:space="0" w:color="auto"/>
      </w:divBdr>
    </w:div>
    <w:div w:id="856651884">
      <w:bodyDiv w:val="1"/>
      <w:marLeft w:val="0"/>
      <w:marRight w:val="0"/>
      <w:marTop w:val="0"/>
      <w:marBottom w:val="0"/>
      <w:divBdr>
        <w:top w:val="none" w:sz="0" w:space="0" w:color="auto"/>
        <w:left w:val="none" w:sz="0" w:space="0" w:color="auto"/>
        <w:bottom w:val="none" w:sz="0" w:space="0" w:color="auto"/>
        <w:right w:val="none" w:sz="0" w:space="0" w:color="auto"/>
      </w:divBdr>
    </w:div>
    <w:div w:id="856849944">
      <w:bodyDiv w:val="1"/>
      <w:marLeft w:val="0"/>
      <w:marRight w:val="0"/>
      <w:marTop w:val="0"/>
      <w:marBottom w:val="0"/>
      <w:divBdr>
        <w:top w:val="none" w:sz="0" w:space="0" w:color="auto"/>
        <w:left w:val="none" w:sz="0" w:space="0" w:color="auto"/>
        <w:bottom w:val="none" w:sz="0" w:space="0" w:color="auto"/>
        <w:right w:val="none" w:sz="0" w:space="0" w:color="auto"/>
      </w:divBdr>
    </w:div>
    <w:div w:id="857306459">
      <w:bodyDiv w:val="1"/>
      <w:marLeft w:val="0"/>
      <w:marRight w:val="0"/>
      <w:marTop w:val="0"/>
      <w:marBottom w:val="0"/>
      <w:divBdr>
        <w:top w:val="none" w:sz="0" w:space="0" w:color="auto"/>
        <w:left w:val="none" w:sz="0" w:space="0" w:color="auto"/>
        <w:bottom w:val="none" w:sz="0" w:space="0" w:color="auto"/>
        <w:right w:val="none" w:sz="0" w:space="0" w:color="auto"/>
      </w:divBdr>
    </w:div>
    <w:div w:id="857743652">
      <w:bodyDiv w:val="1"/>
      <w:marLeft w:val="0"/>
      <w:marRight w:val="0"/>
      <w:marTop w:val="0"/>
      <w:marBottom w:val="0"/>
      <w:divBdr>
        <w:top w:val="none" w:sz="0" w:space="0" w:color="auto"/>
        <w:left w:val="none" w:sz="0" w:space="0" w:color="auto"/>
        <w:bottom w:val="none" w:sz="0" w:space="0" w:color="auto"/>
        <w:right w:val="none" w:sz="0" w:space="0" w:color="auto"/>
      </w:divBdr>
    </w:div>
    <w:div w:id="858198441">
      <w:bodyDiv w:val="1"/>
      <w:marLeft w:val="0"/>
      <w:marRight w:val="0"/>
      <w:marTop w:val="0"/>
      <w:marBottom w:val="0"/>
      <w:divBdr>
        <w:top w:val="none" w:sz="0" w:space="0" w:color="auto"/>
        <w:left w:val="none" w:sz="0" w:space="0" w:color="auto"/>
        <w:bottom w:val="none" w:sz="0" w:space="0" w:color="auto"/>
        <w:right w:val="none" w:sz="0" w:space="0" w:color="auto"/>
      </w:divBdr>
    </w:div>
    <w:div w:id="859775929">
      <w:bodyDiv w:val="1"/>
      <w:marLeft w:val="0"/>
      <w:marRight w:val="0"/>
      <w:marTop w:val="0"/>
      <w:marBottom w:val="0"/>
      <w:divBdr>
        <w:top w:val="none" w:sz="0" w:space="0" w:color="auto"/>
        <w:left w:val="none" w:sz="0" w:space="0" w:color="auto"/>
        <w:bottom w:val="none" w:sz="0" w:space="0" w:color="auto"/>
        <w:right w:val="none" w:sz="0" w:space="0" w:color="auto"/>
      </w:divBdr>
    </w:div>
    <w:div w:id="859900245">
      <w:bodyDiv w:val="1"/>
      <w:marLeft w:val="0"/>
      <w:marRight w:val="0"/>
      <w:marTop w:val="0"/>
      <w:marBottom w:val="0"/>
      <w:divBdr>
        <w:top w:val="none" w:sz="0" w:space="0" w:color="auto"/>
        <w:left w:val="none" w:sz="0" w:space="0" w:color="auto"/>
        <w:bottom w:val="none" w:sz="0" w:space="0" w:color="auto"/>
        <w:right w:val="none" w:sz="0" w:space="0" w:color="auto"/>
      </w:divBdr>
    </w:div>
    <w:div w:id="860315413">
      <w:bodyDiv w:val="1"/>
      <w:marLeft w:val="0"/>
      <w:marRight w:val="0"/>
      <w:marTop w:val="0"/>
      <w:marBottom w:val="0"/>
      <w:divBdr>
        <w:top w:val="none" w:sz="0" w:space="0" w:color="auto"/>
        <w:left w:val="none" w:sz="0" w:space="0" w:color="auto"/>
        <w:bottom w:val="none" w:sz="0" w:space="0" w:color="auto"/>
        <w:right w:val="none" w:sz="0" w:space="0" w:color="auto"/>
      </w:divBdr>
    </w:div>
    <w:div w:id="863832392">
      <w:bodyDiv w:val="1"/>
      <w:marLeft w:val="0"/>
      <w:marRight w:val="0"/>
      <w:marTop w:val="0"/>
      <w:marBottom w:val="0"/>
      <w:divBdr>
        <w:top w:val="none" w:sz="0" w:space="0" w:color="auto"/>
        <w:left w:val="none" w:sz="0" w:space="0" w:color="auto"/>
        <w:bottom w:val="none" w:sz="0" w:space="0" w:color="auto"/>
        <w:right w:val="none" w:sz="0" w:space="0" w:color="auto"/>
      </w:divBdr>
    </w:div>
    <w:div w:id="865949135">
      <w:bodyDiv w:val="1"/>
      <w:marLeft w:val="0"/>
      <w:marRight w:val="0"/>
      <w:marTop w:val="0"/>
      <w:marBottom w:val="0"/>
      <w:divBdr>
        <w:top w:val="none" w:sz="0" w:space="0" w:color="auto"/>
        <w:left w:val="none" w:sz="0" w:space="0" w:color="auto"/>
        <w:bottom w:val="none" w:sz="0" w:space="0" w:color="auto"/>
        <w:right w:val="none" w:sz="0" w:space="0" w:color="auto"/>
      </w:divBdr>
    </w:div>
    <w:div w:id="866451857">
      <w:bodyDiv w:val="1"/>
      <w:marLeft w:val="0"/>
      <w:marRight w:val="0"/>
      <w:marTop w:val="0"/>
      <w:marBottom w:val="0"/>
      <w:divBdr>
        <w:top w:val="none" w:sz="0" w:space="0" w:color="auto"/>
        <w:left w:val="none" w:sz="0" w:space="0" w:color="auto"/>
        <w:bottom w:val="none" w:sz="0" w:space="0" w:color="auto"/>
        <w:right w:val="none" w:sz="0" w:space="0" w:color="auto"/>
      </w:divBdr>
    </w:div>
    <w:div w:id="866793720">
      <w:bodyDiv w:val="1"/>
      <w:marLeft w:val="0"/>
      <w:marRight w:val="0"/>
      <w:marTop w:val="0"/>
      <w:marBottom w:val="0"/>
      <w:divBdr>
        <w:top w:val="none" w:sz="0" w:space="0" w:color="auto"/>
        <w:left w:val="none" w:sz="0" w:space="0" w:color="auto"/>
        <w:bottom w:val="none" w:sz="0" w:space="0" w:color="auto"/>
        <w:right w:val="none" w:sz="0" w:space="0" w:color="auto"/>
      </w:divBdr>
    </w:div>
    <w:div w:id="869996084">
      <w:bodyDiv w:val="1"/>
      <w:marLeft w:val="0"/>
      <w:marRight w:val="0"/>
      <w:marTop w:val="0"/>
      <w:marBottom w:val="0"/>
      <w:divBdr>
        <w:top w:val="none" w:sz="0" w:space="0" w:color="auto"/>
        <w:left w:val="none" w:sz="0" w:space="0" w:color="auto"/>
        <w:bottom w:val="none" w:sz="0" w:space="0" w:color="auto"/>
        <w:right w:val="none" w:sz="0" w:space="0" w:color="auto"/>
      </w:divBdr>
    </w:div>
    <w:div w:id="870874870">
      <w:bodyDiv w:val="1"/>
      <w:marLeft w:val="0"/>
      <w:marRight w:val="0"/>
      <w:marTop w:val="0"/>
      <w:marBottom w:val="0"/>
      <w:divBdr>
        <w:top w:val="none" w:sz="0" w:space="0" w:color="auto"/>
        <w:left w:val="none" w:sz="0" w:space="0" w:color="auto"/>
        <w:bottom w:val="none" w:sz="0" w:space="0" w:color="auto"/>
        <w:right w:val="none" w:sz="0" w:space="0" w:color="auto"/>
      </w:divBdr>
    </w:div>
    <w:div w:id="871722888">
      <w:bodyDiv w:val="1"/>
      <w:marLeft w:val="0"/>
      <w:marRight w:val="0"/>
      <w:marTop w:val="0"/>
      <w:marBottom w:val="0"/>
      <w:divBdr>
        <w:top w:val="none" w:sz="0" w:space="0" w:color="auto"/>
        <w:left w:val="none" w:sz="0" w:space="0" w:color="auto"/>
        <w:bottom w:val="none" w:sz="0" w:space="0" w:color="auto"/>
        <w:right w:val="none" w:sz="0" w:space="0" w:color="auto"/>
      </w:divBdr>
    </w:div>
    <w:div w:id="873075653">
      <w:bodyDiv w:val="1"/>
      <w:marLeft w:val="0"/>
      <w:marRight w:val="0"/>
      <w:marTop w:val="0"/>
      <w:marBottom w:val="0"/>
      <w:divBdr>
        <w:top w:val="none" w:sz="0" w:space="0" w:color="auto"/>
        <w:left w:val="none" w:sz="0" w:space="0" w:color="auto"/>
        <w:bottom w:val="none" w:sz="0" w:space="0" w:color="auto"/>
        <w:right w:val="none" w:sz="0" w:space="0" w:color="auto"/>
      </w:divBdr>
    </w:div>
    <w:div w:id="874804520">
      <w:bodyDiv w:val="1"/>
      <w:marLeft w:val="0"/>
      <w:marRight w:val="0"/>
      <w:marTop w:val="0"/>
      <w:marBottom w:val="0"/>
      <w:divBdr>
        <w:top w:val="none" w:sz="0" w:space="0" w:color="auto"/>
        <w:left w:val="none" w:sz="0" w:space="0" w:color="auto"/>
        <w:bottom w:val="none" w:sz="0" w:space="0" w:color="auto"/>
        <w:right w:val="none" w:sz="0" w:space="0" w:color="auto"/>
      </w:divBdr>
    </w:div>
    <w:div w:id="876048556">
      <w:bodyDiv w:val="1"/>
      <w:marLeft w:val="0"/>
      <w:marRight w:val="0"/>
      <w:marTop w:val="0"/>
      <w:marBottom w:val="0"/>
      <w:divBdr>
        <w:top w:val="none" w:sz="0" w:space="0" w:color="auto"/>
        <w:left w:val="none" w:sz="0" w:space="0" w:color="auto"/>
        <w:bottom w:val="none" w:sz="0" w:space="0" w:color="auto"/>
        <w:right w:val="none" w:sz="0" w:space="0" w:color="auto"/>
      </w:divBdr>
    </w:div>
    <w:div w:id="876235574">
      <w:bodyDiv w:val="1"/>
      <w:marLeft w:val="0"/>
      <w:marRight w:val="0"/>
      <w:marTop w:val="0"/>
      <w:marBottom w:val="0"/>
      <w:divBdr>
        <w:top w:val="none" w:sz="0" w:space="0" w:color="auto"/>
        <w:left w:val="none" w:sz="0" w:space="0" w:color="auto"/>
        <w:bottom w:val="none" w:sz="0" w:space="0" w:color="auto"/>
        <w:right w:val="none" w:sz="0" w:space="0" w:color="auto"/>
      </w:divBdr>
    </w:div>
    <w:div w:id="879560181">
      <w:bodyDiv w:val="1"/>
      <w:marLeft w:val="0"/>
      <w:marRight w:val="0"/>
      <w:marTop w:val="0"/>
      <w:marBottom w:val="0"/>
      <w:divBdr>
        <w:top w:val="none" w:sz="0" w:space="0" w:color="auto"/>
        <w:left w:val="none" w:sz="0" w:space="0" w:color="auto"/>
        <w:bottom w:val="none" w:sz="0" w:space="0" w:color="auto"/>
        <w:right w:val="none" w:sz="0" w:space="0" w:color="auto"/>
      </w:divBdr>
    </w:div>
    <w:div w:id="880437486">
      <w:bodyDiv w:val="1"/>
      <w:marLeft w:val="0"/>
      <w:marRight w:val="0"/>
      <w:marTop w:val="0"/>
      <w:marBottom w:val="0"/>
      <w:divBdr>
        <w:top w:val="none" w:sz="0" w:space="0" w:color="auto"/>
        <w:left w:val="none" w:sz="0" w:space="0" w:color="auto"/>
        <w:bottom w:val="none" w:sz="0" w:space="0" w:color="auto"/>
        <w:right w:val="none" w:sz="0" w:space="0" w:color="auto"/>
      </w:divBdr>
    </w:div>
    <w:div w:id="880477549">
      <w:bodyDiv w:val="1"/>
      <w:marLeft w:val="0"/>
      <w:marRight w:val="0"/>
      <w:marTop w:val="0"/>
      <w:marBottom w:val="0"/>
      <w:divBdr>
        <w:top w:val="none" w:sz="0" w:space="0" w:color="auto"/>
        <w:left w:val="none" w:sz="0" w:space="0" w:color="auto"/>
        <w:bottom w:val="none" w:sz="0" w:space="0" w:color="auto"/>
        <w:right w:val="none" w:sz="0" w:space="0" w:color="auto"/>
      </w:divBdr>
    </w:div>
    <w:div w:id="881014797">
      <w:bodyDiv w:val="1"/>
      <w:marLeft w:val="0"/>
      <w:marRight w:val="0"/>
      <w:marTop w:val="0"/>
      <w:marBottom w:val="0"/>
      <w:divBdr>
        <w:top w:val="none" w:sz="0" w:space="0" w:color="auto"/>
        <w:left w:val="none" w:sz="0" w:space="0" w:color="auto"/>
        <w:bottom w:val="none" w:sz="0" w:space="0" w:color="auto"/>
        <w:right w:val="none" w:sz="0" w:space="0" w:color="auto"/>
      </w:divBdr>
    </w:div>
    <w:div w:id="881020329">
      <w:bodyDiv w:val="1"/>
      <w:marLeft w:val="0"/>
      <w:marRight w:val="0"/>
      <w:marTop w:val="0"/>
      <w:marBottom w:val="0"/>
      <w:divBdr>
        <w:top w:val="none" w:sz="0" w:space="0" w:color="auto"/>
        <w:left w:val="none" w:sz="0" w:space="0" w:color="auto"/>
        <w:bottom w:val="none" w:sz="0" w:space="0" w:color="auto"/>
        <w:right w:val="none" w:sz="0" w:space="0" w:color="auto"/>
      </w:divBdr>
    </w:div>
    <w:div w:id="881555014">
      <w:bodyDiv w:val="1"/>
      <w:marLeft w:val="0"/>
      <w:marRight w:val="0"/>
      <w:marTop w:val="0"/>
      <w:marBottom w:val="0"/>
      <w:divBdr>
        <w:top w:val="none" w:sz="0" w:space="0" w:color="auto"/>
        <w:left w:val="none" w:sz="0" w:space="0" w:color="auto"/>
        <w:bottom w:val="none" w:sz="0" w:space="0" w:color="auto"/>
        <w:right w:val="none" w:sz="0" w:space="0" w:color="auto"/>
      </w:divBdr>
    </w:div>
    <w:div w:id="883060498">
      <w:bodyDiv w:val="1"/>
      <w:marLeft w:val="0"/>
      <w:marRight w:val="0"/>
      <w:marTop w:val="0"/>
      <w:marBottom w:val="0"/>
      <w:divBdr>
        <w:top w:val="none" w:sz="0" w:space="0" w:color="auto"/>
        <w:left w:val="none" w:sz="0" w:space="0" w:color="auto"/>
        <w:bottom w:val="none" w:sz="0" w:space="0" w:color="auto"/>
        <w:right w:val="none" w:sz="0" w:space="0" w:color="auto"/>
      </w:divBdr>
    </w:div>
    <w:div w:id="883368330">
      <w:bodyDiv w:val="1"/>
      <w:marLeft w:val="0"/>
      <w:marRight w:val="0"/>
      <w:marTop w:val="0"/>
      <w:marBottom w:val="0"/>
      <w:divBdr>
        <w:top w:val="none" w:sz="0" w:space="0" w:color="auto"/>
        <w:left w:val="none" w:sz="0" w:space="0" w:color="auto"/>
        <w:bottom w:val="none" w:sz="0" w:space="0" w:color="auto"/>
        <w:right w:val="none" w:sz="0" w:space="0" w:color="auto"/>
      </w:divBdr>
    </w:div>
    <w:div w:id="883756450">
      <w:bodyDiv w:val="1"/>
      <w:marLeft w:val="0"/>
      <w:marRight w:val="0"/>
      <w:marTop w:val="0"/>
      <w:marBottom w:val="0"/>
      <w:divBdr>
        <w:top w:val="none" w:sz="0" w:space="0" w:color="auto"/>
        <w:left w:val="none" w:sz="0" w:space="0" w:color="auto"/>
        <w:bottom w:val="none" w:sz="0" w:space="0" w:color="auto"/>
        <w:right w:val="none" w:sz="0" w:space="0" w:color="auto"/>
      </w:divBdr>
    </w:div>
    <w:div w:id="884103208">
      <w:bodyDiv w:val="1"/>
      <w:marLeft w:val="0"/>
      <w:marRight w:val="0"/>
      <w:marTop w:val="0"/>
      <w:marBottom w:val="0"/>
      <w:divBdr>
        <w:top w:val="none" w:sz="0" w:space="0" w:color="auto"/>
        <w:left w:val="none" w:sz="0" w:space="0" w:color="auto"/>
        <w:bottom w:val="none" w:sz="0" w:space="0" w:color="auto"/>
        <w:right w:val="none" w:sz="0" w:space="0" w:color="auto"/>
      </w:divBdr>
    </w:div>
    <w:div w:id="884172600">
      <w:bodyDiv w:val="1"/>
      <w:marLeft w:val="0"/>
      <w:marRight w:val="0"/>
      <w:marTop w:val="0"/>
      <w:marBottom w:val="0"/>
      <w:divBdr>
        <w:top w:val="none" w:sz="0" w:space="0" w:color="auto"/>
        <w:left w:val="none" w:sz="0" w:space="0" w:color="auto"/>
        <w:bottom w:val="none" w:sz="0" w:space="0" w:color="auto"/>
        <w:right w:val="none" w:sz="0" w:space="0" w:color="auto"/>
      </w:divBdr>
    </w:div>
    <w:div w:id="884219108">
      <w:bodyDiv w:val="1"/>
      <w:marLeft w:val="0"/>
      <w:marRight w:val="0"/>
      <w:marTop w:val="0"/>
      <w:marBottom w:val="0"/>
      <w:divBdr>
        <w:top w:val="none" w:sz="0" w:space="0" w:color="auto"/>
        <w:left w:val="none" w:sz="0" w:space="0" w:color="auto"/>
        <w:bottom w:val="none" w:sz="0" w:space="0" w:color="auto"/>
        <w:right w:val="none" w:sz="0" w:space="0" w:color="auto"/>
      </w:divBdr>
    </w:div>
    <w:div w:id="884682177">
      <w:bodyDiv w:val="1"/>
      <w:marLeft w:val="0"/>
      <w:marRight w:val="0"/>
      <w:marTop w:val="0"/>
      <w:marBottom w:val="0"/>
      <w:divBdr>
        <w:top w:val="none" w:sz="0" w:space="0" w:color="auto"/>
        <w:left w:val="none" w:sz="0" w:space="0" w:color="auto"/>
        <w:bottom w:val="none" w:sz="0" w:space="0" w:color="auto"/>
        <w:right w:val="none" w:sz="0" w:space="0" w:color="auto"/>
      </w:divBdr>
    </w:div>
    <w:div w:id="885947282">
      <w:bodyDiv w:val="1"/>
      <w:marLeft w:val="0"/>
      <w:marRight w:val="0"/>
      <w:marTop w:val="0"/>
      <w:marBottom w:val="0"/>
      <w:divBdr>
        <w:top w:val="none" w:sz="0" w:space="0" w:color="auto"/>
        <w:left w:val="none" w:sz="0" w:space="0" w:color="auto"/>
        <w:bottom w:val="none" w:sz="0" w:space="0" w:color="auto"/>
        <w:right w:val="none" w:sz="0" w:space="0" w:color="auto"/>
      </w:divBdr>
    </w:div>
    <w:div w:id="887179618">
      <w:bodyDiv w:val="1"/>
      <w:marLeft w:val="0"/>
      <w:marRight w:val="0"/>
      <w:marTop w:val="0"/>
      <w:marBottom w:val="0"/>
      <w:divBdr>
        <w:top w:val="none" w:sz="0" w:space="0" w:color="auto"/>
        <w:left w:val="none" w:sz="0" w:space="0" w:color="auto"/>
        <w:bottom w:val="none" w:sz="0" w:space="0" w:color="auto"/>
        <w:right w:val="none" w:sz="0" w:space="0" w:color="auto"/>
      </w:divBdr>
    </w:div>
    <w:div w:id="887186272">
      <w:bodyDiv w:val="1"/>
      <w:marLeft w:val="0"/>
      <w:marRight w:val="0"/>
      <w:marTop w:val="0"/>
      <w:marBottom w:val="0"/>
      <w:divBdr>
        <w:top w:val="none" w:sz="0" w:space="0" w:color="auto"/>
        <w:left w:val="none" w:sz="0" w:space="0" w:color="auto"/>
        <w:bottom w:val="none" w:sz="0" w:space="0" w:color="auto"/>
        <w:right w:val="none" w:sz="0" w:space="0" w:color="auto"/>
      </w:divBdr>
    </w:div>
    <w:div w:id="887373593">
      <w:bodyDiv w:val="1"/>
      <w:marLeft w:val="0"/>
      <w:marRight w:val="0"/>
      <w:marTop w:val="0"/>
      <w:marBottom w:val="0"/>
      <w:divBdr>
        <w:top w:val="none" w:sz="0" w:space="0" w:color="auto"/>
        <w:left w:val="none" w:sz="0" w:space="0" w:color="auto"/>
        <w:bottom w:val="none" w:sz="0" w:space="0" w:color="auto"/>
        <w:right w:val="none" w:sz="0" w:space="0" w:color="auto"/>
      </w:divBdr>
    </w:div>
    <w:div w:id="887424480">
      <w:bodyDiv w:val="1"/>
      <w:marLeft w:val="0"/>
      <w:marRight w:val="0"/>
      <w:marTop w:val="0"/>
      <w:marBottom w:val="0"/>
      <w:divBdr>
        <w:top w:val="none" w:sz="0" w:space="0" w:color="auto"/>
        <w:left w:val="none" w:sz="0" w:space="0" w:color="auto"/>
        <w:bottom w:val="none" w:sz="0" w:space="0" w:color="auto"/>
        <w:right w:val="none" w:sz="0" w:space="0" w:color="auto"/>
      </w:divBdr>
    </w:div>
    <w:div w:id="887448520">
      <w:bodyDiv w:val="1"/>
      <w:marLeft w:val="0"/>
      <w:marRight w:val="0"/>
      <w:marTop w:val="0"/>
      <w:marBottom w:val="0"/>
      <w:divBdr>
        <w:top w:val="none" w:sz="0" w:space="0" w:color="auto"/>
        <w:left w:val="none" w:sz="0" w:space="0" w:color="auto"/>
        <w:bottom w:val="none" w:sz="0" w:space="0" w:color="auto"/>
        <w:right w:val="none" w:sz="0" w:space="0" w:color="auto"/>
      </w:divBdr>
    </w:div>
    <w:div w:id="888154939">
      <w:bodyDiv w:val="1"/>
      <w:marLeft w:val="0"/>
      <w:marRight w:val="0"/>
      <w:marTop w:val="0"/>
      <w:marBottom w:val="0"/>
      <w:divBdr>
        <w:top w:val="none" w:sz="0" w:space="0" w:color="auto"/>
        <w:left w:val="none" w:sz="0" w:space="0" w:color="auto"/>
        <w:bottom w:val="none" w:sz="0" w:space="0" w:color="auto"/>
        <w:right w:val="none" w:sz="0" w:space="0" w:color="auto"/>
      </w:divBdr>
    </w:div>
    <w:div w:id="892541340">
      <w:bodyDiv w:val="1"/>
      <w:marLeft w:val="0"/>
      <w:marRight w:val="0"/>
      <w:marTop w:val="0"/>
      <w:marBottom w:val="0"/>
      <w:divBdr>
        <w:top w:val="none" w:sz="0" w:space="0" w:color="auto"/>
        <w:left w:val="none" w:sz="0" w:space="0" w:color="auto"/>
        <w:bottom w:val="none" w:sz="0" w:space="0" w:color="auto"/>
        <w:right w:val="none" w:sz="0" w:space="0" w:color="auto"/>
      </w:divBdr>
    </w:div>
    <w:div w:id="893083773">
      <w:bodyDiv w:val="1"/>
      <w:marLeft w:val="0"/>
      <w:marRight w:val="0"/>
      <w:marTop w:val="0"/>
      <w:marBottom w:val="0"/>
      <w:divBdr>
        <w:top w:val="none" w:sz="0" w:space="0" w:color="auto"/>
        <w:left w:val="none" w:sz="0" w:space="0" w:color="auto"/>
        <w:bottom w:val="none" w:sz="0" w:space="0" w:color="auto"/>
        <w:right w:val="none" w:sz="0" w:space="0" w:color="auto"/>
      </w:divBdr>
    </w:div>
    <w:div w:id="893197018">
      <w:bodyDiv w:val="1"/>
      <w:marLeft w:val="0"/>
      <w:marRight w:val="0"/>
      <w:marTop w:val="0"/>
      <w:marBottom w:val="0"/>
      <w:divBdr>
        <w:top w:val="none" w:sz="0" w:space="0" w:color="auto"/>
        <w:left w:val="none" w:sz="0" w:space="0" w:color="auto"/>
        <w:bottom w:val="none" w:sz="0" w:space="0" w:color="auto"/>
        <w:right w:val="none" w:sz="0" w:space="0" w:color="auto"/>
      </w:divBdr>
    </w:div>
    <w:div w:id="894047690">
      <w:bodyDiv w:val="1"/>
      <w:marLeft w:val="0"/>
      <w:marRight w:val="0"/>
      <w:marTop w:val="0"/>
      <w:marBottom w:val="0"/>
      <w:divBdr>
        <w:top w:val="none" w:sz="0" w:space="0" w:color="auto"/>
        <w:left w:val="none" w:sz="0" w:space="0" w:color="auto"/>
        <w:bottom w:val="none" w:sz="0" w:space="0" w:color="auto"/>
        <w:right w:val="none" w:sz="0" w:space="0" w:color="auto"/>
      </w:divBdr>
    </w:div>
    <w:div w:id="894387688">
      <w:bodyDiv w:val="1"/>
      <w:marLeft w:val="0"/>
      <w:marRight w:val="0"/>
      <w:marTop w:val="0"/>
      <w:marBottom w:val="0"/>
      <w:divBdr>
        <w:top w:val="none" w:sz="0" w:space="0" w:color="auto"/>
        <w:left w:val="none" w:sz="0" w:space="0" w:color="auto"/>
        <w:bottom w:val="none" w:sz="0" w:space="0" w:color="auto"/>
        <w:right w:val="none" w:sz="0" w:space="0" w:color="auto"/>
      </w:divBdr>
    </w:div>
    <w:div w:id="895431961">
      <w:bodyDiv w:val="1"/>
      <w:marLeft w:val="0"/>
      <w:marRight w:val="0"/>
      <w:marTop w:val="0"/>
      <w:marBottom w:val="0"/>
      <w:divBdr>
        <w:top w:val="none" w:sz="0" w:space="0" w:color="auto"/>
        <w:left w:val="none" w:sz="0" w:space="0" w:color="auto"/>
        <w:bottom w:val="none" w:sz="0" w:space="0" w:color="auto"/>
        <w:right w:val="none" w:sz="0" w:space="0" w:color="auto"/>
      </w:divBdr>
    </w:div>
    <w:div w:id="896744496">
      <w:bodyDiv w:val="1"/>
      <w:marLeft w:val="0"/>
      <w:marRight w:val="0"/>
      <w:marTop w:val="0"/>
      <w:marBottom w:val="0"/>
      <w:divBdr>
        <w:top w:val="none" w:sz="0" w:space="0" w:color="auto"/>
        <w:left w:val="none" w:sz="0" w:space="0" w:color="auto"/>
        <w:bottom w:val="none" w:sz="0" w:space="0" w:color="auto"/>
        <w:right w:val="none" w:sz="0" w:space="0" w:color="auto"/>
      </w:divBdr>
    </w:div>
    <w:div w:id="897325634">
      <w:bodyDiv w:val="1"/>
      <w:marLeft w:val="0"/>
      <w:marRight w:val="0"/>
      <w:marTop w:val="0"/>
      <w:marBottom w:val="0"/>
      <w:divBdr>
        <w:top w:val="none" w:sz="0" w:space="0" w:color="auto"/>
        <w:left w:val="none" w:sz="0" w:space="0" w:color="auto"/>
        <w:bottom w:val="none" w:sz="0" w:space="0" w:color="auto"/>
        <w:right w:val="none" w:sz="0" w:space="0" w:color="auto"/>
      </w:divBdr>
    </w:div>
    <w:div w:id="898173710">
      <w:bodyDiv w:val="1"/>
      <w:marLeft w:val="0"/>
      <w:marRight w:val="0"/>
      <w:marTop w:val="0"/>
      <w:marBottom w:val="0"/>
      <w:divBdr>
        <w:top w:val="none" w:sz="0" w:space="0" w:color="auto"/>
        <w:left w:val="none" w:sz="0" w:space="0" w:color="auto"/>
        <w:bottom w:val="none" w:sz="0" w:space="0" w:color="auto"/>
        <w:right w:val="none" w:sz="0" w:space="0" w:color="auto"/>
      </w:divBdr>
    </w:div>
    <w:div w:id="900486750">
      <w:bodyDiv w:val="1"/>
      <w:marLeft w:val="0"/>
      <w:marRight w:val="0"/>
      <w:marTop w:val="0"/>
      <w:marBottom w:val="0"/>
      <w:divBdr>
        <w:top w:val="none" w:sz="0" w:space="0" w:color="auto"/>
        <w:left w:val="none" w:sz="0" w:space="0" w:color="auto"/>
        <w:bottom w:val="none" w:sz="0" w:space="0" w:color="auto"/>
        <w:right w:val="none" w:sz="0" w:space="0" w:color="auto"/>
      </w:divBdr>
    </w:div>
    <w:div w:id="900605184">
      <w:bodyDiv w:val="1"/>
      <w:marLeft w:val="0"/>
      <w:marRight w:val="0"/>
      <w:marTop w:val="0"/>
      <w:marBottom w:val="0"/>
      <w:divBdr>
        <w:top w:val="none" w:sz="0" w:space="0" w:color="auto"/>
        <w:left w:val="none" w:sz="0" w:space="0" w:color="auto"/>
        <w:bottom w:val="none" w:sz="0" w:space="0" w:color="auto"/>
        <w:right w:val="none" w:sz="0" w:space="0" w:color="auto"/>
      </w:divBdr>
    </w:div>
    <w:div w:id="900749330">
      <w:bodyDiv w:val="1"/>
      <w:marLeft w:val="0"/>
      <w:marRight w:val="0"/>
      <w:marTop w:val="0"/>
      <w:marBottom w:val="0"/>
      <w:divBdr>
        <w:top w:val="none" w:sz="0" w:space="0" w:color="auto"/>
        <w:left w:val="none" w:sz="0" w:space="0" w:color="auto"/>
        <w:bottom w:val="none" w:sz="0" w:space="0" w:color="auto"/>
        <w:right w:val="none" w:sz="0" w:space="0" w:color="auto"/>
      </w:divBdr>
    </w:div>
    <w:div w:id="902254672">
      <w:bodyDiv w:val="1"/>
      <w:marLeft w:val="0"/>
      <w:marRight w:val="0"/>
      <w:marTop w:val="0"/>
      <w:marBottom w:val="0"/>
      <w:divBdr>
        <w:top w:val="none" w:sz="0" w:space="0" w:color="auto"/>
        <w:left w:val="none" w:sz="0" w:space="0" w:color="auto"/>
        <w:bottom w:val="none" w:sz="0" w:space="0" w:color="auto"/>
        <w:right w:val="none" w:sz="0" w:space="0" w:color="auto"/>
      </w:divBdr>
    </w:div>
    <w:div w:id="903372980">
      <w:bodyDiv w:val="1"/>
      <w:marLeft w:val="0"/>
      <w:marRight w:val="0"/>
      <w:marTop w:val="0"/>
      <w:marBottom w:val="0"/>
      <w:divBdr>
        <w:top w:val="none" w:sz="0" w:space="0" w:color="auto"/>
        <w:left w:val="none" w:sz="0" w:space="0" w:color="auto"/>
        <w:bottom w:val="none" w:sz="0" w:space="0" w:color="auto"/>
        <w:right w:val="none" w:sz="0" w:space="0" w:color="auto"/>
      </w:divBdr>
    </w:div>
    <w:div w:id="903681034">
      <w:bodyDiv w:val="1"/>
      <w:marLeft w:val="0"/>
      <w:marRight w:val="0"/>
      <w:marTop w:val="0"/>
      <w:marBottom w:val="0"/>
      <w:divBdr>
        <w:top w:val="none" w:sz="0" w:space="0" w:color="auto"/>
        <w:left w:val="none" w:sz="0" w:space="0" w:color="auto"/>
        <w:bottom w:val="none" w:sz="0" w:space="0" w:color="auto"/>
        <w:right w:val="none" w:sz="0" w:space="0" w:color="auto"/>
      </w:divBdr>
    </w:div>
    <w:div w:id="905185698">
      <w:bodyDiv w:val="1"/>
      <w:marLeft w:val="0"/>
      <w:marRight w:val="0"/>
      <w:marTop w:val="0"/>
      <w:marBottom w:val="0"/>
      <w:divBdr>
        <w:top w:val="none" w:sz="0" w:space="0" w:color="auto"/>
        <w:left w:val="none" w:sz="0" w:space="0" w:color="auto"/>
        <w:bottom w:val="none" w:sz="0" w:space="0" w:color="auto"/>
        <w:right w:val="none" w:sz="0" w:space="0" w:color="auto"/>
      </w:divBdr>
    </w:div>
    <w:div w:id="905870555">
      <w:bodyDiv w:val="1"/>
      <w:marLeft w:val="0"/>
      <w:marRight w:val="0"/>
      <w:marTop w:val="0"/>
      <w:marBottom w:val="0"/>
      <w:divBdr>
        <w:top w:val="none" w:sz="0" w:space="0" w:color="auto"/>
        <w:left w:val="none" w:sz="0" w:space="0" w:color="auto"/>
        <w:bottom w:val="none" w:sz="0" w:space="0" w:color="auto"/>
        <w:right w:val="none" w:sz="0" w:space="0" w:color="auto"/>
      </w:divBdr>
    </w:div>
    <w:div w:id="906112254">
      <w:bodyDiv w:val="1"/>
      <w:marLeft w:val="0"/>
      <w:marRight w:val="0"/>
      <w:marTop w:val="0"/>
      <w:marBottom w:val="0"/>
      <w:divBdr>
        <w:top w:val="none" w:sz="0" w:space="0" w:color="auto"/>
        <w:left w:val="none" w:sz="0" w:space="0" w:color="auto"/>
        <w:bottom w:val="none" w:sz="0" w:space="0" w:color="auto"/>
        <w:right w:val="none" w:sz="0" w:space="0" w:color="auto"/>
      </w:divBdr>
    </w:div>
    <w:div w:id="907033076">
      <w:bodyDiv w:val="1"/>
      <w:marLeft w:val="0"/>
      <w:marRight w:val="0"/>
      <w:marTop w:val="0"/>
      <w:marBottom w:val="0"/>
      <w:divBdr>
        <w:top w:val="none" w:sz="0" w:space="0" w:color="auto"/>
        <w:left w:val="none" w:sz="0" w:space="0" w:color="auto"/>
        <w:bottom w:val="none" w:sz="0" w:space="0" w:color="auto"/>
        <w:right w:val="none" w:sz="0" w:space="0" w:color="auto"/>
      </w:divBdr>
    </w:div>
    <w:div w:id="907110549">
      <w:bodyDiv w:val="1"/>
      <w:marLeft w:val="0"/>
      <w:marRight w:val="0"/>
      <w:marTop w:val="0"/>
      <w:marBottom w:val="0"/>
      <w:divBdr>
        <w:top w:val="none" w:sz="0" w:space="0" w:color="auto"/>
        <w:left w:val="none" w:sz="0" w:space="0" w:color="auto"/>
        <w:bottom w:val="none" w:sz="0" w:space="0" w:color="auto"/>
        <w:right w:val="none" w:sz="0" w:space="0" w:color="auto"/>
      </w:divBdr>
    </w:div>
    <w:div w:id="907307576">
      <w:bodyDiv w:val="1"/>
      <w:marLeft w:val="0"/>
      <w:marRight w:val="0"/>
      <w:marTop w:val="0"/>
      <w:marBottom w:val="0"/>
      <w:divBdr>
        <w:top w:val="none" w:sz="0" w:space="0" w:color="auto"/>
        <w:left w:val="none" w:sz="0" w:space="0" w:color="auto"/>
        <w:bottom w:val="none" w:sz="0" w:space="0" w:color="auto"/>
        <w:right w:val="none" w:sz="0" w:space="0" w:color="auto"/>
      </w:divBdr>
    </w:div>
    <w:div w:id="908150477">
      <w:bodyDiv w:val="1"/>
      <w:marLeft w:val="0"/>
      <w:marRight w:val="0"/>
      <w:marTop w:val="0"/>
      <w:marBottom w:val="0"/>
      <w:divBdr>
        <w:top w:val="none" w:sz="0" w:space="0" w:color="auto"/>
        <w:left w:val="none" w:sz="0" w:space="0" w:color="auto"/>
        <w:bottom w:val="none" w:sz="0" w:space="0" w:color="auto"/>
        <w:right w:val="none" w:sz="0" w:space="0" w:color="auto"/>
      </w:divBdr>
    </w:div>
    <w:div w:id="908349835">
      <w:bodyDiv w:val="1"/>
      <w:marLeft w:val="0"/>
      <w:marRight w:val="0"/>
      <w:marTop w:val="0"/>
      <w:marBottom w:val="0"/>
      <w:divBdr>
        <w:top w:val="none" w:sz="0" w:space="0" w:color="auto"/>
        <w:left w:val="none" w:sz="0" w:space="0" w:color="auto"/>
        <w:bottom w:val="none" w:sz="0" w:space="0" w:color="auto"/>
        <w:right w:val="none" w:sz="0" w:space="0" w:color="auto"/>
      </w:divBdr>
    </w:div>
    <w:div w:id="912197882">
      <w:bodyDiv w:val="1"/>
      <w:marLeft w:val="0"/>
      <w:marRight w:val="0"/>
      <w:marTop w:val="0"/>
      <w:marBottom w:val="0"/>
      <w:divBdr>
        <w:top w:val="none" w:sz="0" w:space="0" w:color="auto"/>
        <w:left w:val="none" w:sz="0" w:space="0" w:color="auto"/>
        <w:bottom w:val="none" w:sz="0" w:space="0" w:color="auto"/>
        <w:right w:val="none" w:sz="0" w:space="0" w:color="auto"/>
      </w:divBdr>
    </w:div>
    <w:div w:id="912666172">
      <w:bodyDiv w:val="1"/>
      <w:marLeft w:val="0"/>
      <w:marRight w:val="0"/>
      <w:marTop w:val="0"/>
      <w:marBottom w:val="0"/>
      <w:divBdr>
        <w:top w:val="none" w:sz="0" w:space="0" w:color="auto"/>
        <w:left w:val="none" w:sz="0" w:space="0" w:color="auto"/>
        <w:bottom w:val="none" w:sz="0" w:space="0" w:color="auto"/>
        <w:right w:val="none" w:sz="0" w:space="0" w:color="auto"/>
      </w:divBdr>
    </w:div>
    <w:div w:id="913052235">
      <w:bodyDiv w:val="1"/>
      <w:marLeft w:val="0"/>
      <w:marRight w:val="0"/>
      <w:marTop w:val="0"/>
      <w:marBottom w:val="0"/>
      <w:divBdr>
        <w:top w:val="none" w:sz="0" w:space="0" w:color="auto"/>
        <w:left w:val="none" w:sz="0" w:space="0" w:color="auto"/>
        <w:bottom w:val="none" w:sz="0" w:space="0" w:color="auto"/>
        <w:right w:val="none" w:sz="0" w:space="0" w:color="auto"/>
      </w:divBdr>
    </w:div>
    <w:div w:id="915555532">
      <w:bodyDiv w:val="1"/>
      <w:marLeft w:val="0"/>
      <w:marRight w:val="0"/>
      <w:marTop w:val="0"/>
      <w:marBottom w:val="0"/>
      <w:divBdr>
        <w:top w:val="none" w:sz="0" w:space="0" w:color="auto"/>
        <w:left w:val="none" w:sz="0" w:space="0" w:color="auto"/>
        <w:bottom w:val="none" w:sz="0" w:space="0" w:color="auto"/>
        <w:right w:val="none" w:sz="0" w:space="0" w:color="auto"/>
      </w:divBdr>
    </w:div>
    <w:div w:id="917715919">
      <w:bodyDiv w:val="1"/>
      <w:marLeft w:val="0"/>
      <w:marRight w:val="0"/>
      <w:marTop w:val="0"/>
      <w:marBottom w:val="0"/>
      <w:divBdr>
        <w:top w:val="none" w:sz="0" w:space="0" w:color="auto"/>
        <w:left w:val="none" w:sz="0" w:space="0" w:color="auto"/>
        <w:bottom w:val="none" w:sz="0" w:space="0" w:color="auto"/>
        <w:right w:val="none" w:sz="0" w:space="0" w:color="auto"/>
      </w:divBdr>
    </w:div>
    <w:div w:id="918949340">
      <w:bodyDiv w:val="1"/>
      <w:marLeft w:val="0"/>
      <w:marRight w:val="0"/>
      <w:marTop w:val="0"/>
      <w:marBottom w:val="0"/>
      <w:divBdr>
        <w:top w:val="none" w:sz="0" w:space="0" w:color="auto"/>
        <w:left w:val="none" w:sz="0" w:space="0" w:color="auto"/>
        <w:bottom w:val="none" w:sz="0" w:space="0" w:color="auto"/>
        <w:right w:val="none" w:sz="0" w:space="0" w:color="auto"/>
      </w:divBdr>
    </w:div>
    <w:div w:id="919099457">
      <w:bodyDiv w:val="1"/>
      <w:marLeft w:val="0"/>
      <w:marRight w:val="0"/>
      <w:marTop w:val="0"/>
      <w:marBottom w:val="0"/>
      <w:divBdr>
        <w:top w:val="none" w:sz="0" w:space="0" w:color="auto"/>
        <w:left w:val="none" w:sz="0" w:space="0" w:color="auto"/>
        <w:bottom w:val="none" w:sz="0" w:space="0" w:color="auto"/>
        <w:right w:val="none" w:sz="0" w:space="0" w:color="auto"/>
      </w:divBdr>
    </w:div>
    <w:div w:id="920259905">
      <w:bodyDiv w:val="1"/>
      <w:marLeft w:val="0"/>
      <w:marRight w:val="0"/>
      <w:marTop w:val="0"/>
      <w:marBottom w:val="0"/>
      <w:divBdr>
        <w:top w:val="none" w:sz="0" w:space="0" w:color="auto"/>
        <w:left w:val="none" w:sz="0" w:space="0" w:color="auto"/>
        <w:bottom w:val="none" w:sz="0" w:space="0" w:color="auto"/>
        <w:right w:val="none" w:sz="0" w:space="0" w:color="auto"/>
      </w:divBdr>
    </w:div>
    <w:div w:id="920911962">
      <w:bodyDiv w:val="1"/>
      <w:marLeft w:val="0"/>
      <w:marRight w:val="0"/>
      <w:marTop w:val="0"/>
      <w:marBottom w:val="0"/>
      <w:divBdr>
        <w:top w:val="none" w:sz="0" w:space="0" w:color="auto"/>
        <w:left w:val="none" w:sz="0" w:space="0" w:color="auto"/>
        <w:bottom w:val="none" w:sz="0" w:space="0" w:color="auto"/>
        <w:right w:val="none" w:sz="0" w:space="0" w:color="auto"/>
      </w:divBdr>
    </w:div>
    <w:div w:id="923757483">
      <w:bodyDiv w:val="1"/>
      <w:marLeft w:val="0"/>
      <w:marRight w:val="0"/>
      <w:marTop w:val="0"/>
      <w:marBottom w:val="0"/>
      <w:divBdr>
        <w:top w:val="none" w:sz="0" w:space="0" w:color="auto"/>
        <w:left w:val="none" w:sz="0" w:space="0" w:color="auto"/>
        <w:bottom w:val="none" w:sz="0" w:space="0" w:color="auto"/>
        <w:right w:val="none" w:sz="0" w:space="0" w:color="auto"/>
      </w:divBdr>
    </w:div>
    <w:div w:id="923878961">
      <w:bodyDiv w:val="1"/>
      <w:marLeft w:val="0"/>
      <w:marRight w:val="0"/>
      <w:marTop w:val="0"/>
      <w:marBottom w:val="0"/>
      <w:divBdr>
        <w:top w:val="none" w:sz="0" w:space="0" w:color="auto"/>
        <w:left w:val="none" w:sz="0" w:space="0" w:color="auto"/>
        <w:bottom w:val="none" w:sz="0" w:space="0" w:color="auto"/>
        <w:right w:val="none" w:sz="0" w:space="0" w:color="auto"/>
      </w:divBdr>
    </w:div>
    <w:div w:id="923950846">
      <w:bodyDiv w:val="1"/>
      <w:marLeft w:val="0"/>
      <w:marRight w:val="0"/>
      <w:marTop w:val="0"/>
      <w:marBottom w:val="0"/>
      <w:divBdr>
        <w:top w:val="none" w:sz="0" w:space="0" w:color="auto"/>
        <w:left w:val="none" w:sz="0" w:space="0" w:color="auto"/>
        <w:bottom w:val="none" w:sz="0" w:space="0" w:color="auto"/>
        <w:right w:val="none" w:sz="0" w:space="0" w:color="auto"/>
      </w:divBdr>
    </w:div>
    <w:div w:id="926690998">
      <w:bodyDiv w:val="1"/>
      <w:marLeft w:val="0"/>
      <w:marRight w:val="0"/>
      <w:marTop w:val="0"/>
      <w:marBottom w:val="0"/>
      <w:divBdr>
        <w:top w:val="none" w:sz="0" w:space="0" w:color="auto"/>
        <w:left w:val="none" w:sz="0" w:space="0" w:color="auto"/>
        <w:bottom w:val="none" w:sz="0" w:space="0" w:color="auto"/>
        <w:right w:val="none" w:sz="0" w:space="0" w:color="auto"/>
      </w:divBdr>
    </w:div>
    <w:div w:id="927077366">
      <w:bodyDiv w:val="1"/>
      <w:marLeft w:val="0"/>
      <w:marRight w:val="0"/>
      <w:marTop w:val="0"/>
      <w:marBottom w:val="0"/>
      <w:divBdr>
        <w:top w:val="none" w:sz="0" w:space="0" w:color="auto"/>
        <w:left w:val="none" w:sz="0" w:space="0" w:color="auto"/>
        <w:bottom w:val="none" w:sz="0" w:space="0" w:color="auto"/>
        <w:right w:val="none" w:sz="0" w:space="0" w:color="auto"/>
      </w:divBdr>
    </w:div>
    <w:div w:id="927235222">
      <w:bodyDiv w:val="1"/>
      <w:marLeft w:val="0"/>
      <w:marRight w:val="0"/>
      <w:marTop w:val="0"/>
      <w:marBottom w:val="0"/>
      <w:divBdr>
        <w:top w:val="none" w:sz="0" w:space="0" w:color="auto"/>
        <w:left w:val="none" w:sz="0" w:space="0" w:color="auto"/>
        <w:bottom w:val="none" w:sz="0" w:space="0" w:color="auto"/>
        <w:right w:val="none" w:sz="0" w:space="0" w:color="auto"/>
      </w:divBdr>
    </w:div>
    <w:div w:id="929193202">
      <w:bodyDiv w:val="1"/>
      <w:marLeft w:val="0"/>
      <w:marRight w:val="0"/>
      <w:marTop w:val="0"/>
      <w:marBottom w:val="0"/>
      <w:divBdr>
        <w:top w:val="none" w:sz="0" w:space="0" w:color="auto"/>
        <w:left w:val="none" w:sz="0" w:space="0" w:color="auto"/>
        <w:bottom w:val="none" w:sz="0" w:space="0" w:color="auto"/>
        <w:right w:val="none" w:sz="0" w:space="0" w:color="auto"/>
      </w:divBdr>
    </w:div>
    <w:div w:id="929235785">
      <w:bodyDiv w:val="1"/>
      <w:marLeft w:val="0"/>
      <w:marRight w:val="0"/>
      <w:marTop w:val="0"/>
      <w:marBottom w:val="0"/>
      <w:divBdr>
        <w:top w:val="none" w:sz="0" w:space="0" w:color="auto"/>
        <w:left w:val="none" w:sz="0" w:space="0" w:color="auto"/>
        <w:bottom w:val="none" w:sz="0" w:space="0" w:color="auto"/>
        <w:right w:val="none" w:sz="0" w:space="0" w:color="auto"/>
      </w:divBdr>
    </w:div>
    <w:div w:id="929506248">
      <w:bodyDiv w:val="1"/>
      <w:marLeft w:val="0"/>
      <w:marRight w:val="0"/>
      <w:marTop w:val="0"/>
      <w:marBottom w:val="0"/>
      <w:divBdr>
        <w:top w:val="none" w:sz="0" w:space="0" w:color="auto"/>
        <w:left w:val="none" w:sz="0" w:space="0" w:color="auto"/>
        <w:bottom w:val="none" w:sz="0" w:space="0" w:color="auto"/>
        <w:right w:val="none" w:sz="0" w:space="0" w:color="auto"/>
      </w:divBdr>
    </w:div>
    <w:div w:id="929890398">
      <w:bodyDiv w:val="1"/>
      <w:marLeft w:val="0"/>
      <w:marRight w:val="0"/>
      <w:marTop w:val="0"/>
      <w:marBottom w:val="0"/>
      <w:divBdr>
        <w:top w:val="none" w:sz="0" w:space="0" w:color="auto"/>
        <w:left w:val="none" w:sz="0" w:space="0" w:color="auto"/>
        <w:bottom w:val="none" w:sz="0" w:space="0" w:color="auto"/>
        <w:right w:val="none" w:sz="0" w:space="0" w:color="auto"/>
      </w:divBdr>
    </w:div>
    <w:div w:id="930550007">
      <w:bodyDiv w:val="1"/>
      <w:marLeft w:val="0"/>
      <w:marRight w:val="0"/>
      <w:marTop w:val="0"/>
      <w:marBottom w:val="0"/>
      <w:divBdr>
        <w:top w:val="none" w:sz="0" w:space="0" w:color="auto"/>
        <w:left w:val="none" w:sz="0" w:space="0" w:color="auto"/>
        <w:bottom w:val="none" w:sz="0" w:space="0" w:color="auto"/>
        <w:right w:val="none" w:sz="0" w:space="0" w:color="auto"/>
      </w:divBdr>
    </w:div>
    <w:div w:id="931665622">
      <w:bodyDiv w:val="1"/>
      <w:marLeft w:val="0"/>
      <w:marRight w:val="0"/>
      <w:marTop w:val="0"/>
      <w:marBottom w:val="0"/>
      <w:divBdr>
        <w:top w:val="none" w:sz="0" w:space="0" w:color="auto"/>
        <w:left w:val="none" w:sz="0" w:space="0" w:color="auto"/>
        <w:bottom w:val="none" w:sz="0" w:space="0" w:color="auto"/>
        <w:right w:val="none" w:sz="0" w:space="0" w:color="auto"/>
      </w:divBdr>
    </w:div>
    <w:div w:id="932739641">
      <w:bodyDiv w:val="1"/>
      <w:marLeft w:val="0"/>
      <w:marRight w:val="0"/>
      <w:marTop w:val="0"/>
      <w:marBottom w:val="0"/>
      <w:divBdr>
        <w:top w:val="none" w:sz="0" w:space="0" w:color="auto"/>
        <w:left w:val="none" w:sz="0" w:space="0" w:color="auto"/>
        <w:bottom w:val="none" w:sz="0" w:space="0" w:color="auto"/>
        <w:right w:val="none" w:sz="0" w:space="0" w:color="auto"/>
      </w:divBdr>
    </w:div>
    <w:div w:id="932856382">
      <w:bodyDiv w:val="1"/>
      <w:marLeft w:val="0"/>
      <w:marRight w:val="0"/>
      <w:marTop w:val="0"/>
      <w:marBottom w:val="0"/>
      <w:divBdr>
        <w:top w:val="none" w:sz="0" w:space="0" w:color="auto"/>
        <w:left w:val="none" w:sz="0" w:space="0" w:color="auto"/>
        <w:bottom w:val="none" w:sz="0" w:space="0" w:color="auto"/>
        <w:right w:val="none" w:sz="0" w:space="0" w:color="auto"/>
      </w:divBdr>
    </w:div>
    <w:div w:id="932863191">
      <w:bodyDiv w:val="1"/>
      <w:marLeft w:val="0"/>
      <w:marRight w:val="0"/>
      <w:marTop w:val="0"/>
      <w:marBottom w:val="0"/>
      <w:divBdr>
        <w:top w:val="none" w:sz="0" w:space="0" w:color="auto"/>
        <w:left w:val="none" w:sz="0" w:space="0" w:color="auto"/>
        <w:bottom w:val="none" w:sz="0" w:space="0" w:color="auto"/>
        <w:right w:val="none" w:sz="0" w:space="0" w:color="auto"/>
      </w:divBdr>
    </w:div>
    <w:div w:id="934630353">
      <w:bodyDiv w:val="1"/>
      <w:marLeft w:val="0"/>
      <w:marRight w:val="0"/>
      <w:marTop w:val="0"/>
      <w:marBottom w:val="0"/>
      <w:divBdr>
        <w:top w:val="none" w:sz="0" w:space="0" w:color="auto"/>
        <w:left w:val="none" w:sz="0" w:space="0" w:color="auto"/>
        <w:bottom w:val="none" w:sz="0" w:space="0" w:color="auto"/>
        <w:right w:val="none" w:sz="0" w:space="0" w:color="auto"/>
      </w:divBdr>
    </w:div>
    <w:div w:id="935750988">
      <w:bodyDiv w:val="1"/>
      <w:marLeft w:val="0"/>
      <w:marRight w:val="0"/>
      <w:marTop w:val="0"/>
      <w:marBottom w:val="0"/>
      <w:divBdr>
        <w:top w:val="none" w:sz="0" w:space="0" w:color="auto"/>
        <w:left w:val="none" w:sz="0" w:space="0" w:color="auto"/>
        <w:bottom w:val="none" w:sz="0" w:space="0" w:color="auto"/>
        <w:right w:val="none" w:sz="0" w:space="0" w:color="auto"/>
      </w:divBdr>
    </w:div>
    <w:div w:id="936206799">
      <w:bodyDiv w:val="1"/>
      <w:marLeft w:val="0"/>
      <w:marRight w:val="0"/>
      <w:marTop w:val="0"/>
      <w:marBottom w:val="0"/>
      <w:divBdr>
        <w:top w:val="none" w:sz="0" w:space="0" w:color="auto"/>
        <w:left w:val="none" w:sz="0" w:space="0" w:color="auto"/>
        <w:bottom w:val="none" w:sz="0" w:space="0" w:color="auto"/>
        <w:right w:val="none" w:sz="0" w:space="0" w:color="auto"/>
      </w:divBdr>
    </w:div>
    <w:div w:id="936593530">
      <w:bodyDiv w:val="1"/>
      <w:marLeft w:val="0"/>
      <w:marRight w:val="0"/>
      <w:marTop w:val="0"/>
      <w:marBottom w:val="0"/>
      <w:divBdr>
        <w:top w:val="none" w:sz="0" w:space="0" w:color="auto"/>
        <w:left w:val="none" w:sz="0" w:space="0" w:color="auto"/>
        <w:bottom w:val="none" w:sz="0" w:space="0" w:color="auto"/>
        <w:right w:val="none" w:sz="0" w:space="0" w:color="auto"/>
      </w:divBdr>
    </w:div>
    <w:div w:id="938022498">
      <w:bodyDiv w:val="1"/>
      <w:marLeft w:val="0"/>
      <w:marRight w:val="0"/>
      <w:marTop w:val="0"/>
      <w:marBottom w:val="0"/>
      <w:divBdr>
        <w:top w:val="none" w:sz="0" w:space="0" w:color="auto"/>
        <w:left w:val="none" w:sz="0" w:space="0" w:color="auto"/>
        <w:bottom w:val="none" w:sz="0" w:space="0" w:color="auto"/>
        <w:right w:val="none" w:sz="0" w:space="0" w:color="auto"/>
      </w:divBdr>
    </w:div>
    <w:div w:id="938368603">
      <w:bodyDiv w:val="1"/>
      <w:marLeft w:val="0"/>
      <w:marRight w:val="0"/>
      <w:marTop w:val="0"/>
      <w:marBottom w:val="0"/>
      <w:divBdr>
        <w:top w:val="none" w:sz="0" w:space="0" w:color="auto"/>
        <w:left w:val="none" w:sz="0" w:space="0" w:color="auto"/>
        <w:bottom w:val="none" w:sz="0" w:space="0" w:color="auto"/>
        <w:right w:val="none" w:sz="0" w:space="0" w:color="auto"/>
      </w:divBdr>
    </w:div>
    <w:div w:id="938635604">
      <w:bodyDiv w:val="1"/>
      <w:marLeft w:val="0"/>
      <w:marRight w:val="0"/>
      <w:marTop w:val="0"/>
      <w:marBottom w:val="0"/>
      <w:divBdr>
        <w:top w:val="none" w:sz="0" w:space="0" w:color="auto"/>
        <w:left w:val="none" w:sz="0" w:space="0" w:color="auto"/>
        <w:bottom w:val="none" w:sz="0" w:space="0" w:color="auto"/>
        <w:right w:val="none" w:sz="0" w:space="0" w:color="auto"/>
      </w:divBdr>
    </w:div>
    <w:div w:id="938874815">
      <w:bodyDiv w:val="1"/>
      <w:marLeft w:val="0"/>
      <w:marRight w:val="0"/>
      <w:marTop w:val="0"/>
      <w:marBottom w:val="0"/>
      <w:divBdr>
        <w:top w:val="none" w:sz="0" w:space="0" w:color="auto"/>
        <w:left w:val="none" w:sz="0" w:space="0" w:color="auto"/>
        <w:bottom w:val="none" w:sz="0" w:space="0" w:color="auto"/>
        <w:right w:val="none" w:sz="0" w:space="0" w:color="auto"/>
      </w:divBdr>
    </w:div>
    <w:div w:id="939265324">
      <w:bodyDiv w:val="1"/>
      <w:marLeft w:val="0"/>
      <w:marRight w:val="0"/>
      <w:marTop w:val="0"/>
      <w:marBottom w:val="0"/>
      <w:divBdr>
        <w:top w:val="none" w:sz="0" w:space="0" w:color="auto"/>
        <w:left w:val="none" w:sz="0" w:space="0" w:color="auto"/>
        <w:bottom w:val="none" w:sz="0" w:space="0" w:color="auto"/>
        <w:right w:val="none" w:sz="0" w:space="0" w:color="auto"/>
      </w:divBdr>
    </w:div>
    <w:div w:id="939800460">
      <w:bodyDiv w:val="1"/>
      <w:marLeft w:val="0"/>
      <w:marRight w:val="0"/>
      <w:marTop w:val="0"/>
      <w:marBottom w:val="0"/>
      <w:divBdr>
        <w:top w:val="none" w:sz="0" w:space="0" w:color="auto"/>
        <w:left w:val="none" w:sz="0" w:space="0" w:color="auto"/>
        <w:bottom w:val="none" w:sz="0" w:space="0" w:color="auto"/>
        <w:right w:val="none" w:sz="0" w:space="0" w:color="auto"/>
      </w:divBdr>
    </w:div>
    <w:div w:id="940915404">
      <w:bodyDiv w:val="1"/>
      <w:marLeft w:val="0"/>
      <w:marRight w:val="0"/>
      <w:marTop w:val="0"/>
      <w:marBottom w:val="0"/>
      <w:divBdr>
        <w:top w:val="none" w:sz="0" w:space="0" w:color="auto"/>
        <w:left w:val="none" w:sz="0" w:space="0" w:color="auto"/>
        <w:bottom w:val="none" w:sz="0" w:space="0" w:color="auto"/>
        <w:right w:val="none" w:sz="0" w:space="0" w:color="auto"/>
      </w:divBdr>
    </w:div>
    <w:div w:id="941914556">
      <w:bodyDiv w:val="1"/>
      <w:marLeft w:val="0"/>
      <w:marRight w:val="0"/>
      <w:marTop w:val="0"/>
      <w:marBottom w:val="0"/>
      <w:divBdr>
        <w:top w:val="none" w:sz="0" w:space="0" w:color="auto"/>
        <w:left w:val="none" w:sz="0" w:space="0" w:color="auto"/>
        <w:bottom w:val="none" w:sz="0" w:space="0" w:color="auto"/>
        <w:right w:val="none" w:sz="0" w:space="0" w:color="auto"/>
      </w:divBdr>
    </w:div>
    <w:div w:id="941956761">
      <w:bodyDiv w:val="1"/>
      <w:marLeft w:val="0"/>
      <w:marRight w:val="0"/>
      <w:marTop w:val="0"/>
      <w:marBottom w:val="0"/>
      <w:divBdr>
        <w:top w:val="none" w:sz="0" w:space="0" w:color="auto"/>
        <w:left w:val="none" w:sz="0" w:space="0" w:color="auto"/>
        <w:bottom w:val="none" w:sz="0" w:space="0" w:color="auto"/>
        <w:right w:val="none" w:sz="0" w:space="0" w:color="auto"/>
      </w:divBdr>
    </w:div>
    <w:div w:id="942882243">
      <w:bodyDiv w:val="1"/>
      <w:marLeft w:val="0"/>
      <w:marRight w:val="0"/>
      <w:marTop w:val="0"/>
      <w:marBottom w:val="0"/>
      <w:divBdr>
        <w:top w:val="none" w:sz="0" w:space="0" w:color="auto"/>
        <w:left w:val="none" w:sz="0" w:space="0" w:color="auto"/>
        <w:bottom w:val="none" w:sz="0" w:space="0" w:color="auto"/>
        <w:right w:val="none" w:sz="0" w:space="0" w:color="auto"/>
      </w:divBdr>
    </w:div>
    <w:div w:id="943077648">
      <w:bodyDiv w:val="1"/>
      <w:marLeft w:val="0"/>
      <w:marRight w:val="0"/>
      <w:marTop w:val="0"/>
      <w:marBottom w:val="0"/>
      <w:divBdr>
        <w:top w:val="none" w:sz="0" w:space="0" w:color="auto"/>
        <w:left w:val="none" w:sz="0" w:space="0" w:color="auto"/>
        <w:bottom w:val="none" w:sz="0" w:space="0" w:color="auto"/>
        <w:right w:val="none" w:sz="0" w:space="0" w:color="auto"/>
      </w:divBdr>
    </w:div>
    <w:div w:id="945040989">
      <w:bodyDiv w:val="1"/>
      <w:marLeft w:val="0"/>
      <w:marRight w:val="0"/>
      <w:marTop w:val="0"/>
      <w:marBottom w:val="0"/>
      <w:divBdr>
        <w:top w:val="none" w:sz="0" w:space="0" w:color="auto"/>
        <w:left w:val="none" w:sz="0" w:space="0" w:color="auto"/>
        <w:bottom w:val="none" w:sz="0" w:space="0" w:color="auto"/>
        <w:right w:val="none" w:sz="0" w:space="0" w:color="auto"/>
      </w:divBdr>
    </w:div>
    <w:div w:id="946278054">
      <w:bodyDiv w:val="1"/>
      <w:marLeft w:val="0"/>
      <w:marRight w:val="0"/>
      <w:marTop w:val="0"/>
      <w:marBottom w:val="0"/>
      <w:divBdr>
        <w:top w:val="none" w:sz="0" w:space="0" w:color="auto"/>
        <w:left w:val="none" w:sz="0" w:space="0" w:color="auto"/>
        <w:bottom w:val="none" w:sz="0" w:space="0" w:color="auto"/>
        <w:right w:val="none" w:sz="0" w:space="0" w:color="auto"/>
      </w:divBdr>
    </w:div>
    <w:div w:id="946547667">
      <w:bodyDiv w:val="1"/>
      <w:marLeft w:val="0"/>
      <w:marRight w:val="0"/>
      <w:marTop w:val="0"/>
      <w:marBottom w:val="0"/>
      <w:divBdr>
        <w:top w:val="none" w:sz="0" w:space="0" w:color="auto"/>
        <w:left w:val="none" w:sz="0" w:space="0" w:color="auto"/>
        <w:bottom w:val="none" w:sz="0" w:space="0" w:color="auto"/>
        <w:right w:val="none" w:sz="0" w:space="0" w:color="auto"/>
      </w:divBdr>
    </w:div>
    <w:div w:id="946615575">
      <w:bodyDiv w:val="1"/>
      <w:marLeft w:val="0"/>
      <w:marRight w:val="0"/>
      <w:marTop w:val="0"/>
      <w:marBottom w:val="0"/>
      <w:divBdr>
        <w:top w:val="none" w:sz="0" w:space="0" w:color="auto"/>
        <w:left w:val="none" w:sz="0" w:space="0" w:color="auto"/>
        <w:bottom w:val="none" w:sz="0" w:space="0" w:color="auto"/>
        <w:right w:val="none" w:sz="0" w:space="0" w:color="auto"/>
      </w:divBdr>
    </w:div>
    <w:div w:id="947082912">
      <w:bodyDiv w:val="1"/>
      <w:marLeft w:val="0"/>
      <w:marRight w:val="0"/>
      <w:marTop w:val="0"/>
      <w:marBottom w:val="0"/>
      <w:divBdr>
        <w:top w:val="none" w:sz="0" w:space="0" w:color="auto"/>
        <w:left w:val="none" w:sz="0" w:space="0" w:color="auto"/>
        <w:bottom w:val="none" w:sz="0" w:space="0" w:color="auto"/>
        <w:right w:val="none" w:sz="0" w:space="0" w:color="auto"/>
      </w:divBdr>
    </w:div>
    <w:div w:id="947733118">
      <w:bodyDiv w:val="1"/>
      <w:marLeft w:val="0"/>
      <w:marRight w:val="0"/>
      <w:marTop w:val="0"/>
      <w:marBottom w:val="0"/>
      <w:divBdr>
        <w:top w:val="none" w:sz="0" w:space="0" w:color="auto"/>
        <w:left w:val="none" w:sz="0" w:space="0" w:color="auto"/>
        <w:bottom w:val="none" w:sz="0" w:space="0" w:color="auto"/>
        <w:right w:val="none" w:sz="0" w:space="0" w:color="auto"/>
      </w:divBdr>
    </w:div>
    <w:div w:id="950671386">
      <w:bodyDiv w:val="1"/>
      <w:marLeft w:val="0"/>
      <w:marRight w:val="0"/>
      <w:marTop w:val="0"/>
      <w:marBottom w:val="0"/>
      <w:divBdr>
        <w:top w:val="none" w:sz="0" w:space="0" w:color="auto"/>
        <w:left w:val="none" w:sz="0" w:space="0" w:color="auto"/>
        <w:bottom w:val="none" w:sz="0" w:space="0" w:color="auto"/>
        <w:right w:val="none" w:sz="0" w:space="0" w:color="auto"/>
      </w:divBdr>
    </w:div>
    <w:div w:id="951473163">
      <w:bodyDiv w:val="1"/>
      <w:marLeft w:val="0"/>
      <w:marRight w:val="0"/>
      <w:marTop w:val="0"/>
      <w:marBottom w:val="0"/>
      <w:divBdr>
        <w:top w:val="none" w:sz="0" w:space="0" w:color="auto"/>
        <w:left w:val="none" w:sz="0" w:space="0" w:color="auto"/>
        <w:bottom w:val="none" w:sz="0" w:space="0" w:color="auto"/>
        <w:right w:val="none" w:sz="0" w:space="0" w:color="auto"/>
      </w:divBdr>
    </w:div>
    <w:div w:id="952320267">
      <w:bodyDiv w:val="1"/>
      <w:marLeft w:val="0"/>
      <w:marRight w:val="0"/>
      <w:marTop w:val="0"/>
      <w:marBottom w:val="0"/>
      <w:divBdr>
        <w:top w:val="none" w:sz="0" w:space="0" w:color="auto"/>
        <w:left w:val="none" w:sz="0" w:space="0" w:color="auto"/>
        <w:bottom w:val="none" w:sz="0" w:space="0" w:color="auto"/>
        <w:right w:val="none" w:sz="0" w:space="0" w:color="auto"/>
      </w:divBdr>
    </w:div>
    <w:div w:id="953441024">
      <w:bodyDiv w:val="1"/>
      <w:marLeft w:val="0"/>
      <w:marRight w:val="0"/>
      <w:marTop w:val="0"/>
      <w:marBottom w:val="0"/>
      <w:divBdr>
        <w:top w:val="none" w:sz="0" w:space="0" w:color="auto"/>
        <w:left w:val="none" w:sz="0" w:space="0" w:color="auto"/>
        <w:bottom w:val="none" w:sz="0" w:space="0" w:color="auto"/>
        <w:right w:val="none" w:sz="0" w:space="0" w:color="auto"/>
      </w:divBdr>
    </w:div>
    <w:div w:id="955523011">
      <w:bodyDiv w:val="1"/>
      <w:marLeft w:val="0"/>
      <w:marRight w:val="0"/>
      <w:marTop w:val="0"/>
      <w:marBottom w:val="0"/>
      <w:divBdr>
        <w:top w:val="none" w:sz="0" w:space="0" w:color="auto"/>
        <w:left w:val="none" w:sz="0" w:space="0" w:color="auto"/>
        <w:bottom w:val="none" w:sz="0" w:space="0" w:color="auto"/>
        <w:right w:val="none" w:sz="0" w:space="0" w:color="auto"/>
      </w:divBdr>
    </w:div>
    <w:div w:id="955864625">
      <w:bodyDiv w:val="1"/>
      <w:marLeft w:val="0"/>
      <w:marRight w:val="0"/>
      <w:marTop w:val="0"/>
      <w:marBottom w:val="0"/>
      <w:divBdr>
        <w:top w:val="none" w:sz="0" w:space="0" w:color="auto"/>
        <w:left w:val="none" w:sz="0" w:space="0" w:color="auto"/>
        <w:bottom w:val="none" w:sz="0" w:space="0" w:color="auto"/>
        <w:right w:val="none" w:sz="0" w:space="0" w:color="auto"/>
      </w:divBdr>
    </w:div>
    <w:div w:id="958727889">
      <w:bodyDiv w:val="1"/>
      <w:marLeft w:val="0"/>
      <w:marRight w:val="0"/>
      <w:marTop w:val="0"/>
      <w:marBottom w:val="0"/>
      <w:divBdr>
        <w:top w:val="none" w:sz="0" w:space="0" w:color="auto"/>
        <w:left w:val="none" w:sz="0" w:space="0" w:color="auto"/>
        <w:bottom w:val="none" w:sz="0" w:space="0" w:color="auto"/>
        <w:right w:val="none" w:sz="0" w:space="0" w:color="auto"/>
      </w:divBdr>
    </w:div>
    <w:div w:id="958874752">
      <w:bodyDiv w:val="1"/>
      <w:marLeft w:val="0"/>
      <w:marRight w:val="0"/>
      <w:marTop w:val="0"/>
      <w:marBottom w:val="0"/>
      <w:divBdr>
        <w:top w:val="none" w:sz="0" w:space="0" w:color="auto"/>
        <w:left w:val="none" w:sz="0" w:space="0" w:color="auto"/>
        <w:bottom w:val="none" w:sz="0" w:space="0" w:color="auto"/>
        <w:right w:val="none" w:sz="0" w:space="0" w:color="auto"/>
      </w:divBdr>
    </w:div>
    <w:div w:id="959142564">
      <w:bodyDiv w:val="1"/>
      <w:marLeft w:val="0"/>
      <w:marRight w:val="0"/>
      <w:marTop w:val="0"/>
      <w:marBottom w:val="0"/>
      <w:divBdr>
        <w:top w:val="none" w:sz="0" w:space="0" w:color="auto"/>
        <w:left w:val="none" w:sz="0" w:space="0" w:color="auto"/>
        <w:bottom w:val="none" w:sz="0" w:space="0" w:color="auto"/>
        <w:right w:val="none" w:sz="0" w:space="0" w:color="auto"/>
      </w:divBdr>
    </w:div>
    <w:div w:id="959872958">
      <w:bodyDiv w:val="1"/>
      <w:marLeft w:val="0"/>
      <w:marRight w:val="0"/>
      <w:marTop w:val="0"/>
      <w:marBottom w:val="0"/>
      <w:divBdr>
        <w:top w:val="none" w:sz="0" w:space="0" w:color="auto"/>
        <w:left w:val="none" w:sz="0" w:space="0" w:color="auto"/>
        <w:bottom w:val="none" w:sz="0" w:space="0" w:color="auto"/>
        <w:right w:val="none" w:sz="0" w:space="0" w:color="auto"/>
      </w:divBdr>
    </w:div>
    <w:div w:id="960260425">
      <w:bodyDiv w:val="1"/>
      <w:marLeft w:val="0"/>
      <w:marRight w:val="0"/>
      <w:marTop w:val="0"/>
      <w:marBottom w:val="0"/>
      <w:divBdr>
        <w:top w:val="none" w:sz="0" w:space="0" w:color="auto"/>
        <w:left w:val="none" w:sz="0" w:space="0" w:color="auto"/>
        <w:bottom w:val="none" w:sz="0" w:space="0" w:color="auto"/>
        <w:right w:val="none" w:sz="0" w:space="0" w:color="auto"/>
      </w:divBdr>
    </w:div>
    <w:div w:id="960305957">
      <w:bodyDiv w:val="1"/>
      <w:marLeft w:val="0"/>
      <w:marRight w:val="0"/>
      <w:marTop w:val="0"/>
      <w:marBottom w:val="0"/>
      <w:divBdr>
        <w:top w:val="none" w:sz="0" w:space="0" w:color="auto"/>
        <w:left w:val="none" w:sz="0" w:space="0" w:color="auto"/>
        <w:bottom w:val="none" w:sz="0" w:space="0" w:color="auto"/>
        <w:right w:val="none" w:sz="0" w:space="0" w:color="auto"/>
      </w:divBdr>
    </w:div>
    <w:div w:id="961228646">
      <w:bodyDiv w:val="1"/>
      <w:marLeft w:val="0"/>
      <w:marRight w:val="0"/>
      <w:marTop w:val="0"/>
      <w:marBottom w:val="0"/>
      <w:divBdr>
        <w:top w:val="none" w:sz="0" w:space="0" w:color="auto"/>
        <w:left w:val="none" w:sz="0" w:space="0" w:color="auto"/>
        <w:bottom w:val="none" w:sz="0" w:space="0" w:color="auto"/>
        <w:right w:val="none" w:sz="0" w:space="0" w:color="auto"/>
      </w:divBdr>
    </w:div>
    <w:div w:id="962273632">
      <w:bodyDiv w:val="1"/>
      <w:marLeft w:val="0"/>
      <w:marRight w:val="0"/>
      <w:marTop w:val="0"/>
      <w:marBottom w:val="0"/>
      <w:divBdr>
        <w:top w:val="none" w:sz="0" w:space="0" w:color="auto"/>
        <w:left w:val="none" w:sz="0" w:space="0" w:color="auto"/>
        <w:bottom w:val="none" w:sz="0" w:space="0" w:color="auto"/>
        <w:right w:val="none" w:sz="0" w:space="0" w:color="auto"/>
      </w:divBdr>
    </w:div>
    <w:div w:id="962811610">
      <w:bodyDiv w:val="1"/>
      <w:marLeft w:val="0"/>
      <w:marRight w:val="0"/>
      <w:marTop w:val="0"/>
      <w:marBottom w:val="0"/>
      <w:divBdr>
        <w:top w:val="none" w:sz="0" w:space="0" w:color="auto"/>
        <w:left w:val="none" w:sz="0" w:space="0" w:color="auto"/>
        <w:bottom w:val="none" w:sz="0" w:space="0" w:color="auto"/>
        <w:right w:val="none" w:sz="0" w:space="0" w:color="auto"/>
      </w:divBdr>
    </w:div>
    <w:div w:id="963655267">
      <w:bodyDiv w:val="1"/>
      <w:marLeft w:val="0"/>
      <w:marRight w:val="0"/>
      <w:marTop w:val="0"/>
      <w:marBottom w:val="0"/>
      <w:divBdr>
        <w:top w:val="none" w:sz="0" w:space="0" w:color="auto"/>
        <w:left w:val="none" w:sz="0" w:space="0" w:color="auto"/>
        <w:bottom w:val="none" w:sz="0" w:space="0" w:color="auto"/>
        <w:right w:val="none" w:sz="0" w:space="0" w:color="auto"/>
      </w:divBdr>
    </w:div>
    <w:div w:id="963734687">
      <w:bodyDiv w:val="1"/>
      <w:marLeft w:val="0"/>
      <w:marRight w:val="0"/>
      <w:marTop w:val="0"/>
      <w:marBottom w:val="0"/>
      <w:divBdr>
        <w:top w:val="none" w:sz="0" w:space="0" w:color="auto"/>
        <w:left w:val="none" w:sz="0" w:space="0" w:color="auto"/>
        <w:bottom w:val="none" w:sz="0" w:space="0" w:color="auto"/>
        <w:right w:val="none" w:sz="0" w:space="0" w:color="auto"/>
      </w:divBdr>
    </w:div>
    <w:div w:id="964114067">
      <w:bodyDiv w:val="1"/>
      <w:marLeft w:val="0"/>
      <w:marRight w:val="0"/>
      <w:marTop w:val="0"/>
      <w:marBottom w:val="0"/>
      <w:divBdr>
        <w:top w:val="none" w:sz="0" w:space="0" w:color="auto"/>
        <w:left w:val="none" w:sz="0" w:space="0" w:color="auto"/>
        <w:bottom w:val="none" w:sz="0" w:space="0" w:color="auto"/>
        <w:right w:val="none" w:sz="0" w:space="0" w:color="auto"/>
      </w:divBdr>
    </w:div>
    <w:div w:id="966007534">
      <w:bodyDiv w:val="1"/>
      <w:marLeft w:val="0"/>
      <w:marRight w:val="0"/>
      <w:marTop w:val="0"/>
      <w:marBottom w:val="0"/>
      <w:divBdr>
        <w:top w:val="none" w:sz="0" w:space="0" w:color="auto"/>
        <w:left w:val="none" w:sz="0" w:space="0" w:color="auto"/>
        <w:bottom w:val="none" w:sz="0" w:space="0" w:color="auto"/>
        <w:right w:val="none" w:sz="0" w:space="0" w:color="auto"/>
      </w:divBdr>
    </w:div>
    <w:div w:id="966618823">
      <w:bodyDiv w:val="1"/>
      <w:marLeft w:val="0"/>
      <w:marRight w:val="0"/>
      <w:marTop w:val="0"/>
      <w:marBottom w:val="0"/>
      <w:divBdr>
        <w:top w:val="none" w:sz="0" w:space="0" w:color="auto"/>
        <w:left w:val="none" w:sz="0" w:space="0" w:color="auto"/>
        <w:bottom w:val="none" w:sz="0" w:space="0" w:color="auto"/>
        <w:right w:val="none" w:sz="0" w:space="0" w:color="auto"/>
      </w:divBdr>
    </w:div>
    <w:div w:id="966857133">
      <w:bodyDiv w:val="1"/>
      <w:marLeft w:val="0"/>
      <w:marRight w:val="0"/>
      <w:marTop w:val="0"/>
      <w:marBottom w:val="0"/>
      <w:divBdr>
        <w:top w:val="none" w:sz="0" w:space="0" w:color="auto"/>
        <w:left w:val="none" w:sz="0" w:space="0" w:color="auto"/>
        <w:bottom w:val="none" w:sz="0" w:space="0" w:color="auto"/>
        <w:right w:val="none" w:sz="0" w:space="0" w:color="auto"/>
      </w:divBdr>
    </w:div>
    <w:div w:id="967130493">
      <w:bodyDiv w:val="1"/>
      <w:marLeft w:val="0"/>
      <w:marRight w:val="0"/>
      <w:marTop w:val="0"/>
      <w:marBottom w:val="0"/>
      <w:divBdr>
        <w:top w:val="none" w:sz="0" w:space="0" w:color="auto"/>
        <w:left w:val="none" w:sz="0" w:space="0" w:color="auto"/>
        <w:bottom w:val="none" w:sz="0" w:space="0" w:color="auto"/>
        <w:right w:val="none" w:sz="0" w:space="0" w:color="auto"/>
      </w:divBdr>
    </w:div>
    <w:div w:id="967277596">
      <w:bodyDiv w:val="1"/>
      <w:marLeft w:val="0"/>
      <w:marRight w:val="0"/>
      <w:marTop w:val="0"/>
      <w:marBottom w:val="0"/>
      <w:divBdr>
        <w:top w:val="none" w:sz="0" w:space="0" w:color="auto"/>
        <w:left w:val="none" w:sz="0" w:space="0" w:color="auto"/>
        <w:bottom w:val="none" w:sz="0" w:space="0" w:color="auto"/>
        <w:right w:val="none" w:sz="0" w:space="0" w:color="auto"/>
      </w:divBdr>
    </w:div>
    <w:div w:id="968709707">
      <w:bodyDiv w:val="1"/>
      <w:marLeft w:val="0"/>
      <w:marRight w:val="0"/>
      <w:marTop w:val="0"/>
      <w:marBottom w:val="0"/>
      <w:divBdr>
        <w:top w:val="none" w:sz="0" w:space="0" w:color="auto"/>
        <w:left w:val="none" w:sz="0" w:space="0" w:color="auto"/>
        <w:bottom w:val="none" w:sz="0" w:space="0" w:color="auto"/>
        <w:right w:val="none" w:sz="0" w:space="0" w:color="auto"/>
      </w:divBdr>
    </w:div>
    <w:div w:id="969019253">
      <w:bodyDiv w:val="1"/>
      <w:marLeft w:val="0"/>
      <w:marRight w:val="0"/>
      <w:marTop w:val="0"/>
      <w:marBottom w:val="0"/>
      <w:divBdr>
        <w:top w:val="none" w:sz="0" w:space="0" w:color="auto"/>
        <w:left w:val="none" w:sz="0" w:space="0" w:color="auto"/>
        <w:bottom w:val="none" w:sz="0" w:space="0" w:color="auto"/>
        <w:right w:val="none" w:sz="0" w:space="0" w:color="auto"/>
      </w:divBdr>
    </w:div>
    <w:div w:id="969048048">
      <w:bodyDiv w:val="1"/>
      <w:marLeft w:val="0"/>
      <w:marRight w:val="0"/>
      <w:marTop w:val="0"/>
      <w:marBottom w:val="0"/>
      <w:divBdr>
        <w:top w:val="none" w:sz="0" w:space="0" w:color="auto"/>
        <w:left w:val="none" w:sz="0" w:space="0" w:color="auto"/>
        <w:bottom w:val="none" w:sz="0" w:space="0" w:color="auto"/>
        <w:right w:val="none" w:sz="0" w:space="0" w:color="auto"/>
      </w:divBdr>
    </w:div>
    <w:div w:id="969213694">
      <w:bodyDiv w:val="1"/>
      <w:marLeft w:val="0"/>
      <w:marRight w:val="0"/>
      <w:marTop w:val="0"/>
      <w:marBottom w:val="0"/>
      <w:divBdr>
        <w:top w:val="none" w:sz="0" w:space="0" w:color="auto"/>
        <w:left w:val="none" w:sz="0" w:space="0" w:color="auto"/>
        <w:bottom w:val="none" w:sz="0" w:space="0" w:color="auto"/>
        <w:right w:val="none" w:sz="0" w:space="0" w:color="auto"/>
      </w:divBdr>
    </w:div>
    <w:div w:id="969281903">
      <w:bodyDiv w:val="1"/>
      <w:marLeft w:val="0"/>
      <w:marRight w:val="0"/>
      <w:marTop w:val="0"/>
      <w:marBottom w:val="0"/>
      <w:divBdr>
        <w:top w:val="none" w:sz="0" w:space="0" w:color="auto"/>
        <w:left w:val="none" w:sz="0" w:space="0" w:color="auto"/>
        <w:bottom w:val="none" w:sz="0" w:space="0" w:color="auto"/>
        <w:right w:val="none" w:sz="0" w:space="0" w:color="auto"/>
      </w:divBdr>
    </w:div>
    <w:div w:id="970552236">
      <w:bodyDiv w:val="1"/>
      <w:marLeft w:val="0"/>
      <w:marRight w:val="0"/>
      <w:marTop w:val="0"/>
      <w:marBottom w:val="0"/>
      <w:divBdr>
        <w:top w:val="none" w:sz="0" w:space="0" w:color="auto"/>
        <w:left w:val="none" w:sz="0" w:space="0" w:color="auto"/>
        <w:bottom w:val="none" w:sz="0" w:space="0" w:color="auto"/>
        <w:right w:val="none" w:sz="0" w:space="0" w:color="auto"/>
      </w:divBdr>
    </w:div>
    <w:div w:id="970936494">
      <w:bodyDiv w:val="1"/>
      <w:marLeft w:val="0"/>
      <w:marRight w:val="0"/>
      <w:marTop w:val="0"/>
      <w:marBottom w:val="0"/>
      <w:divBdr>
        <w:top w:val="none" w:sz="0" w:space="0" w:color="auto"/>
        <w:left w:val="none" w:sz="0" w:space="0" w:color="auto"/>
        <w:bottom w:val="none" w:sz="0" w:space="0" w:color="auto"/>
        <w:right w:val="none" w:sz="0" w:space="0" w:color="auto"/>
      </w:divBdr>
    </w:div>
    <w:div w:id="971129639">
      <w:bodyDiv w:val="1"/>
      <w:marLeft w:val="0"/>
      <w:marRight w:val="0"/>
      <w:marTop w:val="0"/>
      <w:marBottom w:val="0"/>
      <w:divBdr>
        <w:top w:val="none" w:sz="0" w:space="0" w:color="auto"/>
        <w:left w:val="none" w:sz="0" w:space="0" w:color="auto"/>
        <w:bottom w:val="none" w:sz="0" w:space="0" w:color="auto"/>
        <w:right w:val="none" w:sz="0" w:space="0" w:color="auto"/>
      </w:divBdr>
    </w:div>
    <w:div w:id="974991713">
      <w:bodyDiv w:val="1"/>
      <w:marLeft w:val="0"/>
      <w:marRight w:val="0"/>
      <w:marTop w:val="0"/>
      <w:marBottom w:val="0"/>
      <w:divBdr>
        <w:top w:val="none" w:sz="0" w:space="0" w:color="auto"/>
        <w:left w:val="none" w:sz="0" w:space="0" w:color="auto"/>
        <w:bottom w:val="none" w:sz="0" w:space="0" w:color="auto"/>
        <w:right w:val="none" w:sz="0" w:space="0" w:color="auto"/>
      </w:divBdr>
    </w:div>
    <w:div w:id="975641406">
      <w:bodyDiv w:val="1"/>
      <w:marLeft w:val="0"/>
      <w:marRight w:val="0"/>
      <w:marTop w:val="0"/>
      <w:marBottom w:val="0"/>
      <w:divBdr>
        <w:top w:val="none" w:sz="0" w:space="0" w:color="auto"/>
        <w:left w:val="none" w:sz="0" w:space="0" w:color="auto"/>
        <w:bottom w:val="none" w:sz="0" w:space="0" w:color="auto"/>
        <w:right w:val="none" w:sz="0" w:space="0" w:color="auto"/>
      </w:divBdr>
    </w:div>
    <w:div w:id="975648061">
      <w:bodyDiv w:val="1"/>
      <w:marLeft w:val="0"/>
      <w:marRight w:val="0"/>
      <w:marTop w:val="0"/>
      <w:marBottom w:val="0"/>
      <w:divBdr>
        <w:top w:val="none" w:sz="0" w:space="0" w:color="auto"/>
        <w:left w:val="none" w:sz="0" w:space="0" w:color="auto"/>
        <w:bottom w:val="none" w:sz="0" w:space="0" w:color="auto"/>
        <w:right w:val="none" w:sz="0" w:space="0" w:color="auto"/>
      </w:divBdr>
    </w:div>
    <w:div w:id="975993967">
      <w:bodyDiv w:val="1"/>
      <w:marLeft w:val="0"/>
      <w:marRight w:val="0"/>
      <w:marTop w:val="0"/>
      <w:marBottom w:val="0"/>
      <w:divBdr>
        <w:top w:val="none" w:sz="0" w:space="0" w:color="auto"/>
        <w:left w:val="none" w:sz="0" w:space="0" w:color="auto"/>
        <w:bottom w:val="none" w:sz="0" w:space="0" w:color="auto"/>
        <w:right w:val="none" w:sz="0" w:space="0" w:color="auto"/>
      </w:divBdr>
    </w:div>
    <w:div w:id="976494231">
      <w:bodyDiv w:val="1"/>
      <w:marLeft w:val="0"/>
      <w:marRight w:val="0"/>
      <w:marTop w:val="0"/>
      <w:marBottom w:val="0"/>
      <w:divBdr>
        <w:top w:val="none" w:sz="0" w:space="0" w:color="auto"/>
        <w:left w:val="none" w:sz="0" w:space="0" w:color="auto"/>
        <w:bottom w:val="none" w:sz="0" w:space="0" w:color="auto"/>
        <w:right w:val="none" w:sz="0" w:space="0" w:color="auto"/>
      </w:divBdr>
    </w:div>
    <w:div w:id="977033067">
      <w:bodyDiv w:val="1"/>
      <w:marLeft w:val="0"/>
      <w:marRight w:val="0"/>
      <w:marTop w:val="0"/>
      <w:marBottom w:val="0"/>
      <w:divBdr>
        <w:top w:val="none" w:sz="0" w:space="0" w:color="auto"/>
        <w:left w:val="none" w:sz="0" w:space="0" w:color="auto"/>
        <w:bottom w:val="none" w:sz="0" w:space="0" w:color="auto"/>
        <w:right w:val="none" w:sz="0" w:space="0" w:color="auto"/>
      </w:divBdr>
    </w:div>
    <w:div w:id="977879262">
      <w:bodyDiv w:val="1"/>
      <w:marLeft w:val="0"/>
      <w:marRight w:val="0"/>
      <w:marTop w:val="0"/>
      <w:marBottom w:val="0"/>
      <w:divBdr>
        <w:top w:val="none" w:sz="0" w:space="0" w:color="auto"/>
        <w:left w:val="none" w:sz="0" w:space="0" w:color="auto"/>
        <w:bottom w:val="none" w:sz="0" w:space="0" w:color="auto"/>
        <w:right w:val="none" w:sz="0" w:space="0" w:color="auto"/>
      </w:divBdr>
    </w:div>
    <w:div w:id="979261188">
      <w:bodyDiv w:val="1"/>
      <w:marLeft w:val="0"/>
      <w:marRight w:val="0"/>
      <w:marTop w:val="0"/>
      <w:marBottom w:val="0"/>
      <w:divBdr>
        <w:top w:val="none" w:sz="0" w:space="0" w:color="auto"/>
        <w:left w:val="none" w:sz="0" w:space="0" w:color="auto"/>
        <w:bottom w:val="none" w:sz="0" w:space="0" w:color="auto"/>
        <w:right w:val="none" w:sz="0" w:space="0" w:color="auto"/>
      </w:divBdr>
    </w:div>
    <w:div w:id="980158964">
      <w:bodyDiv w:val="1"/>
      <w:marLeft w:val="0"/>
      <w:marRight w:val="0"/>
      <w:marTop w:val="0"/>
      <w:marBottom w:val="0"/>
      <w:divBdr>
        <w:top w:val="none" w:sz="0" w:space="0" w:color="auto"/>
        <w:left w:val="none" w:sz="0" w:space="0" w:color="auto"/>
        <w:bottom w:val="none" w:sz="0" w:space="0" w:color="auto"/>
        <w:right w:val="none" w:sz="0" w:space="0" w:color="auto"/>
      </w:divBdr>
    </w:div>
    <w:div w:id="980311489">
      <w:bodyDiv w:val="1"/>
      <w:marLeft w:val="0"/>
      <w:marRight w:val="0"/>
      <w:marTop w:val="0"/>
      <w:marBottom w:val="0"/>
      <w:divBdr>
        <w:top w:val="none" w:sz="0" w:space="0" w:color="auto"/>
        <w:left w:val="none" w:sz="0" w:space="0" w:color="auto"/>
        <w:bottom w:val="none" w:sz="0" w:space="0" w:color="auto"/>
        <w:right w:val="none" w:sz="0" w:space="0" w:color="auto"/>
      </w:divBdr>
    </w:div>
    <w:div w:id="981277487">
      <w:bodyDiv w:val="1"/>
      <w:marLeft w:val="0"/>
      <w:marRight w:val="0"/>
      <w:marTop w:val="0"/>
      <w:marBottom w:val="0"/>
      <w:divBdr>
        <w:top w:val="none" w:sz="0" w:space="0" w:color="auto"/>
        <w:left w:val="none" w:sz="0" w:space="0" w:color="auto"/>
        <w:bottom w:val="none" w:sz="0" w:space="0" w:color="auto"/>
        <w:right w:val="none" w:sz="0" w:space="0" w:color="auto"/>
      </w:divBdr>
    </w:div>
    <w:div w:id="981812798">
      <w:bodyDiv w:val="1"/>
      <w:marLeft w:val="0"/>
      <w:marRight w:val="0"/>
      <w:marTop w:val="0"/>
      <w:marBottom w:val="0"/>
      <w:divBdr>
        <w:top w:val="none" w:sz="0" w:space="0" w:color="auto"/>
        <w:left w:val="none" w:sz="0" w:space="0" w:color="auto"/>
        <w:bottom w:val="none" w:sz="0" w:space="0" w:color="auto"/>
        <w:right w:val="none" w:sz="0" w:space="0" w:color="auto"/>
      </w:divBdr>
    </w:div>
    <w:div w:id="982196979">
      <w:bodyDiv w:val="1"/>
      <w:marLeft w:val="0"/>
      <w:marRight w:val="0"/>
      <w:marTop w:val="0"/>
      <w:marBottom w:val="0"/>
      <w:divBdr>
        <w:top w:val="none" w:sz="0" w:space="0" w:color="auto"/>
        <w:left w:val="none" w:sz="0" w:space="0" w:color="auto"/>
        <w:bottom w:val="none" w:sz="0" w:space="0" w:color="auto"/>
        <w:right w:val="none" w:sz="0" w:space="0" w:color="auto"/>
      </w:divBdr>
    </w:div>
    <w:div w:id="982657945">
      <w:bodyDiv w:val="1"/>
      <w:marLeft w:val="0"/>
      <w:marRight w:val="0"/>
      <w:marTop w:val="0"/>
      <w:marBottom w:val="0"/>
      <w:divBdr>
        <w:top w:val="none" w:sz="0" w:space="0" w:color="auto"/>
        <w:left w:val="none" w:sz="0" w:space="0" w:color="auto"/>
        <w:bottom w:val="none" w:sz="0" w:space="0" w:color="auto"/>
        <w:right w:val="none" w:sz="0" w:space="0" w:color="auto"/>
      </w:divBdr>
    </w:div>
    <w:div w:id="987515954">
      <w:bodyDiv w:val="1"/>
      <w:marLeft w:val="0"/>
      <w:marRight w:val="0"/>
      <w:marTop w:val="0"/>
      <w:marBottom w:val="0"/>
      <w:divBdr>
        <w:top w:val="none" w:sz="0" w:space="0" w:color="auto"/>
        <w:left w:val="none" w:sz="0" w:space="0" w:color="auto"/>
        <w:bottom w:val="none" w:sz="0" w:space="0" w:color="auto"/>
        <w:right w:val="none" w:sz="0" w:space="0" w:color="auto"/>
      </w:divBdr>
    </w:div>
    <w:div w:id="987780569">
      <w:bodyDiv w:val="1"/>
      <w:marLeft w:val="0"/>
      <w:marRight w:val="0"/>
      <w:marTop w:val="0"/>
      <w:marBottom w:val="0"/>
      <w:divBdr>
        <w:top w:val="none" w:sz="0" w:space="0" w:color="auto"/>
        <w:left w:val="none" w:sz="0" w:space="0" w:color="auto"/>
        <w:bottom w:val="none" w:sz="0" w:space="0" w:color="auto"/>
        <w:right w:val="none" w:sz="0" w:space="0" w:color="auto"/>
      </w:divBdr>
    </w:div>
    <w:div w:id="989209184">
      <w:bodyDiv w:val="1"/>
      <w:marLeft w:val="0"/>
      <w:marRight w:val="0"/>
      <w:marTop w:val="0"/>
      <w:marBottom w:val="0"/>
      <w:divBdr>
        <w:top w:val="none" w:sz="0" w:space="0" w:color="auto"/>
        <w:left w:val="none" w:sz="0" w:space="0" w:color="auto"/>
        <w:bottom w:val="none" w:sz="0" w:space="0" w:color="auto"/>
        <w:right w:val="none" w:sz="0" w:space="0" w:color="auto"/>
      </w:divBdr>
    </w:div>
    <w:div w:id="990250183">
      <w:bodyDiv w:val="1"/>
      <w:marLeft w:val="0"/>
      <w:marRight w:val="0"/>
      <w:marTop w:val="0"/>
      <w:marBottom w:val="0"/>
      <w:divBdr>
        <w:top w:val="none" w:sz="0" w:space="0" w:color="auto"/>
        <w:left w:val="none" w:sz="0" w:space="0" w:color="auto"/>
        <w:bottom w:val="none" w:sz="0" w:space="0" w:color="auto"/>
        <w:right w:val="none" w:sz="0" w:space="0" w:color="auto"/>
      </w:divBdr>
    </w:div>
    <w:div w:id="991833013">
      <w:bodyDiv w:val="1"/>
      <w:marLeft w:val="0"/>
      <w:marRight w:val="0"/>
      <w:marTop w:val="0"/>
      <w:marBottom w:val="0"/>
      <w:divBdr>
        <w:top w:val="none" w:sz="0" w:space="0" w:color="auto"/>
        <w:left w:val="none" w:sz="0" w:space="0" w:color="auto"/>
        <w:bottom w:val="none" w:sz="0" w:space="0" w:color="auto"/>
        <w:right w:val="none" w:sz="0" w:space="0" w:color="auto"/>
      </w:divBdr>
    </w:div>
    <w:div w:id="992375397">
      <w:bodyDiv w:val="1"/>
      <w:marLeft w:val="0"/>
      <w:marRight w:val="0"/>
      <w:marTop w:val="0"/>
      <w:marBottom w:val="0"/>
      <w:divBdr>
        <w:top w:val="none" w:sz="0" w:space="0" w:color="auto"/>
        <w:left w:val="none" w:sz="0" w:space="0" w:color="auto"/>
        <w:bottom w:val="none" w:sz="0" w:space="0" w:color="auto"/>
        <w:right w:val="none" w:sz="0" w:space="0" w:color="auto"/>
      </w:divBdr>
    </w:div>
    <w:div w:id="996222319">
      <w:bodyDiv w:val="1"/>
      <w:marLeft w:val="0"/>
      <w:marRight w:val="0"/>
      <w:marTop w:val="0"/>
      <w:marBottom w:val="0"/>
      <w:divBdr>
        <w:top w:val="none" w:sz="0" w:space="0" w:color="auto"/>
        <w:left w:val="none" w:sz="0" w:space="0" w:color="auto"/>
        <w:bottom w:val="none" w:sz="0" w:space="0" w:color="auto"/>
        <w:right w:val="none" w:sz="0" w:space="0" w:color="auto"/>
      </w:divBdr>
    </w:div>
    <w:div w:id="996229215">
      <w:bodyDiv w:val="1"/>
      <w:marLeft w:val="0"/>
      <w:marRight w:val="0"/>
      <w:marTop w:val="0"/>
      <w:marBottom w:val="0"/>
      <w:divBdr>
        <w:top w:val="none" w:sz="0" w:space="0" w:color="auto"/>
        <w:left w:val="none" w:sz="0" w:space="0" w:color="auto"/>
        <w:bottom w:val="none" w:sz="0" w:space="0" w:color="auto"/>
        <w:right w:val="none" w:sz="0" w:space="0" w:color="auto"/>
      </w:divBdr>
    </w:div>
    <w:div w:id="996687577">
      <w:bodyDiv w:val="1"/>
      <w:marLeft w:val="0"/>
      <w:marRight w:val="0"/>
      <w:marTop w:val="0"/>
      <w:marBottom w:val="0"/>
      <w:divBdr>
        <w:top w:val="none" w:sz="0" w:space="0" w:color="auto"/>
        <w:left w:val="none" w:sz="0" w:space="0" w:color="auto"/>
        <w:bottom w:val="none" w:sz="0" w:space="0" w:color="auto"/>
        <w:right w:val="none" w:sz="0" w:space="0" w:color="auto"/>
      </w:divBdr>
    </w:div>
    <w:div w:id="996880889">
      <w:bodyDiv w:val="1"/>
      <w:marLeft w:val="0"/>
      <w:marRight w:val="0"/>
      <w:marTop w:val="0"/>
      <w:marBottom w:val="0"/>
      <w:divBdr>
        <w:top w:val="none" w:sz="0" w:space="0" w:color="auto"/>
        <w:left w:val="none" w:sz="0" w:space="0" w:color="auto"/>
        <w:bottom w:val="none" w:sz="0" w:space="0" w:color="auto"/>
        <w:right w:val="none" w:sz="0" w:space="0" w:color="auto"/>
      </w:divBdr>
    </w:div>
    <w:div w:id="997348524">
      <w:bodyDiv w:val="1"/>
      <w:marLeft w:val="0"/>
      <w:marRight w:val="0"/>
      <w:marTop w:val="0"/>
      <w:marBottom w:val="0"/>
      <w:divBdr>
        <w:top w:val="none" w:sz="0" w:space="0" w:color="auto"/>
        <w:left w:val="none" w:sz="0" w:space="0" w:color="auto"/>
        <w:bottom w:val="none" w:sz="0" w:space="0" w:color="auto"/>
        <w:right w:val="none" w:sz="0" w:space="0" w:color="auto"/>
      </w:divBdr>
    </w:div>
    <w:div w:id="1001543397">
      <w:bodyDiv w:val="1"/>
      <w:marLeft w:val="0"/>
      <w:marRight w:val="0"/>
      <w:marTop w:val="0"/>
      <w:marBottom w:val="0"/>
      <w:divBdr>
        <w:top w:val="none" w:sz="0" w:space="0" w:color="auto"/>
        <w:left w:val="none" w:sz="0" w:space="0" w:color="auto"/>
        <w:bottom w:val="none" w:sz="0" w:space="0" w:color="auto"/>
        <w:right w:val="none" w:sz="0" w:space="0" w:color="auto"/>
      </w:divBdr>
    </w:div>
    <w:div w:id="1001736955">
      <w:bodyDiv w:val="1"/>
      <w:marLeft w:val="0"/>
      <w:marRight w:val="0"/>
      <w:marTop w:val="0"/>
      <w:marBottom w:val="0"/>
      <w:divBdr>
        <w:top w:val="none" w:sz="0" w:space="0" w:color="auto"/>
        <w:left w:val="none" w:sz="0" w:space="0" w:color="auto"/>
        <w:bottom w:val="none" w:sz="0" w:space="0" w:color="auto"/>
        <w:right w:val="none" w:sz="0" w:space="0" w:color="auto"/>
      </w:divBdr>
    </w:div>
    <w:div w:id="1002125956">
      <w:bodyDiv w:val="1"/>
      <w:marLeft w:val="0"/>
      <w:marRight w:val="0"/>
      <w:marTop w:val="0"/>
      <w:marBottom w:val="0"/>
      <w:divBdr>
        <w:top w:val="none" w:sz="0" w:space="0" w:color="auto"/>
        <w:left w:val="none" w:sz="0" w:space="0" w:color="auto"/>
        <w:bottom w:val="none" w:sz="0" w:space="0" w:color="auto"/>
        <w:right w:val="none" w:sz="0" w:space="0" w:color="auto"/>
      </w:divBdr>
    </w:div>
    <w:div w:id="1002782474">
      <w:bodyDiv w:val="1"/>
      <w:marLeft w:val="0"/>
      <w:marRight w:val="0"/>
      <w:marTop w:val="0"/>
      <w:marBottom w:val="0"/>
      <w:divBdr>
        <w:top w:val="none" w:sz="0" w:space="0" w:color="auto"/>
        <w:left w:val="none" w:sz="0" w:space="0" w:color="auto"/>
        <w:bottom w:val="none" w:sz="0" w:space="0" w:color="auto"/>
        <w:right w:val="none" w:sz="0" w:space="0" w:color="auto"/>
      </w:divBdr>
    </w:div>
    <w:div w:id="1003894268">
      <w:bodyDiv w:val="1"/>
      <w:marLeft w:val="0"/>
      <w:marRight w:val="0"/>
      <w:marTop w:val="0"/>
      <w:marBottom w:val="0"/>
      <w:divBdr>
        <w:top w:val="none" w:sz="0" w:space="0" w:color="auto"/>
        <w:left w:val="none" w:sz="0" w:space="0" w:color="auto"/>
        <w:bottom w:val="none" w:sz="0" w:space="0" w:color="auto"/>
        <w:right w:val="none" w:sz="0" w:space="0" w:color="auto"/>
      </w:divBdr>
    </w:div>
    <w:div w:id="1004481074">
      <w:bodyDiv w:val="1"/>
      <w:marLeft w:val="0"/>
      <w:marRight w:val="0"/>
      <w:marTop w:val="0"/>
      <w:marBottom w:val="0"/>
      <w:divBdr>
        <w:top w:val="none" w:sz="0" w:space="0" w:color="auto"/>
        <w:left w:val="none" w:sz="0" w:space="0" w:color="auto"/>
        <w:bottom w:val="none" w:sz="0" w:space="0" w:color="auto"/>
        <w:right w:val="none" w:sz="0" w:space="0" w:color="auto"/>
      </w:divBdr>
    </w:div>
    <w:div w:id="1004942657">
      <w:bodyDiv w:val="1"/>
      <w:marLeft w:val="0"/>
      <w:marRight w:val="0"/>
      <w:marTop w:val="0"/>
      <w:marBottom w:val="0"/>
      <w:divBdr>
        <w:top w:val="none" w:sz="0" w:space="0" w:color="auto"/>
        <w:left w:val="none" w:sz="0" w:space="0" w:color="auto"/>
        <w:bottom w:val="none" w:sz="0" w:space="0" w:color="auto"/>
        <w:right w:val="none" w:sz="0" w:space="0" w:color="auto"/>
      </w:divBdr>
    </w:div>
    <w:div w:id="1005326450">
      <w:bodyDiv w:val="1"/>
      <w:marLeft w:val="0"/>
      <w:marRight w:val="0"/>
      <w:marTop w:val="0"/>
      <w:marBottom w:val="0"/>
      <w:divBdr>
        <w:top w:val="none" w:sz="0" w:space="0" w:color="auto"/>
        <w:left w:val="none" w:sz="0" w:space="0" w:color="auto"/>
        <w:bottom w:val="none" w:sz="0" w:space="0" w:color="auto"/>
        <w:right w:val="none" w:sz="0" w:space="0" w:color="auto"/>
      </w:divBdr>
    </w:div>
    <w:div w:id="1005862220">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7748877">
      <w:bodyDiv w:val="1"/>
      <w:marLeft w:val="0"/>
      <w:marRight w:val="0"/>
      <w:marTop w:val="0"/>
      <w:marBottom w:val="0"/>
      <w:divBdr>
        <w:top w:val="none" w:sz="0" w:space="0" w:color="auto"/>
        <w:left w:val="none" w:sz="0" w:space="0" w:color="auto"/>
        <w:bottom w:val="none" w:sz="0" w:space="0" w:color="auto"/>
        <w:right w:val="none" w:sz="0" w:space="0" w:color="auto"/>
      </w:divBdr>
    </w:div>
    <w:div w:id="1009067225">
      <w:bodyDiv w:val="1"/>
      <w:marLeft w:val="0"/>
      <w:marRight w:val="0"/>
      <w:marTop w:val="0"/>
      <w:marBottom w:val="0"/>
      <w:divBdr>
        <w:top w:val="none" w:sz="0" w:space="0" w:color="auto"/>
        <w:left w:val="none" w:sz="0" w:space="0" w:color="auto"/>
        <w:bottom w:val="none" w:sz="0" w:space="0" w:color="auto"/>
        <w:right w:val="none" w:sz="0" w:space="0" w:color="auto"/>
      </w:divBdr>
    </w:div>
    <w:div w:id="1009527905">
      <w:bodyDiv w:val="1"/>
      <w:marLeft w:val="0"/>
      <w:marRight w:val="0"/>
      <w:marTop w:val="0"/>
      <w:marBottom w:val="0"/>
      <w:divBdr>
        <w:top w:val="none" w:sz="0" w:space="0" w:color="auto"/>
        <w:left w:val="none" w:sz="0" w:space="0" w:color="auto"/>
        <w:bottom w:val="none" w:sz="0" w:space="0" w:color="auto"/>
        <w:right w:val="none" w:sz="0" w:space="0" w:color="auto"/>
      </w:divBdr>
    </w:div>
    <w:div w:id="1010371015">
      <w:bodyDiv w:val="1"/>
      <w:marLeft w:val="0"/>
      <w:marRight w:val="0"/>
      <w:marTop w:val="0"/>
      <w:marBottom w:val="0"/>
      <w:divBdr>
        <w:top w:val="none" w:sz="0" w:space="0" w:color="auto"/>
        <w:left w:val="none" w:sz="0" w:space="0" w:color="auto"/>
        <w:bottom w:val="none" w:sz="0" w:space="0" w:color="auto"/>
        <w:right w:val="none" w:sz="0" w:space="0" w:color="auto"/>
      </w:divBdr>
    </w:div>
    <w:div w:id="1011682417">
      <w:bodyDiv w:val="1"/>
      <w:marLeft w:val="0"/>
      <w:marRight w:val="0"/>
      <w:marTop w:val="0"/>
      <w:marBottom w:val="0"/>
      <w:divBdr>
        <w:top w:val="none" w:sz="0" w:space="0" w:color="auto"/>
        <w:left w:val="none" w:sz="0" w:space="0" w:color="auto"/>
        <w:bottom w:val="none" w:sz="0" w:space="0" w:color="auto"/>
        <w:right w:val="none" w:sz="0" w:space="0" w:color="auto"/>
      </w:divBdr>
    </w:div>
    <w:div w:id="1014959108">
      <w:bodyDiv w:val="1"/>
      <w:marLeft w:val="0"/>
      <w:marRight w:val="0"/>
      <w:marTop w:val="0"/>
      <w:marBottom w:val="0"/>
      <w:divBdr>
        <w:top w:val="none" w:sz="0" w:space="0" w:color="auto"/>
        <w:left w:val="none" w:sz="0" w:space="0" w:color="auto"/>
        <w:bottom w:val="none" w:sz="0" w:space="0" w:color="auto"/>
        <w:right w:val="none" w:sz="0" w:space="0" w:color="auto"/>
      </w:divBdr>
    </w:div>
    <w:div w:id="1015038343">
      <w:bodyDiv w:val="1"/>
      <w:marLeft w:val="0"/>
      <w:marRight w:val="0"/>
      <w:marTop w:val="0"/>
      <w:marBottom w:val="0"/>
      <w:divBdr>
        <w:top w:val="none" w:sz="0" w:space="0" w:color="auto"/>
        <w:left w:val="none" w:sz="0" w:space="0" w:color="auto"/>
        <w:bottom w:val="none" w:sz="0" w:space="0" w:color="auto"/>
        <w:right w:val="none" w:sz="0" w:space="0" w:color="auto"/>
      </w:divBdr>
    </w:div>
    <w:div w:id="1015769438">
      <w:bodyDiv w:val="1"/>
      <w:marLeft w:val="0"/>
      <w:marRight w:val="0"/>
      <w:marTop w:val="0"/>
      <w:marBottom w:val="0"/>
      <w:divBdr>
        <w:top w:val="none" w:sz="0" w:space="0" w:color="auto"/>
        <w:left w:val="none" w:sz="0" w:space="0" w:color="auto"/>
        <w:bottom w:val="none" w:sz="0" w:space="0" w:color="auto"/>
        <w:right w:val="none" w:sz="0" w:space="0" w:color="auto"/>
      </w:divBdr>
    </w:div>
    <w:div w:id="1016879745">
      <w:bodyDiv w:val="1"/>
      <w:marLeft w:val="0"/>
      <w:marRight w:val="0"/>
      <w:marTop w:val="0"/>
      <w:marBottom w:val="0"/>
      <w:divBdr>
        <w:top w:val="none" w:sz="0" w:space="0" w:color="auto"/>
        <w:left w:val="none" w:sz="0" w:space="0" w:color="auto"/>
        <w:bottom w:val="none" w:sz="0" w:space="0" w:color="auto"/>
        <w:right w:val="none" w:sz="0" w:space="0" w:color="auto"/>
      </w:divBdr>
    </w:div>
    <w:div w:id="1021325556">
      <w:bodyDiv w:val="1"/>
      <w:marLeft w:val="0"/>
      <w:marRight w:val="0"/>
      <w:marTop w:val="0"/>
      <w:marBottom w:val="0"/>
      <w:divBdr>
        <w:top w:val="none" w:sz="0" w:space="0" w:color="auto"/>
        <w:left w:val="none" w:sz="0" w:space="0" w:color="auto"/>
        <w:bottom w:val="none" w:sz="0" w:space="0" w:color="auto"/>
        <w:right w:val="none" w:sz="0" w:space="0" w:color="auto"/>
      </w:divBdr>
    </w:div>
    <w:div w:id="1021903309">
      <w:bodyDiv w:val="1"/>
      <w:marLeft w:val="0"/>
      <w:marRight w:val="0"/>
      <w:marTop w:val="0"/>
      <w:marBottom w:val="0"/>
      <w:divBdr>
        <w:top w:val="none" w:sz="0" w:space="0" w:color="auto"/>
        <w:left w:val="none" w:sz="0" w:space="0" w:color="auto"/>
        <w:bottom w:val="none" w:sz="0" w:space="0" w:color="auto"/>
        <w:right w:val="none" w:sz="0" w:space="0" w:color="auto"/>
      </w:divBdr>
    </w:div>
    <w:div w:id="1022055865">
      <w:bodyDiv w:val="1"/>
      <w:marLeft w:val="0"/>
      <w:marRight w:val="0"/>
      <w:marTop w:val="0"/>
      <w:marBottom w:val="0"/>
      <w:divBdr>
        <w:top w:val="none" w:sz="0" w:space="0" w:color="auto"/>
        <w:left w:val="none" w:sz="0" w:space="0" w:color="auto"/>
        <w:bottom w:val="none" w:sz="0" w:space="0" w:color="auto"/>
        <w:right w:val="none" w:sz="0" w:space="0" w:color="auto"/>
      </w:divBdr>
    </w:div>
    <w:div w:id="1022704877">
      <w:bodyDiv w:val="1"/>
      <w:marLeft w:val="0"/>
      <w:marRight w:val="0"/>
      <w:marTop w:val="0"/>
      <w:marBottom w:val="0"/>
      <w:divBdr>
        <w:top w:val="none" w:sz="0" w:space="0" w:color="auto"/>
        <w:left w:val="none" w:sz="0" w:space="0" w:color="auto"/>
        <w:bottom w:val="none" w:sz="0" w:space="0" w:color="auto"/>
        <w:right w:val="none" w:sz="0" w:space="0" w:color="auto"/>
      </w:divBdr>
    </w:div>
    <w:div w:id="1024092810">
      <w:bodyDiv w:val="1"/>
      <w:marLeft w:val="0"/>
      <w:marRight w:val="0"/>
      <w:marTop w:val="0"/>
      <w:marBottom w:val="0"/>
      <w:divBdr>
        <w:top w:val="none" w:sz="0" w:space="0" w:color="auto"/>
        <w:left w:val="none" w:sz="0" w:space="0" w:color="auto"/>
        <w:bottom w:val="none" w:sz="0" w:space="0" w:color="auto"/>
        <w:right w:val="none" w:sz="0" w:space="0" w:color="auto"/>
      </w:divBdr>
    </w:div>
    <w:div w:id="1025670147">
      <w:bodyDiv w:val="1"/>
      <w:marLeft w:val="0"/>
      <w:marRight w:val="0"/>
      <w:marTop w:val="0"/>
      <w:marBottom w:val="0"/>
      <w:divBdr>
        <w:top w:val="none" w:sz="0" w:space="0" w:color="auto"/>
        <w:left w:val="none" w:sz="0" w:space="0" w:color="auto"/>
        <w:bottom w:val="none" w:sz="0" w:space="0" w:color="auto"/>
        <w:right w:val="none" w:sz="0" w:space="0" w:color="auto"/>
      </w:divBdr>
    </w:div>
    <w:div w:id="1026635200">
      <w:bodyDiv w:val="1"/>
      <w:marLeft w:val="0"/>
      <w:marRight w:val="0"/>
      <w:marTop w:val="0"/>
      <w:marBottom w:val="0"/>
      <w:divBdr>
        <w:top w:val="none" w:sz="0" w:space="0" w:color="auto"/>
        <w:left w:val="none" w:sz="0" w:space="0" w:color="auto"/>
        <w:bottom w:val="none" w:sz="0" w:space="0" w:color="auto"/>
        <w:right w:val="none" w:sz="0" w:space="0" w:color="auto"/>
      </w:divBdr>
    </w:div>
    <w:div w:id="1029453937">
      <w:bodyDiv w:val="1"/>
      <w:marLeft w:val="0"/>
      <w:marRight w:val="0"/>
      <w:marTop w:val="0"/>
      <w:marBottom w:val="0"/>
      <w:divBdr>
        <w:top w:val="none" w:sz="0" w:space="0" w:color="auto"/>
        <w:left w:val="none" w:sz="0" w:space="0" w:color="auto"/>
        <w:bottom w:val="none" w:sz="0" w:space="0" w:color="auto"/>
        <w:right w:val="none" w:sz="0" w:space="0" w:color="auto"/>
      </w:divBdr>
    </w:div>
    <w:div w:id="1029839726">
      <w:bodyDiv w:val="1"/>
      <w:marLeft w:val="0"/>
      <w:marRight w:val="0"/>
      <w:marTop w:val="0"/>
      <w:marBottom w:val="0"/>
      <w:divBdr>
        <w:top w:val="none" w:sz="0" w:space="0" w:color="auto"/>
        <w:left w:val="none" w:sz="0" w:space="0" w:color="auto"/>
        <w:bottom w:val="none" w:sz="0" w:space="0" w:color="auto"/>
        <w:right w:val="none" w:sz="0" w:space="0" w:color="auto"/>
      </w:divBdr>
    </w:div>
    <w:div w:id="1030763713">
      <w:bodyDiv w:val="1"/>
      <w:marLeft w:val="0"/>
      <w:marRight w:val="0"/>
      <w:marTop w:val="0"/>
      <w:marBottom w:val="0"/>
      <w:divBdr>
        <w:top w:val="none" w:sz="0" w:space="0" w:color="auto"/>
        <w:left w:val="none" w:sz="0" w:space="0" w:color="auto"/>
        <w:bottom w:val="none" w:sz="0" w:space="0" w:color="auto"/>
        <w:right w:val="none" w:sz="0" w:space="0" w:color="auto"/>
      </w:divBdr>
    </w:div>
    <w:div w:id="1030911141">
      <w:bodyDiv w:val="1"/>
      <w:marLeft w:val="0"/>
      <w:marRight w:val="0"/>
      <w:marTop w:val="0"/>
      <w:marBottom w:val="0"/>
      <w:divBdr>
        <w:top w:val="none" w:sz="0" w:space="0" w:color="auto"/>
        <w:left w:val="none" w:sz="0" w:space="0" w:color="auto"/>
        <w:bottom w:val="none" w:sz="0" w:space="0" w:color="auto"/>
        <w:right w:val="none" w:sz="0" w:space="0" w:color="auto"/>
      </w:divBdr>
    </w:div>
    <w:div w:id="1031420181">
      <w:bodyDiv w:val="1"/>
      <w:marLeft w:val="0"/>
      <w:marRight w:val="0"/>
      <w:marTop w:val="0"/>
      <w:marBottom w:val="0"/>
      <w:divBdr>
        <w:top w:val="none" w:sz="0" w:space="0" w:color="auto"/>
        <w:left w:val="none" w:sz="0" w:space="0" w:color="auto"/>
        <w:bottom w:val="none" w:sz="0" w:space="0" w:color="auto"/>
        <w:right w:val="none" w:sz="0" w:space="0" w:color="auto"/>
      </w:divBdr>
    </w:div>
    <w:div w:id="1031421602">
      <w:bodyDiv w:val="1"/>
      <w:marLeft w:val="0"/>
      <w:marRight w:val="0"/>
      <w:marTop w:val="0"/>
      <w:marBottom w:val="0"/>
      <w:divBdr>
        <w:top w:val="none" w:sz="0" w:space="0" w:color="auto"/>
        <w:left w:val="none" w:sz="0" w:space="0" w:color="auto"/>
        <w:bottom w:val="none" w:sz="0" w:space="0" w:color="auto"/>
        <w:right w:val="none" w:sz="0" w:space="0" w:color="auto"/>
      </w:divBdr>
    </w:div>
    <w:div w:id="1033190642">
      <w:bodyDiv w:val="1"/>
      <w:marLeft w:val="0"/>
      <w:marRight w:val="0"/>
      <w:marTop w:val="0"/>
      <w:marBottom w:val="0"/>
      <w:divBdr>
        <w:top w:val="none" w:sz="0" w:space="0" w:color="auto"/>
        <w:left w:val="none" w:sz="0" w:space="0" w:color="auto"/>
        <w:bottom w:val="none" w:sz="0" w:space="0" w:color="auto"/>
        <w:right w:val="none" w:sz="0" w:space="0" w:color="auto"/>
      </w:divBdr>
    </w:div>
    <w:div w:id="1033842345">
      <w:bodyDiv w:val="1"/>
      <w:marLeft w:val="0"/>
      <w:marRight w:val="0"/>
      <w:marTop w:val="0"/>
      <w:marBottom w:val="0"/>
      <w:divBdr>
        <w:top w:val="none" w:sz="0" w:space="0" w:color="auto"/>
        <w:left w:val="none" w:sz="0" w:space="0" w:color="auto"/>
        <w:bottom w:val="none" w:sz="0" w:space="0" w:color="auto"/>
        <w:right w:val="none" w:sz="0" w:space="0" w:color="auto"/>
      </w:divBdr>
    </w:div>
    <w:div w:id="1033920818">
      <w:bodyDiv w:val="1"/>
      <w:marLeft w:val="0"/>
      <w:marRight w:val="0"/>
      <w:marTop w:val="0"/>
      <w:marBottom w:val="0"/>
      <w:divBdr>
        <w:top w:val="none" w:sz="0" w:space="0" w:color="auto"/>
        <w:left w:val="none" w:sz="0" w:space="0" w:color="auto"/>
        <w:bottom w:val="none" w:sz="0" w:space="0" w:color="auto"/>
        <w:right w:val="none" w:sz="0" w:space="0" w:color="auto"/>
      </w:divBdr>
    </w:div>
    <w:div w:id="1034186698">
      <w:bodyDiv w:val="1"/>
      <w:marLeft w:val="0"/>
      <w:marRight w:val="0"/>
      <w:marTop w:val="0"/>
      <w:marBottom w:val="0"/>
      <w:divBdr>
        <w:top w:val="none" w:sz="0" w:space="0" w:color="auto"/>
        <w:left w:val="none" w:sz="0" w:space="0" w:color="auto"/>
        <w:bottom w:val="none" w:sz="0" w:space="0" w:color="auto"/>
        <w:right w:val="none" w:sz="0" w:space="0" w:color="auto"/>
      </w:divBdr>
    </w:div>
    <w:div w:id="1034619761">
      <w:bodyDiv w:val="1"/>
      <w:marLeft w:val="0"/>
      <w:marRight w:val="0"/>
      <w:marTop w:val="0"/>
      <w:marBottom w:val="0"/>
      <w:divBdr>
        <w:top w:val="none" w:sz="0" w:space="0" w:color="auto"/>
        <w:left w:val="none" w:sz="0" w:space="0" w:color="auto"/>
        <w:bottom w:val="none" w:sz="0" w:space="0" w:color="auto"/>
        <w:right w:val="none" w:sz="0" w:space="0" w:color="auto"/>
      </w:divBdr>
    </w:div>
    <w:div w:id="1034765231">
      <w:bodyDiv w:val="1"/>
      <w:marLeft w:val="0"/>
      <w:marRight w:val="0"/>
      <w:marTop w:val="0"/>
      <w:marBottom w:val="0"/>
      <w:divBdr>
        <w:top w:val="none" w:sz="0" w:space="0" w:color="auto"/>
        <w:left w:val="none" w:sz="0" w:space="0" w:color="auto"/>
        <w:bottom w:val="none" w:sz="0" w:space="0" w:color="auto"/>
        <w:right w:val="none" w:sz="0" w:space="0" w:color="auto"/>
      </w:divBdr>
    </w:div>
    <w:div w:id="1036662702">
      <w:bodyDiv w:val="1"/>
      <w:marLeft w:val="0"/>
      <w:marRight w:val="0"/>
      <w:marTop w:val="0"/>
      <w:marBottom w:val="0"/>
      <w:divBdr>
        <w:top w:val="none" w:sz="0" w:space="0" w:color="auto"/>
        <w:left w:val="none" w:sz="0" w:space="0" w:color="auto"/>
        <w:bottom w:val="none" w:sz="0" w:space="0" w:color="auto"/>
        <w:right w:val="none" w:sz="0" w:space="0" w:color="auto"/>
      </w:divBdr>
    </w:div>
    <w:div w:id="1038047537">
      <w:bodyDiv w:val="1"/>
      <w:marLeft w:val="0"/>
      <w:marRight w:val="0"/>
      <w:marTop w:val="0"/>
      <w:marBottom w:val="0"/>
      <w:divBdr>
        <w:top w:val="none" w:sz="0" w:space="0" w:color="auto"/>
        <w:left w:val="none" w:sz="0" w:space="0" w:color="auto"/>
        <w:bottom w:val="none" w:sz="0" w:space="0" w:color="auto"/>
        <w:right w:val="none" w:sz="0" w:space="0" w:color="auto"/>
      </w:divBdr>
    </w:div>
    <w:div w:id="1039210422">
      <w:bodyDiv w:val="1"/>
      <w:marLeft w:val="0"/>
      <w:marRight w:val="0"/>
      <w:marTop w:val="0"/>
      <w:marBottom w:val="0"/>
      <w:divBdr>
        <w:top w:val="none" w:sz="0" w:space="0" w:color="auto"/>
        <w:left w:val="none" w:sz="0" w:space="0" w:color="auto"/>
        <w:bottom w:val="none" w:sz="0" w:space="0" w:color="auto"/>
        <w:right w:val="none" w:sz="0" w:space="0" w:color="auto"/>
      </w:divBdr>
    </w:div>
    <w:div w:id="1039478149">
      <w:bodyDiv w:val="1"/>
      <w:marLeft w:val="0"/>
      <w:marRight w:val="0"/>
      <w:marTop w:val="0"/>
      <w:marBottom w:val="0"/>
      <w:divBdr>
        <w:top w:val="none" w:sz="0" w:space="0" w:color="auto"/>
        <w:left w:val="none" w:sz="0" w:space="0" w:color="auto"/>
        <w:bottom w:val="none" w:sz="0" w:space="0" w:color="auto"/>
        <w:right w:val="none" w:sz="0" w:space="0" w:color="auto"/>
      </w:divBdr>
    </w:div>
    <w:div w:id="1039663741">
      <w:bodyDiv w:val="1"/>
      <w:marLeft w:val="0"/>
      <w:marRight w:val="0"/>
      <w:marTop w:val="0"/>
      <w:marBottom w:val="0"/>
      <w:divBdr>
        <w:top w:val="none" w:sz="0" w:space="0" w:color="auto"/>
        <w:left w:val="none" w:sz="0" w:space="0" w:color="auto"/>
        <w:bottom w:val="none" w:sz="0" w:space="0" w:color="auto"/>
        <w:right w:val="none" w:sz="0" w:space="0" w:color="auto"/>
      </w:divBdr>
    </w:div>
    <w:div w:id="1040057872">
      <w:bodyDiv w:val="1"/>
      <w:marLeft w:val="0"/>
      <w:marRight w:val="0"/>
      <w:marTop w:val="0"/>
      <w:marBottom w:val="0"/>
      <w:divBdr>
        <w:top w:val="none" w:sz="0" w:space="0" w:color="auto"/>
        <w:left w:val="none" w:sz="0" w:space="0" w:color="auto"/>
        <w:bottom w:val="none" w:sz="0" w:space="0" w:color="auto"/>
        <w:right w:val="none" w:sz="0" w:space="0" w:color="auto"/>
      </w:divBdr>
    </w:div>
    <w:div w:id="1041827484">
      <w:bodyDiv w:val="1"/>
      <w:marLeft w:val="0"/>
      <w:marRight w:val="0"/>
      <w:marTop w:val="0"/>
      <w:marBottom w:val="0"/>
      <w:divBdr>
        <w:top w:val="none" w:sz="0" w:space="0" w:color="auto"/>
        <w:left w:val="none" w:sz="0" w:space="0" w:color="auto"/>
        <w:bottom w:val="none" w:sz="0" w:space="0" w:color="auto"/>
        <w:right w:val="none" w:sz="0" w:space="0" w:color="auto"/>
      </w:divBdr>
    </w:div>
    <w:div w:id="1041974511">
      <w:bodyDiv w:val="1"/>
      <w:marLeft w:val="0"/>
      <w:marRight w:val="0"/>
      <w:marTop w:val="0"/>
      <w:marBottom w:val="0"/>
      <w:divBdr>
        <w:top w:val="none" w:sz="0" w:space="0" w:color="auto"/>
        <w:left w:val="none" w:sz="0" w:space="0" w:color="auto"/>
        <w:bottom w:val="none" w:sz="0" w:space="0" w:color="auto"/>
        <w:right w:val="none" w:sz="0" w:space="0" w:color="auto"/>
      </w:divBdr>
    </w:div>
    <w:div w:id="1043210490">
      <w:bodyDiv w:val="1"/>
      <w:marLeft w:val="0"/>
      <w:marRight w:val="0"/>
      <w:marTop w:val="0"/>
      <w:marBottom w:val="0"/>
      <w:divBdr>
        <w:top w:val="none" w:sz="0" w:space="0" w:color="auto"/>
        <w:left w:val="none" w:sz="0" w:space="0" w:color="auto"/>
        <w:bottom w:val="none" w:sz="0" w:space="0" w:color="auto"/>
        <w:right w:val="none" w:sz="0" w:space="0" w:color="auto"/>
      </w:divBdr>
    </w:div>
    <w:div w:id="1043480741">
      <w:bodyDiv w:val="1"/>
      <w:marLeft w:val="0"/>
      <w:marRight w:val="0"/>
      <w:marTop w:val="0"/>
      <w:marBottom w:val="0"/>
      <w:divBdr>
        <w:top w:val="none" w:sz="0" w:space="0" w:color="auto"/>
        <w:left w:val="none" w:sz="0" w:space="0" w:color="auto"/>
        <w:bottom w:val="none" w:sz="0" w:space="0" w:color="auto"/>
        <w:right w:val="none" w:sz="0" w:space="0" w:color="auto"/>
      </w:divBdr>
    </w:div>
    <w:div w:id="1045254616">
      <w:bodyDiv w:val="1"/>
      <w:marLeft w:val="0"/>
      <w:marRight w:val="0"/>
      <w:marTop w:val="0"/>
      <w:marBottom w:val="0"/>
      <w:divBdr>
        <w:top w:val="none" w:sz="0" w:space="0" w:color="auto"/>
        <w:left w:val="none" w:sz="0" w:space="0" w:color="auto"/>
        <w:bottom w:val="none" w:sz="0" w:space="0" w:color="auto"/>
        <w:right w:val="none" w:sz="0" w:space="0" w:color="auto"/>
      </w:divBdr>
    </w:div>
    <w:div w:id="1046948835">
      <w:bodyDiv w:val="1"/>
      <w:marLeft w:val="0"/>
      <w:marRight w:val="0"/>
      <w:marTop w:val="0"/>
      <w:marBottom w:val="0"/>
      <w:divBdr>
        <w:top w:val="none" w:sz="0" w:space="0" w:color="auto"/>
        <w:left w:val="none" w:sz="0" w:space="0" w:color="auto"/>
        <w:bottom w:val="none" w:sz="0" w:space="0" w:color="auto"/>
        <w:right w:val="none" w:sz="0" w:space="0" w:color="auto"/>
      </w:divBdr>
    </w:div>
    <w:div w:id="1049107369">
      <w:bodyDiv w:val="1"/>
      <w:marLeft w:val="0"/>
      <w:marRight w:val="0"/>
      <w:marTop w:val="0"/>
      <w:marBottom w:val="0"/>
      <w:divBdr>
        <w:top w:val="none" w:sz="0" w:space="0" w:color="auto"/>
        <w:left w:val="none" w:sz="0" w:space="0" w:color="auto"/>
        <w:bottom w:val="none" w:sz="0" w:space="0" w:color="auto"/>
        <w:right w:val="none" w:sz="0" w:space="0" w:color="auto"/>
      </w:divBdr>
    </w:div>
    <w:div w:id="1049307938">
      <w:bodyDiv w:val="1"/>
      <w:marLeft w:val="0"/>
      <w:marRight w:val="0"/>
      <w:marTop w:val="0"/>
      <w:marBottom w:val="0"/>
      <w:divBdr>
        <w:top w:val="none" w:sz="0" w:space="0" w:color="auto"/>
        <w:left w:val="none" w:sz="0" w:space="0" w:color="auto"/>
        <w:bottom w:val="none" w:sz="0" w:space="0" w:color="auto"/>
        <w:right w:val="none" w:sz="0" w:space="0" w:color="auto"/>
      </w:divBdr>
    </w:div>
    <w:div w:id="1050308109">
      <w:bodyDiv w:val="1"/>
      <w:marLeft w:val="0"/>
      <w:marRight w:val="0"/>
      <w:marTop w:val="0"/>
      <w:marBottom w:val="0"/>
      <w:divBdr>
        <w:top w:val="none" w:sz="0" w:space="0" w:color="auto"/>
        <w:left w:val="none" w:sz="0" w:space="0" w:color="auto"/>
        <w:bottom w:val="none" w:sz="0" w:space="0" w:color="auto"/>
        <w:right w:val="none" w:sz="0" w:space="0" w:color="auto"/>
      </w:divBdr>
    </w:div>
    <w:div w:id="1051852920">
      <w:bodyDiv w:val="1"/>
      <w:marLeft w:val="0"/>
      <w:marRight w:val="0"/>
      <w:marTop w:val="0"/>
      <w:marBottom w:val="0"/>
      <w:divBdr>
        <w:top w:val="none" w:sz="0" w:space="0" w:color="auto"/>
        <w:left w:val="none" w:sz="0" w:space="0" w:color="auto"/>
        <w:bottom w:val="none" w:sz="0" w:space="0" w:color="auto"/>
        <w:right w:val="none" w:sz="0" w:space="0" w:color="auto"/>
      </w:divBdr>
    </w:div>
    <w:div w:id="1052460965">
      <w:bodyDiv w:val="1"/>
      <w:marLeft w:val="0"/>
      <w:marRight w:val="0"/>
      <w:marTop w:val="0"/>
      <w:marBottom w:val="0"/>
      <w:divBdr>
        <w:top w:val="none" w:sz="0" w:space="0" w:color="auto"/>
        <w:left w:val="none" w:sz="0" w:space="0" w:color="auto"/>
        <w:bottom w:val="none" w:sz="0" w:space="0" w:color="auto"/>
        <w:right w:val="none" w:sz="0" w:space="0" w:color="auto"/>
      </w:divBdr>
    </w:div>
    <w:div w:id="1052534740">
      <w:bodyDiv w:val="1"/>
      <w:marLeft w:val="0"/>
      <w:marRight w:val="0"/>
      <w:marTop w:val="0"/>
      <w:marBottom w:val="0"/>
      <w:divBdr>
        <w:top w:val="none" w:sz="0" w:space="0" w:color="auto"/>
        <w:left w:val="none" w:sz="0" w:space="0" w:color="auto"/>
        <w:bottom w:val="none" w:sz="0" w:space="0" w:color="auto"/>
        <w:right w:val="none" w:sz="0" w:space="0" w:color="auto"/>
      </w:divBdr>
    </w:div>
    <w:div w:id="1053237412">
      <w:bodyDiv w:val="1"/>
      <w:marLeft w:val="0"/>
      <w:marRight w:val="0"/>
      <w:marTop w:val="0"/>
      <w:marBottom w:val="0"/>
      <w:divBdr>
        <w:top w:val="none" w:sz="0" w:space="0" w:color="auto"/>
        <w:left w:val="none" w:sz="0" w:space="0" w:color="auto"/>
        <w:bottom w:val="none" w:sz="0" w:space="0" w:color="auto"/>
        <w:right w:val="none" w:sz="0" w:space="0" w:color="auto"/>
      </w:divBdr>
    </w:div>
    <w:div w:id="1053503722">
      <w:bodyDiv w:val="1"/>
      <w:marLeft w:val="0"/>
      <w:marRight w:val="0"/>
      <w:marTop w:val="0"/>
      <w:marBottom w:val="0"/>
      <w:divBdr>
        <w:top w:val="none" w:sz="0" w:space="0" w:color="auto"/>
        <w:left w:val="none" w:sz="0" w:space="0" w:color="auto"/>
        <w:bottom w:val="none" w:sz="0" w:space="0" w:color="auto"/>
        <w:right w:val="none" w:sz="0" w:space="0" w:color="auto"/>
      </w:divBdr>
    </w:div>
    <w:div w:id="1054354432">
      <w:bodyDiv w:val="1"/>
      <w:marLeft w:val="0"/>
      <w:marRight w:val="0"/>
      <w:marTop w:val="0"/>
      <w:marBottom w:val="0"/>
      <w:divBdr>
        <w:top w:val="none" w:sz="0" w:space="0" w:color="auto"/>
        <w:left w:val="none" w:sz="0" w:space="0" w:color="auto"/>
        <w:bottom w:val="none" w:sz="0" w:space="0" w:color="auto"/>
        <w:right w:val="none" w:sz="0" w:space="0" w:color="auto"/>
      </w:divBdr>
    </w:div>
    <w:div w:id="1055935265">
      <w:bodyDiv w:val="1"/>
      <w:marLeft w:val="0"/>
      <w:marRight w:val="0"/>
      <w:marTop w:val="0"/>
      <w:marBottom w:val="0"/>
      <w:divBdr>
        <w:top w:val="none" w:sz="0" w:space="0" w:color="auto"/>
        <w:left w:val="none" w:sz="0" w:space="0" w:color="auto"/>
        <w:bottom w:val="none" w:sz="0" w:space="0" w:color="auto"/>
        <w:right w:val="none" w:sz="0" w:space="0" w:color="auto"/>
      </w:divBdr>
    </w:div>
    <w:div w:id="1056467167">
      <w:bodyDiv w:val="1"/>
      <w:marLeft w:val="0"/>
      <w:marRight w:val="0"/>
      <w:marTop w:val="0"/>
      <w:marBottom w:val="0"/>
      <w:divBdr>
        <w:top w:val="none" w:sz="0" w:space="0" w:color="auto"/>
        <w:left w:val="none" w:sz="0" w:space="0" w:color="auto"/>
        <w:bottom w:val="none" w:sz="0" w:space="0" w:color="auto"/>
        <w:right w:val="none" w:sz="0" w:space="0" w:color="auto"/>
      </w:divBdr>
    </w:div>
    <w:div w:id="1056509202">
      <w:bodyDiv w:val="1"/>
      <w:marLeft w:val="0"/>
      <w:marRight w:val="0"/>
      <w:marTop w:val="0"/>
      <w:marBottom w:val="0"/>
      <w:divBdr>
        <w:top w:val="none" w:sz="0" w:space="0" w:color="auto"/>
        <w:left w:val="none" w:sz="0" w:space="0" w:color="auto"/>
        <w:bottom w:val="none" w:sz="0" w:space="0" w:color="auto"/>
        <w:right w:val="none" w:sz="0" w:space="0" w:color="auto"/>
      </w:divBdr>
    </w:div>
    <w:div w:id="1061489433">
      <w:bodyDiv w:val="1"/>
      <w:marLeft w:val="0"/>
      <w:marRight w:val="0"/>
      <w:marTop w:val="0"/>
      <w:marBottom w:val="0"/>
      <w:divBdr>
        <w:top w:val="none" w:sz="0" w:space="0" w:color="auto"/>
        <w:left w:val="none" w:sz="0" w:space="0" w:color="auto"/>
        <w:bottom w:val="none" w:sz="0" w:space="0" w:color="auto"/>
        <w:right w:val="none" w:sz="0" w:space="0" w:color="auto"/>
      </w:divBdr>
    </w:div>
    <w:div w:id="1061945410">
      <w:bodyDiv w:val="1"/>
      <w:marLeft w:val="0"/>
      <w:marRight w:val="0"/>
      <w:marTop w:val="0"/>
      <w:marBottom w:val="0"/>
      <w:divBdr>
        <w:top w:val="none" w:sz="0" w:space="0" w:color="auto"/>
        <w:left w:val="none" w:sz="0" w:space="0" w:color="auto"/>
        <w:bottom w:val="none" w:sz="0" w:space="0" w:color="auto"/>
        <w:right w:val="none" w:sz="0" w:space="0" w:color="auto"/>
      </w:divBdr>
    </w:div>
    <w:div w:id="1063018761">
      <w:bodyDiv w:val="1"/>
      <w:marLeft w:val="0"/>
      <w:marRight w:val="0"/>
      <w:marTop w:val="0"/>
      <w:marBottom w:val="0"/>
      <w:divBdr>
        <w:top w:val="none" w:sz="0" w:space="0" w:color="auto"/>
        <w:left w:val="none" w:sz="0" w:space="0" w:color="auto"/>
        <w:bottom w:val="none" w:sz="0" w:space="0" w:color="auto"/>
        <w:right w:val="none" w:sz="0" w:space="0" w:color="auto"/>
      </w:divBdr>
    </w:div>
    <w:div w:id="1063875417">
      <w:bodyDiv w:val="1"/>
      <w:marLeft w:val="0"/>
      <w:marRight w:val="0"/>
      <w:marTop w:val="0"/>
      <w:marBottom w:val="0"/>
      <w:divBdr>
        <w:top w:val="none" w:sz="0" w:space="0" w:color="auto"/>
        <w:left w:val="none" w:sz="0" w:space="0" w:color="auto"/>
        <w:bottom w:val="none" w:sz="0" w:space="0" w:color="auto"/>
        <w:right w:val="none" w:sz="0" w:space="0" w:color="auto"/>
      </w:divBdr>
    </w:div>
    <w:div w:id="1064764140">
      <w:bodyDiv w:val="1"/>
      <w:marLeft w:val="0"/>
      <w:marRight w:val="0"/>
      <w:marTop w:val="0"/>
      <w:marBottom w:val="0"/>
      <w:divBdr>
        <w:top w:val="none" w:sz="0" w:space="0" w:color="auto"/>
        <w:left w:val="none" w:sz="0" w:space="0" w:color="auto"/>
        <w:bottom w:val="none" w:sz="0" w:space="0" w:color="auto"/>
        <w:right w:val="none" w:sz="0" w:space="0" w:color="auto"/>
      </w:divBdr>
    </w:div>
    <w:div w:id="1065033251">
      <w:bodyDiv w:val="1"/>
      <w:marLeft w:val="0"/>
      <w:marRight w:val="0"/>
      <w:marTop w:val="0"/>
      <w:marBottom w:val="0"/>
      <w:divBdr>
        <w:top w:val="none" w:sz="0" w:space="0" w:color="auto"/>
        <w:left w:val="none" w:sz="0" w:space="0" w:color="auto"/>
        <w:bottom w:val="none" w:sz="0" w:space="0" w:color="auto"/>
        <w:right w:val="none" w:sz="0" w:space="0" w:color="auto"/>
      </w:divBdr>
    </w:div>
    <w:div w:id="1067729351">
      <w:bodyDiv w:val="1"/>
      <w:marLeft w:val="0"/>
      <w:marRight w:val="0"/>
      <w:marTop w:val="0"/>
      <w:marBottom w:val="0"/>
      <w:divBdr>
        <w:top w:val="none" w:sz="0" w:space="0" w:color="auto"/>
        <w:left w:val="none" w:sz="0" w:space="0" w:color="auto"/>
        <w:bottom w:val="none" w:sz="0" w:space="0" w:color="auto"/>
        <w:right w:val="none" w:sz="0" w:space="0" w:color="auto"/>
      </w:divBdr>
    </w:div>
    <w:div w:id="1068386133">
      <w:bodyDiv w:val="1"/>
      <w:marLeft w:val="0"/>
      <w:marRight w:val="0"/>
      <w:marTop w:val="0"/>
      <w:marBottom w:val="0"/>
      <w:divBdr>
        <w:top w:val="none" w:sz="0" w:space="0" w:color="auto"/>
        <w:left w:val="none" w:sz="0" w:space="0" w:color="auto"/>
        <w:bottom w:val="none" w:sz="0" w:space="0" w:color="auto"/>
        <w:right w:val="none" w:sz="0" w:space="0" w:color="auto"/>
      </w:divBdr>
    </w:div>
    <w:div w:id="1069495048">
      <w:bodyDiv w:val="1"/>
      <w:marLeft w:val="0"/>
      <w:marRight w:val="0"/>
      <w:marTop w:val="0"/>
      <w:marBottom w:val="0"/>
      <w:divBdr>
        <w:top w:val="none" w:sz="0" w:space="0" w:color="auto"/>
        <w:left w:val="none" w:sz="0" w:space="0" w:color="auto"/>
        <w:bottom w:val="none" w:sz="0" w:space="0" w:color="auto"/>
        <w:right w:val="none" w:sz="0" w:space="0" w:color="auto"/>
      </w:divBdr>
    </w:div>
    <w:div w:id="1072390436">
      <w:bodyDiv w:val="1"/>
      <w:marLeft w:val="0"/>
      <w:marRight w:val="0"/>
      <w:marTop w:val="0"/>
      <w:marBottom w:val="0"/>
      <w:divBdr>
        <w:top w:val="none" w:sz="0" w:space="0" w:color="auto"/>
        <w:left w:val="none" w:sz="0" w:space="0" w:color="auto"/>
        <w:bottom w:val="none" w:sz="0" w:space="0" w:color="auto"/>
        <w:right w:val="none" w:sz="0" w:space="0" w:color="auto"/>
      </w:divBdr>
    </w:div>
    <w:div w:id="1072462373">
      <w:bodyDiv w:val="1"/>
      <w:marLeft w:val="0"/>
      <w:marRight w:val="0"/>
      <w:marTop w:val="0"/>
      <w:marBottom w:val="0"/>
      <w:divBdr>
        <w:top w:val="none" w:sz="0" w:space="0" w:color="auto"/>
        <w:left w:val="none" w:sz="0" w:space="0" w:color="auto"/>
        <w:bottom w:val="none" w:sz="0" w:space="0" w:color="auto"/>
        <w:right w:val="none" w:sz="0" w:space="0" w:color="auto"/>
      </w:divBdr>
    </w:div>
    <w:div w:id="1072506452">
      <w:bodyDiv w:val="1"/>
      <w:marLeft w:val="0"/>
      <w:marRight w:val="0"/>
      <w:marTop w:val="0"/>
      <w:marBottom w:val="0"/>
      <w:divBdr>
        <w:top w:val="none" w:sz="0" w:space="0" w:color="auto"/>
        <w:left w:val="none" w:sz="0" w:space="0" w:color="auto"/>
        <w:bottom w:val="none" w:sz="0" w:space="0" w:color="auto"/>
        <w:right w:val="none" w:sz="0" w:space="0" w:color="auto"/>
      </w:divBdr>
    </w:div>
    <w:div w:id="1072581461">
      <w:bodyDiv w:val="1"/>
      <w:marLeft w:val="0"/>
      <w:marRight w:val="0"/>
      <w:marTop w:val="0"/>
      <w:marBottom w:val="0"/>
      <w:divBdr>
        <w:top w:val="none" w:sz="0" w:space="0" w:color="auto"/>
        <w:left w:val="none" w:sz="0" w:space="0" w:color="auto"/>
        <w:bottom w:val="none" w:sz="0" w:space="0" w:color="auto"/>
        <w:right w:val="none" w:sz="0" w:space="0" w:color="auto"/>
      </w:divBdr>
    </w:div>
    <w:div w:id="1073553663">
      <w:bodyDiv w:val="1"/>
      <w:marLeft w:val="0"/>
      <w:marRight w:val="0"/>
      <w:marTop w:val="0"/>
      <w:marBottom w:val="0"/>
      <w:divBdr>
        <w:top w:val="none" w:sz="0" w:space="0" w:color="auto"/>
        <w:left w:val="none" w:sz="0" w:space="0" w:color="auto"/>
        <w:bottom w:val="none" w:sz="0" w:space="0" w:color="auto"/>
        <w:right w:val="none" w:sz="0" w:space="0" w:color="auto"/>
      </w:divBdr>
    </w:div>
    <w:div w:id="1074398614">
      <w:bodyDiv w:val="1"/>
      <w:marLeft w:val="0"/>
      <w:marRight w:val="0"/>
      <w:marTop w:val="0"/>
      <w:marBottom w:val="0"/>
      <w:divBdr>
        <w:top w:val="none" w:sz="0" w:space="0" w:color="auto"/>
        <w:left w:val="none" w:sz="0" w:space="0" w:color="auto"/>
        <w:bottom w:val="none" w:sz="0" w:space="0" w:color="auto"/>
        <w:right w:val="none" w:sz="0" w:space="0" w:color="auto"/>
      </w:divBdr>
    </w:div>
    <w:div w:id="1075469019">
      <w:bodyDiv w:val="1"/>
      <w:marLeft w:val="0"/>
      <w:marRight w:val="0"/>
      <w:marTop w:val="0"/>
      <w:marBottom w:val="0"/>
      <w:divBdr>
        <w:top w:val="none" w:sz="0" w:space="0" w:color="auto"/>
        <w:left w:val="none" w:sz="0" w:space="0" w:color="auto"/>
        <w:bottom w:val="none" w:sz="0" w:space="0" w:color="auto"/>
        <w:right w:val="none" w:sz="0" w:space="0" w:color="auto"/>
      </w:divBdr>
    </w:div>
    <w:div w:id="1075786726">
      <w:bodyDiv w:val="1"/>
      <w:marLeft w:val="0"/>
      <w:marRight w:val="0"/>
      <w:marTop w:val="0"/>
      <w:marBottom w:val="0"/>
      <w:divBdr>
        <w:top w:val="none" w:sz="0" w:space="0" w:color="auto"/>
        <w:left w:val="none" w:sz="0" w:space="0" w:color="auto"/>
        <w:bottom w:val="none" w:sz="0" w:space="0" w:color="auto"/>
        <w:right w:val="none" w:sz="0" w:space="0" w:color="auto"/>
      </w:divBdr>
    </w:div>
    <w:div w:id="1076056662">
      <w:bodyDiv w:val="1"/>
      <w:marLeft w:val="0"/>
      <w:marRight w:val="0"/>
      <w:marTop w:val="0"/>
      <w:marBottom w:val="0"/>
      <w:divBdr>
        <w:top w:val="none" w:sz="0" w:space="0" w:color="auto"/>
        <w:left w:val="none" w:sz="0" w:space="0" w:color="auto"/>
        <w:bottom w:val="none" w:sz="0" w:space="0" w:color="auto"/>
        <w:right w:val="none" w:sz="0" w:space="0" w:color="auto"/>
      </w:divBdr>
    </w:div>
    <w:div w:id="1078210012">
      <w:bodyDiv w:val="1"/>
      <w:marLeft w:val="0"/>
      <w:marRight w:val="0"/>
      <w:marTop w:val="0"/>
      <w:marBottom w:val="0"/>
      <w:divBdr>
        <w:top w:val="none" w:sz="0" w:space="0" w:color="auto"/>
        <w:left w:val="none" w:sz="0" w:space="0" w:color="auto"/>
        <w:bottom w:val="none" w:sz="0" w:space="0" w:color="auto"/>
        <w:right w:val="none" w:sz="0" w:space="0" w:color="auto"/>
      </w:divBdr>
    </w:div>
    <w:div w:id="1079979018">
      <w:bodyDiv w:val="1"/>
      <w:marLeft w:val="0"/>
      <w:marRight w:val="0"/>
      <w:marTop w:val="0"/>
      <w:marBottom w:val="0"/>
      <w:divBdr>
        <w:top w:val="none" w:sz="0" w:space="0" w:color="auto"/>
        <w:left w:val="none" w:sz="0" w:space="0" w:color="auto"/>
        <w:bottom w:val="none" w:sz="0" w:space="0" w:color="auto"/>
        <w:right w:val="none" w:sz="0" w:space="0" w:color="auto"/>
      </w:divBdr>
    </w:div>
    <w:div w:id="1080060344">
      <w:bodyDiv w:val="1"/>
      <w:marLeft w:val="0"/>
      <w:marRight w:val="0"/>
      <w:marTop w:val="0"/>
      <w:marBottom w:val="0"/>
      <w:divBdr>
        <w:top w:val="none" w:sz="0" w:space="0" w:color="auto"/>
        <w:left w:val="none" w:sz="0" w:space="0" w:color="auto"/>
        <w:bottom w:val="none" w:sz="0" w:space="0" w:color="auto"/>
        <w:right w:val="none" w:sz="0" w:space="0" w:color="auto"/>
      </w:divBdr>
    </w:div>
    <w:div w:id="1081176335">
      <w:bodyDiv w:val="1"/>
      <w:marLeft w:val="0"/>
      <w:marRight w:val="0"/>
      <w:marTop w:val="0"/>
      <w:marBottom w:val="0"/>
      <w:divBdr>
        <w:top w:val="none" w:sz="0" w:space="0" w:color="auto"/>
        <w:left w:val="none" w:sz="0" w:space="0" w:color="auto"/>
        <w:bottom w:val="none" w:sz="0" w:space="0" w:color="auto"/>
        <w:right w:val="none" w:sz="0" w:space="0" w:color="auto"/>
      </w:divBdr>
    </w:div>
    <w:div w:id="1082028336">
      <w:bodyDiv w:val="1"/>
      <w:marLeft w:val="0"/>
      <w:marRight w:val="0"/>
      <w:marTop w:val="0"/>
      <w:marBottom w:val="0"/>
      <w:divBdr>
        <w:top w:val="none" w:sz="0" w:space="0" w:color="auto"/>
        <w:left w:val="none" w:sz="0" w:space="0" w:color="auto"/>
        <w:bottom w:val="none" w:sz="0" w:space="0" w:color="auto"/>
        <w:right w:val="none" w:sz="0" w:space="0" w:color="auto"/>
      </w:divBdr>
    </w:div>
    <w:div w:id="1082607402">
      <w:bodyDiv w:val="1"/>
      <w:marLeft w:val="0"/>
      <w:marRight w:val="0"/>
      <w:marTop w:val="0"/>
      <w:marBottom w:val="0"/>
      <w:divBdr>
        <w:top w:val="none" w:sz="0" w:space="0" w:color="auto"/>
        <w:left w:val="none" w:sz="0" w:space="0" w:color="auto"/>
        <w:bottom w:val="none" w:sz="0" w:space="0" w:color="auto"/>
        <w:right w:val="none" w:sz="0" w:space="0" w:color="auto"/>
      </w:divBdr>
    </w:div>
    <w:div w:id="1086537697">
      <w:bodyDiv w:val="1"/>
      <w:marLeft w:val="0"/>
      <w:marRight w:val="0"/>
      <w:marTop w:val="0"/>
      <w:marBottom w:val="0"/>
      <w:divBdr>
        <w:top w:val="none" w:sz="0" w:space="0" w:color="auto"/>
        <w:left w:val="none" w:sz="0" w:space="0" w:color="auto"/>
        <w:bottom w:val="none" w:sz="0" w:space="0" w:color="auto"/>
        <w:right w:val="none" w:sz="0" w:space="0" w:color="auto"/>
      </w:divBdr>
    </w:div>
    <w:div w:id="1086926350">
      <w:bodyDiv w:val="1"/>
      <w:marLeft w:val="0"/>
      <w:marRight w:val="0"/>
      <w:marTop w:val="0"/>
      <w:marBottom w:val="0"/>
      <w:divBdr>
        <w:top w:val="none" w:sz="0" w:space="0" w:color="auto"/>
        <w:left w:val="none" w:sz="0" w:space="0" w:color="auto"/>
        <w:bottom w:val="none" w:sz="0" w:space="0" w:color="auto"/>
        <w:right w:val="none" w:sz="0" w:space="0" w:color="auto"/>
      </w:divBdr>
    </w:div>
    <w:div w:id="1088386111">
      <w:bodyDiv w:val="1"/>
      <w:marLeft w:val="0"/>
      <w:marRight w:val="0"/>
      <w:marTop w:val="0"/>
      <w:marBottom w:val="0"/>
      <w:divBdr>
        <w:top w:val="none" w:sz="0" w:space="0" w:color="auto"/>
        <w:left w:val="none" w:sz="0" w:space="0" w:color="auto"/>
        <w:bottom w:val="none" w:sz="0" w:space="0" w:color="auto"/>
        <w:right w:val="none" w:sz="0" w:space="0" w:color="auto"/>
      </w:divBdr>
    </w:div>
    <w:div w:id="1090153780">
      <w:bodyDiv w:val="1"/>
      <w:marLeft w:val="0"/>
      <w:marRight w:val="0"/>
      <w:marTop w:val="0"/>
      <w:marBottom w:val="0"/>
      <w:divBdr>
        <w:top w:val="none" w:sz="0" w:space="0" w:color="auto"/>
        <w:left w:val="none" w:sz="0" w:space="0" w:color="auto"/>
        <w:bottom w:val="none" w:sz="0" w:space="0" w:color="auto"/>
        <w:right w:val="none" w:sz="0" w:space="0" w:color="auto"/>
      </w:divBdr>
    </w:div>
    <w:div w:id="1090617293">
      <w:bodyDiv w:val="1"/>
      <w:marLeft w:val="0"/>
      <w:marRight w:val="0"/>
      <w:marTop w:val="0"/>
      <w:marBottom w:val="0"/>
      <w:divBdr>
        <w:top w:val="none" w:sz="0" w:space="0" w:color="auto"/>
        <w:left w:val="none" w:sz="0" w:space="0" w:color="auto"/>
        <w:bottom w:val="none" w:sz="0" w:space="0" w:color="auto"/>
        <w:right w:val="none" w:sz="0" w:space="0" w:color="auto"/>
      </w:divBdr>
    </w:div>
    <w:div w:id="1090660883">
      <w:bodyDiv w:val="1"/>
      <w:marLeft w:val="0"/>
      <w:marRight w:val="0"/>
      <w:marTop w:val="0"/>
      <w:marBottom w:val="0"/>
      <w:divBdr>
        <w:top w:val="none" w:sz="0" w:space="0" w:color="auto"/>
        <w:left w:val="none" w:sz="0" w:space="0" w:color="auto"/>
        <w:bottom w:val="none" w:sz="0" w:space="0" w:color="auto"/>
        <w:right w:val="none" w:sz="0" w:space="0" w:color="auto"/>
      </w:divBdr>
    </w:div>
    <w:div w:id="1090781288">
      <w:bodyDiv w:val="1"/>
      <w:marLeft w:val="0"/>
      <w:marRight w:val="0"/>
      <w:marTop w:val="0"/>
      <w:marBottom w:val="0"/>
      <w:divBdr>
        <w:top w:val="none" w:sz="0" w:space="0" w:color="auto"/>
        <w:left w:val="none" w:sz="0" w:space="0" w:color="auto"/>
        <w:bottom w:val="none" w:sz="0" w:space="0" w:color="auto"/>
        <w:right w:val="none" w:sz="0" w:space="0" w:color="auto"/>
      </w:divBdr>
    </w:div>
    <w:div w:id="1092317599">
      <w:bodyDiv w:val="1"/>
      <w:marLeft w:val="0"/>
      <w:marRight w:val="0"/>
      <w:marTop w:val="0"/>
      <w:marBottom w:val="0"/>
      <w:divBdr>
        <w:top w:val="none" w:sz="0" w:space="0" w:color="auto"/>
        <w:left w:val="none" w:sz="0" w:space="0" w:color="auto"/>
        <w:bottom w:val="none" w:sz="0" w:space="0" w:color="auto"/>
        <w:right w:val="none" w:sz="0" w:space="0" w:color="auto"/>
      </w:divBdr>
    </w:div>
    <w:div w:id="1092433204">
      <w:bodyDiv w:val="1"/>
      <w:marLeft w:val="0"/>
      <w:marRight w:val="0"/>
      <w:marTop w:val="0"/>
      <w:marBottom w:val="0"/>
      <w:divBdr>
        <w:top w:val="none" w:sz="0" w:space="0" w:color="auto"/>
        <w:left w:val="none" w:sz="0" w:space="0" w:color="auto"/>
        <w:bottom w:val="none" w:sz="0" w:space="0" w:color="auto"/>
        <w:right w:val="none" w:sz="0" w:space="0" w:color="auto"/>
      </w:divBdr>
    </w:div>
    <w:div w:id="1092823030">
      <w:bodyDiv w:val="1"/>
      <w:marLeft w:val="0"/>
      <w:marRight w:val="0"/>
      <w:marTop w:val="0"/>
      <w:marBottom w:val="0"/>
      <w:divBdr>
        <w:top w:val="none" w:sz="0" w:space="0" w:color="auto"/>
        <w:left w:val="none" w:sz="0" w:space="0" w:color="auto"/>
        <w:bottom w:val="none" w:sz="0" w:space="0" w:color="auto"/>
        <w:right w:val="none" w:sz="0" w:space="0" w:color="auto"/>
      </w:divBdr>
    </w:div>
    <w:div w:id="1095394368">
      <w:bodyDiv w:val="1"/>
      <w:marLeft w:val="0"/>
      <w:marRight w:val="0"/>
      <w:marTop w:val="0"/>
      <w:marBottom w:val="0"/>
      <w:divBdr>
        <w:top w:val="none" w:sz="0" w:space="0" w:color="auto"/>
        <w:left w:val="none" w:sz="0" w:space="0" w:color="auto"/>
        <w:bottom w:val="none" w:sz="0" w:space="0" w:color="auto"/>
        <w:right w:val="none" w:sz="0" w:space="0" w:color="auto"/>
      </w:divBdr>
    </w:div>
    <w:div w:id="1095515867">
      <w:bodyDiv w:val="1"/>
      <w:marLeft w:val="0"/>
      <w:marRight w:val="0"/>
      <w:marTop w:val="0"/>
      <w:marBottom w:val="0"/>
      <w:divBdr>
        <w:top w:val="none" w:sz="0" w:space="0" w:color="auto"/>
        <w:left w:val="none" w:sz="0" w:space="0" w:color="auto"/>
        <w:bottom w:val="none" w:sz="0" w:space="0" w:color="auto"/>
        <w:right w:val="none" w:sz="0" w:space="0" w:color="auto"/>
      </w:divBdr>
    </w:div>
    <w:div w:id="1096707520">
      <w:bodyDiv w:val="1"/>
      <w:marLeft w:val="0"/>
      <w:marRight w:val="0"/>
      <w:marTop w:val="0"/>
      <w:marBottom w:val="0"/>
      <w:divBdr>
        <w:top w:val="none" w:sz="0" w:space="0" w:color="auto"/>
        <w:left w:val="none" w:sz="0" w:space="0" w:color="auto"/>
        <w:bottom w:val="none" w:sz="0" w:space="0" w:color="auto"/>
        <w:right w:val="none" w:sz="0" w:space="0" w:color="auto"/>
      </w:divBdr>
    </w:div>
    <w:div w:id="1096948735">
      <w:bodyDiv w:val="1"/>
      <w:marLeft w:val="0"/>
      <w:marRight w:val="0"/>
      <w:marTop w:val="0"/>
      <w:marBottom w:val="0"/>
      <w:divBdr>
        <w:top w:val="none" w:sz="0" w:space="0" w:color="auto"/>
        <w:left w:val="none" w:sz="0" w:space="0" w:color="auto"/>
        <w:bottom w:val="none" w:sz="0" w:space="0" w:color="auto"/>
        <w:right w:val="none" w:sz="0" w:space="0" w:color="auto"/>
      </w:divBdr>
    </w:div>
    <w:div w:id="1097671525">
      <w:bodyDiv w:val="1"/>
      <w:marLeft w:val="0"/>
      <w:marRight w:val="0"/>
      <w:marTop w:val="0"/>
      <w:marBottom w:val="0"/>
      <w:divBdr>
        <w:top w:val="none" w:sz="0" w:space="0" w:color="auto"/>
        <w:left w:val="none" w:sz="0" w:space="0" w:color="auto"/>
        <w:bottom w:val="none" w:sz="0" w:space="0" w:color="auto"/>
        <w:right w:val="none" w:sz="0" w:space="0" w:color="auto"/>
      </w:divBdr>
    </w:div>
    <w:div w:id="1101217429">
      <w:bodyDiv w:val="1"/>
      <w:marLeft w:val="0"/>
      <w:marRight w:val="0"/>
      <w:marTop w:val="0"/>
      <w:marBottom w:val="0"/>
      <w:divBdr>
        <w:top w:val="none" w:sz="0" w:space="0" w:color="auto"/>
        <w:left w:val="none" w:sz="0" w:space="0" w:color="auto"/>
        <w:bottom w:val="none" w:sz="0" w:space="0" w:color="auto"/>
        <w:right w:val="none" w:sz="0" w:space="0" w:color="auto"/>
      </w:divBdr>
    </w:div>
    <w:div w:id="1102412035">
      <w:bodyDiv w:val="1"/>
      <w:marLeft w:val="0"/>
      <w:marRight w:val="0"/>
      <w:marTop w:val="0"/>
      <w:marBottom w:val="0"/>
      <w:divBdr>
        <w:top w:val="none" w:sz="0" w:space="0" w:color="auto"/>
        <w:left w:val="none" w:sz="0" w:space="0" w:color="auto"/>
        <w:bottom w:val="none" w:sz="0" w:space="0" w:color="auto"/>
        <w:right w:val="none" w:sz="0" w:space="0" w:color="auto"/>
      </w:divBdr>
    </w:div>
    <w:div w:id="1102721704">
      <w:bodyDiv w:val="1"/>
      <w:marLeft w:val="0"/>
      <w:marRight w:val="0"/>
      <w:marTop w:val="0"/>
      <w:marBottom w:val="0"/>
      <w:divBdr>
        <w:top w:val="none" w:sz="0" w:space="0" w:color="auto"/>
        <w:left w:val="none" w:sz="0" w:space="0" w:color="auto"/>
        <w:bottom w:val="none" w:sz="0" w:space="0" w:color="auto"/>
        <w:right w:val="none" w:sz="0" w:space="0" w:color="auto"/>
      </w:divBdr>
    </w:div>
    <w:div w:id="1102844904">
      <w:bodyDiv w:val="1"/>
      <w:marLeft w:val="0"/>
      <w:marRight w:val="0"/>
      <w:marTop w:val="0"/>
      <w:marBottom w:val="0"/>
      <w:divBdr>
        <w:top w:val="none" w:sz="0" w:space="0" w:color="auto"/>
        <w:left w:val="none" w:sz="0" w:space="0" w:color="auto"/>
        <w:bottom w:val="none" w:sz="0" w:space="0" w:color="auto"/>
        <w:right w:val="none" w:sz="0" w:space="0" w:color="auto"/>
      </w:divBdr>
    </w:div>
    <w:div w:id="1103380238">
      <w:bodyDiv w:val="1"/>
      <w:marLeft w:val="0"/>
      <w:marRight w:val="0"/>
      <w:marTop w:val="0"/>
      <w:marBottom w:val="0"/>
      <w:divBdr>
        <w:top w:val="none" w:sz="0" w:space="0" w:color="auto"/>
        <w:left w:val="none" w:sz="0" w:space="0" w:color="auto"/>
        <w:bottom w:val="none" w:sz="0" w:space="0" w:color="auto"/>
        <w:right w:val="none" w:sz="0" w:space="0" w:color="auto"/>
      </w:divBdr>
    </w:div>
    <w:div w:id="1105542229">
      <w:bodyDiv w:val="1"/>
      <w:marLeft w:val="0"/>
      <w:marRight w:val="0"/>
      <w:marTop w:val="0"/>
      <w:marBottom w:val="0"/>
      <w:divBdr>
        <w:top w:val="none" w:sz="0" w:space="0" w:color="auto"/>
        <w:left w:val="none" w:sz="0" w:space="0" w:color="auto"/>
        <w:bottom w:val="none" w:sz="0" w:space="0" w:color="auto"/>
        <w:right w:val="none" w:sz="0" w:space="0" w:color="auto"/>
      </w:divBdr>
    </w:div>
    <w:div w:id="1106509916">
      <w:bodyDiv w:val="1"/>
      <w:marLeft w:val="0"/>
      <w:marRight w:val="0"/>
      <w:marTop w:val="0"/>
      <w:marBottom w:val="0"/>
      <w:divBdr>
        <w:top w:val="none" w:sz="0" w:space="0" w:color="auto"/>
        <w:left w:val="none" w:sz="0" w:space="0" w:color="auto"/>
        <w:bottom w:val="none" w:sz="0" w:space="0" w:color="auto"/>
        <w:right w:val="none" w:sz="0" w:space="0" w:color="auto"/>
      </w:divBdr>
    </w:div>
    <w:div w:id="1107433162">
      <w:bodyDiv w:val="1"/>
      <w:marLeft w:val="0"/>
      <w:marRight w:val="0"/>
      <w:marTop w:val="0"/>
      <w:marBottom w:val="0"/>
      <w:divBdr>
        <w:top w:val="none" w:sz="0" w:space="0" w:color="auto"/>
        <w:left w:val="none" w:sz="0" w:space="0" w:color="auto"/>
        <w:bottom w:val="none" w:sz="0" w:space="0" w:color="auto"/>
        <w:right w:val="none" w:sz="0" w:space="0" w:color="auto"/>
      </w:divBdr>
    </w:div>
    <w:div w:id="1107852289">
      <w:bodyDiv w:val="1"/>
      <w:marLeft w:val="0"/>
      <w:marRight w:val="0"/>
      <w:marTop w:val="0"/>
      <w:marBottom w:val="0"/>
      <w:divBdr>
        <w:top w:val="none" w:sz="0" w:space="0" w:color="auto"/>
        <w:left w:val="none" w:sz="0" w:space="0" w:color="auto"/>
        <w:bottom w:val="none" w:sz="0" w:space="0" w:color="auto"/>
        <w:right w:val="none" w:sz="0" w:space="0" w:color="auto"/>
      </w:divBdr>
    </w:div>
    <w:div w:id="1108499886">
      <w:bodyDiv w:val="1"/>
      <w:marLeft w:val="0"/>
      <w:marRight w:val="0"/>
      <w:marTop w:val="0"/>
      <w:marBottom w:val="0"/>
      <w:divBdr>
        <w:top w:val="none" w:sz="0" w:space="0" w:color="auto"/>
        <w:left w:val="none" w:sz="0" w:space="0" w:color="auto"/>
        <w:bottom w:val="none" w:sz="0" w:space="0" w:color="auto"/>
        <w:right w:val="none" w:sz="0" w:space="0" w:color="auto"/>
      </w:divBdr>
    </w:div>
    <w:div w:id="1108626419">
      <w:bodyDiv w:val="1"/>
      <w:marLeft w:val="0"/>
      <w:marRight w:val="0"/>
      <w:marTop w:val="0"/>
      <w:marBottom w:val="0"/>
      <w:divBdr>
        <w:top w:val="none" w:sz="0" w:space="0" w:color="auto"/>
        <w:left w:val="none" w:sz="0" w:space="0" w:color="auto"/>
        <w:bottom w:val="none" w:sz="0" w:space="0" w:color="auto"/>
        <w:right w:val="none" w:sz="0" w:space="0" w:color="auto"/>
      </w:divBdr>
    </w:div>
    <w:div w:id="1108697031">
      <w:bodyDiv w:val="1"/>
      <w:marLeft w:val="0"/>
      <w:marRight w:val="0"/>
      <w:marTop w:val="0"/>
      <w:marBottom w:val="0"/>
      <w:divBdr>
        <w:top w:val="none" w:sz="0" w:space="0" w:color="auto"/>
        <w:left w:val="none" w:sz="0" w:space="0" w:color="auto"/>
        <w:bottom w:val="none" w:sz="0" w:space="0" w:color="auto"/>
        <w:right w:val="none" w:sz="0" w:space="0" w:color="auto"/>
      </w:divBdr>
    </w:div>
    <w:div w:id="1109818994">
      <w:bodyDiv w:val="1"/>
      <w:marLeft w:val="0"/>
      <w:marRight w:val="0"/>
      <w:marTop w:val="0"/>
      <w:marBottom w:val="0"/>
      <w:divBdr>
        <w:top w:val="none" w:sz="0" w:space="0" w:color="auto"/>
        <w:left w:val="none" w:sz="0" w:space="0" w:color="auto"/>
        <w:bottom w:val="none" w:sz="0" w:space="0" w:color="auto"/>
        <w:right w:val="none" w:sz="0" w:space="0" w:color="auto"/>
      </w:divBdr>
    </w:div>
    <w:div w:id="1110779655">
      <w:bodyDiv w:val="1"/>
      <w:marLeft w:val="0"/>
      <w:marRight w:val="0"/>
      <w:marTop w:val="0"/>
      <w:marBottom w:val="0"/>
      <w:divBdr>
        <w:top w:val="none" w:sz="0" w:space="0" w:color="auto"/>
        <w:left w:val="none" w:sz="0" w:space="0" w:color="auto"/>
        <w:bottom w:val="none" w:sz="0" w:space="0" w:color="auto"/>
        <w:right w:val="none" w:sz="0" w:space="0" w:color="auto"/>
      </w:divBdr>
    </w:div>
    <w:div w:id="1112551079">
      <w:bodyDiv w:val="1"/>
      <w:marLeft w:val="0"/>
      <w:marRight w:val="0"/>
      <w:marTop w:val="0"/>
      <w:marBottom w:val="0"/>
      <w:divBdr>
        <w:top w:val="none" w:sz="0" w:space="0" w:color="auto"/>
        <w:left w:val="none" w:sz="0" w:space="0" w:color="auto"/>
        <w:bottom w:val="none" w:sz="0" w:space="0" w:color="auto"/>
        <w:right w:val="none" w:sz="0" w:space="0" w:color="auto"/>
      </w:divBdr>
    </w:div>
    <w:div w:id="1114787349">
      <w:bodyDiv w:val="1"/>
      <w:marLeft w:val="0"/>
      <w:marRight w:val="0"/>
      <w:marTop w:val="0"/>
      <w:marBottom w:val="0"/>
      <w:divBdr>
        <w:top w:val="none" w:sz="0" w:space="0" w:color="auto"/>
        <w:left w:val="none" w:sz="0" w:space="0" w:color="auto"/>
        <w:bottom w:val="none" w:sz="0" w:space="0" w:color="auto"/>
        <w:right w:val="none" w:sz="0" w:space="0" w:color="auto"/>
      </w:divBdr>
    </w:div>
    <w:div w:id="1115514143">
      <w:bodyDiv w:val="1"/>
      <w:marLeft w:val="0"/>
      <w:marRight w:val="0"/>
      <w:marTop w:val="0"/>
      <w:marBottom w:val="0"/>
      <w:divBdr>
        <w:top w:val="none" w:sz="0" w:space="0" w:color="auto"/>
        <w:left w:val="none" w:sz="0" w:space="0" w:color="auto"/>
        <w:bottom w:val="none" w:sz="0" w:space="0" w:color="auto"/>
        <w:right w:val="none" w:sz="0" w:space="0" w:color="auto"/>
      </w:divBdr>
    </w:div>
    <w:div w:id="1116482515">
      <w:bodyDiv w:val="1"/>
      <w:marLeft w:val="0"/>
      <w:marRight w:val="0"/>
      <w:marTop w:val="0"/>
      <w:marBottom w:val="0"/>
      <w:divBdr>
        <w:top w:val="none" w:sz="0" w:space="0" w:color="auto"/>
        <w:left w:val="none" w:sz="0" w:space="0" w:color="auto"/>
        <w:bottom w:val="none" w:sz="0" w:space="0" w:color="auto"/>
        <w:right w:val="none" w:sz="0" w:space="0" w:color="auto"/>
      </w:divBdr>
    </w:div>
    <w:div w:id="1116682200">
      <w:bodyDiv w:val="1"/>
      <w:marLeft w:val="0"/>
      <w:marRight w:val="0"/>
      <w:marTop w:val="0"/>
      <w:marBottom w:val="0"/>
      <w:divBdr>
        <w:top w:val="none" w:sz="0" w:space="0" w:color="auto"/>
        <w:left w:val="none" w:sz="0" w:space="0" w:color="auto"/>
        <w:bottom w:val="none" w:sz="0" w:space="0" w:color="auto"/>
        <w:right w:val="none" w:sz="0" w:space="0" w:color="auto"/>
      </w:divBdr>
    </w:div>
    <w:div w:id="1117480149">
      <w:bodyDiv w:val="1"/>
      <w:marLeft w:val="0"/>
      <w:marRight w:val="0"/>
      <w:marTop w:val="0"/>
      <w:marBottom w:val="0"/>
      <w:divBdr>
        <w:top w:val="none" w:sz="0" w:space="0" w:color="auto"/>
        <w:left w:val="none" w:sz="0" w:space="0" w:color="auto"/>
        <w:bottom w:val="none" w:sz="0" w:space="0" w:color="auto"/>
        <w:right w:val="none" w:sz="0" w:space="0" w:color="auto"/>
      </w:divBdr>
    </w:div>
    <w:div w:id="1119488848">
      <w:bodyDiv w:val="1"/>
      <w:marLeft w:val="0"/>
      <w:marRight w:val="0"/>
      <w:marTop w:val="0"/>
      <w:marBottom w:val="0"/>
      <w:divBdr>
        <w:top w:val="none" w:sz="0" w:space="0" w:color="auto"/>
        <w:left w:val="none" w:sz="0" w:space="0" w:color="auto"/>
        <w:bottom w:val="none" w:sz="0" w:space="0" w:color="auto"/>
        <w:right w:val="none" w:sz="0" w:space="0" w:color="auto"/>
      </w:divBdr>
    </w:div>
    <w:div w:id="1124496991">
      <w:bodyDiv w:val="1"/>
      <w:marLeft w:val="0"/>
      <w:marRight w:val="0"/>
      <w:marTop w:val="0"/>
      <w:marBottom w:val="0"/>
      <w:divBdr>
        <w:top w:val="none" w:sz="0" w:space="0" w:color="auto"/>
        <w:left w:val="none" w:sz="0" w:space="0" w:color="auto"/>
        <w:bottom w:val="none" w:sz="0" w:space="0" w:color="auto"/>
        <w:right w:val="none" w:sz="0" w:space="0" w:color="auto"/>
      </w:divBdr>
    </w:div>
    <w:div w:id="1124692799">
      <w:bodyDiv w:val="1"/>
      <w:marLeft w:val="0"/>
      <w:marRight w:val="0"/>
      <w:marTop w:val="0"/>
      <w:marBottom w:val="0"/>
      <w:divBdr>
        <w:top w:val="none" w:sz="0" w:space="0" w:color="auto"/>
        <w:left w:val="none" w:sz="0" w:space="0" w:color="auto"/>
        <w:bottom w:val="none" w:sz="0" w:space="0" w:color="auto"/>
        <w:right w:val="none" w:sz="0" w:space="0" w:color="auto"/>
      </w:divBdr>
    </w:div>
    <w:div w:id="1125733342">
      <w:bodyDiv w:val="1"/>
      <w:marLeft w:val="0"/>
      <w:marRight w:val="0"/>
      <w:marTop w:val="0"/>
      <w:marBottom w:val="0"/>
      <w:divBdr>
        <w:top w:val="none" w:sz="0" w:space="0" w:color="auto"/>
        <w:left w:val="none" w:sz="0" w:space="0" w:color="auto"/>
        <w:bottom w:val="none" w:sz="0" w:space="0" w:color="auto"/>
        <w:right w:val="none" w:sz="0" w:space="0" w:color="auto"/>
      </w:divBdr>
    </w:div>
    <w:div w:id="1129128164">
      <w:bodyDiv w:val="1"/>
      <w:marLeft w:val="0"/>
      <w:marRight w:val="0"/>
      <w:marTop w:val="0"/>
      <w:marBottom w:val="0"/>
      <w:divBdr>
        <w:top w:val="none" w:sz="0" w:space="0" w:color="auto"/>
        <w:left w:val="none" w:sz="0" w:space="0" w:color="auto"/>
        <w:bottom w:val="none" w:sz="0" w:space="0" w:color="auto"/>
        <w:right w:val="none" w:sz="0" w:space="0" w:color="auto"/>
      </w:divBdr>
    </w:div>
    <w:div w:id="1130248375">
      <w:bodyDiv w:val="1"/>
      <w:marLeft w:val="0"/>
      <w:marRight w:val="0"/>
      <w:marTop w:val="0"/>
      <w:marBottom w:val="0"/>
      <w:divBdr>
        <w:top w:val="none" w:sz="0" w:space="0" w:color="auto"/>
        <w:left w:val="none" w:sz="0" w:space="0" w:color="auto"/>
        <w:bottom w:val="none" w:sz="0" w:space="0" w:color="auto"/>
        <w:right w:val="none" w:sz="0" w:space="0" w:color="auto"/>
      </w:divBdr>
    </w:div>
    <w:div w:id="1130827965">
      <w:bodyDiv w:val="1"/>
      <w:marLeft w:val="0"/>
      <w:marRight w:val="0"/>
      <w:marTop w:val="0"/>
      <w:marBottom w:val="0"/>
      <w:divBdr>
        <w:top w:val="none" w:sz="0" w:space="0" w:color="auto"/>
        <w:left w:val="none" w:sz="0" w:space="0" w:color="auto"/>
        <w:bottom w:val="none" w:sz="0" w:space="0" w:color="auto"/>
        <w:right w:val="none" w:sz="0" w:space="0" w:color="auto"/>
      </w:divBdr>
    </w:div>
    <w:div w:id="1132595290">
      <w:bodyDiv w:val="1"/>
      <w:marLeft w:val="0"/>
      <w:marRight w:val="0"/>
      <w:marTop w:val="0"/>
      <w:marBottom w:val="0"/>
      <w:divBdr>
        <w:top w:val="none" w:sz="0" w:space="0" w:color="auto"/>
        <w:left w:val="none" w:sz="0" w:space="0" w:color="auto"/>
        <w:bottom w:val="none" w:sz="0" w:space="0" w:color="auto"/>
        <w:right w:val="none" w:sz="0" w:space="0" w:color="auto"/>
      </w:divBdr>
    </w:div>
    <w:div w:id="1133446985">
      <w:bodyDiv w:val="1"/>
      <w:marLeft w:val="0"/>
      <w:marRight w:val="0"/>
      <w:marTop w:val="0"/>
      <w:marBottom w:val="0"/>
      <w:divBdr>
        <w:top w:val="none" w:sz="0" w:space="0" w:color="auto"/>
        <w:left w:val="none" w:sz="0" w:space="0" w:color="auto"/>
        <w:bottom w:val="none" w:sz="0" w:space="0" w:color="auto"/>
        <w:right w:val="none" w:sz="0" w:space="0" w:color="auto"/>
      </w:divBdr>
    </w:div>
    <w:div w:id="1133517745">
      <w:bodyDiv w:val="1"/>
      <w:marLeft w:val="0"/>
      <w:marRight w:val="0"/>
      <w:marTop w:val="0"/>
      <w:marBottom w:val="0"/>
      <w:divBdr>
        <w:top w:val="none" w:sz="0" w:space="0" w:color="auto"/>
        <w:left w:val="none" w:sz="0" w:space="0" w:color="auto"/>
        <w:bottom w:val="none" w:sz="0" w:space="0" w:color="auto"/>
        <w:right w:val="none" w:sz="0" w:space="0" w:color="auto"/>
      </w:divBdr>
    </w:div>
    <w:div w:id="1133671814">
      <w:bodyDiv w:val="1"/>
      <w:marLeft w:val="0"/>
      <w:marRight w:val="0"/>
      <w:marTop w:val="0"/>
      <w:marBottom w:val="0"/>
      <w:divBdr>
        <w:top w:val="none" w:sz="0" w:space="0" w:color="auto"/>
        <w:left w:val="none" w:sz="0" w:space="0" w:color="auto"/>
        <w:bottom w:val="none" w:sz="0" w:space="0" w:color="auto"/>
        <w:right w:val="none" w:sz="0" w:space="0" w:color="auto"/>
      </w:divBdr>
    </w:div>
    <w:div w:id="1133905231">
      <w:bodyDiv w:val="1"/>
      <w:marLeft w:val="0"/>
      <w:marRight w:val="0"/>
      <w:marTop w:val="0"/>
      <w:marBottom w:val="0"/>
      <w:divBdr>
        <w:top w:val="none" w:sz="0" w:space="0" w:color="auto"/>
        <w:left w:val="none" w:sz="0" w:space="0" w:color="auto"/>
        <w:bottom w:val="none" w:sz="0" w:space="0" w:color="auto"/>
        <w:right w:val="none" w:sz="0" w:space="0" w:color="auto"/>
      </w:divBdr>
    </w:div>
    <w:div w:id="1135755087">
      <w:bodyDiv w:val="1"/>
      <w:marLeft w:val="0"/>
      <w:marRight w:val="0"/>
      <w:marTop w:val="0"/>
      <w:marBottom w:val="0"/>
      <w:divBdr>
        <w:top w:val="none" w:sz="0" w:space="0" w:color="auto"/>
        <w:left w:val="none" w:sz="0" w:space="0" w:color="auto"/>
        <w:bottom w:val="none" w:sz="0" w:space="0" w:color="auto"/>
        <w:right w:val="none" w:sz="0" w:space="0" w:color="auto"/>
      </w:divBdr>
    </w:div>
    <w:div w:id="1136069502">
      <w:bodyDiv w:val="1"/>
      <w:marLeft w:val="0"/>
      <w:marRight w:val="0"/>
      <w:marTop w:val="0"/>
      <w:marBottom w:val="0"/>
      <w:divBdr>
        <w:top w:val="none" w:sz="0" w:space="0" w:color="auto"/>
        <w:left w:val="none" w:sz="0" w:space="0" w:color="auto"/>
        <w:bottom w:val="none" w:sz="0" w:space="0" w:color="auto"/>
        <w:right w:val="none" w:sz="0" w:space="0" w:color="auto"/>
      </w:divBdr>
    </w:div>
    <w:div w:id="1138495657">
      <w:bodyDiv w:val="1"/>
      <w:marLeft w:val="0"/>
      <w:marRight w:val="0"/>
      <w:marTop w:val="0"/>
      <w:marBottom w:val="0"/>
      <w:divBdr>
        <w:top w:val="none" w:sz="0" w:space="0" w:color="auto"/>
        <w:left w:val="none" w:sz="0" w:space="0" w:color="auto"/>
        <w:bottom w:val="none" w:sz="0" w:space="0" w:color="auto"/>
        <w:right w:val="none" w:sz="0" w:space="0" w:color="auto"/>
      </w:divBdr>
    </w:div>
    <w:div w:id="1138693167">
      <w:bodyDiv w:val="1"/>
      <w:marLeft w:val="0"/>
      <w:marRight w:val="0"/>
      <w:marTop w:val="0"/>
      <w:marBottom w:val="0"/>
      <w:divBdr>
        <w:top w:val="none" w:sz="0" w:space="0" w:color="auto"/>
        <w:left w:val="none" w:sz="0" w:space="0" w:color="auto"/>
        <w:bottom w:val="none" w:sz="0" w:space="0" w:color="auto"/>
        <w:right w:val="none" w:sz="0" w:space="0" w:color="auto"/>
      </w:divBdr>
    </w:div>
    <w:div w:id="1138836530">
      <w:bodyDiv w:val="1"/>
      <w:marLeft w:val="0"/>
      <w:marRight w:val="0"/>
      <w:marTop w:val="0"/>
      <w:marBottom w:val="0"/>
      <w:divBdr>
        <w:top w:val="none" w:sz="0" w:space="0" w:color="auto"/>
        <w:left w:val="none" w:sz="0" w:space="0" w:color="auto"/>
        <w:bottom w:val="none" w:sz="0" w:space="0" w:color="auto"/>
        <w:right w:val="none" w:sz="0" w:space="0" w:color="auto"/>
      </w:divBdr>
    </w:div>
    <w:div w:id="1139108279">
      <w:bodyDiv w:val="1"/>
      <w:marLeft w:val="0"/>
      <w:marRight w:val="0"/>
      <w:marTop w:val="0"/>
      <w:marBottom w:val="0"/>
      <w:divBdr>
        <w:top w:val="none" w:sz="0" w:space="0" w:color="auto"/>
        <w:left w:val="none" w:sz="0" w:space="0" w:color="auto"/>
        <w:bottom w:val="none" w:sz="0" w:space="0" w:color="auto"/>
        <w:right w:val="none" w:sz="0" w:space="0" w:color="auto"/>
      </w:divBdr>
    </w:div>
    <w:div w:id="1141386108">
      <w:bodyDiv w:val="1"/>
      <w:marLeft w:val="0"/>
      <w:marRight w:val="0"/>
      <w:marTop w:val="0"/>
      <w:marBottom w:val="0"/>
      <w:divBdr>
        <w:top w:val="none" w:sz="0" w:space="0" w:color="auto"/>
        <w:left w:val="none" w:sz="0" w:space="0" w:color="auto"/>
        <w:bottom w:val="none" w:sz="0" w:space="0" w:color="auto"/>
        <w:right w:val="none" w:sz="0" w:space="0" w:color="auto"/>
      </w:divBdr>
    </w:div>
    <w:div w:id="1141771920">
      <w:bodyDiv w:val="1"/>
      <w:marLeft w:val="0"/>
      <w:marRight w:val="0"/>
      <w:marTop w:val="0"/>
      <w:marBottom w:val="0"/>
      <w:divBdr>
        <w:top w:val="none" w:sz="0" w:space="0" w:color="auto"/>
        <w:left w:val="none" w:sz="0" w:space="0" w:color="auto"/>
        <w:bottom w:val="none" w:sz="0" w:space="0" w:color="auto"/>
        <w:right w:val="none" w:sz="0" w:space="0" w:color="auto"/>
      </w:divBdr>
    </w:div>
    <w:div w:id="1141847509">
      <w:bodyDiv w:val="1"/>
      <w:marLeft w:val="0"/>
      <w:marRight w:val="0"/>
      <w:marTop w:val="0"/>
      <w:marBottom w:val="0"/>
      <w:divBdr>
        <w:top w:val="none" w:sz="0" w:space="0" w:color="auto"/>
        <w:left w:val="none" w:sz="0" w:space="0" w:color="auto"/>
        <w:bottom w:val="none" w:sz="0" w:space="0" w:color="auto"/>
        <w:right w:val="none" w:sz="0" w:space="0" w:color="auto"/>
      </w:divBdr>
    </w:div>
    <w:div w:id="1142456078">
      <w:bodyDiv w:val="1"/>
      <w:marLeft w:val="0"/>
      <w:marRight w:val="0"/>
      <w:marTop w:val="0"/>
      <w:marBottom w:val="0"/>
      <w:divBdr>
        <w:top w:val="none" w:sz="0" w:space="0" w:color="auto"/>
        <w:left w:val="none" w:sz="0" w:space="0" w:color="auto"/>
        <w:bottom w:val="none" w:sz="0" w:space="0" w:color="auto"/>
        <w:right w:val="none" w:sz="0" w:space="0" w:color="auto"/>
      </w:divBdr>
    </w:div>
    <w:div w:id="1142960041">
      <w:bodyDiv w:val="1"/>
      <w:marLeft w:val="0"/>
      <w:marRight w:val="0"/>
      <w:marTop w:val="0"/>
      <w:marBottom w:val="0"/>
      <w:divBdr>
        <w:top w:val="none" w:sz="0" w:space="0" w:color="auto"/>
        <w:left w:val="none" w:sz="0" w:space="0" w:color="auto"/>
        <w:bottom w:val="none" w:sz="0" w:space="0" w:color="auto"/>
        <w:right w:val="none" w:sz="0" w:space="0" w:color="auto"/>
      </w:divBdr>
    </w:div>
    <w:div w:id="1143352644">
      <w:bodyDiv w:val="1"/>
      <w:marLeft w:val="0"/>
      <w:marRight w:val="0"/>
      <w:marTop w:val="0"/>
      <w:marBottom w:val="0"/>
      <w:divBdr>
        <w:top w:val="none" w:sz="0" w:space="0" w:color="auto"/>
        <w:left w:val="none" w:sz="0" w:space="0" w:color="auto"/>
        <w:bottom w:val="none" w:sz="0" w:space="0" w:color="auto"/>
        <w:right w:val="none" w:sz="0" w:space="0" w:color="auto"/>
      </w:divBdr>
    </w:div>
    <w:div w:id="1144011580">
      <w:bodyDiv w:val="1"/>
      <w:marLeft w:val="0"/>
      <w:marRight w:val="0"/>
      <w:marTop w:val="0"/>
      <w:marBottom w:val="0"/>
      <w:divBdr>
        <w:top w:val="none" w:sz="0" w:space="0" w:color="auto"/>
        <w:left w:val="none" w:sz="0" w:space="0" w:color="auto"/>
        <w:bottom w:val="none" w:sz="0" w:space="0" w:color="auto"/>
        <w:right w:val="none" w:sz="0" w:space="0" w:color="auto"/>
      </w:divBdr>
    </w:div>
    <w:div w:id="1144659404">
      <w:bodyDiv w:val="1"/>
      <w:marLeft w:val="0"/>
      <w:marRight w:val="0"/>
      <w:marTop w:val="0"/>
      <w:marBottom w:val="0"/>
      <w:divBdr>
        <w:top w:val="none" w:sz="0" w:space="0" w:color="auto"/>
        <w:left w:val="none" w:sz="0" w:space="0" w:color="auto"/>
        <w:bottom w:val="none" w:sz="0" w:space="0" w:color="auto"/>
        <w:right w:val="none" w:sz="0" w:space="0" w:color="auto"/>
      </w:divBdr>
    </w:div>
    <w:div w:id="1147472181">
      <w:bodyDiv w:val="1"/>
      <w:marLeft w:val="0"/>
      <w:marRight w:val="0"/>
      <w:marTop w:val="0"/>
      <w:marBottom w:val="0"/>
      <w:divBdr>
        <w:top w:val="none" w:sz="0" w:space="0" w:color="auto"/>
        <w:left w:val="none" w:sz="0" w:space="0" w:color="auto"/>
        <w:bottom w:val="none" w:sz="0" w:space="0" w:color="auto"/>
        <w:right w:val="none" w:sz="0" w:space="0" w:color="auto"/>
      </w:divBdr>
    </w:div>
    <w:div w:id="1148519020">
      <w:bodyDiv w:val="1"/>
      <w:marLeft w:val="0"/>
      <w:marRight w:val="0"/>
      <w:marTop w:val="0"/>
      <w:marBottom w:val="0"/>
      <w:divBdr>
        <w:top w:val="none" w:sz="0" w:space="0" w:color="auto"/>
        <w:left w:val="none" w:sz="0" w:space="0" w:color="auto"/>
        <w:bottom w:val="none" w:sz="0" w:space="0" w:color="auto"/>
        <w:right w:val="none" w:sz="0" w:space="0" w:color="auto"/>
      </w:divBdr>
    </w:div>
    <w:div w:id="1148937881">
      <w:bodyDiv w:val="1"/>
      <w:marLeft w:val="0"/>
      <w:marRight w:val="0"/>
      <w:marTop w:val="0"/>
      <w:marBottom w:val="0"/>
      <w:divBdr>
        <w:top w:val="none" w:sz="0" w:space="0" w:color="auto"/>
        <w:left w:val="none" w:sz="0" w:space="0" w:color="auto"/>
        <w:bottom w:val="none" w:sz="0" w:space="0" w:color="auto"/>
        <w:right w:val="none" w:sz="0" w:space="0" w:color="auto"/>
      </w:divBdr>
    </w:div>
    <w:div w:id="1149246132">
      <w:bodyDiv w:val="1"/>
      <w:marLeft w:val="0"/>
      <w:marRight w:val="0"/>
      <w:marTop w:val="0"/>
      <w:marBottom w:val="0"/>
      <w:divBdr>
        <w:top w:val="none" w:sz="0" w:space="0" w:color="auto"/>
        <w:left w:val="none" w:sz="0" w:space="0" w:color="auto"/>
        <w:bottom w:val="none" w:sz="0" w:space="0" w:color="auto"/>
        <w:right w:val="none" w:sz="0" w:space="0" w:color="auto"/>
      </w:divBdr>
    </w:div>
    <w:div w:id="1149857952">
      <w:bodyDiv w:val="1"/>
      <w:marLeft w:val="0"/>
      <w:marRight w:val="0"/>
      <w:marTop w:val="0"/>
      <w:marBottom w:val="0"/>
      <w:divBdr>
        <w:top w:val="none" w:sz="0" w:space="0" w:color="auto"/>
        <w:left w:val="none" w:sz="0" w:space="0" w:color="auto"/>
        <w:bottom w:val="none" w:sz="0" w:space="0" w:color="auto"/>
        <w:right w:val="none" w:sz="0" w:space="0" w:color="auto"/>
      </w:divBdr>
    </w:div>
    <w:div w:id="1151559630">
      <w:bodyDiv w:val="1"/>
      <w:marLeft w:val="0"/>
      <w:marRight w:val="0"/>
      <w:marTop w:val="0"/>
      <w:marBottom w:val="0"/>
      <w:divBdr>
        <w:top w:val="none" w:sz="0" w:space="0" w:color="auto"/>
        <w:left w:val="none" w:sz="0" w:space="0" w:color="auto"/>
        <w:bottom w:val="none" w:sz="0" w:space="0" w:color="auto"/>
        <w:right w:val="none" w:sz="0" w:space="0" w:color="auto"/>
      </w:divBdr>
    </w:div>
    <w:div w:id="1151946891">
      <w:bodyDiv w:val="1"/>
      <w:marLeft w:val="0"/>
      <w:marRight w:val="0"/>
      <w:marTop w:val="0"/>
      <w:marBottom w:val="0"/>
      <w:divBdr>
        <w:top w:val="none" w:sz="0" w:space="0" w:color="auto"/>
        <w:left w:val="none" w:sz="0" w:space="0" w:color="auto"/>
        <w:bottom w:val="none" w:sz="0" w:space="0" w:color="auto"/>
        <w:right w:val="none" w:sz="0" w:space="0" w:color="auto"/>
      </w:divBdr>
    </w:div>
    <w:div w:id="1153134309">
      <w:bodyDiv w:val="1"/>
      <w:marLeft w:val="0"/>
      <w:marRight w:val="0"/>
      <w:marTop w:val="0"/>
      <w:marBottom w:val="0"/>
      <w:divBdr>
        <w:top w:val="none" w:sz="0" w:space="0" w:color="auto"/>
        <w:left w:val="none" w:sz="0" w:space="0" w:color="auto"/>
        <w:bottom w:val="none" w:sz="0" w:space="0" w:color="auto"/>
        <w:right w:val="none" w:sz="0" w:space="0" w:color="auto"/>
      </w:divBdr>
    </w:div>
    <w:div w:id="1153981724">
      <w:bodyDiv w:val="1"/>
      <w:marLeft w:val="0"/>
      <w:marRight w:val="0"/>
      <w:marTop w:val="0"/>
      <w:marBottom w:val="0"/>
      <w:divBdr>
        <w:top w:val="none" w:sz="0" w:space="0" w:color="auto"/>
        <w:left w:val="none" w:sz="0" w:space="0" w:color="auto"/>
        <w:bottom w:val="none" w:sz="0" w:space="0" w:color="auto"/>
        <w:right w:val="none" w:sz="0" w:space="0" w:color="auto"/>
      </w:divBdr>
    </w:div>
    <w:div w:id="1154639670">
      <w:bodyDiv w:val="1"/>
      <w:marLeft w:val="0"/>
      <w:marRight w:val="0"/>
      <w:marTop w:val="0"/>
      <w:marBottom w:val="0"/>
      <w:divBdr>
        <w:top w:val="none" w:sz="0" w:space="0" w:color="auto"/>
        <w:left w:val="none" w:sz="0" w:space="0" w:color="auto"/>
        <w:bottom w:val="none" w:sz="0" w:space="0" w:color="auto"/>
        <w:right w:val="none" w:sz="0" w:space="0" w:color="auto"/>
      </w:divBdr>
    </w:div>
    <w:div w:id="1154755253">
      <w:bodyDiv w:val="1"/>
      <w:marLeft w:val="0"/>
      <w:marRight w:val="0"/>
      <w:marTop w:val="0"/>
      <w:marBottom w:val="0"/>
      <w:divBdr>
        <w:top w:val="none" w:sz="0" w:space="0" w:color="auto"/>
        <w:left w:val="none" w:sz="0" w:space="0" w:color="auto"/>
        <w:bottom w:val="none" w:sz="0" w:space="0" w:color="auto"/>
        <w:right w:val="none" w:sz="0" w:space="0" w:color="auto"/>
      </w:divBdr>
    </w:div>
    <w:div w:id="1155101262">
      <w:bodyDiv w:val="1"/>
      <w:marLeft w:val="0"/>
      <w:marRight w:val="0"/>
      <w:marTop w:val="0"/>
      <w:marBottom w:val="0"/>
      <w:divBdr>
        <w:top w:val="none" w:sz="0" w:space="0" w:color="auto"/>
        <w:left w:val="none" w:sz="0" w:space="0" w:color="auto"/>
        <w:bottom w:val="none" w:sz="0" w:space="0" w:color="auto"/>
        <w:right w:val="none" w:sz="0" w:space="0" w:color="auto"/>
      </w:divBdr>
    </w:div>
    <w:div w:id="1155486974">
      <w:bodyDiv w:val="1"/>
      <w:marLeft w:val="0"/>
      <w:marRight w:val="0"/>
      <w:marTop w:val="0"/>
      <w:marBottom w:val="0"/>
      <w:divBdr>
        <w:top w:val="none" w:sz="0" w:space="0" w:color="auto"/>
        <w:left w:val="none" w:sz="0" w:space="0" w:color="auto"/>
        <w:bottom w:val="none" w:sz="0" w:space="0" w:color="auto"/>
        <w:right w:val="none" w:sz="0" w:space="0" w:color="auto"/>
      </w:divBdr>
    </w:div>
    <w:div w:id="1157846118">
      <w:bodyDiv w:val="1"/>
      <w:marLeft w:val="0"/>
      <w:marRight w:val="0"/>
      <w:marTop w:val="0"/>
      <w:marBottom w:val="0"/>
      <w:divBdr>
        <w:top w:val="none" w:sz="0" w:space="0" w:color="auto"/>
        <w:left w:val="none" w:sz="0" w:space="0" w:color="auto"/>
        <w:bottom w:val="none" w:sz="0" w:space="0" w:color="auto"/>
        <w:right w:val="none" w:sz="0" w:space="0" w:color="auto"/>
      </w:divBdr>
    </w:div>
    <w:div w:id="1158040430">
      <w:bodyDiv w:val="1"/>
      <w:marLeft w:val="0"/>
      <w:marRight w:val="0"/>
      <w:marTop w:val="0"/>
      <w:marBottom w:val="0"/>
      <w:divBdr>
        <w:top w:val="none" w:sz="0" w:space="0" w:color="auto"/>
        <w:left w:val="none" w:sz="0" w:space="0" w:color="auto"/>
        <w:bottom w:val="none" w:sz="0" w:space="0" w:color="auto"/>
        <w:right w:val="none" w:sz="0" w:space="0" w:color="auto"/>
      </w:divBdr>
    </w:div>
    <w:div w:id="1158963213">
      <w:bodyDiv w:val="1"/>
      <w:marLeft w:val="0"/>
      <w:marRight w:val="0"/>
      <w:marTop w:val="0"/>
      <w:marBottom w:val="0"/>
      <w:divBdr>
        <w:top w:val="none" w:sz="0" w:space="0" w:color="auto"/>
        <w:left w:val="none" w:sz="0" w:space="0" w:color="auto"/>
        <w:bottom w:val="none" w:sz="0" w:space="0" w:color="auto"/>
        <w:right w:val="none" w:sz="0" w:space="0" w:color="auto"/>
      </w:divBdr>
    </w:div>
    <w:div w:id="1159420187">
      <w:bodyDiv w:val="1"/>
      <w:marLeft w:val="0"/>
      <w:marRight w:val="0"/>
      <w:marTop w:val="0"/>
      <w:marBottom w:val="0"/>
      <w:divBdr>
        <w:top w:val="none" w:sz="0" w:space="0" w:color="auto"/>
        <w:left w:val="none" w:sz="0" w:space="0" w:color="auto"/>
        <w:bottom w:val="none" w:sz="0" w:space="0" w:color="auto"/>
        <w:right w:val="none" w:sz="0" w:space="0" w:color="auto"/>
      </w:divBdr>
    </w:div>
    <w:div w:id="1161197514">
      <w:bodyDiv w:val="1"/>
      <w:marLeft w:val="0"/>
      <w:marRight w:val="0"/>
      <w:marTop w:val="0"/>
      <w:marBottom w:val="0"/>
      <w:divBdr>
        <w:top w:val="none" w:sz="0" w:space="0" w:color="auto"/>
        <w:left w:val="none" w:sz="0" w:space="0" w:color="auto"/>
        <w:bottom w:val="none" w:sz="0" w:space="0" w:color="auto"/>
        <w:right w:val="none" w:sz="0" w:space="0" w:color="auto"/>
      </w:divBdr>
    </w:div>
    <w:div w:id="1163206913">
      <w:bodyDiv w:val="1"/>
      <w:marLeft w:val="0"/>
      <w:marRight w:val="0"/>
      <w:marTop w:val="0"/>
      <w:marBottom w:val="0"/>
      <w:divBdr>
        <w:top w:val="none" w:sz="0" w:space="0" w:color="auto"/>
        <w:left w:val="none" w:sz="0" w:space="0" w:color="auto"/>
        <w:bottom w:val="none" w:sz="0" w:space="0" w:color="auto"/>
        <w:right w:val="none" w:sz="0" w:space="0" w:color="auto"/>
      </w:divBdr>
    </w:div>
    <w:div w:id="1163856728">
      <w:bodyDiv w:val="1"/>
      <w:marLeft w:val="0"/>
      <w:marRight w:val="0"/>
      <w:marTop w:val="0"/>
      <w:marBottom w:val="0"/>
      <w:divBdr>
        <w:top w:val="none" w:sz="0" w:space="0" w:color="auto"/>
        <w:left w:val="none" w:sz="0" w:space="0" w:color="auto"/>
        <w:bottom w:val="none" w:sz="0" w:space="0" w:color="auto"/>
        <w:right w:val="none" w:sz="0" w:space="0" w:color="auto"/>
      </w:divBdr>
    </w:div>
    <w:div w:id="1164853483">
      <w:bodyDiv w:val="1"/>
      <w:marLeft w:val="0"/>
      <w:marRight w:val="0"/>
      <w:marTop w:val="0"/>
      <w:marBottom w:val="0"/>
      <w:divBdr>
        <w:top w:val="none" w:sz="0" w:space="0" w:color="auto"/>
        <w:left w:val="none" w:sz="0" w:space="0" w:color="auto"/>
        <w:bottom w:val="none" w:sz="0" w:space="0" w:color="auto"/>
        <w:right w:val="none" w:sz="0" w:space="0" w:color="auto"/>
      </w:divBdr>
    </w:div>
    <w:div w:id="1164973283">
      <w:bodyDiv w:val="1"/>
      <w:marLeft w:val="0"/>
      <w:marRight w:val="0"/>
      <w:marTop w:val="0"/>
      <w:marBottom w:val="0"/>
      <w:divBdr>
        <w:top w:val="none" w:sz="0" w:space="0" w:color="auto"/>
        <w:left w:val="none" w:sz="0" w:space="0" w:color="auto"/>
        <w:bottom w:val="none" w:sz="0" w:space="0" w:color="auto"/>
        <w:right w:val="none" w:sz="0" w:space="0" w:color="auto"/>
      </w:divBdr>
    </w:div>
    <w:div w:id="1169640284">
      <w:bodyDiv w:val="1"/>
      <w:marLeft w:val="0"/>
      <w:marRight w:val="0"/>
      <w:marTop w:val="0"/>
      <w:marBottom w:val="0"/>
      <w:divBdr>
        <w:top w:val="none" w:sz="0" w:space="0" w:color="auto"/>
        <w:left w:val="none" w:sz="0" w:space="0" w:color="auto"/>
        <w:bottom w:val="none" w:sz="0" w:space="0" w:color="auto"/>
        <w:right w:val="none" w:sz="0" w:space="0" w:color="auto"/>
      </w:divBdr>
    </w:div>
    <w:div w:id="1170172478">
      <w:bodyDiv w:val="1"/>
      <w:marLeft w:val="0"/>
      <w:marRight w:val="0"/>
      <w:marTop w:val="0"/>
      <w:marBottom w:val="0"/>
      <w:divBdr>
        <w:top w:val="none" w:sz="0" w:space="0" w:color="auto"/>
        <w:left w:val="none" w:sz="0" w:space="0" w:color="auto"/>
        <w:bottom w:val="none" w:sz="0" w:space="0" w:color="auto"/>
        <w:right w:val="none" w:sz="0" w:space="0" w:color="auto"/>
      </w:divBdr>
    </w:div>
    <w:div w:id="1170801709">
      <w:bodyDiv w:val="1"/>
      <w:marLeft w:val="0"/>
      <w:marRight w:val="0"/>
      <w:marTop w:val="0"/>
      <w:marBottom w:val="0"/>
      <w:divBdr>
        <w:top w:val="none" w:sz="0" w:space="0" w:color="auto"/>
        <w:left w:val="none" w:sz="0" w:space="0" w:color="auto"/>
        <w:bottom w:val="none" w:sz="0" w:space="0" w:color="auto"/>
        <w:right w:val="none" w:sz="0" w:space="0" w:color="auto"/>
      </w:divBdr>
    </w:div>
    <w:div w:id="1170875039">
      <w:bodyDiv w:val="1"/>
      <w:marLeft w:val="0"/>
      <w:marRight w:val="0"/>
      <w:marTop w:val="0"/>
      <w:marBottom w:val="0"/>
      <w:divBdr>
        <w:top w:val="none" w:sz="0" w:space="0" w:color="auto"/>
        <w:left w:val="none" w:sz="0" w:space="0" w:color="auto"/>
        <w:bottom w:val="none" w:sz="0" w:space="0" w:color="auto"/>
        <w:right w:val="none" w:sz="0" w:space="0" w:color="auto"/>
      </w:divBdr>
    </w:div>
    <w:div w:id="1172985953">
      <w:bodyDiv w:val="1"/>
      <w:marLeft w:val="0"/>
      <w:marRight w:val="0"/>
      <w:marTop w:val="0"/>
      <w:marBottom w:val="0"/>
      <w:divBdr>
        <w:top w:val="none" w:sz="0" w:space="0" w:color="auto"/>
        <w:left w:val="none" w:sz="0" w:space="0" w:color="auto"/>
        <w:bottom w:val="none" w:sz="0" w:space="0" w:color="auto"/>
        <w:right w:val="none" w:sz="0" w:space="0" w:color="auto"/>
      </w:divBdr>
    </w:div>
    <w:div w:id="1173766646">
      <w:bodyDiv w:val="1"/>
      <w:marLeft w:val="0"/>
      <w:marRight w:val="0"/>
      <w:marTop w:val="0"/>
      <w:marBottom w:val="0"/>
      <w:divBdr>
        <w:top w:val="none" w:sz="0" w:space="0" w:color="auto"/>
        <w:left w:val="none" w:sz="0" w:space="0" w:color="auto"/>
        <w:bottom w:val="none" w:sz="0" w:space="0" w:color="auto"/>
        <w:right w:val="none" w:sz="0" w:space="0" w:color="auto"/>
      </w:divBdr>
    </w:div>
    <w:div w:id="1174419294">
      <w:bodyDiv w:val="1"/>
      <w:marLeft w:val="0"/>
      <w:marRight w:val="0"/>
      <w:marTop w:val="0"/>
      <w:marBottom w:val="0"/>
      <w:divBdr>
        <w:top w:val="none" w:sz="0" w:space="0" w:color="auto"/>
        <w:left w:val="none" w:sz="0" w:space="0" w:color="auto"/>
        <w:bottom w:val="none" w:sz="0" w:space="0" w:color="auto"/>
        <w:right w:val="none" w:sz="0" w:space="0" w:color="auto"/>
      </w:divBdr>
    </w:div>
    <w:div w:id="1174765130">
      <w:bodyDiv w:val="1"/>
      <w:marLeft w:val="0"/>
      <w:marRight w:val="0"/>
      <w:marTop w:val="0"/>
      <w:marBottom w:val="0"/>
      <w:divBdr>
        <w:top w:val="none" w:sz="0" w:space="0" w:color="auto"/>
        <w:left w:val="none" w:sz="0" w:space="0" w:color="auto"/>
        <w:bottom w:val="none" w:sz="0" w:space="0" w:color="auto"/>
        <w:right w:val="none" w:sz="0" w:space="0" w:color="auto"/>
      </w:divBdr>
    </w:div>
    <w:div w:id="1174880347">
      <w:bodyDiv w:val="1"/>
      <w:marLeft w:val="0"/>
      <w:marRight w:val="0"/>
      <w:marTop w:val="0"/>
      <w:marBottom w:val="0"/>
      <w:divBdr>
        <w:top w:val="none" w:sz="0" w:space="0" w:color="auto"/>
        <w:left w:val="none" w:sz="0" w:space="0" w:color="auto"/>
        <w:bottom w:val="none" w:sz="0" w:space="0" w:color="auto"/>
        <w:right w:val="none" w:sz="0" w:space="0" w:color="auto"/>
      </w:divBdr>
    </w:div>
    <w:div w:id="1175220881">
      <w:bodyDiv w:val="1"/>
      <w:marLeft w:val="0"/>
      <w:marRight w:val="0"/>
      <w:marTop w:val="0"/>
      <w:marBottom w:val="0"/>
      <w:divBdr>
        <w:top w:val="none" w:sz="0" w:space="0" w:color="auto"/>
        <w:left w:val="none" w:sz="0" w:space="0" w:color="auto"/>
        <w:bottom w:val="none" w:sz="0" w:space="0" w:color="auto"/>
        <w:right w:val="none" w:sz="0" w:space="0" w:color="auto"/>
      </w:divBdr>
    </w:div>
    <w:div w:id="1175414013">
      <w:bodyDiv w:val="1"/>
      <w:marLeft w:val="0"/>
      <w:marRight w:val="0"/>
      <w:marTop w:val="0"/>
      <w:marBottom w:val="0"/>
      <w:divBdr>
        <w:top w:val="none" w:sz="0" w:space="0" w:color="auto"/>
        <w:left w:val="none" w:sz="0" w:space="0" w:color="auto"/>
        <w:bottom w:val="none" w:sz="0" w:space="0" w:color="auto"/>
        <w:right w:val="none" w:sz="0" w:space="0" w:color="auto"/>
      </w:divBdr>
    </w:div>
    <w:div w:id="1175998813">
      <w:bodyDiv w:val="1"/>
      <w:marLeft w:val="0"/>
      <w:marRight w:val="0"/>
      <w:marTop w:val="0"/>
      <w:marBottom w:val="0"/>
      <w:divBdr>
        <w:top w:val="none" w:sz="0" w:space="0" w:color="auto"/>
        <w:left w:val="none" w:sz="0" w:space="0" w:color="auto"/>
        <w:bottom w:val="none" w:sz="0" w:space="0" w:color="auto"/>
        <w:right w:val="none" w:sz="0" w:space="0" w:color="auto"/>
      </w:divBdr>
    </w:div>
    <w:div w:id="1177034050">
      <w:bodyDiv w:val="1"/>
      <w:marLeft w:val="0"/>
      <w:marRight w:val="0"/>
      <w:marTop w:val="0"/>
      <w:marBottom w:val="0"/>
      <w:divBdr>
        <w:top w:val="none" w:sz="0" w:space="0" w:color="auto"/>
        <w:left w:val="none" w:sz="0" w:space="0" w:color="auto"/>
        <w:bottom w:val="none" w:sz="0" w:space="0" w:color="auto"/>
        <w:right w:val="none" w:sz="0" w:space="0" w:color="auto"/>
      </w:divBdr>
    </w:div>
    <w:div w:id="1177231793">
      <w:bodyDiv w:val="1"/>
      <w:marLeft w:val="0"/>
      <w:marRight w:val="0"/>
      <w:marTop w:val="0"/>
      <w:marBottom w:val="0"/>
      <w:divBdr>
        <w:top w:val="none" w:sz="0" w:space="0" w:color="auto"/>
        <w:left w:val="none" w:sz="0" w:space="0" w:color="auto"/>
        <w:bottom w:val="none" w:sz="0" w:space="0" w:color="auto"/>
        <w:right w:val="none" w:sz="0" w:space="0" w:color="auto"/>
      </w:divBdr>
    </w:div>
    <w:div w:id="1177698066">
      <w:bodyDiv w:val="1"/>
      <w:marLeft w:val="0"/>
      <w:marRight w:val="0"/>
      <w:marTop w:val="0"/>
      <w:marBottom w:val="0"/>
      <w:divBdr>
        <w:top w:val="none" w:sz="0" w:space="0" w:color="auto"/>
        <w:left w:val="none" w:sz="0" w:space="0" w:color="auto"/>
        <w:bottom w:val="none" w:sz="0" w:space="0" w:color="auto"/>
        <w:right w:val="none" w:sz="0" w:space="0" w:color="auto"/>
      </w:divBdr>
    </w:div>
    <w:div w:id="1177890428">
      <w:bodyDiv w:val="1"/>
      <w:marLeft w:val="0"/>
      <w:marRight w:val="0"/>
      <w:marTop w:val="0"/>
      <w:marBottom w:val="0"/>
      <w:divBdr>
        <w:top w:val="none" w:sz="0" w:space="0" w:color="auto"/>
        <w:left w:val="none" w:sz="0" w:space="0" w:color="auto"/>
        <w:bottom w:val="none" w:sz="0" w:space="0" w:color="auto"/>
        <w:right w:val="none" w:sz="0" w:space="0" w:color="auto"/>
      </w:divBdr>
    </w:div>
    <w:div w:id="1182629519">
      <w:bodyDiv w:val="1"/>
      <w:marLeft w:val="0"/>
      <w:marRight w:val="0"/>
      <w:marTop w:val="0"/>
      <w:marBottom w:val="0"/>
      <w:divBdr>
        <w:top w:val="none" w:sz="0" w:space="0" w:color="auto"/>
        <w:left w:val="none" w:sz="0" w:space="0" w:color="auto"/>
        <w:bottom w:val="none" w:sz="0" w:space="0" w:color="auto"/>
        <w:right w:val="none" w:sz="0" w:space="0" w:color="auto"/>
      </w:divBdr>
    </w:div>
    <w:div w:id="1183668701">
      <w:bodyDiv w:val="1"/>
      <w:marLeft w:val="0"/>
      <w:marRight w:val="0"/>
      <w:marTop w:val="0"/>
      <w:marBottom w:val="0"/>
      <w:divBdr>
        <w:top w:val="none" w:sz="0" w:space="0" w:color="auto"/>
        <w:left w:val="none" w:sz="0" w:space="0" w:color="auto"/>
        <w:bottom w:val="none" w:sz="0" w:space="0" w:color="auto"/>
        <w:right w:val="none" w:sz="0" w:space="0" w:color="auto"/>
      </w:divBdr>
    </w:div>
    <w:div w:id="1184242794">
      <w:bodyDiv w:val="1"/>
      <w:marLeft w:val="0"/>
      <w:marRight w:val="0"/>
      <w:marTop w:val="0"/>
      <w:marBottom w:val="0"/>
      <w:divBdr>
        <w:top w:val="none" w:sz="0" w:space="0" w:color="auto"/>
        <w:left w:val="none" w:sz="0" w:space="0" w:color="auto"/>
        <w:bottom w:val="none" w:sz="0" w:space="0" w:color="auto"/>
        <w:right w:val="none" w:sz="0" w:space="0" w:color="auto"/>
      </w:divBdr>
    </w:div>
    <w:div w:id="1184979237">
      <w:bodyDiv w:val="1"/>
      <w:marLeft w:val="0"/>
      <w:marRight w:val="0"/>
      <w:marTop w:val="0"/>
      <w:marBottom w:val="0"/>
      <w:divBdr>
        <w:top w:val="none" w:sz="0" w:space="0" w:color="auto"/>
        <w:left w:val="none" w:sz="0" w:space="0" w:color="auto"/>
        <w:bottom w:val="none" w:sz="0" w:space="0" w:color="auto"/>
        <w:right w:val="none" w:sz="0" w:space="0" w:color="auto"/>
      </w:divBdr>
    </w:div>
    <w:div w:id="1185825598">
      <w:bodyDiv w:val="1"/>
      <w:marLeft w:val="0"/>
      <w:marRight w:val="0"/>
      <w:marTop w:val="0"/>
      <w:marBottom w:val="0"/>
      <w:divBdr>
        <w:top w:val="none" w:sz="0" w:space="0" w:color="auto"/>
        <w:left w:val="none" w:sz="0" w:space="0" w:color="auto"/>
        <w:bottom w:val="none" w:sz="0" w:space="0" w:color="auto"/>
        <w:right w:val="none" w:sz="0" w:space="0" w:color="auto"/>
      </w:divBdr>
    </w:div>
    <w:div w:id="1187332542">
      <w:bodyDiv w:val="1"/>
      <w:marLeft w:val="0"/>
      <w:marRight w:val="0"/>
      <w:marTop w:val="0"/>
      <w:marBottom w:val="0"/>
      <w:divBdr>
        <w:top w:val="none" w:sz="0" w:space="0" w:color="auto"/>
        <w:left w:val="none" w:sz="0" w:space="0" w:color="auto"/>
        <w:bottom w:val="none" w:sz="0" w:space="0" w:color="auto"/>
        <w:right w:val="none" w:sz="0" w:space="0" w:color="auto"/>
      </w:divBdr>
    </w:div>
    <w:div w:id="1188983680">
      <w:bodyDiv w:val="1"/>
      <w:marLeft w:val="0"/>
      <w:marRight w:val="0"/>
      <w:marTop w:val="0"/>
      <w:marBottom w:val="0"/>
      <w:divBdr>
        <w:top w:val="none" w:sz="0" w:space="0" w:color="auto"/>
        <w:left w:val="none" w:sz="0" w:space="0" w:color="auto"/>
        <w:bottom w:val="none" w:sz="0" w:space="0" w:color="auto"/>
        <w:right w:val="none" w:sz="0" w:space="0" w:color="auto"/>
      </w:divBdr>
    </w:div>
    <w:div w:id="1189025503">
      <w:bodyDiv w:val="1"/>
      <w:marLeft w:val="0"/>
      <w:marRight w:val="0"/>
      <w:marTop w:val="0"/>
      <w:marBottom w:val="0"/>
      <w:divBdr>
        <w:top w:val="none" w:sz="0" w:space="0" w:color="auto"/>
        <w:left w:val="none" w:sz="0" w:space="0" w:color="auto"/>
        <w:bottom w:val="none" w:sz="0" w:space="0" w:color="auto"/>
        <w:right w:val="none" w:sz="0" w:space="0" w:color="auto"/>
      </w:divBdr>
    </w:div>
    <w:div w:id="1189373999">
      <w:bodyDiv w:val="1"/>
      <w:marLeft w:val="0"/>
      <w:marRight w:val="0"/>
      <w:marTop w:val="0"/>
      <w:marBottom w:val="0"/>
      <w:divBdr>
        <w:top w:val="none" w:sz="0" w:space="0" w:color="auto"/>
        <w:left w:val="none" w:sz="0" w:space="0" w:color="auto"/>
        <w:bottom w:val="none" w:sz="0" w:space="0" w:color="auto"/>
        <w:right w:val="none" w:sz="0" w:space="0" w:color="auto"/>
      </w:divBdr>
    </w:div>
    <w:div w:id="1190530004">
      <w:bodyDiv w:val="1"/>
      <w:marLeft w:val="0"/>
      <w:marRight w:val="0"/>
      <w:marTop w:val="0"/>
      <w:marBottom w:val="0"/>
      <w:divBdr>
        <w:top w:val="none" w:sz="0" w:space="0" w:color="auto"/>
        <w:left w:val="none" w:sz="0" w:space="0" w:color="auto"/>
        <w:bottom w:val="none" w:sz="0" w:space="0" w:color="auto"/>
        <w:right w:val="none" w:sz="0" w:space="0" w:color="auto"/>
      </w:divBdr>
    </w:div>
    <w:div w:id="1190922053">
      <w:bodyDiv w:val="1"/>
      <w:marLeft w:val="0"/>
      <w:marRight w:val="0"/>
      <w:marTop w:val="0"/>
      <w:marBottom w:val="0"/>
      <w:divBdr>
        <w:top w:val="none" w:sz="0" w:space="0" w:color="auto"/>
        <w:left w:val="none" w:sz="0" w:space="0" w:color="auto"/>
        <w:bottom w:val="none" w:sz="0" w:space="0" w:color="auto"/>
        <w:right w:val="none" w:sz="0" w:space="0" w:color="auto"/>
      </w:divBdr>
    </w:div>
    <w:div w:id="1192493935">
      <w:bodyDiv w:val="1"/>
      <w:marLeft w:val="0"/>
      <w:marRight w:val="0"/>
      <w:marTop w:val="0"/>
      <w:marBottom w:val="0"/>
      <w:divBdr>
        <w:top w:val="none" w:sz="0" w:space="0" w:color="auto"/>
        <w:left w:val="none" w:sz="0" w:space="0" w:color="auto"/>
        <w:bottom w:val="none" w:sz="0" w:space="0" w:color="auto"/>
        <w:right w:val="none" w:sz="0" w:space="0" w:color="auto"/>
      </w:divBdr>
    </w:div>
    <w:div w:id="1196191334">
      <w:bodyDiv w:val="1"/>
      <w:marLeft w:val="0"/>
      <w:marRight w:val="0"/>
      <w:marTop w:val="0"/>
      <w:marBottom w:val="0"/>
      <w:divBdr>
        <w:top w:val="none" w:sz="0" w:space="0" w:color="auto"/>
        <w:left w:val="none" w:sz="0" w:space="0" w:color="auto"/>
        <w:bottom w:val="none" w:sz="0" w:space="0" w:color="auto"/>
        <w:right w:val="none" w:sz="0" w:space="0" w:color="auto"/>
      </w:divBdr>
    </w:div>
    <w:div w:id="1196239253">
      <w:bodyDiv w:val="1"/>
      <w:marLeft w:val="0"/>
      <w:marRight w:val="0"/>
      <w:marTop w:val="0"/>
      <w:marBottom w:val="0"/>
      <w:divBdr>
        <w:top w:val="none" w:sz="0" w:space="0" w:color="auto"/>
        <w:left w:val="none" w:sz="0" w:space="0" w:color="auto"/>
        <w:bottom w:val="none" w:sz="0" w:space="0" w:color="auto"/>
        <w:right w:val="none" w:sz="0" w:space="0" w:color="auto"/>
      </w:divBdr>
    </w:div>
    <w:div w:id="1198197713">
      <w:bodyDiv w:val="1"/>
      <w:marLeft w:val="0"/>
      <w:marRight w:val="0"/>
      <w:marTop w:val="0"/>
      <w:marBottom w:val="0"/>
      <w:divBdr>
        <w:top w:val="none" w:sz="0" w:space="0" w:color="auto"/>
        <w:left w:val="none" w:sz="0" w:space="0" w:color="auto"/>
        <w:bottom w:val="none" w:sz="0" w:space="0" w:color="auto"/>
        <w:right w:val="none" w:sz="0" w:space="0" w:color="auto"/>
      </w:divBdr>
    </w:div>
    <w:div w:id="1199659281">
      <w:bodyDiv w:val="1"/>
      <w:marLeft w:val="0"/>
      <w:marRight w:val="0"/>
      <w:marTop w:val="0"/>
      <w:marBottom w:val="0"/>
      <w:divBdr>
        <w:top w:val="none" w:sz="0" w:space="0" w:color="auto"/>
        <w:left w:val="none" w:sz="0" w:space="0" w:color="auto"/>
        <w:bottom w:val="none" w:sz="0" w:space="0" w:color="auto"/>
        <w:right w:val="none" w:sz="0" w:space="0" w:color="auto"/>
      </w:divBdr>
    </w:div>
    <w:div w:id="1200818718">
      <w:bodyDiv w:val="1"/>
      <w:marLeft w:val="0"/>
      <w:marRight w:val="0"/>
      <w:marTop w:val="0"/>
      <w:marBottom w:val="0"/>
      <w:divBdr>
        <w:top w:val="none" w:sz="0" w:space="0" w:color="auto"/>
        <w:left w:val="none" w:sz="0" w:space="0" w:color="auto"/>
        <w:bottom w:val="none" w:sz="0" w:space="0" w:color="auto"/>
        <w:right w:val="none" w:sz="0" w:space="0" w:color="auto"/>
      </w:divBdr>
    </w:div>
    <w:div w:id="1200976202">
      <w:bodyDiv w:val="1"/>
      <w:marLeft w:val="0"/>
      <w:marRight w:val="0"/>
      <w:marTop w:val="0"/>
      <w:marBottom w:val="0"/>
      <w:divBdr>
        <w:top w:val="none" w:sz="0" w:space="0" w:color="auto"/>
        <w:left w:val="none" w:sz="0" w:space="0" w:color="auto"/>
        <w:bottom w:val="none" w:sz="0" w:space="0" w:color="auto"/>
        <w:right w:val="none" w:sz="0" w:space="0" w:color="auto"/>
      </w:divBdr>
    </w:div>
    <w:div w:id="1201432758">
      <w:bodyDiv w:val="1"/>
      <w:marLeft w:val="0"/>
      <w:marRight w:val="0"/>
      <w:marTop w:val="0"/>
      <w:marBottom w:val="0"/>
      <w:divBdr>
        <w:top w:val="none" w:sz="0" w:space="0" w:color="auto"/>
        <w:left w:val="none" w:sz="0" w:space="0" w:color="auto"/>
        <w:bottom w:val="none" w:sz="0" w:space="0" w:color="auto"/>
        <w:right w:val="none" w:sz="0" w:space="0" w:color="auto"/>
      </w:divBdr>
    </w:div>
    <w:div w:id="1202089512">
      <w:bodyDiv w:val="1"/>
      <w:marLeft w:val="0"/>
      <w:marRight w:val="0"/>
      <w:marTop w:val="0"/>
      <w:marBottom w:val="0"/>
      <w:divBdr>
        <w:top w:val="none" w:sz="0" w:space="0" w:color="auto"/>
        <w:left w:val="none" w:sz="0" w:space="0" w:color="auto"/>
        <w:bottom w:val="none" w:sz="0" w:space="0" w:color="auto"/>
        <w:right w:val="none" w:sz="0" w:space="0" w:color="auto"/>
      </w:divBdr>
    </w:div>
    <w:div w:id="1202326220">
      <w:bodyDiv w:val="1"/>
      <w:marLeft w:val="0"/>
      <w:marRight w:val="0"/>
      <w:marTop w:val="0"/>
      <w:marBottom w:val="0"/>
      <w:divBdr>
        <w:top w:val="none" w:sz="0" w:space="0" w:color="auto"/>
        <w:left w:val="none" w:sz="0" w:space="0" w:color="auto"/>
        <w:bottom w:val="none" w:sz="0" w:space="0" w:color="auto"/>
        <w:right w:val="none" w:sz="0" w:space="0" w:color="auto"/>
      </w:divBdr>
    </w:div>
    <w:div w:id="1202353961">
      <w:bodyDiv w:val="1"/>
      <w:marLeft w:val="0"/>
      <w:marRight w:val="0"/>
      <w:marTop w:val="0"/>
      <w:marBottom w:val="0"/>
      <w:divBdr>
        <w:top w:val="none" w:sz="0" w:space="0" w:color="auto"/>
        <w:left w:val="none" w:sz="0" w:space="0" w:color="auto"/>
        <w:bottom w:val="none" w:sz="0" w:space="0" w:color="auto"/>
        <w:right w:val="none" w:sz="0" w:space="0" w:color="auto"/>
      </w:divBdr>
    </w:div>
    <w:div w:id="1203322269">
      <w:bodyDiv w:val="1"/>
      <w:marLeft w:val="0"/>
      <w:marRight w:val="0"/>
      <w:marTop w:val="0"/>
      <w:marBottom w:val="0"/>
      <w:divBdr>
        <w:top w:val="none" w:sz="0" w:space="0" w:color="auto"/>
        <w:left w:val="none" w:sz="0" w:space="0" w:color="auto"/>
        <w:bottom w:val="none" w:sz="0" w:space="0" w:color="auto"/>
        <w:right w:val="none" w:sz="0" w:space="0" w:color="auto"/>
      </w:divBdr>
    </w:div>
    <w:div w:id="1205024196">
      <w:bodyDiv w:val="1"/>
      <w:marLeft w:val="0"/>
      <w:marRight w:val="0"/>
      <w:marTop w:val="0"/>
      <w:marBottom w:val="0"/>
      <w:divBdr>
        <w:top w:val="none" w:sz="0" w:space="0" w:color="auto"/>
        <w:left w:val="none" w:sz="0" w:space="0" w:color="auto"/>
        <w:bottom w:val="none" w:sz="0" w:space="0" w:color="auto"/>
        <w:right w:val="none" w:sz="0" w:space="0" w:color="auto"/>
      </w:divBdr>
    </w:div>
    <w:div w:id="1206528393">
      <w:bodyDiv w:val="1"/>
      <w:marLeft w:val="0"/>
      <w:marRight w:val="0"/>
      <w:marTop w:val="0"/>
      <w:marBottom w:val="0"/>
      <w:divBdr>
        <w:top w:val="none" w:sz="0" w:space="0" w:color="auto"/>
        <w:left w:val="none" w:sz="0" w:space="0" w:color="auto"/>
        <w:bottom w:val="none" w:sz="0" w:space="0" w:color="auto"/>
        <w:right w:val="none" w:sz="0" w:space="0" w:color="auto"/>
      </w:divBdr>
    </w:div>
    <w:div w:id="1207259249">
      <w:bodyDiv w:val="1"/>
      <w:marLeft w:val="0"/>
      <w:marRight w:val="0"/>
      <w:marTop w:val="0"/>
      <w:marBottom w:val="0"/>
      <w:divBdr>
        <w:top w:val="none" w:sz="0" w:space="0" w:color="auto"/>
        <w:left w:val="none" w:sz="0" w:space="0" w:color="auto"/>
        <w:bottom w:val="none" w:sz="0" w:space="0" w:color="auto"/>
        <w:right w:val="none" w:sz="0" w:space="0" w:color="auto"/>
      </w:divBdr>
    </w:div>
    <w:div w:id="1211266540">
      <w:bodyDiv w:val="1"/>
      <w:marLeft w:val="0"/>
      <w:marRight w:val="0"/>
      <w:marTop w:val="0"/>
      <w:marBottom w:val="0"/>
      <w:divBdr>
        <w:top w:val="none" w:sz="0" w:space="0" w:color="auto"/>
        <w:left w:val="none" w:sz="0" w:space="0" w:color="auto"/>
        <w:bottom w:val="none" w:sz="0" w:space="0" w:color="auto"/>
        <w:right w:val="none" w:sz="0" w:space="0" w:color="auto"/>
      </w:divBdr>
    </w:div>
    <w:div w:id="1211305282">
      <w:bodyDiv w:val="1"/>
      <w:marLeft w:val="0"/>
      <w:marRight w:val="0"/>
      <w:marTop w:val="0"/>
      <w:marBottom w:val="0"/>
      <w:divBdr>
        <w:top w:val="none" w:sz="0" w:space="0" w:color="auto"/>
        <w:left w:val="none" w:sz="0" w:space="0" w:color="auto"/>
        <w:bottom w:val="none" w:sz="0" w:space="0" w:color="auto"/>
        <w:right w:val="none" w:sz="0" w:space="0" w:color="auto"/>
      </w:divBdr>
    </w:div>
    <w:div w:id="1212115001">
      <w:bodyDiv w:val="1"/>
      <w:marLeft w:val="0"/>
      <w:marRight w:val="0"/>
      <w:marTop w:val="0"/>
      <w:marBottom w:val="0"/>
      <w:divBdr>
        <w:top w:val="none" w:sz="0" w:space="0" w:color="auto"/>
        <w:left w:val="none" w:sz="0" w:space="0" w:color="auto"/>
        <w:bottom w:val="none" w:sz="0" w:space="0" w:color="auto"/>
        <w:right w:val="none" w:sz="0" w:space="0" w:color="auto"/>
      </w:divBdr>
    </w:div>
    <w:div w:id="1212306355">
      <w:bodyDiv w:val="1"/>
      <w:marLeft w:val="0"/>
      <w:marRight w:val="0"/>
      <w:marTop w:val="0"/>
      <w:marBottom w:val="0"/>
      <w:divBdr>
        <w:top w:val="none" w:sz="0" w:space="0" w:color="auto"/>
        <w:left w:val="none" w:sz="0" w:space="0" w:color="auto"/>
        <w:bottom w:val="none" w:sz="0" w:space="0" w:color="auto"/>
        <w:right w:val="none" w:sz="0" w:space="0" w:color="auto"/>
      </w:divBdr>
    </w:div>
    <w:div w:id="1213036263">
      <w:bodyDiv w:val="1"/>
      <w:marLeft w:val="0"/>
      <w:marRight w:val="0"/>
      <w:marTop w:val="0"/>
      <w:marBottom w:val="0"/>
      <w:divBdr>
        <w:top w:val="none" w:sz="0" w:space="0" w:color="auto"/>
        <w:left w:val="none" w:sz="0" w:space="0" w:color="auto"/>
        <w:bottom w:val="none" w:sz="0" w:space="0" w:color="auto"/>
        <w:right w:val="none" w:sz="0" w:space="0" w:color="auto"/>
      </w:divBdr>
    </w:div>
    <w:div w:id="1213811059">
      <w:bodyDiv w:val="1"/>
      <w:marLeft w:val="0"/>
      <w:marRight w:val="0"/>
      <w:marTop w:val="0"/>
      <w:marBottom w:val="0"/>
      <w:divBdr>
        <w:top w:val="none" w:sz="0" w:space="0" w:color="auto"/>
        <w:left w:val="none" w:sz="0" w:space="0" w:color="auto"/>
        <w:bottom w:val="none" w:sz="0" w:space="0" w:color="auto"/>
        <w:right w:val="none" w:sz="0" w:space="0" w:color="auto"/>
      </w:divBdr>
    </w:div>
    <w:div w:id="1214194563">
      <w:bodyDiv w:val="1"/>
      <w:marLeft w:val="0"/>
      <w:marRight w:val="0"/>
      <w:marTop w:val="0"/>
      <w:marBottom w:val="0"/>
      <w:divBdr>
        <w:top w:val="none" w:sz="0" w:space="0" w:color="auto"/>
        <w:left w:val="none" w:sz="0" w:space="0" w:color="auto"/>
        <w:bottom w:val="none" w:sz="0" w:space="0" w:color="auto"/>
        <w:right w:val="none" w:sz="0" w:space="0" w:color="auto"/>
      </w:divBdr>
    </w:div>
    <w:div w:id="1214973171">
      <w:bodyDiv w:val="1"/>
      <w:marLeft w:val="0"/>
      <w:marRight w:val="0"/>
      <w:marTop w:val="0"/>
      <w:marBottom w:val="0"/>
      <w:divBdr>
        <w:top w:val="none" w:sz="0" w:space="0" w:color="auto"/>
        <w:left w:val="none" w:sz="0" w:space="0" w:color="auto"/>
        <w:bottom w:val="none" w:sz="0" w:space="0" w:color="auto"/>
        <w:right w:val="none" w:sz="0" w:space="0" w:color="auto"/>
      </w:divBdr>
    </w:div>
    <w:div w:id="1214999874">
      <w:bodyDiv w:val="1"/>
      <w:marLeft w:val="0"/>
      <w:marRight w:val="0"/>
      <w:marTop w:val="0"/>
      <w:marBottom w:val="0"/>
      <w:divBdr>
        <w:top w:val="none" w:sz="0" w:space="0" w:color="auto"/>
        <w:left w:val="none" w:sz="0" w:space="0" w:color="auto"/>
        <w:bottom w:val="none" w:sz="0" w:space="0" w:color="auto"/>
        <w:right w:val="none" w:sz="0" w:space="0" w:color="auto"/>
      </w:divBdr>
    </w:div>
    <w:div w:id="1215044643">
      <w:bodyDiv w:val="1"/>
      <w:marLeft w:val="0"/>
      <w:marRight w:val="0"/>
      <w:marTop w:val="0"/>
      <w:marBottom w:val="0"/>
      <w:divBdr>
        <w:top w:val="none" w:sz="0" w:space="0" w:color="auto"/>
        <w:left w:val="none" w:sz="0" w:space="0" w:color="auto"/>
        <w:bottom w:val="none" w:sz="0" w:space="0" w:color="auto"/>
        <w:right w:val="none" w:sz="0" w:space="0" w:color="auto"/>
      </w:divBdr>
    </w:div>
    <w:div w:id="1215777618">
      <w:bodyDiv w:val="1"/>
      <w:marLeft w:val="0"/>
      <w:marRight w:val="0"/>
      <w:marTop w:val="0"/>
      <w:marBottom w:val="0"/>
      <w:divBdr>
        <w:top w:val="none" w:sz="0" w:space="0" w:color="auto"/>
        <w:left w:val="none" w:sz="0" w:space="0" w:color="auto"/>
        <w:bottom w:val="none" w:sz="0" w:space="0" w:color="auto"/>
        <w:right w:val="none" w:sz="0" w:space="0" w:color="auto"/>
      </w:divBdr>
    </w:div>
    <w:div w:id="1216430794">
      <w:bodyDiv w:val="1"/>
      <w:marLeft w:val="0"/>
      <w:marRight w:val="0"/>
      <w:marTop w:val="0"/>
      <w:marBottom w:val="0"/>
      <w:divBdr>
        <w:top w:val="none" w:sz="0" w:space="0" w:color="auto"/>
        <w:left w:val="none" w:sz="0" w:space="0" w:color="auto"/>
        <w:bottom w:val="none" w:sz="0" w:space="0" w:color="auto"/>
        <w:right w:val="none" w:sz="0" w:space="0" w:color="auto"/>
      </w:divBdr>
    </w:div>
    <w:div w:id="1219123449">
      <w:bodyDiv w:val="1"/>
      <w:marLeft w:val="0"/>
      <w:marRight w:val="0"/>
      <w:marTop w:val="0"/>
      <w:marBottom w:val="0"/>
      <w:divBdr>
        <w:top w:val="none" w:sz="0" w:space="0" w:color="auto"/>
        <w:left w:val="none" w:sz="0" w:space="0" w:color="auto"/>
        <w:bottom w:val="none" w:sz="0" w:space="0" w:color="auto"/>
        <w:right w:val="none" w:sz="0" w:space="0" w:color="auto"/>
      </w:divBdr>
    </w:div>
    <w:div w:id="1219442179">
      <w:bodyDiv w:val="1"/>
      <w:marLeft w:val="0"/>
      <w:marRight w:val="0"/>
      <w:marTop w:val="0"/>
      <w:marBottom w:val="0"/>
      <w:divBdr>
        <w:top w:val="none" w:sz="0" w:space="0" w:color="auto"/>
        <w:left w:val="none" w:sz="0" w:space="0" w:color="auto"/>
        <w:bottom w:val="none" w:sz="0" w:space="0" w:color="auto"/>
        <w:right w:val="none" w:sz="0" w:space="0" w:color="auto"/>
      </w:divBdr>
    </w:div>
    <w:div w:id="1219560530">
      <w:bodyDiv w:val="1"/>
      <w:marLeft w:val="0"/>
      <w:marRight w:val="0"/>
      <w:marTop w:val="0"/>
      <w:marBottom w:val="0"/>
      <w:divBdr>
        <w:top w:val="none" w:sz="0" w:space="0" w:color="auto"/>
        <w:left w:val="none" w:sz="0" w:space="0" w:color="auto"/>
        <w:bottom w:val="none" w:sz="0" w:space="0" w:color="auto"/>
        <w:right w:val="none" w:sz="0" w:space="0" w:color="auto"/>
      </w:divBdr>
    </w:div>
    <w:div w:id="1220747719">
      <w:bodyDiv w:val="1"/>
      <w:marLeft w:val="0"/>
      <w:marRight w:val="0"/>
      <w:marTop w:val="0"/>
      <w:marBottom w:val="0"/>
      <w:divBdr>
        <w:top w:val="none" w:sz="0" w:space="0" w:color="auto"/>
        <w:left w:val="none" w:sz="0" w:space="0" w:color="auto"/>
        <w:bottom w:val="none" w:sz="0" w:space="0" w:color="auto"/>
        <w:right w:val="none" w:sz="0" w:space="0" w:color="auto"/>
      </w:divBdr>
    </w:div>
    <w:div w:id="1221212265">
      <w:bodyDiv w:val="1"/>
      <w:marLeft w:val="0"/>
      <w:marRight w:val="0"/>
      <w:marTop w:val="0"/>
      <w:marBottom w:val="0"/>
      <w:divBdr>
        <w:top w:val="none" w:sz="0" w:space="0" w:color="auto"/>
        <w:left w:val="none" w:sz="0" w:space="0" w:color="auto"/>
        <w:bottom w:val="none" w:sz="0" w:space="0" w:color="auto"/>
        <w:right w:val="none" w:sz="0" w:space="0" w:color="auto"/>
      </w:divBdr>
    </w:div>
    <w:div w:id="1222403517">
      <w:bodyDiv w:val="1"/>
      <w:marLeft w:val="0"/>
      <w:marRight w:val="0"/>
      <w:marTop w:val="0"/>
      <w:marBottom w:val="0"/>
      <w:divBdr>
        <w:top w:val="none" w:sz="0" w:space="0" w:color="auto"/>
        <w:left w:val="none" w:sz="0" w:space="0" w:color="auto"/>
        <w:bottom w:val="none" w:sz="0" w:space="0" w:color="auto"/>
        <w:right w:val="none" w:sz="0" w:space="0" w:color="auto"/>
      </w:divBdr>
    </w:div>
    <w:div w:id="1222711624">
      <w:bodyDiv w:val="1"/>
      <w:marLeft w:val="0"/>
      <w:marRight w:val="0"/>
      <w:marTop w:val="0"/>
      <w:marBottom w:val="0"/>
      <w:divBdr>
        <w:top w:val="none" w:sz="0" w:space="0" w:color="auto"/>
        <w:left w:val="none" w:sz="0" w:space="0" w:color="auto"/>
        <w:bottom w:val="none" w:sz="0" w:space="0" w:color="auto"/>
        <w:right w:val="none" w:sz="0" w:space="0" w:color="auto"/>
      </w:divBdr>
    </w:div>
    <w:div w:id="1224368784">
      <w:bodyDiv w:val="1"/>
      <w:marLeft w:val="0"/>
      <w:marRight w:val="0"/>
      <w:marTop w:val="0"/>
      <w:marBottom w:val="0"/>
      <w:divBdr>
        <w:top w:val="none" w:sz="0" w:space="0" w:color="auto"/>
        <w:left w:val="none" w:sz="0" w:space="0" w:color="auto"/>
        <w:bottom w:val="none" w:sz="0" w:space="0" w:color="auto"/>
        <w:right w:val="none" w:sz="0" w:space="0" w:color="auto"/>
      </w:divBdr>
    </w:div>
    <w:div w:id="1225264364">
      <w:bodyDiv w:val="1"/>
      <w:marLeft w:val="0"/>
      <w:marRight w:val="0"/>
      <w:marTop w:val="0"/>
      <w:marBottom w:val="0"/>
      <w:divBdr>
        <w:top w:val="none" w:sz="0" w:space="0" w:color="auto"/>
        <w:left w:val="none" w:sz="0" w:space="0" w:color="auto"/>
        <w:bottom w:val="none" w:sz="0" w:space="0" w:color="auto"/>
        <w:right w:val="none" w:sz="0" w:space="0" w:color="auto"/>
      </w:divBdr>
    </w:div>
    <w:div w:id="1227254269">
      <w:bodyDiv w:val="1"/>
      <w:marLeft w:val="0"/>
      <w:marRight w:val="0"/>
      <w:marTop w:val="0"/>
      <w:marBottom w:val="0"/>
      <w:divBdr>
        <w:top w:val="none" w:sz="0" w:space="0" w:color="auto"/>
        <w:left w:val="none" w:sz="0" w:space="0" w:color="auto"/>
        <w:bottom w:val="none" w:sz="0" w:space="0" w:color="auto"/>
        <w:right w:val="none" w:sz="0" w:space="0" w:color="auto"/>
      </w:divBdr>
    </w:div>
    <w:div w:id="1228495048">
      <w:bodyDiv w:val="1"/>
      <w:marLeft w:val="0"/>
      <w:marRight w:val="0"/>
      <w:marTop w:val="0"/>
      <w:marBottom w:val="0"/>
      <w:divBdr>
        <w:top w:val="none" w:sz="0" w:space="0" w:color="auto"/>
        <w:left w:val="none" w:sz="0" w:space="0" w:color="auto"/>
        <w:bottom w:val="none" w:sz="0" w:space="0" w:color="auto"/>
        <w:right w:val="none" w:sz="0" w:space="0" w:color="auto"/>
      </w:divBdr>
    </w:div>
    <w:div w:id="1229535772">
      <w:bodyDiv w:val="1"/>
      <w:marLeft w:val="0"/>
      <w:marRight w:val="0"/>
      <w:marTop w:val="0"/>
      <w:marBottom w:val="0"/>
      <w:divBdr>
        <w:top w:val="none" w:sz="0" w:space="0" w:color="auto"/>
        <w:left w:val="none" w:sz="0" w:space="0" w:color="auto"/>
        <w:bottom w:val="none" w:sz="0" w:space="0" w:color="auto"/>
        <w:right w:val="none" w:sz="0" w:space="0" w:color="auto"/>
      </w:divBdr>
    </w:div>
    <w:div w:id="1229612892">
      <w:bodyDiv w:val="1"/>
      <w:marLeft w:val="0"/>
      <w:marRight w:val="0"/>
      <w:marTop w:val="0"/>
      <w:marBottom w:val="0"/>
      <w:divBdr>
        <w:top w:val="none" w:sz="0" w:space="0" w:color="auto"/>
        <w:left w:val="none" w:sz="0" w:space="0" w:color="auto"/>
        <w:bottom w:val="none" w:sz="0" w:space="0" w:color="auto"/>
        <w:right w:val="none" w:sz="0" w:space="0" w:color="auto"/>
      </w:divBdr>
    </w:div>
    <w:div w:id="1230652259">
      <w:bodyDiv w:val="1"/>
      <w:marLeft w:val="0"/>
      <w:marRight w:val="0"/>
      <w:marTop w:val="0"/>
      <w:marBottom w:val="0"/>
      <w:divBdr>
        <w:top w:val="none" w:sz="0" w:space="0" w:color="auto"/>
        <w:left w:val="none" w:sz="0" w:space="0" w:color="auto"/>
        <w:bottom w:val="none" w:sz="0" w:space="0" w:color="auto"/>
        <w:right w:val="none" w:sz="0" w:space="0" w:color="auto"/>
      </w:divBdr>
    </w:div>
    <w:div w:id="1231185383">
      <w:bodyDiv w:val="1"/>
      <w:marLeft w:val="0"/>
      <w:marRight w:val="0"/>
      <w:marTop w:val="0"/>
      <w:marBottom w:val="0"/>
      <w:divBdr>
        <w:top w:val="none" w:sz="0" w:space="0" w:color="auto"/>
        <w:left w:val="none" w:sz="0" w:space="0" w:color="auto"/>
        <w:bottom w:val="none" w:sz="0" w:space="0" w:color="auto"/>
        <w:right w:val="none" w:sz="0" w:space="0" w:color="auto"/>
      </w:divBdr>
    </w:div>
    <w:div w:id="1231189328">
      <w:bodyDiv w:val="1"/>
      <w:marLeft w:val="0"/>
      <w:marRight w:val="0"/>
      <w:marTop w:val="0"/>
      <w:marBottom w:val="0"/>
      <w:divBdr>
        <w:top w:val="none" w:sz="0" w:space="0" w:color="auto"/>
        <w:left w:val="none" w:sz="0" w:space="0" w:color="auto"/>
        <w:bottom w:val="none" w:sz="0" w:space="0" w:color="auto"/>
        <w:right w:val="none" w:sz="0" w:space="0" w:color="auto"/>
      </w:divBdr>
    </w:div>
    <w:div w:id="1231379277">
      <w:bodyDiv w:val="1"/>
      <w:marLeft w:val="0"/>
      <w:marRight w:val="0"/>
      <w:marTop w:val="0"/>
      <w:marBottom w:val="0"/>
      <w:divBdr>
        <w:top w:val="none" w:sz="0" w:space="0" w:color="auto"/>
        <w:left w:val="none" w:sz="0" w:space="0" w:color="auto"/>
        <w:bottom w:val="none" w:sz="0" w:space="0" w:color="auto"/>
        <w:right w:val="none" w:sz="0" w:space="0" w:color="auto"/>
      </w:divBdr>
    </w:div>
    <w:div w:id="1231500059">
      <w:bodyDiv w:val="1"/>
      <w:marLeft w:val="0"/>
      <w:marRight w:val="0"/>
      <w:marTop w:val="0"/>
      <w:marBottom w:val="0"/>
      <w:divBdr>
        <w:top w:val="none" w:sz="0" w:space="0" w:color="auto"/>
        <w:left w:val="none" w:sz="0" w:space="0" w:color="auto"/>
        <w:bottom w:val="none" w:sz="0" w:space="0" w:color="auto"/>
        <w:right w:val="none" w:sz="0" w:space="0" w:color="auto"/>
      </w:divBdr>
    </w:div>
    <w:div w:id="1231960730">
      <w:bodyDiv w:val="1"/>
      <w:marLeft w:val="0"/>
      <w:marRight w:val="0"/>
      <w:marTop w:val="0"/>
      <w:marBottom w:val="0"/>
      <w:divBdr>
        <w:top w:val="none" w:sz="0" w:space="0" w:color="auto"/>
        <w:left w:val="none" w:sz="0" w:space="0" w:color="auto"/>
        <w:bottom w:val="none" w:sz="0" w:space="0" w:color="auto"/>
        <w:right w:val="none" w:sz="0" w:space="0" w:color="auto"/>
      </w:divBdr>
    </w:div>
    <w:div w:id="1232735873">
      <w:bodyDiv w:val="1"/>
      <w:marLeft w:val="0"/>
      <w:marRight w:val="0"/>
      <w:marTop w:val="0"/>
      <w:marBottom w:val="0"/>
      <w:divBdr>
        <w:top w:val="none" w:sz="0" w:space="0" w:color="auto"/>
        <w:left w:val="none" w:sz="0" w:space="0" w:color="auto"/>
        <w:bottom w:val="none" w:sz="0" w:space="0" w:color="auto"/>
        <w:right w:val="none" w:sz="0" w:space="0" w:color="auto"/>
      </w:divBdr>
    </w:div>
    <w:div w:id="1233924688">
      <w:bodyDiv w:val="1"/>
      <w:marLeft w:val="0"/>
      <w:marRight w:val="0"/>
      <w:marTop w:val="0"/>
      <w:marBottom w:val="0"/>
      <w:divBdr>
        <w:top w:val="none" w:sz="0" w:space="0" w:color="auto"/>
        <w:left w:val="none" w:sz="0" w:space="0" w:color="auto"/>
        <w:bottom w:val="none" w:sz="0" w:space="0" w:color="auto"/>
        <w:right w:val="none" w:sz="0" w:space="0" w:color="auto"/>
      </w:divBdr>
    </w:div>
    <w:div w:id="1234777414">
      <w:bodyDiv w:val="1"/>
      <w:marLeft w:val="0"/>
      <w:marRight w:val="0"/>
      <w:marTop w:val="0"/>
      <w:marBottom w:val="0"/>
      <w:divBdr>
        <w:top w:val="none" w:sz="0" w:space="0" w:color="auto"/>
        <w:left w:val="none" w:sz="0" w:space="0" w:color="auto"/>
        <w:bottom w:val="none" w:sz="0" w:space="0" w:color="auto"/>
        <w:right w:val="none" w:sz="0" w:space="0" w:color="auto"/>
      </w:divBdr>
    </w:div>
    <w:div w:id="1237400483">
      <w:bodyDiv w:val="1"/>
      <w:marLeft w:val="0"/>
      <w:marRight w:val="0"/>
      <w:marTop w:val="0"/>
      <w:marBottom w:val="0"/>
      <w:divBdr>
        <w:top w:val="none" w:sz="0" w:space="0" w:color="auto"/>
        <w:left w:val="none" w:sz="0" w:space="0" w:color="auto"/>
        <w:bottom w:val="none" w:sz="0" w:space="0" w:color="auto"/>
        <w:right w:val="none" w:sz="0" w:space="0" w:color="auto"/>
      </w:divBdr>
    </w:div>
    <w:div w:id="1237520623">
      <w:bodyDiv w:val="1"/>
      <w:marLeft w:val="0"/>
      <w:marRight w:val="0"/>
      <w:marTop w:val="0"/>
      <w:marBottom w:val="0"/>
      <w:divBdr>
        <w:top w:val="none" w:sz="0" w:space="0" w:color="auto"/>
        <w:left w:val="none" w:sz="0" w:space="0" w:color="auto"/>
        <w:bottom w:val="none" w:sz="0" w:space="0" w:color="auto"/>
        <w:right w:val="none" w:sz="0" w:space="0" w:color="auto"/>
      </w:divBdr>
    </w:div>
    <w:div w:id="1239440898">
      <w:bodyDiv w:val="1"/>
      <w:marLeft w:val="0"/>
      <w:marRight w:val="0"/>
      <w:marTop w:val="0"/>
      <w:marBottom w:val="0"/>
      <w:divBdr>
        <w:top w:val="none" w:sz="0" w:space="0" w:color="auto"/>
        <w:left w:val="none" w:sz="0" w:space="0" w:color="auto"/>
        <w:bottom w:val="none" w:sz="0" w:space="0" w:color="auto"/>
        <w:right w:val="none" w:sz="0" w:space="0" w:color="auto"/>
      </w:divBdr>
    </w:div>
    <w:div w:id="1240020058">
      <w:bodyDiv w:val="1"/>
      <w:marLeft w:val="0"/>
      <w:marRight w:val="0"/>
      <w:marTop w:val="0"/>
      <w:marBottom w:val="0"/>
      <w:divBdr>
        <w:top w:val="none" w:sz="0" w:space="0" w:color="auto"/>
        <w:left w:val="none" w:sz="0" w:space="0" w:color="auto"/>
        <w:bottom w:val="none" w:sz="0" w:space="0" w:color="auto"/>
        <w:right w:val="none" w:sz="0" w:space="0" w:color="auto"/>
      </w:divBdr>
    </w:div>
    <w:div w:id="1240404838">
      <w:bodyDiv w:val="1"/>
      <w:marLeft w:val="0"/>
      <w:marRight w:val="0"/>
      <w:marTop w:val="0"/>
      <w:marBottom w:val="0"/>
      <w:divBdr>
        <w:top w:val="none" w:sz="0" w:space="0" w:color="auto"/>
        <w:left w:val="none" w:sz="0" w:space="0" w:color="auto"/>
        <w:bottom w:val="none" w:sz="0" w:space="0" w:color="auto"/>
        <w:right w:val="none" w:sz="0" w:space="0" w:color="auto"/>
      </w:divBdr>
    </w:div>
    <w:div w:id="1240753642">
      <w:bodyDiv w:val="1"/>
      <w:marLeft w:val="0"/>
      <w:marRight w:val="0"/>
      <w:marTop w:val="0"/>
      <w:marBottom w:val="0"/>
      <w:divBdr>
        <w:top w:val="none" w:sz="0" w:space="0" w:color="auto"/>
        <w:left w:val="none" w:sz="0" w:space="0" w:color="auto"/>
        <w:bottom w:val="none" w:sz="0" w:space="0" w:color="auto"/>
        <w:right w:val="none" w:sz="0" w:space="0" w:color="auto"/>
      </w:divBdr>
    </w:div>
    <w:div w:id="1240795612">
      <w:bodyDiv w:val="1"/>
      <w:marLeft w:val="0"/>
      <w:marRight w:val="0"/>
      <w:marTop w:val="0"/>
      <w:marBottom w:val="0"/>
      <w:divBdr>
        <w:top w:val="none" w:sz="0" w:space="0" w:color="auto"/>
        <w:left w:val="none" w:sz="0" w:space="0" w:color="auto"/>
        <w:bottom w:val="none" w:sz="0" w:space="0" w:color="auto"/>
        <w:right w:val="none" w:sz="0" w:space="0" w:color="auto"/>
      </w:divBdr>
    </w:div>
    <w:div w:id="1242181273">
      <w:bodyDiv w:val="1"/>
      <w:marLeft w:val="0"/>
      <w:marRight w:val="0"/>
      <w:marTop w:val="0"/>
      <w:marBottom w:val="0"/>
      <w:divBdr>
        <w:top w:val="none" w:sz="0" w:space="0" w:color="auto"/>
        <w:left w:val="none" w:sz="0" w:space="0" w:color="auto"/>
        <w:bottom w:val="none" w:sz="0" w:space="0" w:color="auto"/>
        <w:right w:val="none" w:sz="0" w:space="0" w:color="auto"/>
      </w:divBdr>
    </w:div>
    <w:div w:id="1242787846">
      <w:bodyDiv w:val="1"/>
      <w:marLeft w:val="0"/>
      <w:marRight w:val="0"/>
      <w:marTop w:val="0"/>
      <w:marBottom w:val="0"/>
      <w:divBdr>
        <w:top w:val="none" w:sz="0" w:space="0" w:color="auto"/>
        <w:left w:val="none" w:sz="0" w:space="0" w:color="auto"/>
        <w:bottom w:val="none" w:sz="0" w:space="0" w:color="auto"/>
        <w:right w:val="none" w:sz="0" w:space="0" w:color="auto"/>
      </w:divBdr>
    </w:div>
    <w:div w:id="1244070311">
      <w:bodyDiv w:val="1"/>
      <w:marLeft w:val="0"/>
      <w:marRight w:val="0"/>
      <w:marTop w:val="0"/>
      <w:marBottom w:val="0"/>
      <w:divBdr>
        <w:top w:val="none" w:sz="0" w:space="0" w:color="auto"/>
        <w:left w:val="none" w:sz="0" w:space="0" w:color="auto"/>
        <w:bottom w:val="none" w:sz="0" w:space="0" w:color="auto"/>
        <w:right w:val="none" w:sz="0" w:space="0" w:color="auto"/>
      </w:divBdr>
    </w:div>
    <w:div w:id="1245065409">
      <w:bodyDiv w:val="1"/>
      <w:marLeft w:val="0"/>
      <w:marRight w:val="0"/>
      <w:marTop w:val="0"/>
      <w:marBottom w:val="0"/>
      <w:divBdr>
        <w:top w:val="none" w:sz="0" w:space="0" w:color="auto"/>
        <w:left w:val="none" w:sz="0" w:space="0" w:color="auto"/>
        <w:bottom w:val="none" w:sz="0" w:space="0" w:color="auto"/>
        <w:right w:val="none" w:sz="0" w:space="0" w:color="auto"/>
      </w:divBdr>
    </w:div>
    <w:div w:id="1247181109">
      <w:bodyDiv w:val="1"/>
      <w:marLeft w:val="0"/>
      <w:marRight w:val="0"/>
      <w:marTop w:val="0"/>
      <w:marBottom w:val="0"/>
      <w:divBdr>
        <w:top w:val="none" w:sz="0" w:space="0" w:color="auto"/>
        <w:left w:val="none" w:sz="0" w:space="0" w:color="auto"/>
        <w:bottom w:val="none" w:sz="0" w:space="0" w:color="auto"/>
        <w:right w:val="none" w:sz="0" w:space="0" w:color="auto"/>
      </w:divBdr>
    </w:div>
    <w:div w:id="1247493541">
      <w:bodyDiv w:val="1"/>
      <w:marLeft w:val="0"/>
      <w:marRight w:val="0"/>
      <w:marTop w:val="0"/>
      <w:marBottom w:val="0"/>
      <w:divBdr>
        <w:top w:val="none" w:sz="0" w:space="0" w:color="auto"/>
        <w:left w:val="none" w:sz="0" w:space="0" w:color="auto"/>
        <w:bottom w:val="none" w:sz="0" w:space="0" w:color="auto"/>
        <w:right w:val="none" w:sz="0" w:space="0" w:color="auto"/>
      </w:divBdr>
    </w:div>
    <w:div w:id="1249464377">
      <w:bodyDiv w:val="1"/>
      <w:marLeft w:val="0"/>
      <w:marRight w:val="0"/>
      <w:marTop w:val="0"/>
      <w:marBottom w:val="0"/>
      <w:divBdr>
        <w:top w:val="none" w:sz="0" w:space="0" w:color="auto"/>
        <w:left w:val="none" w:sz="0" w:space="0" w:color="auto"/>
        <w:bottom w:val="none" w:sz="0" w:space="0" w:color="auto"/>
        <w:right w:val="none" w:sz="0" w:space="0" w:color="auto"/>
      </w:divBdr>
    </w:div>
    <w:div w:id="1249466527">
      <w:bodyDiv w:val="1"/>
      <w:marLeft w:val="0"/>
      <w:marRight w:val="0"/>
      <w:marTop w:val="0"/>
      <w:marBottom w:val="0"/>
      <w:divBdr>
        <w:top w:val="none" w:sz="0" w:space="0" w:color="auto"/>
        <w:left w:val="none" w:sz="0" w:space="0" w:color="auto"/>
        <w:bottom w:val="none" w:sz="0" w:space="0" w:color="auto"/>
        <w:right w:val="none" w:sz="0" w:space="0" w:color="auto"/>
      </w:divBdr>
    </w:div>
    <w:div w:id="1250390984">
      <w:bodyDiv w:val="1"/>
      <w:marLeft w:val="0"/>
      <w:marRight w:val="0"/>
      <w:marTop w:val="0"/>
      <w:marBottom w:val="0"/>
      <w:divBdr>
        <w:top w:val="none" w:sz="0" w:space="0" w:color="auto"/>
        <w:left w:val="none" w:sz="0" w:space="0" w:color="auto"/>
        <w:bottom w:val="none" w:sz="0" w:space="0" w:color="auto"/>
        <w:right w:val="none" w:sz="0" w:space="0" w:color="auto"/>
      </w:divBdr>
    </w:div>
    <w:div w:id="1252204927">
      <w:bodyDiv w:val="1"/>
      <w:marLeft w:val="0"/>
      <w:marRight w:val="0"/>
      <w:marTop w:val="0"/>
      <w:marBottom w:val="0"/>
      <w:divBdr>
        <w:top w:val="none" w:sz="0" w:space="0" w:color="auto"/>
        <w:left w:val="none" w:sz="0" w:space="0" w:color="auto"/>
        <w:bottom w:val="none" w:sz="0" w:space="0" w:color="auto"/>
        <w:right w:val="none" w:sz="0" w:space="0" w:color="auto"/>
      </w:divBdr>
    </w:div>
    <w:div w:id="1252936032">
      <w:bodyDiv w:val="1"/>
      <w:marLeft w:val="0"/>
      <w:marRight w:val="0"/>
      <w:marTop w:val="0"/>
      <w:marBottom w:val="0"/>
      <w:divBdr>
        <w:top w:val="none" w:sz="0" w:space="0" w:color="auto"/>
        <w:left w:val="none" w:sz="0" w:space="0" w:color="auto"/>
        <w:bottom w:val="none" w:sz="0" w:space="0" w:color="auto"/>
        <w:right w:val="none" w:sz="0" w:space="0" w:color="auto"/>
      </w:divBdr>
    </w:div>
    <w:div w:id="1253007684">
      <w:bodyDiv w:val="1"/>
      <w:marLeft w:val="0"/>
      <w:marRight w:val="0"/>
      <w:marTop w:val="0"/>
      <w:marBottom w:val="0"/>
      <w:divBdr>
        <w:top w:val="none" w:sz="0" w:space="0" w:color="auto"/>
        <w:left w:val="none" w:sz="0" w:space="0" w:color="auto"/>
        <w:bottom w:val="none" w:sz="0" w:space="0" w:color="auto"/>
        <w:right w:val="none" w:sz="0" w:space="0" w:color="auto"/>
      </w:divBdr>
    </w:div>
    <w:div w:id="1255016761">
      <w:bodyDiv w:val="1"/>
      <w:marLeft w:val="0"/>
      <w:marRight w:val="0"/>
      <w:marTop w:val="0"/>
      <w:marBottom w:val="0"/>
      <w:divBdr>
        <w:top w:val="none" w:sz="0" w:space="0" w:color="auto"/>
        <w:left w:val="none" w:sz="0" w:space="0" w:color="auto"/>
        <w:bottom w:val="none" w:sz="0" w:space="0" w:color="auto"/>
        <w:right w:val="none" w:sz="0" w:space="0" w:color="auto"/>
      </w:divBdr>
    </w:div>
    <w:div w:id="1255364279">
      <w:bodyDiv w:val="1"/>
      <w:marLeft w:val="0"/>
      <w:marRight w:val="0"/>
      <w:marTop w:val="0"/>
      <w:marBottom w:val="0"/>
      <w:divBdr>
        <w:top w:val="none" w:sz="0" w:space="0" w:color="auto"/>
        <w:left w:val="none" w:sz="0" w:space="0" w:color="auto"/>
        <w:bottom w:val="none" w:sz="0" w:space="0" w:color="auto"/>
        <w:right w:val="none" w:sz="0" w:space="0" w:color="auto"/>
      </w:divBdr>
    </w:div>
    <w:div w:id="1256208889">
      <w:bodyDiv w:val="1"/>
      <w:marLeft w:val="0"/>
      <w:marRight w:val="0"/>
      <w:marTop w:val="0"/>
      <w:marBottom w:val="0"/>
      <w:divBdr>
        <w:top w:val="none" w:sz="0" w:space="0" w:color="auto"/>
        <w:left w:val="none" w:sz="0" w:space="0" w:color="auto"/>
        <w:bottom w:val="none" w:sz="0" w:space="0" w:color="auto"/>
        <w:right w:val="none" w:sz="0" w:space="0" w:color="auto"/>
      </w:divBdr>
    </w:div>
    <w:div w:id="1257713995">
      <w:bodyDiv w:val="1"/>
      <w:marLeft w:val="0"/>
      <w:marRight w:val="0"/>
      <w:marTop w:val="0"/>
      <w:marBottom w:val="0"/>
      <w:divBdr>
        <w:top w:val="none" w:sz="0" w:space="0" w:color="auto"/>
        <w:left w:val="none" w:sz="0" w:space="0" w:color="auto"/>
        <w:bottom w:val="none" w:sz="0" w:space="0" w:color="auto"/>
        <w:right w:val="none" w:sz="0" w:space="0" w:color="auto"/>
      </w:divBdr>
    </w:div>
    <w:div w:id="1258178267">
      <w:bodyDiv w:val="1"/>
      <w:marLeft w:val="0"/>
      <w:marRight w:val="0"/>
      <w:marTop w:val="0"/>
      <w:marBottom w:val="0"/>
      <w:divBdr>
        <w:top w:val="none" w:sz="0" w:space="0" w:color="auto"/>
        <w:left w:val="none" w:sz="0" w:space="0" w:color="auto"/>
        <w:bottom w:val="none" w:sz="0" w:space="0" w:color="auto"/>
        <w:right w:val="none" w:sz="0" w:space="0" w:color="auto"/>
      </w:divBdr>
    </w:div>
    <w:div w:id="1263758104">
      <w:bodyDiv w:val="1"/>
      <w:marLeft w:val="0"/>
      <w:marRight w:val="0"/>
      <w:marTop w:val="0"/>
      <w:marBottom w:val="0"/>
      <w:divBdr>
        <w:top w:val="none" w:sz="0" w:space="0" w:color="auto"/>
        <w:left w:val="none" w:sz="0" w:space="0" w:color="auto"/>
        <w:bottom w:val="none" w:sz="0" w:space="0" w:color="auto"/>
        <w:right w:val="none" w:sz="0" w:space="0" w:color="auto"/>
      </w:divBdr>
    </w:div>
    <w:div w:id="1264462775">
      <w:bodyDiv w:val="1"/>
      <w:marLeft w:val="0"/>
      <w:marRight w:val="0"/>
      <w:marTop w:val="0"/>
      <w:marBottom w:val="0"/>
      <w:divBdr>
        <w:top w:val="none" w:sz="0" w:space="0" w:color="auto"/>
        <w:left w:val="none" w:sz="0" w:space="0" w:color="auto"/>
        <w:bottom w:val="none" w:sz="0" w:space="0" w:color="auto"/>
        <w:right w:val="none" w:sz="0" w:space="0" w:color="auto"/>
      </w:divBdr>
    </w:div>
    <w:div w:id="1265193203">
      <w:bodyDiv w:val="1"/>
      <w:marLeft w:val="0"/>
      <w:marRight w:val="0"/>
      <w:marTop w:val="0"/>
      <w:marBottom w:val="0"/>
      <w:divBdr>
        <w:top w:val="none" w:sz="0" w:space="0" w:color="auto"/>
        <w:left w:val="none" w:sz="0" w:space="0" w:color="auto"/>
        <w:bottom w:val="none" w:sz="0" w:space="0" w:color="auto"/>
        <w:right w:val="none" w:sz="0" w:space="0" w:color="auto"/>
      </w:divBdr>
    </w:div>
    <w:div w:id="1265923253">
      <w:bodyDiv w:val="1"/>
      <w:marLeft w:val="0"/>
      <w:marRight w:val="0"/>
      <w:marTop w:val="0"/>
      <w:marBottom w:val="0"/>
      <w:divBdr>
        <w:top w:val="none" w:sz="0" w:space="0" w:color="auto"/>
        <w:left w:val="none" w:sz="0" w:space="0" w:color="auto"/>
        <w:bottom w:val="none" w:sz="0" w:space="0" w:color="auto"/>
        <w:right w:val="none" w:sz="0" w:space="0" w:color="auto"/>
      </w:divBdr>
    </w:div>
    <w:div w:id="1266233738">
      <w:bodyDiv w:val="1"/>
      <w:marLeft w:val="0"/>
      <w:marRight w:val="0"/>
      <w:marTop w:val="0"/>
      <w:marBottom w:val="0"/>
      <w:divBdr>
        <w:top w:val="none" w:sz="0" w:space="0" w:color="auto"/>
        <w:left w:val="none" w:sz="0" w:space="0" w:color="auto"/>
        <w:bottom w:val="none" w:sz="0" w:space="0" w:color="auto"/>
        <w:right w:val="none" w:sz="0" w:space="0" w:color="auto"/>
      </w:divBdr>
    </w:div>
    <w:div w:id="1266812714">
      <w:bodyDiv w:val="1"/>
      <w:marLeft w:val="0"/>
      <w:marRight w:val="0"/>
      <w:marTop w:val="0"/>
      <w:marBottom w:val="0"/>
      <w:divBdr>
        <w:top w:val="none" w:sz="0" w:space="0" w:color="auto"/>
        <w:left w:val="none" w:sz="0" w:space="0" w:color="auto"/>
        <w:bottom w:val="none" w:sz="0" w:space="0" w:color="auto"/>
        <w:right w:val="none" w:sz="0" w:space="0" w:color="auto"/>
      </w:divBdr>
    </w:div>
    <w:div w:id="1268659165">
      <w:bodyDiv w:val="1"/>
      <w:marLeft w:val="0"/>
      <w:marRight w:val="0"/>
      <w:marTop w:val="0"/>
      <w:marBottom w:val="0"/>
      <w:divBdr>
        <w:top w:val="none" w:sz="0" w:space="0" w:color="auto"/>
        <w:left w:val="none" w:sz="0" w:space="0" w:color="auto"/>
        <w:bottom w:val="none" w:sz="0" w:space="0" w:color="auto"/>
        <w:right w:val="none" w:sz="0" w:space="0" w:color="auto"/>
      </w:divBdr>
    </w:div>
    <w:div w:id="1269000882">
      <w:bodyDiv w:val="1"/>
      <w:marLeft w:val="0"/>
      <w:marRight w:val="0"/>
      <w:marTop w:val="0"/>
      <w:marBottom w:val="0"/>
      <w:divBdr>
        <w:top w:val="none" w:sz="0" w:space="0" w:color="auto"/>
        <w:left w:val="none" w:sz="0" w:space="0" w:color="auto"/>
        <w:bottom w:val="none" w:sz="0" w:space="0" w:color="auto"/>
        <w:right w:val="none" w:sz="0" w:space="0" w:color="auto"/>
      </w:divBdr>
    </w:div>
    <w:div w:id="1269124007">
      <w:bodyDiv w:val="1"/>
      <w:marLeft w:val="0"/>
      <w:marRight w:val="0"/>
      <w:marTop w:val="0"/>
      <w:marBottom w:val="0"/>
      <w:divBdr>
        <w:top w:val="none" w:sz="0" w:space="0" w:color="auto"/>
        <w:left w:val="none" w:sz="0" w:space="0" w:color="auto"/>
        <w:bottom w:val="none" w:sz="0" w:space="0" w:color="auto"/>
        <w:right w:val="none" w:sz="0" w:space="0" w:color="auto"/>
      </w:divBdr>
    </w:div>
    <w:div w:id="1269200409">
      <w:bodyDiv w:val="1"/>
      <w:marLeft w:val="0"/>
      <w:marRight w:val="0"/>
      <w:marTop w:val="0"/>
      <w:marBottom w:val="0"/>
      <w:divBdr>
        <w:top w:val="none" w:sz="0" w:space="0" w:color="auto"/>
        <w:left w:val="none" w:sz="0" w:space="0" w:color="auto"/>
        <w:bottom w:val="none" w:sz="0" w:space="0" w:color="auto"/>
        <w:right w:val="none" w:sz="0" w:space="0" w:color="auto"/>
      </w:divBdr>
    </w:div>
    <w:div w:id="1269629138">
      <w:bodyDiv w:val="1"/>
      <w:marLeft w:val="0"/>
      <w:marRight w:val="0"/>
      <w:marTop w:val="0"/>
      <w:marBottom w:val="0"/>
      <w:divBdr>
        <w:top w:val="none" w:sz="0" w:space="0" w:color="auto"/>
        <w:left w:val="none" w:sz="0" w:space="0" w:color="auto"/>
        <w:bottom w:val="none" w:sz="0" w:space="0" w:color="auto"/>
        <w:right w:val="none" w:sz="0" w:space="0" w:color="auto"/>
      </w:divBdr>
    </w:div>
    <w:div w:id="1269892945">
      <w:bodyDiv w:val="1"/>
      <w:marLeft w:val="0"/>
      <w:marRight w:val="0"/>
      <w:marTop w:val="0"/>
      <w:marBottom w:val="0"/>
      <w:divBdr>
        <w:top w:val="none" w:sz="0" w:space="0" w:color="auto"/>
        <w:left w:val="none" w:sz="0" w:space="0" w:color="auto"/>
        <w:bottom w:val="none" w:sz="0" w:space="0" w:color="auto"/>
        <w:right w:val="none" w:sz="0" w:space="0" w:color="auto"/>
      </w:divBdr>
    </w:div>
    <w:div w:id="1269971637">
      <w:bodyDiv w:val="1"/>
      <w:marLeft w:val="0"/>
      <w:marRight w:val="0"/>
      <w:marTop w:val="0"/>
      <w:marBottom w:val="0"/>
      <w:divBdr>
        <w:top w:val="none" w:sz="0" w:space="0" w:color="auto"/>
        <w:left w:val="none" w:sz="0" w:space="0" w:color="auto"/>
        <w:bottom w:val="none" w:sz="0" w:space="0" w:color="auto"/>
        <w:right w:val="none" w:sz="0" w:space="0" w:color="auto"/>
      </w:divBdr>
    </w:div>
    <w:div w:id="1271007970">
      <w:bodyDiv w:val="1"/>
      <w:marLeft w:val="0"/>
      <w:marRight w:val="0"/>
      <w:marTop w:val="0"/>
      <w:marBottom w:val="0"/>
      <w:divBdr>
        <w:top w:val="none" w:sz="0" w:space="0" w:color="auto"/>
        <w:left w:val="none" w:sz="0" w:space="0" w:color="auto"/>
        <w:bottom w:val="none" w:sz="0" w:space="0" w:color="auto"/>
        <w:right w:val="none" w:sz="0" w:space="0" w:color="auto"/>
      </w:divBdr>
    </w:div>
    <w:div w:id="1271934246">
      <w:bodyDiv w:val="1"/>
      <w:marLeft w:val="0"/>
      <w:marRight w:val="0"/>
      <w:marTop w:val="0"/>
      <w:marBottom w:val="0"/>
      <w:divBdr>
        <w:top w:val="none" w:sz="0" w:space="0" w:color="auto"/>
        <w:left w:val="none" w:sz="0" w:space="0" w:color="auto"/>
        <w:bottom w:val="none" w:sz="0" w:space="0" w:color="auto"/>
        <w:right w:val="none" w:sz="0" w:space="0" w:color="auto"/>
      </w:divBdr>
    </w:div>
    <w:div w:id="1272126302">
      <w:bodyDiv w:val="1"/>
      <w:marLeft w:val="0"/>
      <w:marRight w:val="0"/>
      <w:marTop w:val="0"/>
      <w:marBottom w:val="0"/>
      <w:divBdr>
        <w:top w:val="none" w:sz="0" w:space="0" w:color="auto"/>
        <w:left w:val="none" w:sz="0" w:space="0" w:color="auto"/>
        <w:bottom w:val="none" w:sz="0" w:space="0" w:color="auto"/>
        <w:right w:val="none" w:sz="0" w:space="0" w:color="auto"/>
      </w:divBdr>
    </w:div>
    <w:div w:id="1276523009">
      <w:bodyDiv w:val="1"/>
      <w:marLeft w:val="0"/>
      <w:marRight w:val="0"/>
      <w:marTop w:val="0"/>
      <w:marBottom w:val="0"/>
      <w:divBdr>
        <w:top w:val="none" w:sz="0" w:space="0" w:color="auto"/>
        <w:left w:val="none" w:sz="0" w:space="0" w:color="auto"/>
        <w:bottom w:val="none" w:sz="0" w:space="0" w:color="auto"/>
        <w:right w:val="none" w:sz="0" w:space="0" w:color="auto"/>
      </w:divBdr>
    </w:div>
    <w:div w:id="1276866499">
      <w:bodyDiv w:val="1"/>
      <w:marLeft w:val="0"/>
      <w:marRight w:val="0"/>
      <w:marTop w:val="0"/>
      <w:marBottom w:val="0"/>
      <w:divBdr>
        <w:top w:val="none" w:sz="0" w:space="0" w:color="auto"/>
        <w:left w:val="none" w:sz="0" w:space="0" w:color="auto"/>
        <w:bottom w:val="none" w:sz="0" w:space="0" w:color="auto"/>
        <w:right w:val="none" w:sz="0" w:space="0" w:color="auto"/>
      </w:divBdr>
    </w:div>
    <w:div w:id="1280911086">
      <w:bodyDiv w:val="1"/>
      <w:marLeft w:val="0"/>
      <w:marRight w:val="0"/>
      <w:marTop w:val="0"/>
      <w:marBottom w:val="0"/>
      <w:divBdr>
        <w:top w:val="none" w:sz="0" w:space="0" w:color="auto"/>
        <w:left w:val="none" w:sz="0" w:space="0" w:color="auto"/>
        <w:bottom w:val="none" w:sz="0" w:space="0" w:color="auto"/>
        <w:right w:val="none" w:sz="0" w:space="0" w:color="auto"/>
      </w:divBdr>
    </w:div>
    <w:div w:id="1282371668">
      <w:bodyDiv w:val="1"/>
      <w:marLeft w:val="0"/>
      <w:marRight w:val="0"/>
      <w:marTop w:val="0"/>
      <w:marBottom w:val="0"/>
      <w:divBdr>
        <w:top w:val="none" w:sz="0" w:space="0" w:color="auto"/>
        <w:left w:val="none" w:sz="0" w:space="0" w:color="auto"/>
        <w:bottom w:val="none" w:sz="0" w:space="0" w:color="auto"/>
        <w:right w:val="none" w:sz="0" w:space="0" w:color="auto"/>
      </w:divBdr>
    </w:div>
    <w:div w:id="1282766188">
      <w:bodyDiv w:val="1"/>
      <w:marLeft w:val="0"/>
      <w:marRight w:val="0"/>
      <w:marTop w:val="0"/>
      <w:marBottom w:val="0"/>
      <w:divBdr>
        <w:top w:val="none" w:sz="0" w:space="0" w:color="auto"/>
        <w:left w:val="none" w:sz="0" w:space="0" w:color="auto"/>
        <w:bottom w:val="none" w:sz="0" w:space="0" w:color="auto"/>
        <w:right w:val="none" w:sz="0" w:space="0" w:color="auto"/>
      </w:divBdr>
    </w:div>
    <w:div w:id="1283877938">
      <w:bodyDiv w:val="1"/>
      <w:marLeft w:val="0"/>
      <w:marRight w:val="0"/>
      <w:marTop w:val="0"/>
      <w:marBottom w:val="0"/>
      <w:divBdr>
        <w:top w:val="none" w:sz="0" w:space="0" w:color="auto"/>
        <w:left w:val="none" w:sz="0" w:space="0" w:color="auto"/>
        <w:bottom w:val="none" w:sz="0" w:space="0" w:color="auto"/>
        <w:right w:val="none" w:sz="0" w:space="0" w:color="auto"/>
      </w:divBdr>
    </w:div>
    <w:div w:id="1284649878">
      <w:bodyDiv w:val="1"/>
      <w:marLeft w:val="0"/>
      <w:marRight w:val="0"/>
      <w:marTop w:val="0"/>
      <w:marBottom w:val="0"/>
      <w:divBdr>
        <w:top w:val="none" w:sz="0" w:space="0" w:color="auto"/>
        <w:left w:val="none" w:sz="0" w:space="0" w:color="auto"/>
        <w:bottom w:val="none" w:sz="0" w:space="0" w:color="auto"/>
        <w:right w:val="none" w:sz="0" w:space="0" w:color="auto"/>
      </w:divBdr>
    </w:div>
    <w:div w:id="1284654861">
      <w:bodyDiv w:val="1"/>
      <w:marLeft w:val="0"/>
      <w:marRight w:val="0"/>
      <w:marTop w:val="0"/>
      <w:marBottom w:val="0"/>
      <w:divBdr>
        <w:top w:val="none" w:sz="0" w:space="0" w:color="auto"/>
        <w:left w:val="none" w:sz="0" w:space="0" w:color="auto"/>
        <w:bottom w:val="none" w:sz="0" w:space="0" w:color="auto"/>
        <w:right w:val="none" w:sz="0" w:space="0" w:color="auto"/>
      </w:divBdr>
    </w:div>
    <w:div w:id="1284918352">
      <w:bodyDiv w:val="1"/>
      <w:marLeft w:val="0"/>
      <w:marRight w:val="0"/>
      <w:marTop w:val="0"/>
      <w:marBottom w:val="0"/>
      <w:divBdr>
        <w:top w:val="none" w:sz="0" w:space="0" w:color="auto"/>
        <w:left w:val="none" w:sz="0" w:space="0" w:color="auto"/>
        <w:bottom w:val="none" w:sz="0" w:space="0" w:color="auto"/>
        <w:right w:val="none" w:sz="0" w:space="0" w:color="auto"/>
      </w:divBdr>
    </w:div>
    <w:div w:id="1286500497">
      <w:bodyDiv w:val="1"/>
      <w:marLeft w:val="0"/>
      <w:marRight w:val="0"/>
      <w:marTop w:val="0"/>
      <w:marBottom w:val="0"/>
      <w:divBdr>
        <w:top w:val="none" w:sz="0" w:space="0" w:color="auto"/>
        <w:left w:val="none" w:sz="0" w:space="0" w:color="auto"/>
        <w:bottom w:val="none" w:sz="0" w:space="0" w:color="auto"/>
        <w:right w:val="none" w:sz="0" w:space="0" w:color="auto"/>
      </w:divBdr>
    </w:div>
    <w:div w:id="1287006389">
      <w:bodyDiv w:val="1"/>
      <w:marLeft w:val="0"/>
      <w:marRight w:val="0"/>
      <w:marTop w:val="0"/>
      <w:marBottom w:val="0"/>
      <w:divBdr>
        <w:top w:val="none" w:sz="0" w:space="0" w:color="auto"/>
        <w:left w:val="none" w:sz="0" w:space="0" w:color="auto"/>
        <w:bottom w:val="none" w:sz="0" w:space="0" w:color="auto"/>
        <w:right w:val="none" w:sz="0" w:space="0" w:color="auto"/>
      </w:divBdr>
    </w:div>
    <w:div w:id="1287812286">
      <w:bodyDiv w:val="1"/>
      <w:marLeft w:val="0"/>
      <w:marRight w:val="0"/>
      <w:marTop w:val="0"/>
      <w:marBottom w:val="0"/>
      <w:divBdr>
        <w:top w:val="none" w:sz="0" w:space="0" w:color="auto"/>
        <w:left w:val="none" w:sz="0" w:space="0" w:color="auto"/>
        <w:bottom w:val="none" w:sz="0" w:space="0" w:color="auto"/>
        <w:right w:val="none" w:sz="0" w:space="0" w:color="auto"/>
      </w:divBdr>
    </w:div>
    <w:div w:id="1288315506">
      <w:bodyDiv w:val="1"/>
      <w:marLeft w:val="0"/>
      <w:marRight w:val="0"/>
      <w:marTop w:val="0"/>
      <w:marBottom w:val="0"/>
      <w:divBdr>
        <w:top w:val="none" w:sz="0" w:space="0" w:color="auto"/>
        <w:left w:val="none" w:sz="0" w:space="0" w:color="auto"/>
        <w:bottom w:val="none" w:sz="0" w:space="0" w:color="auto"/>
        <w:right w:val="none" w:sz="0" w:space="0" w:color="auto"/>
      </w:divBdr>
    </w:div>
    <w:div w:id="1288320253">
      <w:bodyDiv w:val="1"/>
      <w:marLeft w:val="0"/>
      <w:marRight w:val="0"/>
      <w:marTop w:val="0"/>
      <w:marBottom w:val="0"/>
      <w:divBdr>
        <w:top w:val="none" w:sz="0" w:space="0" w:color="auto"/>
        <w:left w:val="none" w:sz="0" w:space="0" w:color="auto"/>
        <w:bottom w:val="none" w:sz="0" w:space="0" w:color="auto"/>
        <w:right w:val="none" w:sz="0" w:space="0" w:color="auto"/>
      </w:divBdr>
    </w:div>
    <w:div w:id="1288662736">
      <w:bodyDiv w:val="1"/>
      <w:marLeft w:val="0"/>
      <w:marRight w:val="0"/>
      <w:marTop w:val="0"/>
      <w:marBottom w:val="0"/>
      <w:divBdr>
        <w:top w:val="none" w:sz="0" w:space="0" w:color="auto"/>
        <w:left w:val="none" w:sz="0" w:space="0" w:color="auto"/>
        <w:bottom w:val="none" w:sz="0" w:space="0" w:color="auto"/>
        <w:right w:val="none" w:sz="0" w:space="0" w:color="auto"/>
      </w:divBdr>
    </w:div>
    <w:div w:id="1289583566">
      <w:bodyDiv w:val="1"/>
      <w:marLeft w:val="0"/>
      <w:marRight w:val="0"/>
      <w:marTop w:val="0"/>
      <w:marBottom w:val="0"/>
      <w:divBdr>
        <w:top w:val="none" w:sz="0" w:space="0" w:color="auto"/>
        <w:left w:val="none" w:sz="0" w:space="0" w:color="auto"/>
        <w:bottom w:val="none" w:sz="0" w:space="0" w:color="auto"/>
        <w:right w:val="none" w:sz="0" w:space="0" w:color="auto"/>
      </w:divBdr>
    </w:div>
    <w:div w:id="1290085094">
      <w:bodyDiv w:val="1"/>
      <w:marLeft w:val="0"/>
      <w:marRight w:val="0"/>
      <w:marTop w:val="0"/>
      <w:marBottom w:val="0"/>
      <w:divBdr>
        <w:top w:val="none" w:sz="0" w:space="0" w:color="auto"/>
        <w:left w:val="none" w:sz="0" w:space="0" w:color="auto"/>
        <w:bottom w:val="none" w:sz="0" w:space="0" w:color="auto"/>
        <w:right w:val="none" w:sz="0" w:space="0" w:color="auto"/>
      </w:divBdr>
    </w:div>
    <w:div w:id="1294024472">
      <w:bodyDiv w:val="1"/>
      <w:marLeft w:val="0"/>
      <w:marRight w:val="0"/>
      <w:marTop w:val="0"/>
      <w:marBottom w:val="0"/>
      <w:divBdr>
        <w:top w:val="none" w:sz="0" w:space="0" w:color="auto"/>
        <w:left w:val="none" w:sz="0" w:space="0" w:color="auto"/>
        <w:bottom w:val="none" w:sz="0" w:space="0" w:color="auto"/>
        <w:right w:val="none" w:sz="0" w:space="0" w:color="auto"/>
      </w:divBdr>
    </w:div>
    <w:div w:id="1298873430">
      <w:bodyDiv w:val="1"/>
      <w:marLeft w:val="0"/>
      <w:marRight w:val="0"/>
      <w:marTop w:val="0"/>
      <w:marBottom w:val="0"/>
      <w:divBdr>
        <w:top w:val="none" w:sz="0" w:space="0" w:color="auto"/>
        <w:left w:val="none" w:sz="0" w:space="0" w:color="auto"/>
        <w:bottom w:val="none" w:sz="0" w:space="0" w:color="auto"/>
        <w:right w:val="none" w:sz="0" w:space="0" w:color="auto"/>
      </w:divBdr>
    </w:div>
    <w:div w:id="1299915854">
      <w:bodyDiv w:val="1"/>
      <w:marLeft w:val="0"/>
      <w:marRight w:val="0"/>
      <w:marTop w:val="0"/>
      <w:marBottom w:val="0"/>
      <w:divBdr>
        <w:top w:val="none" w:sz="0" w:space="0" w:color="auto"/>
        <w:left w:val="none" w:sz="0" w:space="0" w:color="auto"/>
        <w:bottom w:val="none" w:sz="0" w:space="0" w:color="auto"/>
        <w:right w:val="none" w:sz="0" w:space="0" w:color="auto"/>
      </w:divBdr>
    </w:div>
    <w:div w:id="1300457561">
      <w:bodyDiv w:val="1"/>
      <w:marLeft w:val="0"/>
      <w:marRight w:val="0"/>
      <w:marTop w:val="0"/>
      <w:marBottom w:val="0"/>
      <w:divBdr>
        <w:top w:val="none" w:sz="0" w:space="0" w:color="auto"/>
        <w:left w:val="none" w:sz="0" w:space="0" w:color="auto"/>
        <w:bottom w:val="none" w:sz="0" w:space="0" w:color="auto"/>
        <w:right w:val="none" w:sz="0" w:space="0" w:color="auto"/>
      </w:divBdr>
    </w:div>
    <w:div w:id="1300694722">
      <w:bodyDiv w:val="1"/>
      <w:marLeft w:val="0"/>
      <w:marRight w:val="0"/>
      <w:marTop w:val="0"/>
      <w:marBottom w:val="0"/>
      <w:divBdr>
        <w:top w:val="none" w:sz="0" w:space="0" w:color="auto"/>
        <w:left w:val="none" w:sz="0" w:space="0" w:color="auto"/>
        <w:bottom w:val="none" w:sz="0" w:space="0" w:color="auto"/>
        <w:right w:val="none" w:sz="0" w:space="0" w:color="auto"/>
      </w:divBdr>
    </w:div>
    <w:div w:id="1301808976">
      <w:bodyDiv w:val="1"/>
      <w:marLeft w:val="0"/>
      <w:marRight w:val="0"/>
      <w:marTop w:val="0"/>
      <w:marBottom w:val="0"/>
      <w:divBdr>
        <w:top w:val="none" w:sz="0" w:space="0" w:color="auto"/>
        <w:left w:val="none" w:sz="0" w:space="0" w:color="auto"/>
        <w:bottom w:val="none" w:sz="0" w:space="0" w:color="auto"/>
        <w:right w:val="none" w:sz="0" w:space="0" w:color="auto"/>
      </w:divBdr>
    </w:div>
    <w:div w:id="1301813136">
      <w:bodyDiv w:val="1"/>
      <w:marLeft w:val="0"/>
      <w:marRight w:val="0"/>
      <w:marTop w:val="0"/>
      <w:marBottom w:val="0"/>
      <w:divBdr>
        <w:top w:val="none" w:sz="0" w:space="0" w:color="auto"/>
        <w:left w:val="none" w:sz="0" w:space="0" w:color="auto"/>
        <w:bottom w:val="none" w:sz="0" w:space="0" w:color="auto"/>
        <w:right w:val="none" w:sz="0" w:space="0" w:color="auto"/>
      </w:divBdr>
    </w:div>
    <w:div w:id="1304191069">
      <w:bodyDiv w:val="1"/>
      <w:marLeft w:val="0"/>
      <w:marRight w:val="0"/>
      <w:marTop w:val="0"/>
      <w:marBottom w:val="0"/>
      <w:divBdr>
        <w:top w:val="none" w:sz="0" w:space="0" w:color="auto"/>
        <w:left w:val="none" w:sz="0" w:space="0" w:color="auto"/>
        <w:bottom w:val="none" w:sz="0" w:space="0" w:color="auto"/>
        <w:right w:val="none" w:sz="0" w:space="0" w:color="auto"/>
      </w:divBdr>
    </w:div>
    <w:div w:id="1305546875">
      <w:bodyDiv w:val="1"/>
      <w:marLeft w:val="0"/>
      <w:marRight w:val="0"/>
      <w:marTop w:val="0"/>
      <w:marBottom w:val="0"/>
      <w:divBdr>
        <w:top w:val="none" w:sz="0" w:space="0" w:color="auto"/>
        <w:left w:val="none" w:sz="0" w:space="0" w:color="auto"/>
        <w:bottom w:val="none" w:sz="0" w:space="0" w:color="auto"/>
        <w:right w:val="none" w:sz="0" w:space="0" w:color="auto"/>
      </w:divBdr>
    </w:div>
    <w:div w:id="1305624118">
      <w:bodyDiv w:val="1"/>
      <w:marLeft w:val="0"/>
      <w:marRight w:val="0"/>
      <w:marTop w:val="0"/>
      <w:marBottom w:val="0"/>
      <w:divBdr>
        <w:top w:val="none" w:sz="0" w:space="0" w:color="auto"/>
        <w:left w:val="none" w:sz="0" w:space="0" w:color="auto"/>
        <w:bottom w:val="none" w:sz="0" w:space="0" w:color="auto"/>
        <w:right w:val="none" w:sz="0" w:space="0" w:color="auto"/>
      </w:divBdr>
    </w:div>
    <w:div w:id="1306156554">
      <w:bodyDiv w:val="1"/>
      <w:marLeft w:val="0"/>
      <w:marRight w:val="0"/>
      <w:marTop w:val="0"/>
      <w:marBottom w:val="0"/>
      <w:divBdr>
        <w:top w:val="none" w:sz="0" w:space="0" w:color="auto"/>
        <w:left w:val="none" w:sz="0" w:space="0" w:color="auto"/>
        <w:bottom w:val="none" w:sz="0" w:space="0" w:color="auto"/>
        <w:right w:val="none" w:sz="0" w:space="0" w:color="auto"/>
      </w:divBdr>
    </w:div>
    <w:div w:id="1306205772">
      <w:bodyDiv w:val="1"/>
      <w:marLeft w:val="0"/>
      <w:marRight w:val="0"/>
      <w:marTop w:val="0"/>
      <w:marBottom w:val="0"/>
      <w:divBdr>
        <w:top w:val="none" w:sz="0" w:space="0" w:color="auto"/>
        <w:left w:val="none" w:sz="0" w:space="0" w:color="auto"/>
        <w:bottom w:val="none" w:sz="0" w:space="0" w:color="auto"/>
        <w:right w:val="none" w:sz="0" w:space="0" w:color="auto"/>
      </w:divBdr>
    </w:div>
    <w:div w:id="1307205834">
      <w:bodyDiv w:val="1"/>
      <w:marLeft w:val="0"/>
      <w:marRight w:val="0"/>
      <w:marTop w:val="0"/>
      <w:marBottom w:val="0"/>
      <w:divBdr>
        <w:top w:val="none" w:sz="0" w:space="0" w:color="auto"/>
        <w:left w:val="none" w:sz="0" w:space="0" w:color="auto"/>
        <w:bottom w:val="none" w:sz="0" w:space="0" w:color="auto"/>
        <w:right w:val="none" w:sz="0" w:space="0" w:color="auto"/>
      </w:divBdr>
    </w:div>
    <w:div w:id="1308320821">
      <w:bodyDiv w:val="1"/>
      <w:marLeft w:val="0"/>
      <w:marRight w:val="0"/>
      <w:marTop w:val="0"/>
      <w:marBottom w:val="0"/>
      <w:divBdr>
        <w:top w:val="none" w:sz="0" w:space="0" w:color="auto"/>
        <w:left w:val="none" w:sz="0" w:space="0" w:color="auto"/>
        <w:bottom w:val="none" w:sz="0" w:space="0" w:color="auto"/>
        <w:right w:val="none" w:sz="0" w:space="0" w:color="auto"/>
      </w:divBdr>
    </w:div>
    <w:div w:id="1308703130">
      <w:bodyDiv w:val="1"/>
      <w:marLeft w:val="0"/>
      <w:marRight w:val="0"/>
      <w:marTop w:val="0"/>
      <w:marBottom w:val="0"/>
      <w:divBdr>
        <w:top w:val="none" w:sz="0" w:space="0" w:color="auto"/>
        <w:left w:val="none" w:sz="0" w:space="0" w:color="auto"/>
        <w:bottom w:val="none" w:sz="0" w:space="0" w:color="auto"/>
        <w:right w:val="none" w:sz="0" w:space="0" w:color="auto"/>
      </w:divBdr>
    </w:div>
    <w:div w:id="1309045324">
      <w:bodyDiv w:val="1"/>
      <w:marLeft w:val="0"/>
      <w:marRight w:val="0"/>
      <w:marTop w:val="0"/>
      <w:marBottom w:val="0"/>
      <w:divBdr>
        <w:top w:val="none" w:sz="0" w:space="0" w:color="auto"/>
        <w:left w:val="none" w:sz="0" w:space="0" w:color="auto"/>
        <w:bottom w:val="none" w:sz="0" w:space="0" w:color="auto"/>
        <w:right w:val="none" w:sz="0" w:space="0" w:color="auto"/>
      </w:divBdr>
    </w:div>
    <w:div w:id="1309243229">
      <w:bodyDiv w:val="1"/>
      <w:marLeft w:val="0"/>
      <w:marRight w:val="0"/>
      <w:marTop w:val="0"/>
      <w:marBottom w:val="0"/>
      <w:divBdr>
        <w:top w:val="none" w:sz="0" w:space="0" w:color="auto"/>
        <w:left w:val="none" w:sz="0" w:space="0" w:color="auto"/>
        <w:bottom w:val="none" w:sz="0" w:space="0" w:color="auto"/>
        <w:right w:val="none" w:sz="0" w:space="0" w:color="auto"/>
      </w:divBdr>
    </w:div>
    <w:div w:id="1312980171">
      <w:bodyDiv w:val="1"/>
      <w:marLeft w:val="0"/>
      <w:marRight w:val="0"/>
      <w:marTop w:val="0"/>
      <w:marBottom w:val="0"/>
      <w:divBdr>
        <w:top w:val="none" w:sz="0" w:space="0" w:color="auto"/>
        <w:left w:val="none" w:sz="0" w:space="0" w:color="auto"/>
        <w:bottom w:val="none" w:sz="0" w:space="0" w:color="auto"/>
        <w:right w:val="none" w:sz="0" w:space="0" w:color="auto"/>
      </w:divBdr>
    </w:div>
    <w:div w:id="1316496658">
      <w:bodyDiv w:val="1"/>
      <w:marLeft w:val="0"/>
      <w:marRight w:val="0"/>
      <w:marTop w:val="0"/>
      <w:marBottom w:val="0"/>
      <w:divBdr>
        <w:top w:val="none" w:sz="0" w:space="0" w:color="auto"/>
        <w:left w:val="none" w:sz="0" w:space="0" w:color="auto"/>
        <w:bottom w:val="none" w:sz="0" w:space="0" w:color="auto"/>
        <w:right w:val="none" w:sz="0" w:space="0" w:color="auto"/>
      </w:divBdr>
    </w:div>
    <w:div w:id="1316840910">
      <w:bodyDiv w:val="1"/>
      <w:marLeft w:val="0"/>
      <w:marRight w:val="0"/>
      <w:marTop w:val="0"/>
      <w:marBottom w:val="0"/>
      <w:divBdr>
        <w:top w:val="none" w:sz="0" w:space="0" w:color="auto"/>
        <w:left w:val="none" w:sz="0" w:space="0" w:color="auto"/>
        <w:bottom w:val="none" w:sz="0" w:space="0" w:color="auto"/>
        <w:right w:val="none" w:sz="0" w:space="0" w:color="auto"/>
      </w:divBdr>
    </w:div>
    <w:div w:id="1318149796">
      <w:bodyDiv w:val="1"/>
      <w:marLeft w:val="0"/>
      <w:marRight w:val="0"/>
      <w:marTop w:val="0"/>
      <w:marBottom w:val="0"/>
      <w:divBdr>
        <w:top w:val="none" w:sz="0" w:space="0" w:color="auto"/>
        <w:left w:val="none" w:sz="0" w:space="0" w:color="auto"/>
        <w:bottom w:val="none" w:sz="0" w:space="0" w:color="auto"/>
        <w:right w:val="none" w:sz="0" w:space="0" w:color="auto"/>
      </w:divBdr>
    </w:div>
    <w:div w:id="1318412390">
      <w:bodyDiv w:val="1"/>
      <w:marLeft w:val="0"/>
      <w:marRight w:val="0"/>
      <w:marTop w:val="0"/>
      <w:marBottom w:val="0"/>
      <w:divBdr>
        <w:top w:val="none" w:sz="0" w:space="0" w:color="auto"/>
        <w:left w:val="none" w:sz="0" w:space="0" w:color="auto"/>
        <w:bottom w:val="none" w:sz="0" w:space="0" w:color="auto"/>
        <w:right w:val="none" w:sz="0" w:space="0" w:color="auto"/>
      </w:divBdr>
    </w:div>
    <w:div w:id="1319381420">
      <w:bodyDiv w:val="1"/>
      <w:marLeft w:val="0"/>
      <w:marRight w:val="0"/>
      <w:marTop w:val="0"/>
      <w:marBottom w:val="0"/>
      <w:divBdr>
        <w:top w:val="none" w:sz="0" w:space="0" w:color="auto"/>
        <w:left w:val="none" w:sz="0" w:space="0" w:color="auto"/>
        <w:bottom w:val="none" w:sz="0" w:space="0" w:color="auto"/>
        <w:right w:val="none" w:sz="0" w:space="0" w:color="auto"/>
      </w:divBdr>
    </w:div>
    <w:div w:id="1321084100">
      <w:bodyDiv w:val="1"/>
      <w:marLeft w:val="0"/>
      <w:marRight w:val="0"/>
      <w:marTop w:val="0"/>
      <w:marBottom w:val="0"/>
      <w:divBdr>
        <w:top w:val="none" w:sz="0" w:space="0" w:color="auto"/>
        <w:left w:val="none" w:sz="0" w:space="0" w:color="auto"/>
        <w:bottom w:val="none" w:sz="0" w:space="0" w:color="auto"/>
        <w:right w:val="none" w:sz="0" w:space="0" w:color="auto"/>
      </w:divBdr>
    </w:div>
    <w:div w:id="1322082878">
      <w:bodyDiv w:val="1"/>
      <w:marLeft w:val="0"/>
      <w:marRight w:val="0"/>
      <w:marTop w:val="0"/>
      <w:marBottom w:val="0"/>
      <w:divBdr>
        <w:top w:val="none" w:sz="0" w:space="0" w:color="auto"/>
        <w:left w:val="none" w:sz="0" w:space="0" w:color="auto"/>
        <w:bottom w:val="none" w:sz="0" w:space="0" w:color="auto"/>
        <w:right w:val="none" w:sz="0" w:space="0" w:color="auto"/>
      </w:divBdr>
    </w:div>
    <w:div w:id="1322192362">
      <w:bodyDiv w:val="1"/>
      <w:marLeft w:val="0"/>
      <w:marRight w:val="0"/>
      <w:marTop w:val="0"/>
      <w:marBottom w:val="0"/>
      <w:divBdr>
        <w:top w:val="none" w:sz="0" w:space="0" w:color="auto"/>
        <w:left w:val="none" w:sz="0" w:space="0" w:color="auto"/>
        <w:bottom w:val="none" w:sz="0" w:space="0" w:color="auto"/>
        <w:right w:val="none" w:sz="0" w:space="0" w:color="auto"/>
      </w:divBdr>
    </w:div>
    <w:div w:id="1322348123">
      <w:bodyDiv w:val="1"/>
      <w:marLeft w:val="0"/>
      <w:marRight w:val="0"/>
      <w:marTop w:val="0"/>
      <w:marBottom w:val="0"/>
      <w:divBdr>
        <w:top w:val="none" w:sz="0" w:space="0" w:color="auto"/>
        <w:left w:val="none" w:sz="0" w:space="0" w:color="auto"/>
        <w:bottom w:val="none" w:sz="0" w:space="0" w:color="auto"/>
        <w:right w:val="none" w:sz="0" w:space="0" w:color="auto"/>
      </w:divBdr>
    </w:div>
    <w:div w:id="1322931738">
      <w:bodyDiv w:val="1"/>
      <w:marLeft w:val="0"/>
      <w:marRight w:val="0"/>
      <w:marTop w:val="0"/>
      <w:marBottom w:val="0"/>
      <w:divBdr>
        <w:top w:val="none" w:sz="0" w:space="0" w:color="auto"/>
        <w:left w:val="none" w:sz="0" w:space="0" w:color="auto"/>
        <w:bottom w:val="none" w:sz="0" w:space="0" w:color="auto"/>
        <w:right w:val="none" w:sz="0" w:space="0" w:color="auto"/>
      </w:divBdr>
    </w:div>
    <w:div w:id="1324164599">
      <w:bodyDiv w:val="1"/>
      <w:marLeft w:val="0"/>
      <w:marRight w:val="0"/>
      <w:marTop w:val="0"/>
      <w:marBottom w:val="0"/>
      <w:divBdr>
        <w:top w:val="none" w:sz="0" w:space="0" w:color="auto"/>
        <w:left w:val="none" w:sz="0" w:space="0" w:color="auto"/>
        <w:bottom w:val="none" w:sz="0" w:space="0" w:color="auto"/>
        <w:right w:val="none" w:sz="0" w:space="0" w:color="auto"/>
      </w:divBdr>
    </w:div>
    <w:div w:id="1324578358">
      <w:bodyDiv w:val="1"/>
      <w:marLeft w:val="0"/>
      <w:marRight w:val="0"/>
      <w:marTop w:val="0"/>
      <w:marBottom w:val="0"/>
      <w:divBdr>
        <w:top w:val="none" w:sz="0" w:space="0" w:color="auto"/>
        <w:left w:val="none" w:sz="0" w:space="0" w:color="auto"/>
        <w:bottom w:val="none" w:sz="0" w:space="0" w:color="auto"/>
        <w:right w:val="none" w:sz="0" w:space="0" w:color="auto"/>
      </w:divBdr>
    </w:div>
    <w:div w:id="1326518550">
      <w:bodyDiv w:val="1"/>
      <w:marLeft w:val="0"/>
      <w:marRight w:val="0"/>
      <w:marTop w:val="0"/>
      <w:marBottom w:val="0"/>
      <w:divBdr>
        <w:top w:val="none" w:sz="0" w:space="0" w:color="auto"/>
        <w:left w:val="none" w:sz="0" w:space="0" w:color="auto"/>
        <w:bottom w:val="none" w:sz="0" w:space="0" w:color="auto"/>
        <w:right w:val="none" w:sz="0" w:space="0" w:color="auto"/>
      </w:divBdr>
    </w:div>
    <w:div w:id="1327321357">
      <w:bodyDiv w:val="1"/>
      <w:marLeft w:val="0"/>
      <w:marRight w:val="0"/>
      <w:marTop w:val="0"/>
      <w:marBottom w:val="0"/>
      <w:divBdr>
        <w:top w:val="none" w:sz="0" w:space="0" w:color="auto"/>
        <w:left w:val="none" w:sz="0" w:space="0" w:color="auto"/>
        <w:bottom w:val="none" w:sz="0" w:space="0" w:color="auto"/>
        <w:right w:val="none" w:sz="0" w:space="0" w:color="auto"/>
      </w:divBdr>
    </w:div>
    <w:div w:id="1328168493">
      <w:bodyDiv w:val="1"/>
      <w:marLeft w:val="0"/>
      <w:marRight w:val="0"/>
      <w:marTop w:val="0"/>
      <w:marBottom w:val="0"/>
      <w:divBdr>
        <w:top w:val="none" w:sz="0" w:space="0" w:color="auto"/>
        <w:left w:val="none" w:sz="0" w:space="0" w:color="auto"/>
        <w:bottom w:val="none" w:sz="0" w:space="0" w:color="auto"/>
        <w:right w:val="none" w:sz="0" w:space="0" w:color="auto"/>
      </w:divBdr>
    </w:div>
    <w:div w:id="1328483408">
      <w:bodyDiv w:val="1"/>
      <w:marLeft w:val="0"/>
      <w:marRight w:val="0"/>
      <w:marTop w:val="0"/>
      <w:marBottom w:val="0"/>
      <w:divBdr>
        <w:top w:val="none" w:sz="0" w:space="0" w:color="auto"/>
        <w:left w:val="none" w:sz="0" w:space="0" w:color="auto"/>
        <w:bottom w:val="none" w:sz="0" w:space="0" w:color="auto"/>
        <w:right w:val="none" w:sz="0" w:space="0" w:color="auto"/>
      </w:divBdr>
    </w:div>
    <w:div w:id="1328896300">
      <w:bodyDiv w:val="1"/>
      <w:marLeft w:val="0"/>
      <w:marRight w:val="0"/>
      <w:marTop w:val="0"/>
      <w:marBottom w:val="0"/>
      <w:divBdr>
        <w:top w:val="none" w:sz="0" w:space="0" w:color="auto"/>
        <w:left w:val="none" w:sz="0" w:space="0" w:color="auto"/>
        <w:bottom w:val="none" w:sz="0" w:space="0" w:color="auto"/>
        <w:right w:val="none" w:sz="0" w:space="0" w:color="auto"/>
      </w:divBdr>
    </w:div>
    <w:div w:id="1328902933">
      <w:bodyDiv w:val="1"/>
      <w:marLeft w:val="0"/>
      <w:marRight w:val="0"/>
      <w:marTop w:val="0"/>
      <w:marBottom w:val="0"/>
      <w:divBdr>
        <w:top w:val="none" w:sz="0" w:space="0" w:color="auto"/>
        <w:left w:val="none" w:sz="0" w:space="0" w:color="auto"/>
        <w:bottom w:val="none" w:sz="0" w:space="0" w:color="auto"/>
        <w:right w:val="none" w:sz="0" w:space="0" w:color="auto"/>
      </w:divBdr>
    </w:div>
    <w:div w:id="1329093215">
      <w:bodyDiv w:val="1"/>
      <w:marLeft w:val="0"/>
      <w:marRight w:val="0"/>
      <w:marTop w:val="0"/>
      <w:marBottom w:val="0"/>
      <w:divBdr>
        <w:top w:val="none" w:sz="0" w:space="0" w:color="auto"/>
        <w:left w:val="none" w:sz="0" w:space="0" w:color="auto"/>
        <w:bottom w:val="none" w:sz="0" w:space="0" w:color="auto"/>
        <w:right w:val="none" w:sz="0" w:space="0" w:color="auto"/>
      </w:divBdr>
    </w:div>
    <w:div w:id="1329215524">
      <w:bodyDiv w:val="1"/>
      <w:marLeft w:val="0"/>
      <w:marRight w:val="0"/>
      <w:marTop w:val="0"/>
      <w:marBottom w:val="0"/>
      <w:divBdr>
        <w:top w:val="none" w:sz="0" w:space="0" w:color="auto"/>
        <w:left w:val="none" w:sz="0" w:space="0" w:color="auto"/>
        <w:bottom w:val="none" w:sz="0" w:space="0" w:color="auto"/>
        <w:right w:val="none" w:sz="0" w:space="0" w:color="auto"/>
      </w:divBdr>
    </w:div>
    <w:div w:id="1329791646">
      <w:bodyDiv w:val="1"/>
      <w:marLeft w:val="0"/>
      <w:marRight w:val="0"/>
      <w:marTop w:val="0"/>
      <w:marBottom w:val="0"/>
      <w:divBdr>
        <w:top w:val="none" w:sz="0" w:space="0" w:color="auto"/>
        <w:left w:val="none" w:sz="0" w:space="0" w:color="auto"/>
        <w:bottom w:val="none" w:sz="0" w:space="0" w:color="auto"/>
        <w:right w:val="none" w:sz="0" w:space="0" w:color="auto"/>
      </w:divBdr>
    </w:div>
    <w:div w:id="1329941116">
      <w:bodyDiv w:val="1"/>
      <w:marLeft w:val="0"/>
      <w:marRight w:val="0"/>
      <w:marTop w:val="0"/>
      <w:marBottom w:val="0"/>
      <w:divBdr>
        <w:top w:val="none" w:sz="0" w:space="0" w:color="auto"/>
        <w:left w:val="none" w:sz="0" w:space="0" w:color="auto"/>
        <w:bottom w:val="none" w:sz="0" w:space="0" w:color="auto"/>
        <w:right w:val="none" w:sz="0" w:space="0" w:color="auto"/>
      </w:divBdr>
    </w:div>
    <w:div w:id="1329943880">
      <w:bodyDiv w:val="1"/>
      <w:marLeft w:val="0"/>
      <w:marRight w:val="0"/>
      <w:marTop w:val="0"/>
      <w:marBottom w:val="0"/>
      <w:divBdr>
        <w:top w:val="none" w:sz="0" w:space="0" w:color="auto"/>
        <w:left w:val="none" w:sz="0" w:space="0" w:color="auto"/>
        <w:bottom w:val="none" w:sz="0" w:space="0" w:color="auto"/>
        <w:right w:val="none" w:sz="0" w:space="0" w:color="auto"/>
      </w:divBdr>
    </w:div>
    <w:div w:id="1330401023">
      <w:bodyDiv w:val="1"/>
      <w:marLeft w:val="0"/>
      <w:marRight w:val="0"/>
      <w:marTop w:val="0"/>
      <w:marBottom w:val="0"/>
      <w:divBdr>
        <w:top w:val="none" w:sz="0" w:space="0" w:color="auto"/>
        <w:left w:val="none" w:sz="0" w:space="0" w:color="auto"/>
        <w:bottom w:val="none" w:sz="0" w:space="0" w:color="auto"/>
        <w:right w:val="none" w:sz="0" w:space="0" w:color="auto"/>
      </w:divBdr>
    </w:div>
    <w:div w:id="1330405874">
      <w:bodyDiv w:val="1"/>
      <w:marLeft w:val="0"/>
      <w:marRight w:val="0"/>
      <w:marTop w:val="0"/>
      <w:marBottom w:val="0"/>
      <w:divBdr>
        <w:top w:val="none" w:sz="0" w:space="0" w:color="auto"/>
        <w:left w:val="none" w:sz="0" w:space="0" w:color="auto"/>
        <w:bottom w:val="none" w:sz="0" w:space="0" w:color="auto"/>
        <w:right w:val="none" w:sz="0" w:space="0" w:color="auto"/>
      </w:divBdr>
    </w:div>
    <w:div w:id="1330447514">
      <w:bodyDiv w:val="1"/>
      <w:marLeft w:val="0"/>
      <w:marRight w:val="0"/>
      <w:marTop w:val="0"/>
      <w:marBottom w:val="0"/>
      <w:divBdr>
        <w:top w:val="none" w:sz="0" w:space="0" w:color="auto"/>
        <w:left w:val="none" w:sz="0" w:space="0" w:color="auto"/>
        <w:bottom w:val="none" w:sz="0" w:space="0" w:color="auto"/>
        <w:right w:val="none" w:sz="0" w:space="0" w:color="auto"/>
      </w:divBdr>
    </w:div>
    <w:div w:id="1330520110">
      <w:bodyDiv w:val="1"/>
      <w:marLeft w:val="0"/>
      <w:marRight w:val="0"/>
      <w:marTop w:val="0"/>
      <w:marBottom w:val="0"/>
      <w:divBdr>
        <w:top w:val="none" w:sz="0" w:space="0" w:color="auto"/>
        <w:left w:val="none" w:sz="0" w:space="0" w:color="auto"/>
        <w:bottom w:val="none" w:sz="0" w:space="0" w:color="auto"/>
        <w:right w:val="none" w:sz="0" w:space="0" w:color="auto"/>
      </w:divBdr>
    </w:div>
    <w:div w:id="1335104549">
      <w:bodyDiv w:val="1"/>
      <w:marLeft w:val="0"/>
      <w:marRight w:val="0"/>
      <w:marTop w:val="0"/>
      <w:marBottom w:val="0"/>
      <w:divBdr>
        <w:top w:val="none" w:sz="0" w:space="0" w:color="auto"/>
        <w:left w:val="none" w:sz="0" w:space="0" w:color="auto"/>
        <w:bottom w:val="none" w:sz="0" w:space="0" w:color="auto"/>
        <w:right w:val="none" w:sz="0" w:space="0" w:color="auto"/>
      </w:divBdr>
    </w:div>
    <w:div w:id="1335300407">
      <w:bodyDiv w:val="1"/>
      <w:marLeft w:val="0"/>
      <w:marRight w:val="0"/>
      <w:marTop w:val="0"/>
      <w:marBottom w:val="0"/>
      <w:divBdr>
        <w:top w:val="none" w:sz="0" w:space="0" w:color="auto"/>
        <w:left w:val="none" w:sz="0" w:space="0" w:color="auto"/>
        <w:bottom w:val="none" w:sz="0" w:space="0" w:color="auto"/>
        <w:right w:val="none" w:sz="0" w:space="0" w:color="auto"/>
      </w:divBdr>
    </w:div>
    <w:div w:id="1335690005">
      <w:bodyDiv w:val="1"/>
      <w:marLeft w:val="0"/>
      <w:marRight w:val="0"/>
      <w:marTop w:val="0"/>
      <w:marBottom w:val="0"/>
      <w:divBdr>
        <w:top w:val="none" w:sz="0" w:space="0" w:color="auto"/>
        <w:left w:val="none" w:sz="0" w:space="0" w:color="auto"/>
        <w:bottom w:val="none" w:sz="0" w:space="0" w:color="auto"/>
        <w:right w:val="none" w:sz="0" w:space="0" w:color="auto"/>
      </w:divBdr>
    </w:div>
    <w:div w:id="1336304644">
      <w:bodyDiv w:val="1"/>
      <w:marLeft w:val="0"/>
      <w:marRight w:val="0"/>
      <w:marTop w:val="0"/>
      <w:marBottom w:val="0"/>
      <w:divBdr>
        <w:top w:val="none" w:sz="0" w:space="0" w:color="auto"/>
        <w:left w:val="none" w:sz="0" w:space="0" w:color="auto"/>
        <w:bottom w:val="none" w:sz="0" w:space="0" w:color="auto"/>
        <w:right w:val="none" w:sz="0" w:space="0" w:color="auto"/>
      </w:divBdr>
    </w:div>
    <w:div w:id="1337685937">
      <w:bodyDiv w:val="1"/>
      <w:marLeft w:val="0"/>
      <w:marRight w:val="0"/>
      <w:marTop w:val="0"/>
      <w:marBottom w:val="0"/>
      <w:divBdr>
        <w:top w:val="none" w:sz="0" w:space="0" w:color="auto"/>
        <w:left w:val="none" w:sz="0" w:space="0" w:color="auto"/>
        <w:bottom w:val="none" w:sz="0" w:space="0" w:color="auto"/>
        <w:right w:val="none" w:sz="0" w:space="0" w:color="auto"/>
      </w:divBdr>
    </w:div>
    <w:div w:id="1337729587">
      <w:bodyDiv w:val="1"/>
      <w:marLeft w:val="0"/>
      <w:marRight w:val="0"/>
      <w:marTop w:val="0"/>
      <w:marBottom w:val="0"/>
      <w:divBdr>
        <w:top w:val="none" w:sz="0" w:space="0" w:color="auto"/>
        <w:left w:val="none" w:sz="0" w:space="0" w:color="auto"/>
        <w:bottom w:val="none" w:sz="0" w:space="0" w:color="auto"/>
        <w:right w:val="none" w:sz="0" w:space="0" w:color="auto"/>
      </w:divBdr>
    </w:div>
    <w:div w:id="1338264553">
      <w:bodyDiv w:val="1"/>
      <w:marLeft w:val="0"/>
      <w:marRight w:val="0"/>
      <w:marTop w:val="0"/>
      <w:marBottom w:val="0"/>
      <w:divBdr>
        <w:top w:val="none" w:sz="0" w:space="0" w:color="auto"/>
        <w:left w:val="none" w:sz="0" w:space="0" w:color="auto"/>
        <w:bottom w:val="none" w:sz="0" w:space="0" w:color="auto"/>
        <w:right w:val="none" w:sz="0" w:space="0" w:color="auto"/>
      </w:divBdr>
    </w:div>
    <w:div w:id="1339230169">
      <w:bodyDiv w:val="1"/>
      <w:marLeft w:val="0"/>
      <w:marRight w:val="0"/>
      <w:marTop w:val="0"/>
      <w:marBottom w:val="0"/>
      <w:divBdr>
        <w:top w:val="none" w:sz="0" w:space="0" w:color="auto"/>
        <w:left w:val="none" w:sz="0" w:space="0" w:color="auto"/>
        <w:bottom w:val="none" w:sz="0" w:space="0" w:color="auto"/>
        <w:right w:val="none" w:sz="0" w:space="0" w:color="auto"/>
      </w:divBdr>
    </w:div>
    <w:div w:id="1339624011">
      <w:bodyDiv w:val="1"/>
      <w:marLeft w:val="0"/>
      <w:marRight w:val="0"/>
      <w:marTop w:val="0"/>
      <w:marBottom w:val="0"/>
      <w:divBdr>
        <w:top w:val="none" w:sz="0" w:space="0" w:color="auto"/>
        <w:left w:val="none" w:sz="0" w:space="0" w:color="auto"/>
        <w:bottom w:val="none" w:sz="0" w:space="0" w:color="auto"/>
        <w:right w:val="none" w:sz="0" w:space="0" w:color="auto"/>
      </w:divBdr>
    </w:div>
    <w:div w:id="1340884856">
      <w:bodyDiv w:val="1"/>
      <w:marLeft w:val="0"/>
      <w:marRight w:val="0"/>
      <w:marTop w:val="0"/>
      <w:marBottom w:val="0"/>
      <w:divBdr>
        <w:top w:val="none" w:sz="0" w:space="0" w:color="auto"/>
        <w:left w:val="none" w:sz="0" w:space="0" w:color="auto"/>
        <w:bottom w:val="none" w:sz="0" w:space="0" w:color="auto"/>
        <w:right w:val="none" w:sz="0" w:space="0" w:color="auto"/>
      </w:divBdr>
    </w:div>
    <w:div w:id="1341660389">
      <w:bodyDiv w:val="1"/>
      <w:marLeft w:val="0"/>
      <w:marRight w:val="0"/>
      <w:marTop w:val="0"/>
      <w:marBottom w:val="0"/>
      <w:divBdr>
        <w:top w:val="none" w:sz="0" w:space="0" w:color="auto"/>
        <w:left w:val="none" w:sz="0" w:space="0" w:color="auto"/>
        <w:bottom w:val="none" w:sz="0" w:space="0" w:color="auto"/>
        <w:right w:val="none" w:sz="0" w:space="0" w:color="auto"/>
      </w:divBdr>
    </w:div>
    <w:div w:id="1342009450">
      <w:bodyDiv w:val="1"/>
      <w:marLeft w:val="0"/>
      <w:marRight w:val="0"/>
      <w:marTop w:val="0"/>
      <w:marBottom w:val="0"/>
      <w:divBdr>
        <w:top w:val="none" w:sz="0" w:space="0" w:color="auto"/>
        <w:left w:val="none" w:sz="0" w:space="0" w:color="auto"/>
        <w:bottom w:val="none" w:sz="0" w:space="0" w:color="auto"/>
        <w:right w:val="none" w:sz="0" w:space="0" w:color="auto"/>
      </w:divBdr>
    </w:div>
    <w:div w:id="1342513670">
      <w:bodyDiv w:val="1"/>
      <w:marLeft w:val="0"/>
      <w:marRight w:val="0"/>
      <w:marTop w:val="0"/>
      <w:marBottom w:val="0"/>
      <w:divBdr>
        <w:top w:val="none" w:sz="0" w:space="0" w:color="auto"/>
        <w:left w:val="none" w:sz="0" w:space="0" w:color="auto"/>
        <w:bottom w:val="none" w:sz="0" w:space="0" w:color="auto"/>
        <w:right w:val="none" w:sz="0" w:space="0" w:color="auto"/>
      </w:divBdr>
    </w:div>
    <w:div w:id="1343554350">
      <w:bodyDiv w:val="1"/>
      <w:marLeft w:val="0"/>
      <w:marRight w:val="0"/>
      <w:marTop w:val="0"/>
      <w:marBottom w:val="0"/>
      <w:divBdr>
        <w:top w:val="none" w:sz="0" w:space="0" w:color="auto"/>
        <w:left w:val="none" w:sz="0" w:space="0" w:color="auto"/>
        <w:bottom w:val="none" w:sz="0" w:space="0" w:color="auto"/>
        <w:right w:val="none" w:sz="0" w:space="0" w:color="auto"/>
      </w:divBdr>
    </w:div>
    <w:div w:id="1344016545">
      <w:bodyDiv w:val="1"/>
      <w:marLeft w:val="0"/>
      <w:marRight w:val="0"/>
      <w:marTop w:val="0"/>
      <w:marBottom w:val="0"/>
      <w:divBdr>
        <w:top w:val="none" w:sz="0" w:space="0" w:color="auto"/>
        <w:left w:val="none" w:sz="0" w:space="0" w:color="auto"/>
        <w:bottom w:val="none" w:sz="0" w:space="0" w:color="auto"/>
        <w:right w:val="none" w:sz="0" w:space="0" w:color="auto"/>
      </w:divBdr>
    </w:div>
    <w:div w:id="1345128295">
      <w:bodyDiv w:val="1"/>
      <w:marLeft w:val="0"/>
      <w:marRight w:val="0"/>
      <w:marTop w:val="0"/>
      <w:marBottom w:val="0"/>
      <w:divBdr>
        <w:top w:val="none" w:sz="0" w:space="0" w:color="auto"/>
        <w:left w:val="none" w:sz="0" w:space="0" w:color="auto"/>
        <w:bottom w:val="none" w:sz="0" w:space="0" w:color="auto"/>
        <w:right w:val="none" w:sz="0" w:space="0" w:color="auto"/>
      </w:divBdr>
    </w:div>
    <w:div w:id="1345324635">
      <w:bodyDiv w:val="1"/>
      <w:marLeft w:val="0"/>
      <w:marRight w:val="0"/>
      <w:marTop w:val="0"/>
      <w:marBottom w:val="0"/>
      <w:divBdr>
        <w:top w:val="none" w:sz="0" w:space="0" w:color="auto"/>
        <w:left w:val="none" w:sz="0" w:space="0" w:color="auto"/>
        <w:bottom w:val="none" w:sz="0" w:space="0" w:color="auto"/>
        <w:right w:val="none" w:sz="0" w:space="0" w:color="auto"/>
      </w:divBdr>
    </w:div>
    <w:div w:id="1345522347">
      <w:bodyDiv w:val="1"/>
      <w:marLeft w:val="0"/>
      <w:marRight w:val="0"/>
      <w:marTop w:val="0"/>
      <w:marBottom w:val="0"/>
      <w:divBdr>
        <w:top w:val="none" w:sz="0" w:space="0" w:color="auto"/>
        <w:left w:val="none" w:sz="0" w:space="0" w:color="auto"/>
        <w:bottom w:val="none" w:sz="0" w:space="0" w:color="auto"/>
        <w:right w:val="none" w:sz="0" w:space="0" w:color="auto"/>
      </w:divBdr>
    </w:div>
    <w:div w:id="1347370153">
      <w:bodyDiv w:val="1"/>
      <w:marLeft w:val="0"/>
      <w:marRight w:val="0"/>
      <w:marTop w:val="0"/>
      <w:marBottom w:val="0"/>
      <w:divBdr>
        <w:top w:val="none" w:sz="0" w:space="0" w:color="auto"/>
        <w:left w:val="none" w:sz="0" w:space="0" w:color="auto"/>
        <w:bottom w:val="none" w:sz="0" w:space="0" w:color="auto"/>
        <w:right w:val="none" w:sz="0" w:space="0" w:color="auto"/>
      </w:divBdr>
    </w:div>
    <w:div w:id="1348671853">
      <w:bodyDiv w:val="1"/>
      <w:marLeft w:val="0"/>
      <w:marRight w:val="0"/>
      <w:marTop w:val="0"/>
      <w:marBottom w:val="0"/>
      <w:divBdr>
        <w:top w:val="none" w:sz="0" w:space="0" w:color="auto"/>
        <w:left w:val="none" w:sz="0" w:space="0" w:color="auto"/>
        <w:bottom w:val="none" w:sz="0" w:space="0" w:color="auto"/>
        <w:right w:val="none" w:sz="0" w:space="0" w:color="auto"/>
      </w:divBdr>
    </w:div>
    <w:div w:id="1348798505">
      <w:bodyDiv w:val="1"/>
      <w:marLeft w:val="0"/>
      <w:marRight w:val="0"/>
      <w:marTop w:val="0"/>
      <w:marBottom w:val="0"/>
      <w:divBdr>
        <w:top w:val="none" w:sz="0" w:space="0" w:color="auto"/>
        <w:left w:val="none" w:sz="0" w:space="0" w:color="auto"/>
        <w:bottom w:val="none" w:sz="0" w:space="0" w:color="auto"/>
        <w:right w:val="none" w:sz="0" w:space="0" w:color="auto"/>
      </w:divBdr>
    </w:div>
    <w:div w:id="1349332676">
      <w:bodyDiv w:val="1"/>
      <w:marLeft w:val="0"/>
      <w:marRight w:val="0"/>
      <w:marTop w:val="0"/>
      <w:marBottom w:val="0"/>
      <w:divBdr>
        <w:top w:val="none" w:sz="0" w:space="0" w:color="auto"/>
        <w:left w:val="none" w:sz="0" w:space="0" w:color="auto"/>
        <w:bottom w:val="none" w:sz="0" w:space="0" w:color="auto"/>
        <w:right w:val="none" w:sz="0" w:space="0" w:color="auto"/>
      </w:divBdr>
    </w:div>
    <w:div w:id="1349671754">
      <w:bodyDiv w:val="1"/>
      <w:marLeft w:val="0"/>
      <w:marRight w:val="0"/>
      <w:marTop w:val="0"/>
      <w:marBottom w:val="0"/>
      <w:divBdr>
        <w:top w:val="none" w:sz="0" w:space="0" w:color="auto"/>
        <w:left w:val="none" w:sz="0" w:space="0" w:color="auto"/>
        <w:bottom w:val="none" w:sz="0" w:space="0" w:color="auto"/>
        <w:right w:val="none" w:sz="0" w:space="0" w:color="auto"/>
      </w:divBdr>
    </w:div>
    <w:div w:id="1349793484">
      <w:bodyDiv w:val="1"/>
      <w:marLeft w:val="0"/>
      <w:marRight w:val="0"/>
      <w:marTop w:val="0"/>
      <w:marBottom w:val="0"/>
      <w:divBdr>
        <w:top w:val="none" w:sz="0" w:space="0" w:color="auto"/>
        <w:left w:val="none" w:sz="0" w:space="0" w:color="auto"/>
        <w:bottom w:val="none" w:sz="0" w:space="0" w:color="auto"/>
        <w:right w:val="none" w:sz="0" w:space="0" w:color="auto"/>
      </w:divBdr>
    </w:div>
    <w:div w:id="1350335412">
      <w:bodyDiv w:val="1"/>
      <w:marLeft w:val="0"/>
      <w:marRight w:val="0"/>
      <w:marTop w:val="0"/>
      <w:marBottom w:val="0"/>
      <w:divBdr>
        <w:top w:val="none" w:sz="0" w:space="0" w:color="auto"/>
        <w:left w:val="none" w:sz="0" w:space="0" w:color="auto"/>
        <w:bottom w:val="none" w:sz="0" w:space="0" w:color="auto"/>
        <w:right w:val="none" w:sz="0" w:space="0" w:color="auto"/>
      </w:divBdr>
    </w:div>
    <w:div w:id="1352142624">
      <w:bodyDiv w:val="1"/>
      <w:marLeft w:val="0"/>
      <w:marRight w:val="0"/>
      <w:marTop w:val="0"/>
      <w:marBottom w:val="0"/>
      <w:divBdr>
        <w:top w:val="none" w:sz="0" w:space="0" w:color="auto"/>
        <w:left w:val="none" w:sz="0" w:space="0" w:color="auto"/>
        <w:bottom w:val="none" w:sz="0" w:space="0" w:color="auto"/>
        <w:right w:val="none" w:sz="0" w:space="0" w:color="auto"/>
      </w:divBdr>
    </w:div>
    <w:div w:id="1352532119">
      <w:bodyDiv w:val="1"/>
      <w:marLeft w:val="0"/>
      <w:marRight w:val="0"/>
      <w:marTop w:val="0"/>
      <w:marBottom w:val="0"/>
      <w:divBdr>
        <w:top w:val="none" w:sz="0" w:space="0" w:color="auto"/>
        <w:left w:val="none" w:sz="0" w:space="0" w:color="auto"/>
        <w:bottom w:val="none" w:sz="0" w:space="0" w:color="auto"/>
        <w:right w:val="none" w:sz="0" w:space="0" w:color="auto"/>
      </w:divBdr>
    </w:div>
    <w:div w:id="1352687945">
      <w:bodyDiv w:val="1"/>
      <w:marLeft w:val="0"/>
      <w:marRight w:val="0"/>
      <w:marTop w:val="0"/>
      <w:marBottom w:val="0"/>
      <w:divBdr>
        <w:top w:val="none" w:sz="0" w:space="0" w:color="auto"/>
        <w:left w:val="none" w:sz="0" w:space="0" w:color="auto"/>
        <w:bottom w:val="none" w:sz="0" w:space="0" w:color="auto"/>
        <w:right w:val="none" w:sz="0" w:space="0" w:color="auto"/>
      </w:divBdr>
    </w:div>
    <w:div w:id="1352758955">
      <w:bodyDiv w:val="1"/>
      <w:marLeft w:val="0"/>
      <w:marRight w:val="0"/>
      <w:marTop w:val="0"/>
      <w:marBottom w:val="0"/>
      <w:divBdr>
        <w:top w:val="none" w:sz="0" w:space="0" w:color="auto"/>
        <w:left w:val="none" w:sz="0" w:space="0" w:color="auto"/>
        <w:bottom w:val="none" w:sz="0" w:space="0" w:color="auto"/>
        <w:right w:val="none" w:sz="0" w:space="0" w:color="auto"/>
      </w:divBdr>
    </w:div>
    <w:div w:id="1355305695">
      <w:bodyDiv w:val="1"/>
      <w:marLeft w:val="0"/>
      <w:marRight w:val="0"/>
      <w:marTop w:val="0"/>
      <w:marBottom w:val="0"/>
      <w:divBdr>
        <w:top w:val="none" w:sz="0" w:space="0" w:color="auto"/>
        <w:left w:val="none" w:sz="0" w:space="0" w:color="auto"/>
        <w:bottom w:val="none" w:sz="0" w:space="0" w:color="auto"/>
        <w:right w:val="none" w:sz="0" w:space="0" w:color="auto"/>
      </w:divBdr>
    </w:div>
    <w:div w:id="1355574717">
      <w:bodyDiv w:val="1"/>
      <w:marLeft w:val="0"/>
      <w:marRight w:val="0"/>
      <w:marTop w:val="0"/>
      <w:marBottom w:val="0"/>
      <w:divBdr>
        <w:top w:val="none" w:sz="0" w:space="0" w:color="auto"/>
        <w:left w:val="none" w:sz="0" w:space="0" w:color="auto"/>
        <w:bottom w:val="none" w:sz="0" w:space="0" w:color="auto"/>
        <w:right w:val="none" w:sz="0" w:space="0" w:color="auto"/>
      </w:divBdr>
    </w:div>
    <w:div w:id="1356423396">
      <w:bodyDiv w:val="1"/>
      <w:marLeft w:val="0"/>
      <w:marRight w:val="0"/>
      <w:marTop w:val="0"/>
      <w:marBottom w:val="0"/>
      <w:divBdr>
        <w:top w:val="none" w:sz="0" w:space="0" w:color="auto"/>
        <w:left w:val="none" w:sz="0" w:space="0" w:color="auto"/>
        <w:bottom w:val="none" w:sz="0" w:space="0" w:color="auto"/>
        <w:right w:val="none" w:sz="0" w:space="0" w:color="auto"/>
      </w:divBdr>
    </w:div>
    <w:div w:id="1356811912">
      <w:bodyDiv w:val="1"/>
      <w:marLeft w:val="0"/>
      <w:marRight w:val="0"/>
      <w:marTop w:val="0"/>
      <w:marBottom w:val="0"/>
      <w:divBdr>
        <w:top w:val="none" w:sz="0" w:space="0" w:color="auto"/>
        <w:left w:val="none" w:sz="0" w:space="0" w:color="auto"/>
        <w:bottom w:val="none" w:sz="0" w:space="0" w:color="auto"/>
        <w:right w:val="none" w:sz="0" w:space="0" w:color="auto"/>
      </w:divBdr>
    </w:div>
    <w:div w:id="1357853517">
      <w:bodyDiv w:val="1"/>
      <w:marLeft w:val="0"/>
      <w:marRight w:val="0"/>
      <w:marTop w:val="0"/>
      <w:marBottom w:val="0"/>
      <w:divBdr>
        <w:top w:val="none" w:sz="0" w:space="0" w:color="auto"/>
        <w:left w:val="none" w:sz="0" w:space="0" w:color="auto"/>
        <w:bottom w:val="none" w:sz="0" w:space="0" w:color="auto"/>
        <w:right w:val="none" w:sz="0" w:space="0" w:color="auto"/>
      </w:divBdr>
    </w:div>
    <w:div w:id="1358003735">
      <w:bodyDiv w:val="1"/>
      <w:marLeft w:val="0"/>
      <w:marRight w:val="0"/>
      <w:marTop w:val="0"/>
      <w:marBottom w:val="0"/>
      <w:divBdr>
        <w:top w:val="none" w:sz="0" w:space="0" w:color="auto"/>
        <w:left w:val="none" w:sz="0" w:space="0" w:color="auto"/>
        <w:bottom w:val="none" w:sz="0" w:space="0" w:color="auto"/>
        <w:right w:val="none" w:sz="0" w:space="0" w:color="auto"/>
      </w:divBdr>
    </w:div>
    <w:div w:id="1359160209">
      <w:bodyDiv w:val="1"/>
      <w:marLeft w:val="0"/>
      <w:marRight w:val="0"/>
      <w:marTop w:val="0"/>
      <w:marBottom w:val="0"/>
      <w:divBdr>
        <w:top w:val="none" w:sz="0" w:space="0" w:color="auto"/>
        <w:left w:val="none" w:sz="0" w:space="0" w:color="auto"/>
        <w:bottom w:val="none" w:sz="0" w:space="0" w:color="auto"/>
        <w:right w:val="none" w:sz="0" w:space="0" w:color="auto"/>
      </w:divBdr>
    </w:div>
    <w:div w:id="1359240766">
      <w:bodyDiv w:val="1"/>
      <w:marLeft w:val="0"/>
      <w:marRight w:val="0"/>
      <w:marTop w:val="0"/>
      <w:marBottom w:val="0"/>
      <w:divBdr>
        <w:top w:val="none" w:sz="0" w:space="0" w:color="auto"/>
        <w:left w:val="none" w:sz="0" w:space="0" w:color="auto"/>
        <w:bottom w:val="none" w:sz="0" w:space="0" w:color="auto"/>
        <w:right w:val="none" w:sz="0" w:space="0" w:color="auto"/>
      </w:divBdr>
    </w:div>
    <w:div w:id="1361393981">
      <w:bodyDiv w:val="1"/>
      <w:marLeft w:val="0"/>
      <w:marRight w:val="0"/>
      <w:marTop w:val="0"/>
      <w:marBottom w:val="0"/>
      <w:divBdr>
        <w:top w:val="none" w:sz="0" w:space="0" w:color="auto"/>
        <w:left w:val="none" w:sz="0" w:space="0" w:color="auto"/>
        <w:bottom w:val="none" w:sz="0" w:space="0" w:color="auto"/>
        <w:right w:val="none" w:sz="0" w:space="0" w:color="auto"/>
      </w:divBdr>
    </w:div>
    <w:div w:id="1361857545">
      <w:bodyDiv w:val="1"/>
      <w:marLeft w:val="0"/>
      <w:marRight w:val="0"/>
      <w:marTop w:val="0"/>
      <w:marBottom w:val="0"/>
      <w:divBdr>
        <w:top w:val="none" w:sz="0" w:space="0" w:color="auto"/>
        <w:left w:val="none" w:sz="0" w:space="0" w:color="auto"/>
        <w:bottom w:val="none" w:sz="0" w:space="0" w:color="auto"/>
        <w:right w:val="none" w:sz="0" w:space="0" w:color="auto"/>
      </w:divBdr>
    </w:div>
    <w:div w:id="1362319259">
      <w:bodyDiv w:val="1"/>
      <w:marLeft w:val="0"/>
      <w:marRight w:val="0"/>
      <w:marTop w:val="0"/>
      <w:marBottom w:val="0"/>
      <w:divBdr>
        <w:top w:val="none" w:sz="0" w:space="0" w:color="auto"/>
        <w:left w:val="none" w:sz="0" w:space="0" w:color="auto"/>
        <w:bottom w:val="none" w:sz="0" w:space="0" w:color="auto"/>
        <w:right w:val="none" w:sz="0" w:space="0" w:color="auto"/>
      </w:divBdr>
    </w:div>
    <w:div w:id="1364087369">
      <w:bodyDiv w:val="1"/>
      <w:marLeft w:val="0"/>
      <w:marRight w:val="0"/>
      <w:marTop w:val="0"/>
      <w:marBottom w:val="0"/>
      <w:divBdr>
        <w:top w:val="none" w:sz="0" w:space="0" w:color="auto"/>
        <w:left w:val="none" w:sz="0" w:space="0" w:color="auto"/>
        <w:bottom w:val="none" w:sz="0" w:space="0" w:color="auto"/>
        <w:right w:val="none" w:sz="0" w:space="0" w:color="auto"/>
      </w:divBdr>
    </w:div>
    <w:div w:id="1364862213">
      <w:bodyDiv w:val="1"/>
      <w:marLeft w:val="0"/>
      <w:marRight w:val="0"/>
      <w:marTop w:val="0"/>
      <w:marBottom w:val="0"/>
      <w:divBdr>
        <w:top w:val="none" w:sz="0" w:space="0" w:color="auto"/>
        <w:left w:val="none" w:sz="0" w:space="0" w:color="auto"/>
        <w:bottom w:val="none" w:sz="0" w:space="0" w:color="auto"/>
        <w:right w:val="none" w:sz="0" w:space="0" w:color="auto"/>
      </w:divBdr>
    </w:div>
    <w:div w:id="1365670902">
      <w:bodyDiv w:val="1"/>
      <w:marLeft w:val="0"/>
      <w:marRight w:val="0"/>
      <w:marTop w:val="0"/>
      <w:marBottom w:val="0"/>
      <w:divBdr>
        <w:top w:val="none" w:sz="0" w:space="0" w:color="auto"/>
        <w:left w:val="none" w:sz="0" w:space="0" w:color="auto"/>
        <w:bottom w:val="none" w:sz="0" w:space="0" w:color="auto"/>
        <w:right w:val="none" w:sz="0" w:space="0" w:color="auto"/>
      </w:divBdr>
    </w:div>
    <w:div w:id="1367174794">
      <w:bodyDiv w:val="1"/>
      <w:marLeft w:val="0"/>
      <w:marRight w:val="0"/>
      <w:marTop w:val="0"/>
      <w:marBottom w:val="0"/>
      <w:divBdr>
        <w:top w:val="none" w:sz="0" w:space="0" w:color="auto"/>
        <w:left w:val="none" w:sz="0" w:space="0" w:color="auto"/>
        <w:bottom w:val="none" w:sz="0" w:space="0" w:color="auto"/>
        <w:right w:val="none" w:sz="0" w:space="0" w:color="auto"/>
      </w:divBdr>
    </w:div>
    <w:div w:id="1368291728">
      <w:bodyDiv w:val="1"/>
      <w:marLeft w:val="0"/>
      <w:marRight w:val="0"/>
      <w:marTop w:val="0"/>
      <w:marBottom w:val="0"/>
      <w:divBdr>
        <w:top w:val="none" w:sz="0" w:space="0" w:color="auto"/>
        <w:left w:val="none" w:sz="0" w:space="0" w:color="auto"/>
        <w:bottom w:val="none" w:sz="0" w:space="0" w:color="auto"/>
        <w:right w:val="none" w:sz="0" w:space="0" w:color="auto"/>
      </w:divBdr>
    </w:div>
    <w:div w:id="1368875508">
      <w:bodyDiv w:val="1"/>
      <w:marLeft w:val="0"/>
      <w:marRight w:val="0"/>
      <w:marTop w:val="0"/>
      <w:marBottom w:val="0"/>
      <w:divBdr>
        <w:top w:val="none" w:sz="0" w:space="0" w:color="auto"/>
        <w:left w:val="none" w:sz="0" w:space="0" w:color="auto"/>
        <w:bottom w:val="none" w:sz="0" w:space="0" w:color="auto"/>
        <w:right w:val="none" w:sz="0" w:space="0" w:color="auto"/>
      </w:divBdr>
    </w:div>
    <w:div w:id="1373268366">
      <w:bodyDiv w:val="1"/>
      <w:marLeft w:val="0"/>
      <w:marRight w:val="0"/>
      <w:marTop w:val="0"/>
      <w:marBottom w:val="0"/>
      <w:divBdr>
        <w:top w:val="none" w:sz="0" w:space="0" w:color="auto"/>
        <w:left w:val="none" w:sz="0" w:space="0" w:color="auto"/>
        <w:bottom w:val="none" w:sz="0" w:space="0" w:color="auto"/>
        <w:right w:val="none" w:sz="0" w:space="0" w:color="auto"/>
      </w:divBdr>
    </w:div>
    <w:div w:id="1374038319">
      <w:bodyDiv w:val="1"/>
      <w:marLeft w:val="0"/>
      <w:marRight w:val="0"/>
      <w:marTop w:val="0"/>
      <w:marBottom w:val="0"/>
      <w:divBdr>
        <w:top w:val="none" w:sz="0" w:space="0" w:color="auto"/>
        <w:left w:val="none" w:sz="0" w:space="0" w:color="auto"/>
        <w:bottom w:val="none" w:sz="0" w:space="0" w:color="auto"/>
        <w:right w:val="none" w:sz="0" w:space="0" w:color="auto"/>
      </w:divBdr>
    </w:div>
    <w:div w:id="1375278546">
      <w:bodyDiv w:val="1"/>
      <w:marLeft w:val="0"/>
      <w:marRight w:val="0"/>
      <w:marTop w:val="0"/>
      <w:marBottom w:val="0"/>
      <w:divBdr>
        <w:top w:val="none" w:sz="0" w:space="0" w:color="auto"/>
        <w:left w:val="none" w:sz="0" w:space="0" w:color="auto"/>
        <w:bottom w:val="none" w:sz="0" w:space="0" w:color="auto"/>
        <w:right w:val="none" w:sz="0" w:space="0" w:color="auto"/>
      </w:divBdr>
    </w:div>
    <w:div w:id="1375695294">
      <w:bodyDiv w:val="1"/>
      <w:marLeft w:val="0"/>
      <w:marRight w:val="0"/>
      <w:marTop w:val="0"/>
      <w:marBottom w:val="0"/>
      <w:divBdr>
        <w:top w:val="none" w:sz="0" w:space="0" w:color="auto"/>
        <w:left w:val="none" w:sz="0" w:space="0" w:color="auto"/>
        <w:bottom w:val="none" w:sz="0" w:space="0" w:color="auto"/>
        <w:right w:val="none" w:sz="0" w:space="0" w:color="auto"/>
      </w:divBdr>
    </w:div>
    <w:div w:id="1378627216">
      <w:bodyDiv w:val="1"/>
      <w:marLeft w:val="0"/>
      <w:marRight w:val="0"/>
      <w:marTop w:val="0"/>
      <w:marBottom w:val="0"/>
      <w:divBdr>
        <w:top w:val="none" w:sz="0" w:space="0" w:color="auto"/>
        <w:left w:val="none" w:sz="0" w:space="0" w:color="auto"/>
        <w:bottom w:val="none" w:sz="0" w:space="0" w:color="auto"/>
        <w:right w:val="none" w:sz="0" w:space="0" w:color="auto"/>
      </w:divBdr>
    </w:div>
    <w:div w:id="1378748446">
      <w:bodyDiv w:val="1"/>
      <w:marLeft w:val="0"/>
      <w:marRight w:val="0"/>
      <w:marTop w:val="0"/>
      <w:marBottom w:val="0"/>
      <w:divBdr>
        <w:top w:val="none" w:sz="0" w:space="0" w:color="auto"/>
        <w:left w:val="none" w:sz="0" w:space="0" w:color="auto"/>
        <w:bottom w:val="none" w:sz="0" w:space="0" w:color="auto"/>
        <w:right w:val="none" w:sz="0" w:space="0" w:color="auto"/>
      </w:divBdr>
    </w:div>
    <w:div w:id="1379747699">
      <w:bodyDiv w:val="1"/>
      <w:marLeft w:val="0"/>
      <w:marRight w:val="0"/>
      <w:marTop w:val="0"/>
      <w:marBottom w:val="0"/>
      <w:divBdr>
        <w:top w:val="none" w:sz="0" w:space="0" w:color="auto"/>
        <w:left w:val="none" w:sz="0" w:space="0" w:color="auto"/>
        <w:bottom w:val="none" w:sz="0" w:space="0" w:color="auto"/>
        <w:right w:val="none" w:sz="0" w:space="0" w:color="auto"/>
      </w:divBdr>
    </w:div>
    <w:div w:id="1381323166">
      <w:bodyDiv w:val="1"/>
      <w:marLeft w:val="0"/>
      <w:marRight w:val="0"/>
      <w:marTop w:val="0"/>
      <w:marBottom w:val="0"/>
      <w:divBdr>
        <w:top w:val="none" w:sz="0" w:space="0" w:color="auto"/>
        <w:left w:val="none" w:sz="0" w:space="0" w:color="auto"/>
        <w:bottom w:val="none" w:sz="0" w:space="0" w:color="auto"/>
        <w:right w:val="none" w:sz="0" w:space="0" w:color="auto"/>
      </w:divBdr>
    </w:div>
    <w:div w:id="1382364408">
      <w:bodyDiv w:val="1"/>
      <w:marLeft w:val="0"/>
      <w:marRight w:val="0"/>
      <w:marTop w:val="0"/>
      <w:marBottom w:val="0"/>
      <w:divBdr>
        <w:top w:val="none" w:sz="0" w:space="0" w:color="auto"/>
        <w:left w:val="none" w:sz="0" w:space="0" w:color="auto"/>
        <w:bottom w:val="none" w:sz="0" w:space="0" w:color="auto"/>
        <w:right w:val="none" w:sz="0" w:space="0" w:color="auto"/>
      </w:divBdr>
    </w:div>
    <w:div w:id="1384671519">
      <w:bodyDiv w:val="1"/>
      <w:marLeft w:val="0"/>
      <w:marRight w:val="0"/>
      <w:marTop w:val="0"/>
      <w:marBottom w:val="0"/>
      <w:divBdr>
        <w:top w:val="none" w:sz="0" w:space="0" w:color="auto"/>
        <w:left w:val="none" w:sz="0" w:space="0" w:color="auto"/>
        <w:bottom w:val="none" w:sz="0" w:space="0" w:color="auto"/>
        <w:right w:val="none" w:sz="0" w:space="0" w:color="auto"/>
      </w:divBdr>
    </w:div>
    <w:div w:id="1386298255">
      <w:bodyDiv w:val="1"/>
      <w:marLeft w:val="0"/>
      <w:marRight w:val="0"/>
      <w:marTop w:val="0"/>
      <w:marBottom w:val="0"/>
      <w:divBdr>
        <w:top w:val="none" w:sz="0" w:space="0" w:color="auto"/>
        <w:left w:val="none" w:sz="0" w:space="0" w:color="auto"/>
        <w:bottom w:val="none" w:sz="0" w:space="0" w:color="auto"/>
        <w:right w:val="none" w:sz="0" w:space="0" w:color="auto"/>
      </w:divBdr>
    </w:div>
    <w:div w:id="1387340721">
      <w:bodyDiv w:val="1"/>
      <w:marLeft w:val="0"/>
      <w:marRight w:val="0"/>
      <w:marTop w:val="0"/>
      <w:marBottom w:val="0"/>
      <w:divBdr>
        <w:top w:val="none" w:sz="0" w:space="0" w:color="auto"/>
        <w:left w:val="none" w:sz="0" w:space="0" w:color="auto"/>
        <w:bottom w:val="none" w:sz="0" w:space="0" w:color="auto"/>
        <w:right w:val="none" w:sz="0" w:space="0" w:color="auto"/>
      </w:divBdr>
    </w:div>
    <w:div w:id="1387679739">
      <w:bodyDiv w:val="1"/>
      <w:marLeft w:val="0"/>
      <w:marRight w:val="0"/>
      <w:marTop w:val="0"/>
      <w:marBottom w:val="0"/>
      <w:divBdr>
        <w:top w:val="none" w:sz="0" w:space="0" w:color="auto"/>
        <w:left w:val="none" w:sz="0" w:space="0" w:color="auto"/>
        <w:bottom w:val="none" w:sz="0" w:space="0" w:color="auto"/>
        <w:right w:val="none" w:sz="0" w:space="0" w:color="auto"/>
      </w:divBdr>
    </w:div>
    <w:div w:id="1388458675">
      <w:bodyDiv w:val="1"/>
      <w:marLeft w:val="0"/>
      <w:marRight w:val="0"/>
      <w:marTop w:val="0"/>
      <w:marBottom w:val="0"/>
      <w:divBdr>
        <w:top w:val="none" w:sz="0" w:space="0" w:color="auto"/>
        <w:left w:val="none" w:sz="0" w:space="0" w:color="auto"/>
        <w:bottom w:val="none" w:sz="0" w:space="0" w:color="auto"/>
        <w:right w:val="none" w:sz="0" w:space="0" w:color="auto"/>
      </w:divBdr>
    </w:div>
    <w:div w:id="1389188794">
      <w:bodyDiv w:val="1"/>
      <w:marLeft w:val="0"/>
      <w:marRight w:val="0"/>
      <w:marTop w:val="0"/>
      <w:marBottom w:val="0"/>
      <w:divBdr>
        <w:top w:val="none" w:sz="0" w:space="0" w:color="auto"/>
        <w:left w:val="none" w:sz="0" w:space="0" w:color="auto"/>
        <w:bottom w:val="none" w:sz="0" w:space="0" w:color="auto"/>
        <w:right w:val="none" w:sz="0" w:space="0" w:color="auto"/>
      </w:divBdr>
    </w:div>
    <w:div w:id="1394620850">
      <w:bodyDiv w:val="1"/>
      <w:marLeft w:val="0"/>
      <w:marRight w:val="0"/>
      <w:marTop w:val="0"/>
      <w:marBottom w:val="0"/>
      <w:divBdr>
        <w:top w:val="none" w:sz="0" w:space="0" w:color="auto"/>
        <w:left w:val="none" w:sz="0" w:space="0" w:color="auto"/>
        <w:bottom w:val="none" w:sz="0" w:space="0" w:color="auto"/>
        <w:right w:val="none" w:sz="0" w:space="0" w:color="auto"/>
      </w:divBdr>
    </w:div>
    <w:div w:id="1395542731">
      <w:bodyDiv w:val="1"/>
      <w:marLeft w:val="0"/>
      <w:marRight w:val="0"/>
      <w:marTop w:val="0"/>
      <w:marBottom w:val="0"/>
      <w:divBdr>
        <w:top w:val="none" w:sz="0" w:space="0" w:color="auto"/>
        <w:left w:val="none" w:sz="0" w:space="0" w:color="auto"/>
        <w:bottom w:val="none" w:sz="0" w:space="0" w:color="auto"/>
        <w:right w:val="none" w:sz="0" w:space="0" w:color="auto"/>
      </w:divBdr>
    </w:div>
    <w:div w:id="1395735570">
      <w:bodyDiv w:val="1"/>
      <w:marLeft w:val="0"/>
      <w:marRight w:val="0"/>
      <w:marTop w:val="0"/>
      <w:marBottom w:val="0"/>
      <w:divBdr>
        <w:top w:val="none" w:sz="0" w:space="0" w:color="auto"/>
        <w:left w:val="none" w:sz="0" w:space="0" w:color="auto"/>
        <w:bottom w:val="none" w:sz="0" w:space="0" w:color="auto"/>
        <w:right w:val="none" w:sz="0" w:space="0" w:color="auto"/>
      </w:divBdr>
    </w:div>
    <w:div w:id="1396009398">
      <w:bodyDiv w:val="1"/>
      <w:marLeft w:val="0"/>
      <w:marRight w:val="0"/>
      <w:marTop w:val="0"/>
      <w:marBottom w:val="0"/>
      <w:divBdr>
        <w:top w:val="none" w:sz="0" w:space="0" w:color="auto"/>
        <w:left w:val="none" w:sz="0" w:space="0" w:color="auto"/>
        <w:bottom w:val="none" w:sz="0" w:space="0" w:color="auto"/>
        <w:right w:val="none" w:sz="0" w:space="0" w:color="auto"/>
      </w:divBdr>
    </w:div>
    <w:div w:id="1397044887">
      <w:bodyDiv w:val="1"/>
      <w:marLeft w:val="0"/>
      <w:marRight w:val="0"/>
      <w:marTop w:val="0"/>
      <w:marBottom w:val="0"/>
      <w:divBdr>
        <w:top w:val="none" w:sz="0" w:space="0" w:color="auto"/>
        <w:left w:val="none" w:sz="0" w:space="0" w:color="auto"/>
        <w:bottom w:val="none" w:sz="0" w:space="0" w:color="auto"/>
        <w:right w:val="none" w:sz="0" w:space="0" w:color="auto"/>
      </w:divBdr>
    </w:div>
    <w:div w:id="1399326837">
      <w:bodyDiv w:val="1"/>
      <w:marLeft w:val="0"/>
      <w:marRight w:val="0"/>
      <w:marTop w:val="0"/>
      <w:marBottom w:val="0"/>
      <w:divBdr>
        <w:top w:val="none" w:sz="0" w:space="0" w:color="auto"/>
        <w:left w:val="none" w:sz="0" w:space="0" w:color="auto"/>
        <w:bottom w:val="none" w:sz="0" w:space="0" w:color="auto"/>
        <w:right w:val="none" w:sz="0" w:space="0" w:color="auto"/>
      </w:divBdr>
    </w:div>
    <w:div w:id="1400446024">
      <w:bodyDiv w:val="1"/>
      <w:marLeft w:val="0"/>
      <w:marRight w:val="0"/>
      <w:marTop w:val="0"/>
      <w:marBottom w:val="0"/>
      <w:divBdr>
        <w:top w:val="none" w:sz="0" w:space="0" w:color="auto"/>
        <w:left w:val="none" w:sz="0" w:space="0" w:color="auto"/>
        <w:bottom w:val="none" w:sz="0" w:space="0" w:color="auto"/>
        <w:right w:val="none" w:sz="0" w:space="0" w:color="auto"/>
      </w:divBdr>
    </w:div>
    <w:div w:id="1401321783">
      <w:bodyDiv w:val="1"/>
      <w:marLeft w:val="0"/>
      <w:marRight w:val="0"/>
      <w:marTop w:val="0"/>
      <w:marBottom w:val="0"/>
      <w:divBdr>
        <w:top w:val="none" w:sz="0" w:space="0" w:color="auto"/>
        <w:left w:val="none" w:sz="0" w:space="0" w:color="auto"/>
        <w:bottom w:val="none" w:sz="0" w:space="0" w:color="auto"/>
        <w:right w:val="none" w:sz="0" w:space="0" w:color="auto"/>
      </w:divBdr>
    </w:div>
    <w:div w:id="1401362617">
      <w:bodyDiv w:val="1"/>
      <w:marLeft w:val="0"/>
      <w:marRight w:val="0"/>
      <w:marTop w:val="0"/>
      <w:marBottom w:val="0"/>
      <w:divBdr>
        <w:top w:val="none" w:sz="0" w:space="0" w:color="auto"/>
        <w:left w:val="none" w:sz="0" w:space="0" w:color="auto"/>
        <w:bottom w:val="none" w:sz="0" w:space="0" w:color="auto"/>
        <w:right w:val="none" w:sz="0" w:space="0" w:color="auto"/>
      </w:divBdr>
    </w:div>
    <w:div w:id="1402025383">
      <w:bodyDiv w:val="1"/>
      <w:marLeft w:val="0"/>
      <w:marRight w:val="0"/>
      <w:marTop w:val="0"/>
      <w:marBottom w:val="0"/>
      <w:divBdr>
        <w:top w:val="none" w:sz="0" w:space="0" w:color="auto"/>
        <w:left w:val="none" w:sz="0" w:space="0" w:color="auto"/>
        <w:bottom w:val="none" w:sz="0" w:space="0" w:color="auto"/>
        <w:right w:val="none" w:sz="0" w:space="0" w:color="auto"/>
      </w:divBdr>
    </w:div>
    <w:div w:id="1402093649">
      <w:bodyDiv w:val="1"/>
      <w:marLeft w:val="0"/>
      <w:marRight w:val="0"/>
      <w:marTop w:val="0"/>
      <w:marBottom w:val="0"/>
      <w:divBdr>
        <w:top w:val="none" w:sz="0" w:space="0" w:color="auto"/>
        <w:left w:val="none" w:sz="0" w:space="0" w:color="auto"/>
        <w:bottom w:val="none" w:sz="0" w:space="0" w:color="auto"/>
        <w:right w:val="none" w:sz="0" w:space="0" w:color="auto"/>
      </w:divBdr>
    </w:div>
    <w:div w:id="1403017877">
      <w:bodyDiv w:val="1"/>
      <w:marLeft w:val="0"/>
      <w:marRight w:val="0"/>
      <w:marTop w:val="0"/>
      <w:marBottom w:val="0"/>
      <w:divBdr>
        <w:top w:val="none" w:sz="0" w:space="0" w:color="auto"/>
        <w:left w:val="none" w:sz="0" w:space="0" w:color="auto"/>
        <w:bottom w:val="none" w:sz="0" w:space="0" w:color="auto"/>
        <w:right w:val="none" w:sz="0" w:space="0" w:color="auto"/>
      </w:divBdr>
    </w:div>
    <w:div w:id="1403333362">
      <w:bodyDiv w:val="1"/>
      <w:marLeft w:val="0"/>
      <w:marRight w:val="0"/>
      <w:marTop w:val="0"/>
      <w:marBottom w:val="0"/>
      <w:divBdr>
        <w:top w:val="none" w:sz="0" w:space="0" w:color="auto"/>
        <w:left w:val="none" w:sz="0" w:space="0" w:color="auto"/>
        <w:bottom w:val="none" w:sz="0" w:space="0" w:color="auto"/>
        <w:right w:val="none" w:sz="0" w:space="0" w:color="auto"/>
      </w:divBdr>
    </w:div>
    <w:div w:id="1404765034">
      <w:bodyDiv w:val="1"/>
      <w:marLeft w:val="0"/>
      <w:marRight w:val="0"/>
      <w:marTop w:val="0"/>
      <w:marBottom w:val="0"/>
      <w:divBdr>
        <w:top w:val="none" w:sz="0" w:space="0" w:color="auto"/>
        <w:left w:val="none" w:sz="0" w:space="0" w:color="auto"/>
        <w:bottom w:val="none" w:sz="0" w:space="0" w:color="auto"/>
        <w:right w:val="none" w:sz="0" w:space="0" w:color="auto"/>
      </w:divBdr>
    </w:div>
    <w:div w:id="1406218638">
      <w:bodyDiv w:val="1"/>
      <w:marLeft w:val="0"/>
      <w:marRight w:val="0"/>
      <w:marTop w:val="0"/>
      <w:marBottom w:val="0"/>
      <w:divBdr>
        <w:top w:val="none" w:sz="0" w:space="0" w:color="auto"/>
        <w:left w:val="none" w:sz="0" w:space="0" w:color="auto"/>
        <w:bottom w:val="none" w:sz="0" w:space="0" w:color="auto"/>
        <w:right w:val="none" w:sz="0" w:space="0" w:color="auto"/>
      </w:divBdr>
    </w:div>
    <w:div w:id="1409039967">
      <w:bodyDiv w:val="1"/>
      <w:marLeft w:val="0"/>
      <w:marRight w:val="0"/>
      <w:marTop w:val="0"/>
      <w:marBottom w:val="0"/>
      <w:divBdr>
        <w:top w:val="none" w:sz="0" w:space="0" w:color="auto"/>
        <w:left w:val="none" w:sz="0" w:space="0" w:color="auto"/>
        <w:bottom w:val="none" w:sz="0" w:space="0" w:color="auto"/>
        <w:right w:val="none" w:sz="0" w:space="0" w:color="auto"/>
      </w:divBdr>
    </w:div>
    <w:div w:id="1411149388">
      <w:bodyDiv w:val="1"/>
      <w:marLeft w:val="0"/>
      <w:marRight w:val="0"/>
      <w:marTop w:val="0"/>
      <w:marBottom w:val="0"/>
      <w:divBdr>
        <w:top w:val="none" w:sz="0" w:space="0" w:color="auto"/>
        <w:left w:val="none" w:sz="0" w:space="0" w:color="auto"/>
        <w:bottom w:val="none" w:sz="0" w:space="0" w:color="auto"/>
        <w:right w:val="none" w:sz="0" w:space="0" w:color="auto"/>
      </w:divBdr>
    </w:div>
    <w:div w:id="1411808586">
      <w:bodyDiv w:val="1"/>
      <w:marLeft w:val="0"/>
      <w:marRight w:val="0"/>
      <w:marTop w:val="0"/>
      <w:marBottom w:val="0"/>
      <w:divBdr>
        <w:top w:val="none" w:sz="0" w:space="0" w:color="auto"/>
        <w:left w:val="none" w:sz="0" w:space="0" w:color="auto"/>
        <w:bottom w:val="none" w:sz="0" w:space="0" w:color="auto"/>
        <w:right w:val="none" w:sz="0" w:space="0" w:color="auto"/>
      </w:divBdr>
    </w:div>
    <w:div w:id="1413233256">
      <w:bodyDiv w:val="1"/>
      <w:marLeft w:val="0"/>
      <w:marRight w:val="0"/>
      <w:marTop w:val="0"/>
      <w:marBottom w:val="0"/>
      <w:divBdr>
        <w:top w:val="none" w:sz="0" w:space="0" w:color="auto"/>
        <w:left w:val="none" w:sz="0" w:space="0" w:color="auto"/>
        <w:bottom w:val="none" w:sz="0" w:space="0" w:color="auto"/>
        <w:right w:val="none" w:sz="0" w:space="0" w:color="auto"/>
      </w:divBdr>
    </w:div>
    <w:div w:id="1413965829">
      <w:bodyDiv w:val="1"/>
      <w:marLeft w:val="0"/>
      <w:marRight w:val="0"/>
      <w:marTop w:val="0"/>
      <w:marBottom w:val="0"/>
      <w:divBdr>
        <w:top w:val="none" w:sz="0" w:space="0" w:color="auto"/>
        <w:left w:val="none" w:sz="0" w:space="0" w:color="auto"/>
        <w:bottom w:val="none" w:sz="0" w:space="0" w:color="auto"/>
        <w:right w:val="none" w:sz="0" w:space="0" w:color="auto"/>
      </w:divBdr>
    </w:div>
    <w:div w:id="1414357559">
      <w:bodyDiv w:val="1"/>
      <w:marLeft w:val="0"/>
      <w:marRight w:val="0"/>
      <w:marTop w:val="0"/>
      <w:marBottom w:val="0"/>
      <w:divBdr>
        <w:top w:val="none" w:sz="0" w:space="0" w:color="auto"/>
        <w:left w:val="none" w:sz="0" w:space="0" w:color="auto"/>
        <w:bottom w:val="none" w:sz="0" w:space="0" w:color="auto"/>
        <w:right w:val="none" w:sz="0" w:space="0" w:color="auto"/>
      </w:divBdr>
    </w:div>
    <w:div w:id="1415783662">
      <w:bodyDiv w:val="1"/>
      <w:marLeft w:val="0"/>
      <w:marRight w:val="0"/>
      <w:marTop w:val="0"/>
      <w:marBottom w:val="0"/>
      <w:divBdr>
        <w:top w:val="none" w:sz="0" w:space="0" w:color="auto"/>
        <w:left w:val="none" w:sz="0" w:space="0" w:color="auto"/>
        <w:bottom w:val="none" w:sz="0" w:space="0" w:color="auto"/>
        <w:right w:val="none" w:sz="0" w:space="0" w:color="auto"/>
      </w:divBdr>
    </w:div>
    <w:div w:id="1418286581">
      <w:bodyDiv w:val="1"/>
      <w:marLeft w:val="0"/>
      <w:marRight w:val="0"/>
      <w:marTop w:val="0"/>
      <w:marBottom w:val="0"/>
      <w:divBdr>
        <w:top w:val="none" w:sz="0" w:space="0" w:color="auto"/>
        <w:left w:val="none" w:sz="0" w:space="0" w:color="auto"/>
        <w:bottom w:val="none" w:sz="0" w:space="0" w:color="auto"/>
        <w:right w:val="none" w:sz="0" w:space="0" w:color="auto"/>
      </w:divBdr>
    </w:div>
    <w:div w:id="1425105706">
      <w:bodyDiv w:val="1"/>
      <w:marLeft w:val="0"/>
      <w:marRight w:val="0"/>
      <w:marTop w:val="0"/>
      <w:marBottom w:val="0"/>
      <w:divBdr>
        <w:top w:val="none" w:sz="0" w:space="0" w:color="auto"/>
        <w:left w:val="none" w:sz="0" w:space="0" w:color="auto"/>
        <w:bottom w:val="none" w:sz="0" w:space="0" w:color="auto"/>
        <w:right w:val="none" w:sz="0" w:space="0" w:color="auto"/>
      </w:divBdr>
    </w:div>
    <w:div w:id="1425225237">
      <w:bodyDiv w:val="1"/>
      <w:marLeft w:val="0"/>
      <w:marRight w:val="0"/>
      <w:marTop w:val="0"/>
      <w:marBottom w:val="0"/>
      <w:divBdr>
        <w:top w:val="none" w:sz="0" w:space="0" w:color="auto"/>
        <w:left w:val="none" w:sz="0" w:space="0" w:color="auto"/>
        <w:bottom w:val="none" w:sz="0" w:space="0" w:color="auto"/>
        <w:right w:val="none" w:sz="0" w:space="0" w:color="auto"/>
      </w:divBdr>
    </w:div>
    <w:div w:id="1425345573">
      <w:bodyDiv w:val="1"/>
      <w:marLeft w:val="0"/>
      <w:marRight w:val="0"/>
      <w:marTop w:val="0"/>
      <w:marBottom w:val="0"/>
      <w:divBdr>
        <w:top w:val="none" w:sz="0" w:space="0" w:color="auto"/>
        <w:left w:val="none" w:sz="0" w:space="0" w:color="auto"/>
        <w:bottom w:val="none" w:sz="0" w:space="0" w:color="auto"/>
        <w:right w:val="none" w:sz="0" w:space="0" w:color="auto"/>
      </w:divBdr>
    </w:div>
    <w:div w:id="1428162167">
      <w:bodyDiv w:val="1"/>
      <w:marLeft w:val="0"/>
      <w:marRight w:val="0"/>
      <w:marTop w:val="0"/>
      <w:marBottom w:val="0"/>
      <w:divBdr>
        <w:top w:val="none" w:sz="0" w:space="0" w:color="auto"/>
        <w:left w:val="none" w:sz="0" w:space="0" w:color="auto"/>
        <w:bottom w:val="none" w:sz="0" w:space="0" w:color="auto"/>
        <w:right w:val="none" w:sz="0" w:space="0" w:color="auto"/>
      </w:divBdr>
    </w:div>
    <w:div w:id="1428892641">
      <w:bodyDiv w:val="1"/>
      <w:marLeft w:val="0"/>
      <w:marRight w:val="0"/>
      <w:marTop w:val="0"/>
      <w:marBottom w:val="0"/>
      <w:divBdr>
        <w:top w:val="none" w:sz="0" w:space="0" w:color="auto"/>
        <w:left w:val="none" w:sz="0" w:space="0" w:color="auto"/>
        <w:bottom w:val="none" w:sz="0" w:space="0" w:color="auto"/>
        <w:right w:val="none" w:sz="0" w:space="0" w:color="auto"/>
      </w:divBdr>
    </w:div>
    <w:div w:id="1429735405">
      <w:bodyDiv w:val="1"/>
      <w:marLeft w:val="0"/>
      <w:marRight w:val="0"/>
      <w:marTop w:val="0"/>
      <w:marBottom w:val="0"/>
      <w:divBdr>
        <w:top w:val="none" w:sz="0" w:space="0" w:color="auto"/>
        <w:left w:val="none" w:sz="0" w:space="0" w:color="auto"/>
        <w:bottom w:val="none" w:sz="0" w:space="0" w:color="auto"/>
        <w:right w:val="none" w:sz="0" w:space="0" w:color="auto"/>
      </w:divBdr>
    </w:div>
    <w:div w:id="1429765246">
      <w:bodyDiv w:val="1"/>
      <w:marLeft w:val="0"/>
      <w:marRight w:val="0"/>
      <w:marTop w:val="0"/>
      <w:marBottom w:val="0"/>
      <w:divBdr>
        <w:top w:val="none" w:sz="0" w:space="0" w:color="auto"/>
        <w:left w:val="none" w:sz="0" w:space="0" w:color="auto"/>
        <w:bottom w:val="none" w:sz="0" w:space="0" w:color="auto"/>
        <w:right w:val="none" w:sz="0" w:space="0" w:color="auto"/>
      </w:divBdr>
    </w:div>
    <w:div w:id="1431046685">
      <w:bodyDiv w:val="1"/>
      <w:marLeft w:val="0"/>
      <w:marRight w:val="0"/>
      <w:marTop w:val="0"/>
      <w:marBottom w:val="0"/>
      <w:divBdr>
        <w:top w:val="none" w:sz="0" w:space="0" w:color="auto"/>
        <w:left w:val="none" w:sz="0" w:space="0" w:color="auto"/>
        <w:bottom w:val="none" w:sz="0" w:space="0" w:color="auto"/>
        <w:right w:val="none" w:sz="0" w:space="0" w:color="auto"/>
      </w:divBdr>
    </w:div>
    <w:div w:id="1431703064">
      <w:bodyDiv w:val="1"/>
      <w:marLeft w:val="0"/>
      <w:marRight w:val="0"/>
      <w:marTop w:val="0"/>
      <w:marBottom w:val="0"/>
      <w:divBdr>
        <w:top w:val="none" w:sz="0" w:space="0" w:color="auto"/>
        <w:left w:val="none" w:sz="0" w:space="0" w:color="auto"/>
        <w:bottom w:val="none" w:sz="0" w:space="0" w:color="auto"/>
        <w:right w:val="none" w:sz="0" w:space="0" w:color="auto"/>
      </w:divBdr>
    </w:div>
    <w:div w:id="1434207068">
      <w:bodyDiv w:val="1"/>
      <w:marLeft w:val="0"/>
      <w:marRight w:val="0"/>
      <w:marTop w:val="0"/>
      <w:marBottom w:val="0"/>
      <w:divBdr>
        <w:top w:val="none" w:sz="0" w:space="0" w:color="auto"/>
        <w:left w:val="none" w:sz="0" w:space="0" w:color="auto"/>
        <w:bottom w:val="none" w:sz="0" w:space="0" w:color="auto"/>
        <w:right w:val="none" w:sz="0" w:space="0" w:color="auto"/>
      </w:divBdr>
    </w:div>
    <w:div w:id="1435126161">
      <w:bodyDiv w:val="1"/>
      <w:marLeft w:val="0"/>
      <w:marRight w:val="0"/>
      <w:marTop w:val="0"/>
      <w:marBottom w:val="0"/>
      <w:divBdr>
        <w:top w:val="none" w:sz="0" w:space="0" w:color="auto"/>
        <w:left w:val="none" w:sz="0" w:space="0" w:color="auto"/>
        <w:bottom w:val="none" w:sz="0" w:space="0" w:color="auto"/>
        <w:right w:val="none" w:sz="0" w:space="0" w:color="auto"/>
      </w:divBdr>
    </w:div>
    <w:div w:id="1437825014">
      <w:bodyDiv w:val="1"/>
      <w:marLeft w:val="0"/>
      <w:marRight w:val="0"/>
      <w:marTop w:val="0"/>
      <w:marBottom w:val="0"/>
      <w:divBdr>
        <w:top w:val="none" w:sz="0" w:space="0" w:color="auto"/>
        <w:left w:val="none" w:sz="0" w:space="0" w:color="auto"/>
        <w:bottom w:val="none" w:sz="0" w:space="0" w:color="auto"/>
        <w:right w:val="none" w:sz="0" w:space="0" w:color="auto"/>
      </w:divBdr>
    </w:div>
    <w:div w:id="1439137106">
      <w:bodyDiv w:val="1"/>
      <w:marLeft w:val="0"/>
      <w:marRight w:val="0"/>
      <w:marTop w:val="0"/>
      <w:marBottom w:val="0"/>
      <w:divBdr>
        <w:top w:val="none" w:sz="0" w:space="0" w:color="auto"/>
        <w:left w:val="none" w:sz="0" w:space="0" w:color="auto"/>
        <w:bottom w:val="none" w:sz="0" w:space="0" w:color="auto"/>
        <w:right w:val="none" w:sz="0" w:space="0" w:color="auto"/>
      </w:divBdr>
    </w:div>
    <w:div w:id="1439910483">
      <w:bodyDiv w:val="1"/>
      <w:marLeft w:val="0"/>
      <w:marRight w:val="0"/>
      <w:marTop w:val="0"/>
      <w:marBottom w:val="0"/>
      <w:divBdr>
        <w:top w:val="none" w:sz="0" w:space="0" w:color="auto"/>
        <w:left w:val="none" w:sz="0" w:space="0" w:color="auto"/>
        <w:bottom w:val="none" w:sz="0" w:space="0" w:color="auto"/>
        <w:right w:val="none" w:sz="0" w:space="0" w:color="auto"/>
      </w:divBdr>
    </w:div>
    <w:div w:id="1440446766">
      <w:bodyDiv w:val="1"/>
      <w:marLeft w:val="0"/>
      <w:marRight w:val="0"/>
      <w:marTop w:val="0"/>
      <w:marBottom w:val="0"/>
      <w:divBdr>
        <w:top w:val="none" w:sz="0" w:space="0" w:color="auto"/>
        <w:left w:val="none" w:sz="0" w:space="0" w:color="auto"/>
        <w:bottom w:val="none" w:sz="0" w:space="0" w:color="auto"/>
        <w:right w:val="none" w:sz="0" w:space="0" w:color="auto"/>
      </w:divBdr>
    </w:div>
    <w:div w:id="1441727182">
      <w:bodyDiv w:val="1"/>
      <w:marLeft w:val="0"/>
      <w:marRight w:val="0"/>
      <w:marTop w:val="0"/>
      <w:marBottom w:val="0"/>
      <w:divBdr>
        <w:top w:val="none" w:sz="0" w:space="0" w:color="auto"/>
        <w:left w:val="none" w:sz="0" w:space="0" w:color="auto"/>
        <w:bottom w:val="none" w:sz="0" w:space="0" w:color="auto"/>
        <w:right w:val="none" w:sz="0" w:space="0" w:color="auto"/>
      </w:divBdr>
    </w:div>
    <w:div w:id="1443573212">
      <w:bodyDiv w:val="1"/>
      <w:marLeft w:val="0"/>
      <w:marRight w:val="0"/>
      <w:marTop w:val="0"/>
      <w:marBottom w:val="0"/>
      <w:divBdr>
        <w:top w:val="none" w:sz="0" w:space="0" w:color="auto"/>
        <w:left w:val="none" w:sz="0" w:space="0" w:color="auto"/>
        <w:bottom w:val="none" w:sz="0" w:space="0" w:color="auto"/>
        <w:right w:val="none" w:sz="0" w:space="0" w:color="auto"/>
      </w:divBdr>
    </w:div>
    <w:div w:id="1444806999">
      <w:bodyDiv w:val="1"/>
      <w:marLeft w:val="0"/>
      <w:marRight w:val="0"/>
      <w:marTop w:val="0"/>
      <w:marBottom w:val="0"/>
      <w:divBdr>
        <w:top w:val="none" w:sz="0" w:space="0" w:color="auto"/>
        <w:left w:val="none" w:sz="0" w:space="0" w:color="auto"/>
        <w:bottom w:val="none" w:sz="0" w:space="0" w:color="auto"/>
        <w:right w:val="none" w:sz="0" w:space="0" w:color="auto"/>
      </w:divBdr>
    </w:div>
    <w:div w:id="1444887251">
      <w:bodyDiv w:val="1"/>
      <w:marLeft w:val="0"/>
      <w:marRight w:val="0"/>
      <w:marTop w:val="0"/>
      <w:marBottom w:val="0"/>
      <w:divBdr>
        <w:top w:val="none" w:sz="0" w:space="0" w:color="auto"/>
        <w:left w:val="none" w:sz="0" w:space="0" w:color="auto"/>
        <w:bottom w:val="none" w:sz="0" w:space="0" w:color="auto"/>
        <w:right w:val="none" w:sz="0" w:space="0" w:color="auto"/>
      </w:divBdr>
    </w:div>
    <w:div w:id="1446463170">
      <w:bodyDiv w:val="1"/>
      <w:marLeft w:val="0"/>
      <w:marRight w:val="0"/>
      <w:marTop w:val="0"/>
      <w:marBottom w:val="0"/>
      <w:divBdr>
        <w:top w:val="none" w:sz="0" w:space="0" w:color="auto"/>
        <w:left w:val="none" w:sz="0" w:space="0" w:color="auto"/>
        <w:bottom w:val="none" w:sz="0" w:space="0" w:color="auto"/>
        <w:right w:val="none" w:sz="0" w:space="0" w:color="auto"/>
      </w:divBdr>
    </w:div>
    <w:div w:id="1446608472">
      <w:bodyDiv w:val="1"/>
      <w:marLeft w:val="0"/>
      <w:marRight w:val="0"/>
      <w:marTop w:val="0"/>
      <w:marBottom w:val="0"/>
      <w:divBdr>
        <w:top w:val="none" w:sz="0" w:space="0" w:color="auto"/>
        <w:left w:val="none" w:sz="0" w:space="0" w:color="auto"/>
        <w:bottom w:val="none" w:sz="0" w:space="0" w:color="auto"/>
        <w:right w:val="none" w:sz="0" w:space="0" w:color="auto"/>
      </w:divBdr>
    </w:div>
    <w:div w:id="1447963860">
      <w:bodyDiv w:val="1"/>
      <w:marLeft w:val="0"/>
      <w:marRight w:val="0"/>
      <w:marTop w:val="0"/>
      <w:marBottom w:val="0"/>
      <w:divBdr>
        <w:top w:val="none" w:sz="0" w:space="0" w:color="auto"/>
        <w:left w:val="none" w:sz="0" w:space="0" w:color="auto"/>
        <w:bottom w:val="none" w:sz="0" w:space="0" w:color="auto"/>
        <w:right w:val="none" w:sz="0" w:space="0" w:color="auto"/>
      </w:divBdr>
    </w:div>
    <w:div w:id="1448545917">
      <w:bodyDiv w:val="1"/>
      <w:marLeft w:val="0"/>
      <w:marRight w:val="0"/>
      <w:marTop w:val="0"/>
      <w:marBottom w:val="0"/>
      <w:divBdr>
        <w:top w:val="none" w:sz="0" w:space="0" w:color="auto"/>
        <w:left w:val="none" w:sz="0" w:space="0" w:color="auto"/>
        <w:bottom w:val="none" w:sz="0" w:space="0" w:color="auto"/>
        <w:right w:val="none" w:sz="0" w:space="0" w:color="auto"/>
      </w:divBdr>
    </w:div>
    <w:div w:id="1449085098">
      <w:bodyDiv w:val="1"/>
      <w:marLeft w:val="0"/>
      <w:marRight w:val="0"/>
      <w:marTop w:val="0"/>
      <w:marBottom w:val="0"/>
      <w:divBdr>
        <w:top w:val="none" w:sz="0" w:space="0" w:color="auto"/>
        <w:left w:val="none" w:sz="0" w:space="0" w:color="auto"/>
        <w:bottom w:val="none" w:sz="0" w:space="0" w:color="auto"/>
        <w:right w:val="none" w:sz="0" w:space="0" w:color="auto"/>
      </w:divBdr>
    </w:div>
    <w:div w:id="1449424622">
      <w:bodyDiv w:val="1"/>
      <w:marLeft w:val="0"/>
      <w:marRight w:val="0"/>
      <w:marTop w:val="0"/>
      <w:marBottom w:val="0"/>
      <w:divBdr>
        <w:top w:val="none" w:sz="0" w:space="0" w:color="auto"/>
        <w:left w:val="none" w:sz="0" w:space="0" w:color="auto"/>
        <w:bottom w:val="none" w:sz="0" w:space="0" w:color="auto"/>
        <w:right w:val="none" w:sz="0" w:space="0" w:color="auto"/>
      </w:divBdr>
    </w:div>
    <w:div w:id="1449543254">
      <w:bodyDiv w:val="1"/>
      <w:marLeft w:val="0"/>
      <w:marRight w:val="0"/>
      <w:marTop w:val="0"/>
      <w:marBottom w:val="0"/>
      <w:divBdr>
        <w:top w:val="none" w:sz="0" w:space="0" w:color="auto"/>
        <w:left w:val="none" w:sz="0" w:space="0" w:color="auto"/>
        <w:bottom w:val="none" w:sz="0" w:space="0" w:color="auto"/>
        <w:right w:val="none" w:sz="0" w:space="0" w:color="auto"/>
      </w:divBdr>
    </w:div>
    <w:div w:id="1450709576">
      <w:bodyDiv w:val="1"/>
      <w:marLeft w:val="0"/>
      <w:marRight w:val="0"/>
      <w:marTop w:val="0"/>
      <w:marBottom w:val="0"/>
      <w:divBdr>
        <w:top w:val="none" w:sz="0" w:space="0" w:color="auto"/>
        <w:left w:val="none" w:sz="0" w:space="0" w:color="auto"/>
        <w:bottom w:val="none" w:sz="0" w:space="0" w:color="auto"/>
        <w:right w:val="none" w:sz="0" w:space="0" w:color="auto"/>
      </w:divBdr>
    </w:div>
    <w:div w:id="1450855504">
      <w:bodyDiv w:val="1"/>
      <w:marLeft w:val="0"/>
      <w:marRight w:val="0"/>
      <w:marTop w:val="0"/>
      <w:marBottom w:val="0"/>
      <w:divBdr>
        <w:top w:val="none" w:sz="0" w:space="0" w:color="auto"/>
        <w:left w:val="none" w:sz="0" w:space="0" w:color="auto"/>
        <w:bottom w:val="none" w:sz="0" w:space="0" w:color="auto"/>
        <w:right w:val="none" w:sz="0" w:space="0" w:color="auto"/>
      </w:divBdr>
    </w:div>
    <w:div w:id="1451825306">
      <w:bodyDiv w:val="1"/>
      <w:marLeft w:val="0"/>
      <w:marRight w:val="0"/>
      <w:marTop w:val="0"/>
      <w:marBottom w:val="0"/>
      <w:divBdr>
        <w:top w:val="none" w:sz="0" w:space="0" w:color="auto"/>
        <w:left w:val="none" w:sz="0" w:space="0" w:color="auto"/>
        <w:bottom w:val="none" w:sz="0" w:space="0" w:color="auto"/>
        <w:right w:val="none" w:sz="0" w:space="0" w:color="auto"/>
      </w:divBdr>
    </w:div>
    <w:div w:id="1453675149">
      <w:bodyDiv w:val="1"/>
      <w:marLeft w:val="0"/>
      <w:marRight w:val="0"/>
      <w:marTop w:val="0"/>
      <w:marBottom w:val="0"/>
      <w:divBdr>
        <w:top w:val="none" w:sz="0" w:space="0" w:color="auto"/>
        <w:left w:val="none" w:sz="0" w:space="0" w:color="auto"/>
        <w:bottom w:val="none" w:sz="0" w:space="0" w:color="auto"/>
        <w:right w:val="none" w:sz="0" w:space="0" w:color="auto"/>
      </w:divBdr>
    </w:div>
    <w:div w:id="1454324042">
      <w:bodyDiv w:val="1"/>
      <w:marLeft w:val="0"/>
      <w:marRight w:val="0"/>
      <w:marTop w:val="0"/>
      <w:marBottom w:val="0"/>
      <w:divBdr>
        <w:top w:val="none" w:sz="0" w:space="0" w:color="auto"/>
        <w:left w:val="none" w:sz="0" w:space="0" w:color="auto"/>
        <w:bottom w:val="none" w:sz="0" w:space="0" w:color="auto"/>
        <w:right w:val="none" w:sz="0" w:space="0" w:color="auto"/>
      </w:divBdr>
    </w:div>
    <w:div w:id="1454330501">
      <w:bodyDiv w:val="1"/>
      <w:marLeft w:val="0"/>
      <w:marRight w:val="0"/>
      <w:marTop w:val="0"/>
      <w:marBottom w:val="0"/>
      <w:divBdr>
        <w:top w:val="none" w:sz="0" w:space="0" w:color="auto"/>
        <w:left w:val="none" w:sz="0" w:space="0" w:color="auto"/>
        <w:bottom w:val="none" w:sz="0" w:space="0" w:color="auto"/>
        <w:right w:val="none" w:sz="0" w:space="0" w:color="auto"/>
      </w:divBdr>
    </w:div>
    <w:div w:id="1454983962">
      <w:bodyDiv w:val="1"/>
      <w:marLeft w:val="0"/>
      <w:marRight w:val="0"/>
      <w:marTop w:val="0"/>
      <w:marBottom w:val="0"/>
      <w:divBdr>
        <w:top w:val="none" w:sz="0" w:space="0" w:color="auto"/>
        <w:left w:val="none" w:sz="0" w:space="0" w:color="auto"/>
        <w:bottom w:val="none" w:sz="0" w:space="0" w:color="auto"/>
        <w:right w:val="none" w:sz="0" w:space="0" w:color="auto"/>
      </w:divBdr>
    </w:div>
    <w:div w:id="1455054207">
      <w:bodyDiv w:val="1"/>
      <w:marLeft w:val="0"/>
      <w:marRight w:val="0"/>
      <w:marTop w:val="0"/>
      <w:marBottom w:val="0"/>
      <w:divBdr>
        <w:top w:val="none" w:sz="0" w:space="0" w:color="auto"/>
        <w:left w:val="none" w:sz="0" w:space="0" w:color="auto"/>
        <w:bottom w:val="none" w:sz="0" w:space="0" w:color="auto"/>
        <w:right w:val="none" w:sz="0" w:space="0" w:color="auto"/>
      </w:divBdr>
    </w:div>
    <w:div w:id="1455364429">
      <w:bodyDiv w:val="1"/>
      <w:marLeft w:val="0"/>
      <w:marRight w:val="0"/>
      <w:marTop w:val="0"/>
      <w:marBottom w:val="0"/>
      <w:divBdr>
        <w:top w:val="none" w:sz="0" w:space="0" w:color="auto"/>
        <w:left w:val="none" w:sz="0" w:space="0" w:color="auto"/>
        <w:bottom w:val="none" w:sz="0" w:space="0" w:color="auto"/>
        <w:right w:val="none" w:sz="0" w:space="0" w:color="auto"/>
      </w:divBdr>
    </w:div>
    <w:div w:id="1455908703">
      <w:bodyDiv w:val="1"/>
      <w:marLeft w:val="0"/>
      <w:marRight w:val="0"/>
      <w:marTop w:val="0"/>
      <w:marBottom w:val="0"/>
      <w:divBdr>
        <w:top w:val="none" w:sz="0" w:space="0" w:color="auto"/>
        <w:left w:val="none" w:sz="0" w:space="0" w:color="auto"/>
        <w:bottom w:val="none" w:sz="0" w:space="0" w:color="auto"/>
        <w:right w:val="none" w:sz="0" w:space="0" w:color="auto"/>
      </w:divBdr>
    </w:div>
    <w:div w:id="1457215279">
      <w:bodyDiv w:val="1"/>
      <w:marLeft w:val="0"/>
      <w:marRight w:val="0"/>
      <w:marTop w:val="0"/>
      <w:marBottom w:val="0"/>
      <w:divBdr>
        <w:top w:val="none" w:sz="0" w:space="0" w:color="auto"/>
        <w:left w:val="none" w:sz="0" w:space="0" w:color="auto"/>
        <w:bottom w:val="none" w:sz="0" w:space="0" w:color="auto"/>
        <w:right w:val="none" w:sz="0" w:space="0" w:color="auto"/>
      </w:divBdr>
    </w:div>
    <w:div w:id="1457529951">
      <w:bodyDiv w:val="1"/>
      <w:marLeft w:val="0"/>
      <w:marRight w:val="0"/>
      <w:marTop w:val="0"/>
      <w:marBottom w:val="0"/>
      <w:divBdr>
        <w:top w:val="none" w:sz="0" w:space="0" w:color="auto"/>
        <w:left w:val="none" w:sz="0" w:space="0" w:color="auto"/>
        <w:bottom w:val="none" w:sz="0" w:space="0" w:color="auto"/>
        <w:right w:val="none" w:sz="0" w:space="0" w:color="auto"/>
      </w:divBdr>
    </w:div>
    <w:div w:id="1458259570">
      <w:bodyDiv w:val="1"/>
      <w:marLeft w:val="0"/>
      <w:marRight w:val="0"/>
      <w:marTop w:val="0"/>
      <w:marBottom w:val="0"/>
      <w:divBdr>
        <w:top w:val="none" w:sz="0" w:space="0" w:color="auto"/>
        <w:left w:val="none" w:sz="0" w:space="0" w:color="auto"/>
        <w:bottom w:val="none" w:sz="0" w:space="0" w:color="auto"/>
        <w:right w:val="none" w:sz="0" w:space="0" w:color="auto"/>
      </w:divBdr>
    </w:div>
    <w:div w:id="1459106998">
      <w:bodyDiv w:val="1"/>
      <w:marLeft w:val="0"/>
      <w:marRight w:val="0"/>
      <w:marTop w:val="0"/>
      <w:marBottom w:val="0"/>
      <w:divBdr>
        <w:top w:val="none" w:sz="0" w:space="0" w:color="auto"/>
        <w:left w:val="none" w:sz="0" w:space="0" w:color="auto"/>
        <w:bottom w:val="none" w:sz="0" w:space="0" w:color="auto"/>
        <w:right w:val="none" w:sz="0" w:space="0" w:color="auto"/>
      </w:divBdr>
    </w:div>
    <w:div w:id="1459183740">
      <w:bodyDiv w:val="1"/>
      <w:marLeft w:val="0"/>
      <w:marRight w:val="0"/>
      <w:marTop w:val="0"/>
      <w:marBottom w:val="0"/>
      <w:divBdr>
        <w:top w:val="none" w:sz="0" w:space="0" w:color="auto"/>
        <w:left w:val="none" w:sz="0" w:space="0" w:color="auto"/>
        <w:bottom w:val="none" w:sz="0" w:space="0" w:color="auto"/>
        <w:right w:val="none" w:sz="0" w:space="0" w:color="auto"/>
      </w:divBdr>
    </w:div>
    <w:div w:id="1459253235">
      <w:bodyDiv w:val="1"/>
      <w:marLeft w:val="0"/>
      <w:marRight w:val="0"/>
      <w:marTop w:val="0"/>
      <w:marBottom w:val="0"/>
      <w:divBdr>
        <w:top w:val="none" w:sz="0" w:space="0" w:color="auto"/>
        <w:left w:val="none" w:sz="0" w:space="0" w:color="auto"/>
        <w:bottom w:val="none" w:sz="0" w:space="0" w:color="auto"/>
        <w:right w:val="none" w:sz="0" w:space="0" w:color="auto"/>
      </w:divBdr>
    </w:div>
    <w:div w:id="1460566415">
      <w:bodyDiv w:val="1"/>
      <w:marLeft w:val="0"/>
      <w:marRight w:val="0"/>
      <w:marTop w:val="0"/>
      <w:marBottom w:val="0"/>
      <w:divBdr>
        <w:top w:val="none" w:sz="0" w:space="0" w:color="auto"/>
        <w:left w:val="none" w:sz="0" w:space="0" w:color="auto"/>
        <w:bottom w:val="none" w:sz="0" w:space="0" w:color="auto"/>
        <w:right w:val="none" w:sz="0" w:space="0" w:color="auto"/>
      </w:divBdr>
    </w:div>
    <w:div w:id="1460756457">
      <w:bodyDiv w:val="1"/>
      <w:marLeft w:val="0"/>
      <w:marRight w:val="0"/>
      <w:marTop w:val="0"/>
      <w:marBottom w:val="0"/>
      <w:divBdr>
        <w:top w:val="none" w:sz="0" w:space="0" w:color="auto"/>
        <w:left w:val="none" w:sz="0" w:space="0" w:color="auto"/>
        <w:bottom w:val="none" w:sz="0" w:space="0" w:color="auto"/>
        <w:right w:val="none" w:sz="0" w:space="0" w:color="auto"/>
      </w:divBdr>
    </w:div>
    <w:div w:id="1461072801">
      <w:bodyDiv w:val="1"/>
      <w:marLeft w:val="0"/>
      <w:marRight w:val="0"/>
      <w:marTop w:val="0"/>
      <w:marBottom w:val="0"/>
      <w:divBdr>
        <w:top w:val="none" w:sz="0" w:space="0" w:color="auto"/>
        <w:left w:val="none" w:sz="0" w:space="0" w:color="auto"/>
        <w:bottom w:val="none" w:sz="0" w:space="0" w:color="auto"/>
        <w:right w:val="none" w:sz="0" w:space="0" w:color="auto"/>
      </w:divBdr>
    </w:div>
    <w:div w:id="1461146648">
      <w:bodyDiv w:val="1"/>
      <w:marLeft w:val="0"/>
      <w:marRight w:val="0"/>
      <w:marTop w:val="0"/>
      <w:marBottom w:val="0"/>
      <w:divBdr>
        <w:top w:val="none" w:sz="0" w:space="0" w:color="auto"/>
        <w:left w:val="none" w:sz="0" w:space="0" w:color="auto"/>
        <w:bottom w:val="none" w:sz="0" w:space="0" w:color="auto"/>
        <w:right w:val="none" w:sz="0" w:space="0" w:color="auto"/>
      </w:divBdr>
    </w:div>
    <w:div w:id="1462117686">
      <w:bodyDiv w:val="1"/>
      <w:marLeft w:val="0"/>
      <w:marRight w:val="0"/>
      <w:marTop w:val="0"/>
      <w:marBottom w:val="0"/>
      <w:divBdr>
        <w:top w:val="none" w:sz="0" w:space="0" w:color="auto"/>
        <w:left w:val="none" w:sz="0" w:space="0" w:color="auto"/>
        <w:bottom w:val="none" w:sz="0" w:space="0" w:color="auto"/>
        <w:right w:val="none" w:sz="0" w:space="0" w:color="auto"/>
      </w:divBdr>
    </w:div>
    <w:div w:id="1463382037">
      <w:bodyDiv w:val="1"/>
      <w:marLeft w:val="0"/>
      <w:marRight w:val="0"/>
      <w:marTop w:val="0"/>
      <w:marBottom w:val="0"/>
      <w:divBdr>
        <w:top w:val="none" w:sz="0" w:space="0" w:color="auto"/>
        <w:left w:val="none" w:sz="0" w:space="0" w:color="auto"/>
        <w:bottom w:val="none" w:sz="0" w:space="0" w:color="auto"/>
        <w:right w:val="none" w:sz="0" w:space="0" w:color="auto"/>
      </w:divBdr>
    </w:div>
    <w:div w:id="1463571117">
      <w:bodyDiv w:val="1"/>
      <w:marLeft w:val="0"/>
      <w:marRight w:val="0"/>
      <w:marTop w:val="0"/>
      <w:marBottom w:val="0"/>
      <w:divBdr>
        <w:top w:val="none" w:sz="0" w:space="0" w:color="auto"/>
        <w:left w:val="none" w:sz="0" w:space="0" w:color="auto"/>
        <w:bottom w:val="none" w:sz="0" w:space="0" w:color="auto"/>
        <w:right w:val="none" w:sz="0" w:space="0" w:color="auto"/>
      </w:divBdr>
    </w:div>
    <w:div w:id="1464081558">
      <w:bodyDiv w:val="1"/>
      <w:marLeft w:val="0"/>
      <w:marRight w:val="0"/>
      <w:marTop w:val="0"/>
      <w:marBottom w:val="0"/>
      <w:divBdr>
        <w:top w:val="none" w:sz="0" w:space="0" w:color="auto"/>
        <w:left w:val="none" w:sz="0" w:space="0" w:color="auto"/>
        <w:bottom w:val="none" w:sz="0" w:space="0" w:color="auto"/>
        <w:right w:val="none" w:sz="0" w:space="0" w:color="auto"/>
      </w:divBdr>
    </w:div>
    <w:div w:id="1465390218">
      <w:bodyDiv w:val="1"/>
      <w:marLeft w:val="0"/>
      <w:marRight w:val="0"/>
      <w:marTop w:val="0"/>
      <w:marBottom w:val="0"/>
      <w:divBdr>
        <w:top w:val="none" w:sz="0" w:space="0" w:color="auto"/>
        <w:left w:val="none" w:sz="0" w:space="0" w:color="auto"/>
        <w:bottom w:val="none" w:sz="0" w:space="0" w:color="auto"/>
        <w:right w:val="none" w:sz="0" w:space="0" w:color="auto"/>
      </w:divBdr>
    </w:div>
    <w:div w:id="1467579503">
      <w:bodyDiv w:val="1"/>
      <w:marLeft w:val="0"/>
      <w:marRight w:val="0"/>
      <w:marTop w:val="0"/>
      <w:marBottom w:val="0"/>
      <w:divBdr>
        <w:top w:val="none" w:sz="0" w:space="0" w:color="auto"/>
        <w:left w:val="none" w:sz="0" w:space="0" w:color="auto"/>
        <w:bottom w:val="none" w:sz="0" w:space="0" w:color="auto"/>
        <w:right w:val="none" w:sz="0" w:space="0" w:color="auto"/>
      </w:divBdr>
    </w:div>
    <w:div w:id="1470905270">
      <w:bodyDiv w:val="1"/>
      <w:marLeft w:val="0"/>
      <w:marRight w:val="0"/>
      <w:marTop w:val="0"/>
      <w:marBottom w:val="0"/>
      <w:divBdr>
        <w:top w:val="none" w:sz="0" w:space="0" w:color="auto"/>
        <w:left w:val="none" w:sz="0" w:space="0" w:color="auto"/>
        <w:bottom w:val="none" w:sz="0" w:space="0" w:color="auto"/>
        <w:right w:val="none" w:sz="0" w:space="0" w:color="auto"/>
      </w:divBdr>
    </w:div>
    <w:div w:id="1471555828">
      <w:bodyDiv w:val="1"/>
      <w:marLeft w:val="0"/>
      <w:marRight w:val="0"/>
      <w:marTop w:val="0"/>
      <w:marBottom w:val="0"/>
      <w:divBdr>
        <w:top w:val="none" w:sz="0" w:space="0" w:color="auto"/>
        <w:left w:val="none" w:sz="0" w:space="0" w:color="auto"/>
        <w:bottom w:val="none" w:sz="0" w:space="0" w:color="auto"/>
        <w:right w:val="none" w:sz="0" w:space="0" w:color="auto"/>
      </w:divBdr>
    </w:div>
    <w:div w:id="1472358931">
      <w:bodyDiv w:val="1"/>
      <w:marLeft w:val="0"/>
      <w:marRight w:val="0"/>
      <w:marTop w:val="0"/>
      <w:marBottom w:val="0"/>
      <w:divBdr>
        <w:top w:val="none" w:sz="0" w:space="0" w:color="auto"/>
        <w:left w:val="none" w:sz="0" w:space="0" w:color="auto"/>
        <w:bottom w:val="none" w:sz="0" w:space="0" w:color="auto"/>
        <w:right w:val="none" w:sz="0" w:space="0" w:color="auto"/>
      </w:divBdr>
    </w:div>
    <w:div w:id="1473642721">
      <w:bodyDiv w:val="1"/>
      <w:marLeft w:val="0"/>
      <w:marRight w:val="0"/>
      <w:marTop w:val="0"/>
      <w:marBottom w:val="0"/>
      <w:divBdr>
        <w:top w:val="none" w:sz="0" w:space="0" w:color="auto"/>
        <w:left w:val="none" w:sz="0" w:space="0" w:color="auto"/>
        <w:bottom w:val="none" w:sz="0" w:space="0" w:color="auto"/>
        <w:right w:val="none" w:sz="0" w:space="0" w:color="auto"/>
      </w:divBdr>
    </w:div>
    <w:div w:id="1473712716">
      <w:bodyDiv w:val="1"/>
      <w:marLeft w:val="0"/>
      <w:marRight w:val="0"/>
      <w:marTop w:val="0"/>
      <w:marBottom w:val="0"/>
      <w:divBdr>
        <w:top w:val="none" w:sz="0" w:space="0" w:color="auto"/>
        <w:left w:val="none" w:sz="0" w:space="0" w:color="auto"/>
        <w:bottom w:val="none" w:sz="0" w:space="0" w:color="auto"/>
        <w:right w:val="none" w:sz="0" w:space="0" w:color="auto"/>
      </w:divBdr>
    </w:div>
    <w:div w:id="1475370477">
      <w:bodyDiv w:val="1"/>
      <w:marLeft w:val="0"/>
      <w:marRight w:val="0"/>
      <w:marTop w:val="0"/>
      <w:marBottom w:val="0"/>
      <w:divBdr>
        <w:top w:val="none" w:sz="0" w:space="0" w:color="auto"/>
        <w:left w:val="none" w:sz="0" w:space="0" w:color="auto"/>
        <w:bottom w:val="none" w:sz="0" w:space="0" w:color="auto"/>
        <w:right w:val="none" w:sz="0" w:space="0" w:color="auto"/>
      </w:divBdr>
    </w:div>
    <w:div w:id="1475488605">
      <w:bodyDiv w:val="1"/>
      <w:marLeft w:val="0"/>
      <w:marRight w:val="0"/>
      <w:marTop w:val="0"/>
      <w:marBottom w:val="0"/>
      <w:divBdr>
        <w:top w:val="none" w:sz="0" w:space="0" w:color="auto"/>
        <w:left w:val="none" w:sz="0" w:space="0" w:color="auto"/>
        <w:bottom w:val="none" w:sz="0" w:space="0" w:color="auto"/>
        <w:right w:val="none" w:sz="0" w:space="0" w:color="auto"/>
      </w:divBdr>
    </w:div>
    <w:div w:id="1476681727">
      <w:bodyDiv w:val="1"/>
      <w:marLeft w:val="0"/>
      <w:marRight w:val="0"/>
      <w:marTop w:val="0"/>
      <w:marBottom w:val="0"/>
      <w:divBdr>
        <w:top w:val="none" w:sz="0" w:space="0" w:color="auto"/>
        <w:left w:val="none" w:sz="0" w:space="0" w:color="auto"/>
        <w:bottom w:val="none" w:sz="0" w:space="0" w:color="auto"/>
        <w:right w:val="none" w:sz="0" w:space="0" w:color="auto"/>
      </w:divBdr>
    </w:div>
    <w:div w:id="1477650182">
      <w:bodyDiv w:val="1"/>
      <w:marLeft w:val="0"/>
      <w:marRight w:val="0"/>
      <w:marTop w:val="0"/>
      <w:marBottom w:val="0"/>
      <w:divBdr>
        <w:top w:val="none" w:sz="0" w:space="0" w:color="auto"/>
        <w:left w:val="none" w:sz="0" w:space="0" w:color="auto"/>
        <w:bottom w:val="none" w:sz="0" w:space="0" w:color="auto"/>
        <w:right w:val="none" w:sz="0" w:space="0" w:color="auto"/>
      </w:divBdr>
    </w:div>
    <w:div w:id="1477719513">
      <w:bodyDiv w:val="1"/>
      <w:marLeft w:val="0"/>
      <w:marRight w:val="0"/>
      <w:marTop w:val="0"/>
      <w:marBottom w:val="0"/>
      <w:divBdr>
        <w:top w:val="none" w:sz="0" w:space="0" w:color="auto"/>
        <w:left w:val="none" w:sz="0" w:space="0" w:color="auto"/>
        <w:bottom w:val="none" w:sz="0" w:space="0" w:color="auto"/>
        <w:right w:val="none" w:sz="0" w:space="0" w:color="auto"/>
      </w:divBdr>
    </w:div>
    <w:div w:id="1478104417">
      <w:bodyDiv w:val="1"/>
      <w:marLeft w:val="0"/>
      <w:marRight w:val="0"/>
      <w:marTop w:val="0"/>
      <w:marBottom w:val="0"/>
      <w:divBdr>
        <w:top w:val="none" w:sz="0" w:space="0" w:color="auto"/>
        <w:left w:val="none" w:sz="0" w:space="0" w:color="auto"/>
        <w:bottom w:val="none" w:sz="0" w:space="0" w:color="auto"/>
        <w:right w:val="none" w:sz="0" w:space="0" w:color="auto"/>
      </w:divBdr>
    </w:div>
    <w:div w:id="1478692816">
      <w:bodyDiv w:val="1"/>
      <w:marLeft w:val="0"/>
      <w:marRight w:val="0"/>
      <w:marTop w:val="0"/>
      <w:marBottom w:val="0"/>
      <w:divBdr>
        <w:top w:val="none" w:sz="0" w:space="0" w:color="auto"/>
        <w:left w:val="none" w:sz="0" w:space="0" w:color="auto"/>
        <w:bottom w:val="none" w:sz="0" w:space="0" w:color="auto"/>
        <w:right w:val="none" w:sz="0" w:space="0" w:color="auto"/>
      </w:divBdr>
    </w:div>
    <w:div w:id="1480461318">
      <w:bodyDiv w:val="1"/>
      <w:marLeft w:val="0"/>
      <w:marRight w:val="0"/>
      <w:marTop w:val="0"/>
      <w:marBottom w:val="0"/>
      <w:divBdr>
        <w:top w:val="none" w:sz="0" w:space="0" w:color="auto"/>
        <w:left w:val="none" w:sz="0" w:space="0" w:color="auto"/>
        <w:bottom w:val="none" w:sz="0" w:space="0" w:color="auto"/>
        <w:right w:val="none" w:sz="0" w:space="0" w:color="auto"/>
      </w:divBdr>
    </w:div>
    <w:div w:id="1480923627">
      <w:bodyDiv w:val="1"/>
      <w:marLeft w:val="0"/>
      <w:marRight w:val="0"/>
      <w:marTop w:val="0"/>
      <w:marBottom w:val="0"/>
      <w:divBdr>
        <w:top w:val="none" w:sz="0" w:space="0" w:color="auto"/>
        <w:left w:val="none" w:sz="0" w:space="0" w:color="auto"/>
        <w:bottom w:val="none" w:sz="0" w:space="0" w:color="auto"/>
        <w:right w:val="none" w:sz="0" w:space="0" w:color="auto"/>
      </w:divBdr>
    </w:div>
    <w:div w:id="1483037315">
      <w:bodyDiv w:val="1"/>
      <w:marLeft w:val="0"/>
      <w:marRight w:val="0"/>
      <w:marTop w:val="0"/>
      <w:marBottom w:val="0"/>
      <w:divBdr>
        <w:top w:val="none" w:sz="0" w:space="0" w:color="auto"/>
        <w:left w:val="none" w:sz="0" w:space="0" w:color="auto"/>
        <w:bottom w:val="none" w:sz="0" w:space="0" w:color="auto"/>
        <w:right w:val="none" w:sz="0" w:space="0" w:color="auto"/>
      </w:divBdr>
    </w:div>
    <w:div w:id="1483889778">
      <w:bodyDiv w:val="1"/>
      <w:marLeft w:val="0"/>
      <w:marRight w:val="0"/>
      <w:marTop w:val="0"/>
      <w:marBottom w:val="0"/>
      <w:divBdr>
        <w:top w:val="none" w:sz="0" w:space="0" w:color="auto"/>
        <w:left w:val="none" w:sz="0" w:space="0" w:color="auto"/>
        <w:bottom w:val="none" w:sz="0" w:space="0" w:color="auto"/>
        <w:right w:val="none" w:sz="0" w:space="0" w:color="auto"/>
      </w:divBdr>
    </w:div>
    <w:div w:id="1484856735">
      <w:bodyDiv w:val="1"/>
      <w:marLeft w:val="0"/>
      <w:marRight w:val="0"/>
      <w:marTop w:val="0"/>
      <w:marBottom w:val="0"/>
      <w:divBdr>
        <w:top w:val="none" w:sz="0" w:space="0" w:color="auto"/>
        <w:left w:val="none" w:sz="0" w:space="0" w:color="auto"/>
        <w:bottom w:val="none" w:sz="0" w:space="0" w:color="auto"/>
        <w:right w:val="none" w:sz="0" w:space="0" w:color="auto"/>
      </w:divBdr>
    </w:div>
    <w:div w:id="1485660103">
      <w:bodyDiv w:val="1"/>
      <w:marLeft w:val="0"/>
      <w:marRight w:val="0"/>
      <w:marTop w:val="0"/>
      <w:marBottom w:val="0"/>
      <w:divBdr>
        <w:top w:val="none" w:sz="0" w:space="0" w:color="auto"/>
        <w:left w:val="none" w:sz="0" w:space="0" w:color="auto"/>
        <w:bottom w:val="none" w:sz="0" w:space="0" w:color="auto"/>
        <w:right w:val="none" w:sz="0" w:space="0" w:color="auto"/>
      </w:divBdr>
    </w:div>
    <w:div w:id="1486166361">
      <w:bodyDiv w:val="1"/>
      <w:marLeft w:val="0"/>
      <w:marRight w:val="0"/>
      <w:marTop w:val="0"/>
      <w:marBottom w:val="0"/>
      <w:divBdr>
        <w:top w:val="none" w:sz="0" w:space="0" w:color="auto"/>
        <w:left w:val="none" w:sz="0" w:space="0" w:color="auto"/>
        <w:bottom w:val="none" w:sz="0" w:space="0" w:color="auto"/>
        <w:right w:val="none" w:sz="0" w:space="0" w:color="auto"/>
      </w:divBdr>
    </w:div>
    <w:div w:id="1486698194">
      <w:bodyDiv w:val="1"/>
      <w:marLeft w:val="0"/>
      <w:marRight w:val="0"/>
      <w:marTop w:val="0"/>
      <w:marBottom w:val="0"/>
      <w:divBdr>
        <w:top w:val="none" w:sz="0" w:space="0" w:color="auto"/>
        <w:left w:val="none" w:sz="0" w:space="0" w:color="auto"/>
        <w:bottom w:val="none" w:sz="0" w:space="0" w:color="auto"/>
        <w:right w:val="none" w:sz="0" w:space="0" w:color="auto"/>
      </w:divBdr>
    </w:div>
    <w:div w:id="1486780416">
      <w:bodyDiv w:val="1"/>
      <w:marLeft w:val="0"/>
      <w:marRight w:val="0"/>
      <w:marTop w:val="0"/>
      <w:marBottom w:val="0"/>
      <w:divBdr>
        <w:top w:val="none" w:sz="0" w:space="0" w:color="auto"/>
        <w:left w:val="none" w:sz="0" w:space="0" w:color="auto"/>
        <w:bottom w:val="none" w:sz="0" w:space="0" w:color="auto"/>
        <w:right w:val="none" w:sz="0" w:space="0" w:color="auto"/>
      </w:divBdr>
    </w:div>
    <w:div w:id="1487864949">
      <w:bodyDiv w:val="1"/>
      <w:marLeft w:val="0"/>
      <w:marRight w:val="0"/>
      <w:marTop w:val="0"/>
      <w:marBottom w:val="0"/>
      <w:divBdr>
        <w:top w:val="none" w:sz="0" w:space="0" w:color="auto"/>
        <w:left w:val="none" w:sz="0" w:space="0" w:color="auto"/>
        <w:bottom w:val="none" w:sz="0" w:space="0" w:color="auto"/>
        <w:right w:val="none" w:sz="0" w:space="0" w:color="auto"/>
      </w:divBdr>
    </w:div>
    <w:div w:id="1488746246">
      <w:bodyDiv w:val="1"/>
      <w:marLeft w:val="0"/>
      <w:marRight w:val="0"/>
      <w:marTop w:val="0"/>
      <w:marBottom w:val="0"/>
      <w:divBdr>
        <w:top w:val="none" w:sz="0" w:space="0" w:color="auto"/>
        <w:left w:val="none" w:sz="0" w:space="0" w:color="auto"/>
        <w:bottom w:val="none" w:sz="0" w:space="0" w:color="auto"/>
        <w:right w:val="none" w:sz="0" w:space="0" w:color="auto"/>
      </w:divBdr>
    </w:div>
    <w:div w:id="1489324143">
      <w:bodyDiv w:val="1"/>
      <w:marLeft w:val="0"/>
      <w:marRight w:val="0"/>
      <w:marTop w:val="0"/>
      <w:marBottom w:val="0"/>
      <w:divBdr>
        <w:top w:val="none" w:sz="0" w:space="0" w:color="auto"/>
        <w:left w:val="none" w:sz="0" w:space="0" w:color="auto"/>
        <w:bottom w:val="none" w:sz="0" w:space="0" w:color="auto"/>
        <w:right w:val="none" w:sz="0" w:space="0" w:color="auto"/>
      </w:divBdr>
    </w:div>
    <w:div w:id="1490054405">
      <w:bodyDiv w:val="1"/>
      <w:marLeft w:val="0"/>
      <w:marRight w:val="0"/>
      <w:marTop w:val="0"/>
      <w:marBottom w:val="0"/>
      <w:divBdr>
        <w:top w:val="none" w:sz="0" w:space="0" w:color="auto"/>
        <w:left w:val="none" w:sz="0" w:space="0" w:color="auto"/>
        <w:bottom w:val="none" w:sz="0" w:space="0" w:color="auto"/>
        <w:right w:val="none" w:sz="0" w:space="0" w:color="auto"/>
      </w:divBdr>
    </w:div>
    <w:div w:id="1490905777">
      <w:bodyDiv w:val="1"/>
      <w:marLeft w:val="0"/>
      <w:marRight w:val="0"/>
      <w:marTop w:val="0"/>
      <w:marBottom w:val="0"/>
      <w:divBdr>
        <w:top w:val="none" w:sz="0" w:space="0" w:color="auto"/>
        <w:left w:val="none" w:sz="0" w:space="0" w:color="auto"/>
        <w:bottom w:val="none" w:sz="0" w:space="0" w:color="auto"/>
        <w:right w:val="none" w:sz="0" w:space="0" w:color="auto"/>
      </w:divBdr>
    </w:div>
    <w:div w:id="1490974238">
      <w:bodyDiv w:val="1"/>
      <w:marLeft w:val="0"/>
      <w:marRight w:val="0"/>
      <w:marTop w:val="0"/>
      <w:marBottom w:val="0"/>
      <w:divBdr>
        <w:top w:val="none" w:sz="0" w:space="0" w:color="auto"/>
        <w:left w:val="none" w:sz="0" w:space="0" w:color="auto"/>
        <w:bottom w:val="none" w:sz="0" w:space="0" w:color="auto"/>
        <w:right w:val="none" w:sz="0" w:space="0" w:color="auto"/>
      </w:divBdr>
    </w:div>
    <w:div w:id="1491097491">
      <w:bodyDiv w:val="1"/>
      <w:marLeft w:val="0"/>
      <w:marRight w:val="0"/>
      <w:marTop w:val="0"/>
      <w:marBottom w:val="0"/>
      <w:divBdr>
        <w:top w:val="none" w:sz="0" w:space="0" w:color="auto"/>
        <w:left w:val="none" w:sz="0" w:space="0" w:color="auto"/>
        <w:bottom w:val="none" w:sz="0" w:space="0" w:color="auto"/>
        <w:right w:val="none" w:sz="0" w:space="0" w:color="auto"/>
      </w:divBdr>
    </w:div>
    <w:div w:id="1491218457">
      <w:bodyDiv w:val="1"/>
      <w:marLeft w:val="0"/>
      <w:marRight w:val="0"/>
      <w:marTop w:val="0"/>
      <w:marBottom w:val="0"/>
      <w:divBdr>
        <w:top w:val="none" w:sz="0" w:space="0" w:color="auto"/>
        <w:left w:val="none" w:sz="0" w:space="0" w:color="auto"/>
        <w:bottom w:val="none" w:sz="0" w:space="0" w:color="auto"/>
        <w:right w:val="none" w:sz="0" w:space="0" w:color="auto"/>
      </w:divBdr>
    </w:div>
    <w:div w:id="1491678578">
      <w:bodyDiv w:val="1"/>
      <w:marLeft w:val="0"/>
      <w:marRight w:val="0"/>
      <w:marTop w:val="0"/>
      <w:marBottom w:val="0"/>
      <w:divBdr>
        <w:top w:val="none" w:sz="0" w:space="0" w:color="auto"/>
        <w:left w:val="none" w:sz="0" w:space="0" w:color="auto"/>
        <w:bottom w:val="none" w:sz="0" w:space="0" w:color="auto"/>
        <w:right w:val="none" w:sz="0" w:space="0" w:color="auto"/>
      </w:divBdr>
    </w:div>
    <w:div w:id="1492335076">
      <w:bodyDiv w:val="1"/>
      <w:marLeft w:val="0"/>
      <w:marRight w:val="0"/>
      <w:marTop w:val="0"/>
      <w:marBottom w:val="0"/>
      <w:divBdr>
        <w:top w:val="none" w:sz="0" w:space="0" w:color="auto"/>
        <w:left w:val="none" w:sz="0" w:space="0" w:color="auto"/>
        <w:bottom w:val="none" w:sz="0" w:space="0" w:color="auto"/>
        <w:right w:val="none" w:sz="0" w:space="0" w:color="auto"/>
      </w:divBdr>
    </w:div>
    <w:div w:id="1494564476">
      <w:bodyDiv w:val="1"/>
      <w:marLeft w:val="0"/>
      <w:marRight w:val="0"/>
      <w:marTop w:val="0"/>
      <w:marBottom w:val="0"/>
      <w:divBdr>
        <w:top w:val="none" w:sz="0" w:space="0" w:color="auto"/>
        <w:left w:val="none" w:sz="0" w:space="0" w:color="auto"/>
        <w:bottom w:val="none" w:sz="0" w:space="0" w:color="auto"/>
        <w:right w:val="none" w:sz="0" w:space="0" w:color="auto"/>
      </w:divBdr>
    </w:div>
    <w:div w:id="1495603862">
      <w:bodyDiv w:val="1"/>
      <w:marLeft w:val="0"/>
      <w:marRight w:val="0"/>
      <w:marTop w:val="0"/>
      <w:marBottom w:val="0"/>
      <w:divBdr>
        <w:top w:val="none" w:sz="0" w:space="0" w:color="auto"/>
        <w:left w:val="none" w:sz="0" w:space="0" w:color="auto"/>
        <w:bottom w:val="none" w:sz="0" w:space="0" w:color="auto"/>
        <w:right w:val="none" w:sz="0" w:space="0" w:color="auto"/>
      </w:divBdr>
    </w:div>
    <w:div w:id="1495994314">
      <w:bodyDiv w:val="1"/>
      <w:marLeft w:val="0"/>
      <w:marRight w:val="0"/>
      <w:marTop w:val="0"/>
      <w:marBottom w:val="0"/>
      <w:divBdr>
        <w:top w:val="none" w:sz="0" w:space="0" w:color="auto"/>
        <w:left w:val="none" w:sz="0" w:space="0" w:color="auto"/>
        <w:bottom w:val="none" w:sz="0" w:space="0" w:color="auto"/>
        <w:right w:val="none" w:sz="0" w:space="0" w:color="auto"/>
      </w:divBdr>
    </w:div>
    <w:div w:id="1496457705">
      <w:bodyDiv w:val="1"/>
      <w:marLeft w:val="0"/>
      <w:marRight w:val="0"/>
      <w:marTop w:val="0"/>
      <w:marBottom w:val="0"/>
      <w:divBdr>
        <w:top w:val="none" w:sz="0" w:space="0" w:color="auto"/>
        <w:left w:val="none" w:sz="0" w:space="0" w:color="auto"/>
        <w:bottom w:val="none" w:sz="0" w:space="0" w:color="auto"/>
        <w:right w:val="none" w:sz="0" w:space="0" w:color="auto"/>
      </w:divBdr>
    </w:div>
    <w:div w:id="1496721994">
      <w:bodyDiv w:val="1"/>
      <w:marLeft w:val="0"/>
      <w:marRight w:val="0"/>
      <w:marTop w:val="0"/>
      <w:marBottom w:val="0"/>
      <w:divBdr>
        <w:top w:val="none" w:sz="0" w:space="0" w:color="auto"/>
        <w:left w:val="none" w:sz="0" w:space="0" w:color="auto"/>
        <w:bottom w:val="none" w:sz="0" w:space="0" w:color="auto"/>
        <w:right w:val="none" w:sz="0" w:space="0" w:color="auto"/>
      </w:divBdr>
    </w:div>
    <w:div w:id="1496991873">
      <w:bodyDiv w:val="1"/>
      <w:marLeft w:val="0"/>
      <w:marRight w:val="0"/>
      <w:marTop w:val="0"/>
      <w:marBottom w:val="0"/>
      <w:divBdr>
        <w:top w:val="none" w:sz="0" w:space="0" w:color="auto"/>
        <w:left w:val="none" w:sz="0" w:space="0" w:color="auto"/>
        <w:bottom w:val="none" w:sz="0" w:space="0" w:color="auto"/>
        <w:right w:val="none" w:sz="0" w:space="0" w:color="auto"/>
      </w:divBdr>
    </w:div>
    <w:div w:id="1496991939">
      <w:bodyDiv w:val="1"/>
      <w:marLeft w:val="0"/>
      <w:marRight w:val="0"/>
      <w:marTop w:val="0"/>
      <w:marBottom w:val="0"/>
      <w:divBdr>
        <w:top w:val="none" w:sz="0" w:space="0" w:color="auto"/>
        <w:left w:val="none" w:sz="0" w:space="0" w:color="auto"/>
        <w:bottom w:val="none" w:sz="0" w:space="0" w:color="auto"/>
        <w:right w:val="none" w:sz="0" w:space="0" w:color="auto"/>
      </w:divBdr>
    </w:div>
    <w:div w:id="1499272003">
      <w:bodyDiv w:val="1"/>
      <w:marLeft w:val="0"/>
      <w:marRight w:val="0"/>
      <w:marTop w:val="0"/>
      <w:marBottom w:val="0"/>
      <w:divBdr>
        <w:top w:val="none" w:sz="0" w:space="0" w:color="auto"/>
        <w:left w:val="none" w:sz="0" w:space="0" w:color="auto"/>
        <w:bottom w:val="none" w:sz="0" w:space="0" w:color="auto"/>
        <w:right w:val="none" w:sz="0" w:space="0" w:color="auto"/>
      </w:divBdr>
    </w:div>
    <w:div w:id="1499540878">
      <w:bodyDiv w:val="1"/>
      <w:marLeft w:val="0"/>
      <w:marRight w:val="0"/>
      <w:marTop w:val="0"/>
      <w:marBottom w:val="0"/>
      <w:divBdr>
        <w:top w:val="none" w:sz="0" w:space="0" w:color="auto"/>
        <w:left w:val="none" w:sz="0" w:space="0" w:color="auto"/>
        <w:bottom w:val="none" w:sz="0" w:space="0" w:color="auto"/>
        <w:right w:val="none" w:sz="0" w:space="0" w:color="auto"/>
      </w:divBdr>
    </w:div>
    <w:div w:id="1500736655">
      <w:bodyDiv w:val="1"/>
      <w:marLeft w:val="0"/>
      <w:marRight w:val="0"/>
      <w:marTop w:val="0"/>
      <w:marBottom w:val="0"/>
      <w:divBdr>
        <w:top w:val="none" w:sz="0" w:space="0" w:color="auto"/>
        <w:left w:val="none" w:sz="0" w:space="0" w:color="auto"/>
        <w:bottom w:val="none" w:sz="0" w:space="0" w:color="auto"/>
        <w:right w:val="none" w:sz="0" w:space="0" w:color="auto"/>
      </w:divBdr>
    </w:div>
    <w:div w:id="1500929480">
      <w:bodyDiv w:val="1"/>
      <w:marLeft w:val="0"/>
      <w:marRight w:val="0"/>
      <w:marTop w:val="0"/>
      <w:marBottom w:val="0"/>
      <w:divBdr>
        <w:top w:val="none" w:sz="0" w:space="0" w:color="auto"/>
        <w:left w:val="none" w:sz="0" w:space="0" w:color="auto"/>
        <w:bottom w:val="none" w:sz="0" w:space="0" w:color="auto"/>
        <w:right w:val="none" w:sz="0" w:space="0" w:color="auto"/>
      </w:divBdr>
    </w:div>
    <w:div w:id="1501190626">
      <w:bodyDiv w:val="1"/>
      <w:marLeft w:val="0"/>
      <w:marRight w:val="0"/>
      <w:marTop w:val="0"/>
      <w:marBottom w:val="0"/>
      <w:divBdr>
        <w:top w:val="none" w:sz="0" w:space="0" w:color="auto"/>
        <w:left w:val="none" w:sz="0" w:space="0" w:color="auto"/>
        <w:bottom w:val="none" w:sz="0" w:space="0" w:color="auto"/>
        <w:right w:val="none" w:sz="0" w:space="0" w:color="auto"/>
      </w:divBdr>
    </w:div>
    <w:div w:id="1503355975">
      <w:bodyDiv w:val="1"/>
      <w:marLeft w:val="0"/>
      <w:marRight w:val="0"/>
      <w:marTop w:val="0"/>
      <w:marBottom w:val="0"/>
      <w:divBdr>
        <w:top w:val="none" w:sz="0" w:space="0" w:color="auto"/>
        <w:left w:val="none" w:sz="0" w:space="0" w:color="auto"/>
        <w:bottom w:val="none" w:sz="0" w:space="0" w:color="auto"/>
        <w:right w:val="none" w:sz="0" w:space="0" w:color="auto"/>
      </w:divBdr>
    </w:div>
    <w:div w:id="1504319588">
      <w:bodyDiv w:val="1"/>
      <w:marLeft w:val="0"/>
      <w:marRight w:val="0"/>
      <w:marTop w:val="0"/>
      <w:marBottom w:val="0"/>
      <w:divBdr>
        <w:top w:val="none" w:sz="0" w:space="0" w:color="auto"/>
        <w:left w:val="none" w:sz="0" w:space="0" w:color="auto"/>
        <w:bottom w:val="none" w:sz="0" w:space="0" w:color="auto"/>
        <w:right w:val="none" w:sz="0" w:space="0" w:color="auto"/>
      </w:divBdr>
    </w:div>
    <w:div w:id="1505851282">
      <w:bodyDiv w:val="1"/>
      <w:marLeft w:val="0"/>
      <w:marRight w:val="0"/>
      <w:marTop w:val="0"/>
      <w:marBottom w:val="0"/>
      <w:divBdr>
        <w:top w:val="none" w:sz="0" w:space="0" w:color="auto"/>
        <w:left w:val="none" w:sz="0" w:space="0" w:color="auto"/>
        <w:bottom w:val="none" w:sz="0" w:space="0" w:color="auto"/>
        <w:right w:val="none" w:sz="0" w:space="0" w:color="auto"/>
      </w:divBdr>
    </w:div>
    <w:div w:id="1506239313">
      <w:bodyDiv w:val="1"/>
      <w:marLeft w:val="0"/>
      <w:marRight w:val="0"/>
      <w:marTop w:val="0"/>
      <w:marBottom w:val="0"/>
      <w:divBdr>
        <w:top w:val="none" w:sz="0" w:space="0" w:color="auto"/>
        <w:left w:val="none" w:sz="0" w:space="0" w:color="auto"/>
        <w:bottom w:val="none" w:sz="0" w:space="0" w:color="auto"/>
        <w:right w:val="none" w:sz="0" w:space="0" w:color="auto"/>
      </w:divBdr>
    </w:div>
    <w:div w:id="1506433373">
      <w:bodyDiv w:val="1"/>
      <w:marLeft w:val="0"/>
      <w:marRight w:val="0"/>
      <w:marTop w:val="0"/>
      <w:marBottom w:val="0"/>
      <w:divBdr>
        <w:top w:val="none" w:sz="0" w:space="0" w:color="auto"/>
        <w:left w:val="none" w:sz="0" w:space="0" w:color="auto"/>
        <w:bottom w:val="none" w:sz="0" w:space="0" w:color="auto"/>
        <w:right w:val="none" w:sz="0" w:space="0" w:color="auto"/>
      </w:divBdr>
    </w:div>
    <w:div w:id="1507358879">
      <w:bodyDiv w:val="1"/>
      <w:marLeft w:val="0"/>
      <w:marRight w:val="0"/>
      <w:marTop w:val="0"/>
      <w:marBottom w:val="0"/>
      <w:divBdr>
        <w:top w:val="none" w:sz="0" w:space="0" w:color="auto"/>
        <w:left w:val="none" w:sz="0" w:space="0" w:color="auto"/>
        <w:bottom w:val="none" w:sz="0" w:space="0" w:color="auto"/>
        <w:right w:val="none" w:sz="0" w:space="0" w:color="auto"/>
      </w:divBdr>
    </w:div>
    <w:div w:id="1507598068">
      <w:bodyDiv w:val="1"/>
      <w:marLeft w:val="0"/>
      <w:marRight w:val="0"/>
      <w:marTop w:val="0"/>
      <w:marBottom w:val="0"/>
      <w:divBdr>
        <w:top w:val="none" w:sz="0" w:space="0" w:color="auto"/>
        <w:left w:val="none" w:sz="0" w:space="0" w:color="auto"/>
        <w:bottom w:val="none" w:sz="0" w:space="0" w:color="auto"/>
        <w:right w:val="none" w:sz="0" w:space="0" w:color="auto"/>
      </w:divBdr>
    </w:div>
    <w:div w:id="1508324965">
      <w:bodyDiv w:val="1"/>
      <w:marLeft w:val="0"/>
      <w:marRight w:val="0"/>
      <w:marTop w:val="0"/>
      <w:marBottom w:val="0"/>
      <w:divBdr>
        <w:top w:val="none" w:sz="0" w:space="0" w:color="auto"/>
        <w:left w:val="none" w:sz="0" w:space="0" w:color="auto"/>
        <w:bottom w:val="none" w:sz="0" w:space="0" w:color="auto"/>
        <w:right w:val="none" w:sz="0" w:space="0" w:color="auto"/>
      </w:divBdr>
    </w:div>
    <w:div w:id="1508523694">
      <w:bodyDiv w:val="1"/>
      <w:marLeft w:val="0"/>
      <w:marRight w:val="0"/>
      <w:marTop w:val="0"/>
      <w:marBottom w:val="0"/>
      <w:divBdr>
        <w:top w:val="none" w:sz="0" w:space="0" w:color="auto"/>
        <w:left w:val="none" w:sz="0" w:space="0" w:color="auto"/>
        <w:bottom w:val="none" w:sz="0" w:space="0" w:color="auto"/>
        <w:right w:val="none" w:sz="0" w:space="0" w:color="auto"/>
      </w:divBdr>
    </w:div>
    <w:div w:id="1509295855">
      <w:bodyDiv w:val="1"/>
      <w:marLeft w:val="0"/>
      <w:marRight w:val="0"/>
      <w:marTop w:val="0"/>
      <w:marBottom w:val="0"/>
      <w:divBdr>
        <w:top w:val="none" w:sz="0" w:space="0" w:color="auto"/>
        <w:left w:val="none" w:sz="0" w:space="0" w:color="auto"/>
        <w:bottom w:val="none" w:sz="0" w:space="0" w:color="auto"/>
        <w:right w:val="none" w:sz="0" w:space="0" w:color="auto"/>
      </w:divBdr>
    </w:div>
    <w:div w:id="1511604981">
      <w:bodyDiv w:val="1"/>
      <w:marLeft w:val="0"/>
      <w:marRight w:val="0"/>
      <w:marTop w:val="0"/>
      <w:marBottom w:val="0"/>
      <w:divBdr>
        <w:top w:val="none" w:sz="0" w:space="0" w:color="auto"/>
        <w:left w:val="none" w:sz="0" w:space="0" w:color="auto"/>
        <w:bottom w:val="none" w:sz="0" w:space="0" w:color="auto"/>
        <w:right w:val="none" w:sz="0" w:space="0" w:color="auto"/>
      </w:divBdr>
    </w:div>
    <w:div w:id="1511607592">
      <w:bodyDiv w:val="1"/>
      <w:marLeft w:val="0"/>
      <w:marRight w:val="0"/>
      <w:marTop w:val="0"/>
      <w:marBottom w:val="0"/>
      <w:divBdr>
        <w:top w:val="none" w:sz="0" w:space="0" w:color="auto"/>
        <w:left w:val="none" w:sz="0" w:space="0" w:color="auto"/>
        <w:bottom w:val="none" w:sz="0" w:space="0" w:color="auto"/>
        <w:right w:val="none" w:sz="0" w:space="0" w:color="auto"/>
      </w:divBdr>
    </w:div>
    <w:div w:id="1513571210">
      <w:bodyDiv w:val="1"/>
      <w:marLeft w:val="0"/>
      <w:marRight w:val="0"/>
      <w:marTop w:val="0"/>
      <w:marBottom w:val="0"/>
      <w:divBdr>
        <w:top w:val="none" w:sz="0" w:space="0" w:color="auto"/>
        <w:left w:val="none" w:sz="0" w:space="0" w:color="auto"/>
        <w:bottom w:val="none" w:sz="0" w:space="0" w:color="auto"/>
        <w:right w:val="none" w:sz="0" w:space="0" w:color="auto"/>
      </w:divBdr>
    </w:div>
    <w:div w:id="1514758592">
      <w:bodyDiv w:val="1"/>
      <w:marLeft w:val="0"/>
      <w:marRight w:val="0"/>
      <w:marTop w:val="0"/>
      <w:marBottom w:val="0"/>
      <w:divBdr>
        <w:top w:val="none" w:sz="0" w:space="0" w:color="auto"/>
        <w:left w:val="none" w:sz="0" w:space="0" w:color="auto"/>
        <w:bottom w:val="none" w:sz="0" w:space="0" w:color="auto"/>
        <w:right w:val="none" w:sz="0" w:space="0" w:color="auto"/>
      </w:divBdr>
    </w:div>
    <w:div w:id="1515604877">
      <w:bodyDiv w:val="1"/>
      <w:marLeft w:val="0"/>
      <w:marRight w:val="0"/>
      <w:marTop w:val="0"/>
      <w:marBottom w:val="0"/>
      <w:divBdr>
        <w:top w:val="none" w:sz="0" w:space="0" w:color="auto"/>
        <w:left w:val="none" w:sz="0" w:space="0" w:color="auto"/>
        <w:bottom w:val="none" w:sz="0" w:space="0" w:color="auto"/>
        <w:right w:val="none" w:sz="0" w:space="0" w:color="auto"/>
      </w:divBdr>
    </w:div>
    <w:div w:id="1516648000">
      <w:bodyDiv w:val="1"/>
      <w:marLeft w:val="0"/>
      <w:marRight w:val="0"/>
      <w:marTop w:val="0"/>
      <w:marBottom w:val="0"/>
      <w:divBdr>
        <w:top w:val="none" w:sz="0" w:space="0" w:color="auto"/>
        <w:left w:val="none" w:sz="0" w:space="0" w:color="auto"/>
        <w:bottom w:val="none" w:sz="0" w:space="0" w:color="auto"/>
        <w:right w:val="none" w:sz="0" w:space="0" w:color="auto"/>
      </w:divBdr>
    </w:div>
    <w:div w:id="1517815874">
      <w:bodyDiv w:val="1"/>
      <w:marLeft w:val="0"/>
      <w:marRight w:val="0"/>
      <w:marTop w:val="0"/>
      <w:marBottom w:val="0"/>
      <w:divBdr>
        <w:top w:val="none" w:sz="0" w:space="0" w:color="auto"/>
        <w:left w:val="none" w:sz="0" w:space="0" w:color="auto"/>
        <w:bottom w:val="none" w:sz="0" w:space="0" w:color="auto"/>
        <w:right w:val="none" w:sz="0" w:space="0" w:color="auto"/>
      </w:divBdr>
    </w:div>
    <w:div w:id="1518498872">
      <w:bodyDiv w:val="1"/>
      <w:marLeft w:val="0"/>
      <w:marRight w:val="0"/>
      <w:marTop w:val="0"/>
      <w:marBottom w:val="0"/>
      <w:divBdr>
        <w:top w:val="none" w:sz="0" w:space="0" w:color="auto"/>
        <w:left w:val="none" w:sz="0" w:space="0" w:color="auto"/>
        <w:bottom w:val="none" w:sz="0" w:space="0" w:color="auto"/>
        <w:right w:val="none" w:sz="0" w:space="0" w:color="auto"/>
      </w:divBdr>
    </w:div>
    <w:div w:id="1518612864">
      <w:bodyDiv w:val="1"/>
      <w:marLeft w:val="0"/>
      <w:marRight w:val="0"/>
      <w:marTop w:val="0"/>
      <w:marBottom w:val="0"/>
      <w:divBdr>
        <w:top w:val="none" w:sz="0" w:space="0" w:color="auto"/>
        <w:left w:val="none" w:sz="0" w:space="0" w:color="auto"/>
        <w:bottom w:val="none" w:sz="0" w:space="0" w:color="auto"/>
        <w:right w:val="none" w:sz="0" w:space="0" w:color="auto"/>
      </w:divBdr>
    </w:div>
    <w:div w:id="1519583591">
      <w:bodyDiv w:val="1"/>
      <w:marLeft w:val="0"/>
      <w:marRight w:val="0"/>
      <w:marTop w:val="0"/>
      <w:marBottom w:val="0"/>
      <w:divBdr>
        <w:top w:val="none" w:sz="0" w:space="0" w:color="auto"/>
        <w:left w:val="none" w:sz="0" w:space="0" w:color="auto"/>
        <w:bottom w:val="none" w:sz="0" w:space="0" w:color="auto"/>
        <w:right w:val="none" w:sz="0" w:space="0" w:color="auto"/>
      </w:divBdr>
    </w:div>
    <w:div w:id="1521777881">
      <w:bodyDiv w:val="1"/>
      <w:marLeft w:val="0"/>
      <w:marRight w:val="0"/>
      <w:marTop w:val="0"/>
      <w:marBottom w:val="0"/>
      <w:divBdr>
        <w:top w:val="none" w:sz="0" w:space="0" w:color="auto"/>
        <w:left w:val="none" w:sz="0" w:space="0" w:color="auto"/>
        <w:bottom w:val="none" w:sz="0" w:space="0" w:color="auto"/>
        <w:right w:val="none" w:sz="0" w:space="0" w:color="auto"/>
      </w:divBdr>
    </w:div>
    <w:div w:id="1523124168">
      <w:bodyDiv w:val="1"/>
      <w:marLeft w:val="0"/>
      <w:marRight w:val="0"/>
      <w:marTop w:val="0"/>
      <w:marBottom w:val="0"/>
      <w:divBdr>
        <w:top w:val="none" w:sz="0" w:space="0" w:color="auto"/>
        <w:left w:val="none" w:sz="0" w:space="0" w:color="auto"/>
        <w:bottom w:val="none" w:sz="0" w:space="0" w:color="auto"/>
        <w:right w:val="none" w:sz="0" w:space="0" w:color="auto"/>
      </w:divBdr>
    </w:div>
    <w:div w:id="1523283932">
      <w:bodyDiv w:val="1"/>
      <w:marLeft w:val="0"/>
      <w:marRight w:val="0"/>
      <w:marTop w:val="0"/>
      <w:marBottom w:val="0"/>
      <w:divBdr>
        <w:top w:val="none" w:sz="0" w:space="0" w:color="auto"/>
        <w:left w:val="none" w:sz="0" w:space="0" w:color="auto"/>
        <w:bottom w:val="none" w:sz="0" w:space="0" w:color="auto"/>
        <w:right w:val="none" w:sz="0" w:space="0" w:color="auto"/>
      </w:divBdr>
    </w:div>
    <w:div w:id="1525174571">
      <w:bodyDiv w:val="1"/>
      <w:marLeft w:val="0"/>
      <w:marRight w:val="0"/>
      <w:marTop w:val="0"/>
      <w:marBottom w:val="0"/>
      <w:divBdr>
        <w:top w:val="none" w:sz="0" w:space="0" w:color="auto"/>
        <w:left w:val="none" w:sz="0" w:space="0" w:color="auto"/>
        <w:bottom w:val="none" w:sz="0" w:space="0" w:color="auto"/>
        <w:right w:val="none" w:sz="0" w:space="0" w:color="auto"/>
      </w:divBdr>
    </w:div>
    <w:div w:id="1525826275">
      <w:bodyDiv w:val="1"/>
      <w:marLeft w:val="0"/>
      <w:marRight w:val="0"/>
      <w:marTop w:val="0"/>
      <w:marBottom w:val="0"/>
      <w:divBdr>
        <w:top w:val="none" w:sz="0" w:space="0" w:color="auto"/>
        <w:left w:val="none" w:sz="0" w:space="0" w:color="auto"/>
        <w:bottom w:val="none" w:sz="0" w:space="0" w:color="auto"/>
        <w:right w:val="none" w:sz="0" w:space="0" w:color="auto"/>
      </w:divBdr>
    </w:div>
    <w:div w:id="1526362775">
      <w:bodyDiv w:val="1"/>
      <w:marLeft w:val="0"/>
      <w:marRight w:val="0"/>
      <w:marTop w:val="0"/>
      <w:marBottom w:val="0"/>
      <w:divBdr>
        <w:top w:val="none" w:sz="0" w:space="0" w:color="auto"/>
        <w:left w:val="none" w:sz="0" w:space="0" w:color="auto"/>
        <w:bottom w:val="none" w:sz="0" w:space="0" w:color="auto"/>
        <w:right w:val="none" w:sz="0" w:space="0" w:color="auto"/>
      </w:divBdr>
    </w:div>
    <w:div w:id="1526551885">
      <w:bodyDiv w:val="1"/>
      <w:marLeft w:val="0"/>
      <w:marRight w:val="0"/>
      <w:marTop w:val="0"/>
      <w:marBottom w:val="0"/>
      <w:divBdr>
        <w:top w:val="none" w:sz="0" w:space="0" w:color="auto"/>
        <w:left w:val="none" w:sz="0" w:space="0" w:color="auto"/>
        <w:bottom w:val="none" w:sz="0" w:space="0" w:color="auto"/>
        <w:right w:val="none" w:sz="0" w:space="0" w:color="auto"/>
      </w:divBdr>
    </w:div>
    <w:div w:id="1527056502">
      <w:bodyDiv w:val="1"/>
      <w:marLeft w:val="0"/>
      <w:marRight w:val="0"/>
      <w:marTop w:val="0"/>
      <w:marBottom w:val="0"/>
      <w:divBdr>
        <w:top w:val="none" w:sz="0" w:space="0" w:color="auto"/>
        <w:left w:val="none" w:sz="0" w:space="0" w:color="auto"/>
        <w:bottom w:val="none" w:sz="0" w:space="0" w:color="auto"/>
        <w:right w:val="none" w:sz="0" w:space="0" w:color="auto"/>
      </w:divBdr>
    </w:div>
    <w:div w:id="1527986281">
      <w:bodyDiv w:val="1"/>
      <w:marLeft w:val="0"/>
      <w:marRight w:val="0"/>
      <w:marTop w:val="0"/>
      <w:marBottom w:val="0"/>
      <w:divBdr>
        <w:top w:val="none" w:sz="0" w:space="0" w:color="auto"/>
        <w:left w:val="none" w:sz="0" w:space="0" w:color="auto"/>
        <w:bottom w:val="none" w:sz="0" w:space="0" w:color="auto"/>
        <w:right w:val="none" w:sz="0" w:space="0" w:color="auto"/>
      </w:divBdr>
    </w:div>
    <w:div w:id="1528828666">
      <w:bodyDiv w:val="1"/>
      <w:marLeft w:val="0"/>
      <w:marRight w:val="0"/>
      <w:marTop w:val="0"/>
      <w:marBottom w:val="0"/>
      <w:divBdr>
        <w:top w:val="none" w:sz="0" w:space="0" w:color="auto"/>
        <w:left w:val="none" w:sz="0" w:space="0" w:color="auto"/>
        <w:bottom w:val="none" w:sz="0" w:space="0" w:color="auto"/>
        <w:right w:val="none" w:sz="0" w:space="0" w:color="auto"/>
      </w:divBdr>
    </w:div>
    <w:div w:id="1529640110">
      <w:bodyDiv w:val="1"/>
      <w:marLeft w:val="0"/>
      <w:marRight w:val="0"/>
      <w:marTop w:val="0"/>
      <w:marBottom w:val="0"/>
      <w:divBdr>
        <w:top w:val="none" w:sz="0" w:space="0" w:color="auto"/>
        <w:left w:val="none" w:sz="0" w:space="0" w:color="auto"/>
        <w:bottom w:val="none" w:sz="0" w:space="0" w:color="auto"/>
        <w:right w:val="none" w:sz="0" w:space="0" w:color="auto"/>
      </w:divBdr>
    </w:div>
    <w:div w:id="1530217230">
      <w:bodyDiv w:val="1"/>
      <w:marLeft w:val="0"/>
      <w:marRight w:val="0"/>
      <w:marTop w:val="0"/>
      <w:marBottom w:val="0"/>
      <w:divBdr>
        <w:top w:val="none" w:sz="0" w:space="0" w:color="auto"/>
        <w:left w:val="none" w:sz="0" w:space="0" w:color="auto"/>
        <w:bottom w:val="none" w:sz="0" w:space="0" w:color="auto"/>
        <w:right w:val="none" w:sz="0" w:space="0" w:color="auto"/>
      </w:divBdr>
    </w:div>
    <w:div w:id="1532645472">
      <w:bodyDiv w:val="1"/>
      <w:marLeft w:val="0"/>
      <w:marRight w:val="0"/>
      <w:marTop w:val="0"/>
      <w:marBottom w:val="0"/>
      <w:divBdr>
        <w:top w:val="none" w:sz="0" w:space="0" w:color="auto"/>
        <w:left w:val="none" w:sz="0" w:space="0" w:color="auto"/>
        <w:bottom w:val="none" w:sz="0" w:space="0" w:color="auto"/>
        <w:right w:val="none" w:sz="0" w:space="0" w:color="auto"/>
      </w:divBdr>
    </w:div>
    <w:div w:id="1533566743">
      <w:bodyDiv w:val="1"/>
      <w:marLeft w:val="0"/>
      <w:marRight w:val="0"/>
      <w:marTop w:val="0"/>
      <w:marBottom w:val="0"/>
      <w:divBdr>
        <w:top w:val="none" w:sz="0" w:space="0" w:color="auto"/>
        <w:left w:val="none" w:sz="0" w:space="0" w:color="auto"/>
        <w:bottom w:val="none" w:sz="0" w:space="0" w:color="auto"/>
        <w:right w:val="none" w:sz="0" w:space="0" w:color="auto"/>
      </w:divBdr>
    </w:div>
    <w:div w:id="1534221096">
      <w:bodyDiv w:val="1"/>
      <w:marLeft w:val="0"/>
      <w:marRight w:val="0"/>
      <w:marTop w:val="0"/>
      <w:marBottom w:val="0"/>
      <w:divBdr>
        <w:top w:val="none" w:sz="0" w:space="0" w:color="auto"/>
        <w:left w:val="none" w:sz="0" w:space="0" w:color="auto"/>
        <w:bottom w:val="none" w:sz="0" w:space="0" w:color="auto"/>
        <w:right w:val="none" w:sz="0" w:space="0" w:color="auto"/>
      </w:divBdr>
    </w:div>
    <w:div w:id="1534803920">
      <w:bodyDiv w:val="1"/>
      <w:marLeft w:val="0"/>
      <w:marRight w:val="0"/>
      <w:marTop w:val="0"/>
      <w:marBottom w:val="0"/>
      <w:divBdr>
        <w:top w:val="none" w:sz="0" w:space="0" w:color="auto"/>
        <w:left w:val="none" w:sz="0" w:space="0" w:color="auto"/>
        <w:bottom w:val="none" w:sz="0" w:space="0" w:color="auto"/>
        <w:right w:val="none" w:sz="0" w:space="0" w:color="auto"/>
      </w:divBdr>
    </w:div>
    <w:div w:id="1535464403">
      <w:bodyDiv w:val="1"/>
      <w:marLeft w:val="0"/>
      <w:marRight w:val="0"/>
      <w:marTop w:val="0"/>
      <w:marBottom w:val="0"/>
      <w:divBdr>
        <w:top w:val="none" w:sz="0" w:space="0" w:color="auto"/>
        <w:left w:val="none" w:sz="0" w:space="0" w:color="auto"/>
        <w:bottom w:val="none" w:sz="0" w:space="0" w:color="auto"/>
        <w:right w:val="none" w:sz="0" w:space="0" w:color="auto"/>
      </w:divBdr>
    </w:div>
    <w:div w:id="1536383260">
      <w:bodyDiv w:val="1"/>
      <w:marLeft w:val="0"/>
      <w:marRight w:val="0"/>
      <w:marTop w:val="0"/>
      <w:marBottom w:val="0"/>
      <w:divBdr>
        <w:top w:val="none" w:sz="0" w:space="0" w:color="auto"/>
        <w:left w:val="none" w:sz="0" w:space="0" w:color="auto"/>
        <w:bottom w:val="none" w:sz="0" w:space="0" w:color="auto"/>
        <w:right w:val="none" w:sz="0" w:space="0" w:color="auto"/>
      </w:divBdr>
    </w:div>
    <w:div w:id="1537698378">
      <w:bodyDiv w:val="1"/>
      <w:marLeft w:val="0"/>
      <w:marRight w:val="0"/>
      <w:marTop w:val="0"/>
      <w:marBottom w:val="0"/>
      <w:divBdr>
        <w:top w:val="none" w:sz="0" w:space="0" w:color="auto"/>
        <w:left w:val="none" w:sz="0" w:space="0" w:color="auto"/>
        <w:bottom w:val="none" w:sz="0" w:space="0" w:color="auto"/>
        <w:right w:val="none" w:sz="0" w:space="0" w:color="auto"/>
      </w:divBdr>
    </w:div>
    <w:div w:id="1537738747">
      <w:bodyDiv w:val="1"/>
      <w:marLeft w:val="0"/>
      <w:marRight w:val="0"/>
      <w:marTop w:val="0"/>
      <w:marBottom w:val="0"/>
      <w:divBdr>
        <w:top w:val="none" w:sz="0" w:space="0" w:color="auto"/>
        <w:left w:val="none" w:sz="0" w:space="0" w:color="auto"/>
        <w:bottom w:val="none" w:sz="0" w:space="0" w:color="auto"/>
        <w:right w:val="none" w:sz="0" w:space="0" w:color="auto"/>
      </w:divBdr>
    </w:div>
    <w:div w:id="1538276293">
      <w:bodyDiv w:val="1"/>
      <w:marLeft w:val="0"/>
      <w:marRight w:val="0"/>
      <w:marTop w:val="0"/>
      <w:marBottom w:val="0"/>
      <w:divBdr>
        <w:top w:val="none" w:sz="0" w:space="0" w:color="auto"/>
        <w:left w:val="none" w:sz="0" w:space="0" w:color="auto"/>
        <w:bottom w:val="none" w:sz="0" w:space="0" w:color="auto"/>
        <w:right w:val="none" w:sz="0" w:space="0" w:color="auto"/>
      </w:divBdr>
    </w:div>
    <w:div w:id="1539705514">
      <w:bodyDiv w:val="1"/>
      <w:marLeft w:val="0"/>
      <w:marRight w:val="0"/>
      <w:marTop w:val="0"/>
      <w:marBottom w:val="0"/>
      <w:divBdr>
        <w:top w:val="none" w:sz="0" w:space="0" w:color="auto"/>
        <w:left w:val="none" w:sz="0" w:space="0" w:color="auto"/>
        <w:bottom w:val="none" w:sz="0" w:space="0" w:color="auto"/>
        <w:right w:val="none" w:sz="0" w:space="0" w:color="auto"/>
      </w:divBdr>
    </w:div>
    <w:div w:id="1540319582">
      <w:bodyDiv w:val="1"/>
      <w:marLeft w:val="0"/>
      <w:marRight w:val="0"/>
      <w:marTop w:val="0"/>
      <w:marBottom w:val="0"/>
      <w:divBdr>
        <w:top w:val="none" w:sz="0" w:space="0" w:color="auto"/>
        <w:left w:val="none" w:sz="0" w:space="0" w:color="auto"/>
        <w:bottom w:val="none" w:sz="0" w:space="0" w:color="auto"/>
        <w:right w:val="none" w:sz="0" w:space="0" w:color="auto"/>
      </w:divBdr>
    </w:div>
    <w:div w:id="1540817982">
      <w:bodyDiv w:val="1"/>
      <w:marLeft w:val="0"/>
      <w:marRight w:val="0"/>
      <w:marTop w:val="0"/>
      <w:marBottom w:val="0"/>
      <w:divBdr>
        <w:top w:val="none" w:sz="0" w:space="0" w:color="auto"/>
        <w:left w:val="none" w:sz="0" w:space="0" w:color="auto"/>
        <w:bottom w:val="none" w:sz="0" w:space="0" w:color="auto"/>
        <w:right w:val="none" w:sz="0" w:space="0" w:color="auto"/>
      </w:divBdr>
    </w:div>
    <w:div w:id="1541014629">
      <w:bodyDiv w:val="1"/>
      <w:marLeft w:val="0"/>
      <w:marRight w:val="0"/>
      <w:marTop w:val="0"/>
      <w:marBottom w:val="0"/>
      <w:divBdr>
        <w:top w:val="none" w:sz="0" w:space="0" w:color="auto"/>
        <w:left w:val="none" w:sz="0" w:space="0" w:color="auto"/>
        <w:bottom w:val="none" w:sz="0" w:space="0" w:color="auto"/>
        <w:right w:val="none" w:sz="0" w:space="0" w:color="auto"/>
      </w:divBdr>
    </w:div>
    <w:div w:id="1541435478">
      <w:bodyDiv w:val="1"/>
      <w:marLeft w:val="0"/>
      <w:marRight w:val="0"/>
      <w:marTop w:val="0"/>
      <w:marBottom w:val="0"/>
      <w:divBdr>
        <w:top w:val="none" w:sz="0" w:space="0" w:color="auto"/>
        <w:left w:val="none" w:sz="0" w:space="0" w:color="auto"/>
        <w:bottom w:val="none" w:sz="0" w:space="0" w:color="auto"/>
        <w:right w:val="none" w:sz="0" w:space="0" w:color="auto"/>
      </w:divBdr>
    </w:div>
    <w:div w:id="1541551537">
      <w:bodyDiv w:val="1"/>
      <w:marLeft w:val="0"/>
      <w:marRight w:val="0"/>
      <w:marTop w:val="0"/>
      <w:marBottom w:val="0"/>
      <w:divBdr>
        <w:top w:val="none" w:sz="0" w:space="0" w:color="auto"/>
        <w:left w:val="none" w:sz="0" w:space="0" w:color="auto"/>
        <w:bottom w:val="none" w:sz="0" w:space="0" w:color="auto"/>
        <w:right w:val="none" w:sz="0" w:space="0" w:color="auto"/>
      </w:divBdr>
    </w:div>
    <w:div w:id="1541669777">
      <w:bodyDiv w:val="1"/>
      <w:marLeft w:val="0"/>
      <w:marRight w:val="0"/>
      <w:marTop w:val="0"/>
      <w:marBottom w:val="0"/>
      <w:divBdr>
        <w:top w:val="none" w:sz="0" w:space="0" w:color="auto"/>
        <w:left w:val="none" w:sz="0" w:space="0" w:color="auto"/>
        <w:bottom w:val="none" w:sz="0" w:space="0" w:color="auto"/>
        <w:right w:val="none" w:sz="0" w:space="0" w:color="auto"/>
      </w:divBdr>
    </w:div>
    <w:div w:id="1541934440">
      <w:bodyDiv w:val="1"/>
      <w:marLeft w:val="0"/>
      <w:marRight w:val="0"/>
      <w:marTop w:val="0"/>
      <w:marBottom w:val="0"/>
      <w:divBdr>
        <w:top w:val="none" w:sz="0" w:space="0" w:color="auto"/>
        <w:left w:val="none" w:sz="0" w:space="0" w:color="auto"/>
        <w:bottom w:val="none" w:sz="0" w:space="0" w:color="auto"/>
        <w:right w:val="none" w:sz="0" w:space="0" w:color="auto"/>
      </w:divBdr>
    </w:div>
    <w:div w:id="1542013091">
      <w:bodyDiv w:val="1"/>
      <w:marLeft w:val="0"/>
      <w:marRight w:val="0"/>
      <w:marTop w:val="0"/>
      <w:marBottom w:val="0"/>
      <w:divBdr>
        <w:top w:val="none" w:sz="0" w:space="0" w:color="auto"/>
        <w:left w:val="none" w:sz="0" w:space="0" w:color="auto"/>
        <w:bottom w:val="none" w:sz="0" w:space="0" w:color="auto"/>
        <w:right w:val="none" w:sz="0" w:space="0" w:color="auto"/>
      </w:divBdr>
    </w:div>
    <w:div w:id="1542590283">
      <w:bodyDiv w:val="1"/>
      <w:marLeft w:val="0"/>
      <w:marRight w:val="0"/>
      <w:marTop w:val="0"/>
      <w:marBottom w:val="0"/>
      <w:divBdr>
        <w:top w:val="none" w:sz="0" w:space="0" w:color="auto"/>
        <w:left w:val="none" w:sz="0" w:space="0" w:color="auto"/>
        <w:bottom w:val="none" w:sz="0" w:space="0" w:color="auto"/>
        <w:right w:val="none" w:sz="0" w:space="0" w:color="auto"/>
      </w:divBdr>
    </w:div>
    <w:div w:id="1543712489">
      <w:bodyDiv w:val="1"/>
      <w:marLeft w:val="0"/>
      <w:marRight w:val="0"/>
      <w:marTop w:val="0"/>
      <w:marBottom w:val="0"/>
      <w:divBdr>
        <w:top w:val="none" w:sz="0" w:space="0" w:color="auto"/>
        <w:left w:val="none" w:sz="0" w:space="0" w:color="auto"/>
        <w:bottom w:val="none" w:sz="0" w:space="0" w:color="auto"/>
        <w:right w:val="none" w:sz="0" w:space="0" w:color="auto"/>
      </w:divBdr>
    </w:div>
    <w:div w:id="1543784192">
      <w:bodyDiv w:val="1"/>
      <w:marLeft w:val="0"/>
      <w:marRight w:val="0"/>
      <w:marTop w:val="0"/>
      <w:marBottom w:val="0"/>
      <w:divBdr>
        <w:top w:val="none" w:sz="0" w:space="0" w:color="auto"/>
        <w:left w:val="none" w:sz="0" w:space="0" w:color="auto"/>
        <w:bottom w:val="none" w:sz="0" w:space="0" w:color="auto"/>
        <w:right w:val="none" w:sz="0" w:space="0" w:color="auto"/>
      </w:divBdr>
    </w:div>
    <w:div w:id="1544094164">
      <w:bodyDiv w:val="1"/>
      <w:marLeft w:val="0"/>
      <w:marRight w:val="0"/>
      <w:marTop w:val="0"/>
      <w:marBottom w:val="0"/>
      <w:divBdr>
        <w:top w:val="none" w:sz="0" w:space="0" w:color="auto"/>
        <w:left w:val="none" w:sz="0" w:space="0" w:color="auto"/>
        <w:bottom w:val="none" w:sz="0" w:space="0" w:color="auto"/>
        <w:right w:val="none" w:sz="0" w:space="0" w:color="auto"/>
      </w:divBdr>
    </w:div>
    <w:div w:id="1544749813">
      <w:bodyDiv w:val="1"/>
      <w:marLeft w:val="0"/>
      <w:marRight w:val="0"/>
      <w:marTop w:val="0"/>
      <w:marBottom w:val="0"/>
      <w:divBdr>
        <w:top w:val="none" w:sz="0" w:space="0" w:color="auto"/>
        <w:left w:val="none" w:sz="0" w:space="0" w:color="auto"/>
        <w:bottom w:val="none" w:sz="0" w:space="0" w:color="auto"/>
        <w:right w:val="none" w:sz="0" w:space="0" w:color="auto"/>
      </w:divBdr>
    </w:div>
    <w:div w:id="1545873141">
      <w:bodyDiv w:val="1"/>
      <w:marLeft w:val="0"/>
      <w:marRight w:val="0"/>
      <w:marTop w:val="0"/>
      <w:marBottom w:val="0"/>
      <w:divBdr>
        <w:top w:val="none" w:sz="0" w:space="0" w:color="auto"/>
        <w:left w:val="none" w:sz="0" w:space="0" w:color="auto"/>
        <w:bottom w:val="none" w:sz="0" w:space="0" w:color="auto"/>
        <w:right w:val="none" w:sz="0" w:space="0" w:color="auto"/>
      </w:divBdr>
    </w:div>
    <w:div w:id="1546091683">
      <w:bodyDiv w:val="1"/>
      <w:marLeft w:val="0"/>
      <w:marRight w:val="0"/>
      <w:marTop w:val="0"/>
      <w:marBottom w:val="0"/>
      <w:divBdr>
        <w:top w:val="none" w:sz="0" w:space="0" w:color="auto"/>
        <w:left w:val="none" w:sz="0" w:space="0" w:color="auto"/>
        <w:bottom w:val="none" w:sz="0" w:space="0" w:color="auto"/>
        <w:right w:val="none" w:sz="0" w:space="0" w:color="auto"/>
      </w:divBdr>
    </w:div>
    <w:div w:id="1546673986">
      <w:bodyDiv w:val="1"/>
      <w:marLeft w:val="0"/>
      <w:marRight w:val="0"/>
      <w:marTop w:val="0"/>
      <w:marBottom w:val="0"/>
      <w:divBdr>
        <w:top w:val="none" w:sz="0" w:space="0" w:color="auto"/>
        <w:left w:val="none" w:sz="0" w:space="0" w:color="auto"/>
        <w:bottom w:val="none" w:sz="0" w:space="0" w:color="auto"/>
        <w:right w:val="none" w:sz="0" w:space="0" w:color="auto"/>
      </w:divBdr>
    </w:div>
    <w:div w:id="1549369173">
      <w:bodyDiv w:val="1"/>
      <w:marLeft w:val="0"/>
      <w:marRight w:val="0"/>
      <w:marTop w:val="0"/>
      <w:marBottom w:val="0"/>
      <w:divBdr>
        <w:top w:val="none" w:sz="0" w:space="0" w:color="auto"/>
        <w:left w:val="none" w:sz="0" w:space="0" w:color="auto"/>
        <w:bottom w:val="none" w:sz="0" w:space="0" w:color="auto"/>
        <w:right w:val="none" w:sz="0" w:space="0" w:color="auto"/>
      </w:divBdr>
    </w:div>
    <w:div w:id="1551653868">
      <w:bodyDiv w:val="1"/>
      <w:marLeft w:val="0"/>
      <w:marRight w:val="0"/>
      <w:marTop w:val="0"/>
      <w:marBottom w:val="0"/>
      <w:divBdr>
        <w:top w:val="none" w:sz="0" w:space="0" w:color="auto"/>
        <w:left w:val="none" w:sz="0" w:space="0" w:color="auto"/>
        <w:bottom w:val="none" w:sz="0" w:space="0" w:color="auto"/>
        <w:right w:val="none" w:sz="0" w:space="0" w:color="auto"/>
      </w:divBdr>
    </w:div>
    <w:div w:id="1551771821">
      <w:bodyDiv w:val="1"/>
      <w:marLeft w:val="0"/>
      <w:marRight w:val="0"/>
      <w:marTop w:val="0"/>
      <w:marBottom w:val="0"/>
      <w:divBdr>
        <w:top w:val="none" w:sz="0" w:space="0" w:color="auto"/>
        <w:left w:val="none" w:sz="0" w:space="0" w:color="auto"/>
        <w:bottom w:val="none" w:sz="0" w:space="0" w:color="auto"/>
        <w:right w:val="none" w:sz="0" w:space="0" w:color="auto"/>
      </w:divBdr>
    </w:div>
    <w:div w:id="1553467960">
      <w:bodyDiv w:val="1"/>
      <w:marLeft w:val="0"/>
      <w:marRight w:val="0"/>
      <w:marTop w:val="0"/>
      <w:marBottom w:val="0"/>
      <w:divBdr>
        <w:top w:val="none" w:sz="0" w:space="0" w:color="auto"/>
        <w:left w:val="none" w:sz="0" w:space="0" w:color="auto"/>
        <w:bottom w:val="none" w:sz="0" w:space="0" w:color="auto"/>
        <w:right w:val="none" w:sz="0" w:space="0" w:color="auto"/>
      </w:divBdr>
    </w:div>
    <w:div w:id="1553536754">
      <w:bodyDiv w:val="1"/>
      <w:marLeft w:val="0"/>
      <w:marRight w:val="0"/>
      <w:marTop w:val="0"/>
      <w:marBottom w:val="0"/>
      <w:divBdr>
        <w:top w:val="none" w:sz="0" w:space="0" w:color="auto"/>
        <w:left w:val="none" w:sz="0" w:space="0" w:color="auto"/>
        <w:bottom w:val="none" w:sz="0" w:space="0" w:color="auto"/>
        <w:right w:val="none" w:sz="0" w:space="0" w:color="auto"/>
      </w:divBdr>
    </w:div>
    <w:div w:id="1554191078">
      <w:bodyDiv w:val="1"/>
      <w:marLeft w:val="0"/>
      <w:marRight w:val="0"/>
      <w:marTop w:val="0"/>
      <w:marBottom w:val="0"/>
      <w:divBdr>
        <w:top w:val="none" w:sz="0" w:space="0" w:color="auto"/>
        <w:left w:val="none" w:sz="0" w:space="0" w:color="auto"/>
        <w:bottom w:val="none" w:sz="0" w:space="0" w:color="auto"/>
        <w:right w:val="none" w:sz="0" w:space="0" w:color="auto"/>
      </w:divBdr>
    </w:div>
    <w:div w:id="1554383748">
      <w:bodyDiv w:val="1"/>
      <w:marLeft w:val="0"/>
      <w:marRight w:val="0"/>
      <w:marTop w:val="0"/>
      <w:marBottom w:val="0"/>
      <w:divBdr>
        <w:top w:val="none" w:sz="0" w:space="0" w:color="auto"/>
        <w:left w:val="none" w:sz="0" w:space="0" w:color="auto"/>
        <w:bottom w:val="none" w:sz="0" w:space="0" w:color="auto"/>
        <w:right w:val="none" w:sz="0" w:space="0" w:color="auto"/>
      </w:divBdr>
    </w:div>
    <w:div w:id="1554807720">
      <w:bodyDiv w:val="1"/>
      <w:marLeft w:val="0"/>
      <w:marRight w:val="0"/>
      <w:marTop w:val="0"/>
      <w:marBottom w:val="0"/>
      <w:divBdr>
        <w:top w:val="none" w:sz="0" w:space="0" w:color="auto"/>
        <w:left w:val="none" w:sz="0" w:space="0" w:color="auto"/>
        <w:bottom w:val="none" w:sz="0" w:space="0" w:color="auto"/>
        <w:right w:val="none" w:sz="0" w:space="0" w:color="auto"/>
      </w:divBdr>
    </w:div>
    <w:div w:id="1555039799">
      <w:bodyDiv w:val="1"/>
      <w:marLeft w:val="0"/>
      <w:marRight w:val="0"/>
      <w:marTop w:val="0"/>
      <w:marBottom w:val="0"/>
      <w:divBdr>
        <w:top w:val="none" w:sz="0" w:space="0" w:color="auto"/>
        <w:left w:val="none" w:sz="0" w:space="0" w:color="auto"/>
        <w:bottom w:val="none" w:sz="0" w:space="0" w:color="auto"/>
        <w:right w:val="none" w:sz="0" w:space="0" w:color="auto"/>
      </w:divBdr>
    </w:div>
    <w:div w:id="1556044716">
      <w:bodyDiv w:val="1"/>
      <w:marLeft w:val="0"/>
      <w:marRight w:val="0"/>
      <w:marTop w:val="0"/>
      <w:marBottom w:val="0"/>
      <w:divBdr>
        <w:top w:val="none" w:sz="0" w:space="0" w:color="auto"/>
        <w:left w:val="none" w:sz="0" w:space="0" w:color="auto"/>
        <w:bottom w:val="none" w:sz="0" w:space="0" w:color="auto"/>
        <w:right w:val="none" w:sz="0" w:space="0" w:color="auto"/>
      </w:divBdr>
    </w:div>
    <w:div w:id="1559515677">
      <w:bodyDiv w:val="1"/>
      <w:marLeft w:val="0"/>
      <w:marRight w:val="0"/>
      <w:marTop w:val="0"/>
      <w:marBottom w:val="0"/>
      <w:divBdr>
        <w:top w:val="none" w:sz="0" w:space="0" w:color="auto"/>
        <w:left w:val="none" w:sz="0" w:space="0" w:color="auto"/>
        <w:bottom w:val="none" w:sz="0" w:space="0" w:color="auto"/>
        <w:right w:val="none" w:sz="0" w:space="0" w:color="auto"/>
      </w:divBdr>
    </w:div>
    <w:div w:id="1561020847">
      <w:bodyDiv w:val="1"/>
      <w:marLeft w:val="0"/>
      <w:marRight w:val="0"/>
      <w:marTop w:val="0"/>
      <w:marBottom w:val="0"/>
      <w:divBdr>
        <w:top w:val="none" w:sz="0" w:space="0" w:color="auto"/>
        <w:left w:val="none" w:sz="0" w:space="0" w:color="auto"/>
        <w:bottom w:val="none" w:sz="0" w:space="0" w:color="auto"/>
        <w:right w:val="none" w:sz="0" w:space="0" w:color="auto"/>
      </w:divBdr>
    </w:div>
    <w:div w:id="1561165794">
      <w:bodyDiv w:val="1"/>
      <w:marLeft w:val="0"/>
      <w:marRight w:val="0"/>
      <w:marTop w:val="0"/>
      <w:marBottom w:val="0"/>
      <w:divBdr>
        <w:top w:val="none" w:sz="0" w:space="0" w:color="auto"/>
        <w:left w:val="none" w:sz="0" w:space="0" w:color="auto"/>
        <w:bottom w:val="none" w:sz="0" w:space="0" w:color="auto"/>
        <w:right w:val="none" w:sz="0" w:space="0" w:color="auto"/>
      </w:divBdr>
    </w:div>
    <w:div w:id="1563250401">
      <w:bodyDiv w:val="1"/>
      <w:marLeft w:val="0"/>
      <w:marRight w:val="0"/>
      <w:marTop w:val="0"/>
      <w:marBottom w:val="0"/>
      <w:divBdr>
        <w:top w:val="none" w:sz="0" w:space="0" w:color="auto"/>
        <w:left w:val="none" w:sz="0" w:space="0" w:color="auto"/>
        <w:bottom w:val="none" w:sz="0" w:space="0" w:color="auto"/>
        <w:right w:val="none" w:sz="0" w:space="0" w:color="auto"/>
      </w:divBdr>
    </w:div>
    <w:div w:id="1563366488">
      <w:bodyDiv w:val="1"/>
      <w:marLeft w:val="0"/>
      <w:marRight w:val="0"/>
      <w:marTop w:val="0"/>
      <w:marBottom w:val="0"/>
      <w:divBdr>
        <w:top w:val="none" w:sz="0" w:space="0" w:color="auto"/>
        <w:left w:val="none" w:sz="0" w:space="0" w:color="auto"/>
        <w:bottom w:val="none" w:sz="0" w:space="0" w:color="auto"/>
        <w:right w:val="none" w:sz="0" w:space="0" w:color="auto"/>
      </w:divBdr>
    </w:div>
    <w:div w:id="1563787213">
      <w:bodyDiv w:val="1"/>
      <w:marLeft w:val="0"/>
      <w:marRight w:val="0"/>
      <w:marTop w:val="0"/>
      <w:marBottom w:val="0"/>
      <w:divBdr>
        <w:top w:val="none" w:sz="0" w:space="0" w:color="auto"/>
        <w:left w:val="none" w:sz="0" w:space="0" w:color="auto"/>
        <w:bottom w:val="none" w:sz="0" w:space="0" w:color="auto"/>
        <w:right w:val="none" w:sz="0" w:space="0" w:color="auto"/>
      </w:divBdr>
    </w:div>
    <w:div w:id="1564218827">
      <w:bodyDiv w:val="1"/>
      <w:marLeft w:val="0"/>
      <w:marRight w:val="0"/>
      <w:marTop w:val="0"/>
      <w:marBottom w:val="0"/>
      <w:divBdr>
        <w:top w:val="none" w:sz="0" w:space="0" w:color="auto"/>
        <w:left w:val="none" w:sz="0" w:space="0" w:color="auto"/>
        <w:bottom w:val="none" w:sz="0" w:space="0" w:color="auto"/>
        <w:right w:val="none" w:sz="0" w:space="0" w:color="auto"/>
      </w:divBdr>
    </w:div>
    <w:div w:id="1566062886">
      <w:bodyDiv w:val="1"/>
      <w:marLeft w:val="0"/>
      <w:marRight w:val="0"/>
      <w:marTop w:val="0"/>
      <w:marBottom w:val="0"/>
      <w:divBdr>
        <w:top w:val="none" w:sz="0" w:space="0" w:color="auto"/>
        <w:left w:val="none" w:sz="0" w:space="0" w:color="auto"/>
        <w:bottom w:val="none" w:sz="0" w:space="0" w:color="auto"/>
        <w:right w:val="none" w:sz="0" w:space="0" w:color="auto"/>
      </w:divBdr>
    </w:div>
    <w:div w:id="1566181533">
      <w:bodyDiv w:val="1"/>
      <w:marLeft w:val="0"/>
      <w:marRight w:val="0"/>
      <w:marTop w:val="0"/>
      <w:marBottom w:val="0"/>
      <w:divBdr>
        <w:top w:val="none" w:sz="0" w:space="0" w:color="auto"/>
        <w:left w:val="none" w:sz="0" w:space="0" w:color="auto"/>
        <w:bottom w:val="none" w:sz="0" w:space="0" w:color="auto"/>
        <w:right w:val="none" w:sz="0" w:space="0" w:color="auto"/>
      </w:divBdr>
    </w:div>
    <w:div w:id="1566185033">
      <w:bodyDiv w:val="1"/>
      <w:marLeft w:val="0"/>
      <w:marRight w:val="0"/>
      <w:marTop w:val="0"/>
      <w:marBottom w:val="0"/>
      <w:divBdr>
        <w:top w:val="none" w:sz="0" w:space="0" w:color="auto"/>
        <w:left w:val="none" w:sz="0" w:space="0" w:color="auto"/>
        <w:bottom w:val="none" w:sz="0" w:space="0" w:color="auto"/>
        <w:right w:val="none" w:sz="0" w:space="0" w:color="auto"/>
      </w:divBdr>
    </w:div>
    <w:div w:id="1566914159">
      <w:bodyDiv w:val="1"/>
      <w:marLeft w:val="0"/>
      <w:marRight w:val="0"/>
      <w:marTop w:val="0"/>
      <w:marBottom w:val="0"/>
      <w:divBdr>
        <w:top w:val="none" w:sz="0" w:space="0" w:color="auto"/>
        <w:left w:val="none" w:sz="0" w:space="0" w:color="auto"/>
        <w:bottom w:val="none" w:sz="0" w:space="0" w:color="auto"/>
        <w:right w:val="none" w:sz="0" w:space="0" w:color="auto"/>
      </w:divBdr>
    </w:div>
    <w:div w:id="1567185053">
      <w:bodyDiv w:val="1"/>
      <w:marLeft w:val="0"/>
      <w:marRight w:val="0"/>
      <w:marTop w:val="0"/>
      <w:marBottom w:val="0"/>
      <w:divBdr>
        <w:top w:val="none" w:sz="0" w:space="0" w:color="auto"/>
        <w:left w:val="none" w:sz="0" w:space="0" w:color="auto"/>
        <w:bottom w:val="none" w:sz="0" w:space="0" w:color="auto"/>
        <w:right w:val="none" w:sz="0" w:space="0" w:color="auto"/>
      </w:divBdr>
    </w:div>
    <w:div w:id="1567951626">
      <w:bodyDiv w:val="1"/>
      <w:marLeft w:val="0"/>
      <w:marRight w:val="0"/>
      <w:marTop w:val="0"/>
      <w:marBottom w:val="0"/>
      <w:divBdr>
        <w:top w:val="none" w:sz="0" w:space="0" w:color="auto"/>
        <w:left w:val="none" w:sz="0" w:space="0" w:color="auto"/>
        <w:bottom w:val="none" w:sz="0" w:space="0" w:color="auto"/>
        <w:right w:val="none" w:sz="0" w:space="0" w:color="auto"/>
      </w:divBdr>
    </w:div>
    <w:div w:id="1568228779">
      <w:bodyDiv w:val="1"/>
      <w:marLeft w:val="0"/>
      <w:marRight w:val="0"/>
      <w:marTop w:val="0"/>
      <w:marBottom w:val="0"/>
      <w:divBdr>
        <w:top w:val="none" w:sz="0" w:space="0" w:color="auto"/>
        <w:left w:val="none" w:sz="0" w:space="0" w:color="auto"/>
        <w:bottom w:val="none" w:sz="0" w:space="0" w:color="auto"/>
        <w:right w:val="none" w:sz="0" w:space="0" w:color="auto"/>
      </w:divBdr>
    </w:div>
    <w:div w:id="1568493619">
      <w:bodyDiv w:val="1"/>
      <w:marLeft w:val="0"/>
      <w:marRight w:val="0"/>
      <w:marTop w:val="0"/>
      <w:marBottom w:val="0"/>
      <w:divBdr>
        <w:top w:val="none" w:sz="0" w:space="0" w:color="auto"/>
        <w:left w:val="none" w:sz="0" w:space="0" w:color="auto"/>
        <w:bottom w:val="none" w:sz="0" w:space="0" w:color="auto"/>
        <w:right w:val="none" w:sz="0" w:space="0" w:color="auto"/>
      </w:divBdr>
    </w:div>
    <w:div w:id="1568568400">
      <w:bodyDiv w:val="1"/>
      <w:marLeft w:val="0"/>
      <w:marRight w:val="0"/>
      <w:marTop w:val="0"/>
      <w:marBottom w:val="0"/>
      <w:divBdr>
        <w:top w:val="none" w:sz="0" w:space="0" w:color="auto"/>
        <w:left w:val="none" w:sz="0" w:space="0" w:color="auto"/>
        <w:bottom w:val="none" w:sz="0" w:space="0" w:color="auto"/>
        <w:right w:val="none" w:sz="0" w:space="0" w:color="auto"/>
      </w:divBdr>
    </w:div>
    <w:div w:id="1568684025">
      <w:bodyDiv w:val="1"/>
      <w:marLeft w:val="0"/>
      <w:marRight w:val="0"/>
      <w:marTop w:val="0"/>
      <w:marBottom w:val="0"/>
      <w:divBdr>
        <w:top w:val="none" w:sz="0" w:space="0" w:color="auto"/>
        <w:left w:val="none" w:sz="0" w:space="0" w:color="auto"/>
        <w:bottom w:val="none" w:sz="0" w:space="0" w:color="auto"/>
        <w:right w:val="none" w:sz="0" w:space="0" w:color="auto"/>
      </w:divBdr>
    </w:div>
    <w:div w:id="1569072371">
      <w:bodyDiv w:val="1"/>
      <w:marLeft w:val="0"/>
      <w:marRight w:val="0"/>
      <w:marTop w:val="0"/>
      <w:marBottom w:val="0"/>
      <w:divBdr>
        <w:top w:val="none" w:sz="0" w:space="0" w:color="auto"/>
        <w:left w:val="none" w:sz="0" w:space="0" w:color="auto"/>
        <w:bottom w:val="none" w:sz="0" w:space="0" w:color="auto"/>
        <w:right w:val="none" w:sz="0" w:space="0" w:color="auto"/>
      </w:divBdr>
    </w:div>
    <w:div w:id="1569337726">
      <w:bodyDiv w:val="1"/>
      <w:marLeft w:val="0"/>
      <w:marRight w:val="0"/>
      <w:marTop w:val="0"/>
      <w:marBottom w:val="0"/>
      <w:divBdr>
        <w:top w:val="none" w:sz="0" w:space="0" w:color="auto"/>
        <w:left w:val="none" w:sz="0" w:space="0" w:color="auto"/>
        <w:bottom w:val="none" w:sz="0" w:space="0" w:color="auto"/>
        <w:right w:val="none" w:sz="0" w:space="0" w:color="auto"/>
      </w:divBdr>
    </w:div>
    <w:div w:id="1569615175">
      <w:bodyDiv w:val="1"/>
      <w:marLeft w:val="0"/>
      <w:marRight w:val="0"/>
      <w:marTop w:val="0"/>
      <w:marBottom w:val="0"/>
      <w:divBdr>
        <w:top w:val="none" w:sz="0" w:space="0" w:color="auto"/>
        <w:left w:val="none" w:sz="0" w:space="0" w:color="auto"/>
        <w:bottom w:val="none" w:sz="0" w:space="0" w:color="auto"/>
        <w:right w:val="none" w:sz="0" w:space="0" w:color="auto"/>
      </w:divBdr>
    </w:div>
    <w:div w:id="1570573477">
      <w:bodyDiv w:val="1"/>
      <w:marLeft w:val="0"/>
      <w:marRight w:val="0"/>
      <w:marTop w:val="0"/>
      <w:marBottom w:val="0"/>
      <w:divBdr>
        <w:top w:val="none" w:sz="0" w:space="0" w:color="auto"/>
        <w:left w:val="none" w:sz="0" w:space="0" w:color="auto"/>
        <w:bottom w:val="none" w:sz="0" w:space="0" w:color="auto"/>
        <w:right w:val="none" w:sz="0" w:space="0" w:color="auto"/>
      </w:divBdr>
    </w:div>
    <w:div w:id="1572347410">
      <w:bodyDiv w:val="1"/>
      <w:marLeft w:val="0"/>
      <w:marRight w:val="0"/>
      <w:marTop w:val="0"/>
      <w:marBottom w:val="0"/>
      <w:divBdr>
        <w:top w:val="none" w:sz="0" w:space="0" w:color="auto"/>
        <w:left w:val="none" w:sz="0" w:space="0" w:color="auto"/>
        <w:bottom w:val="none" w:sz="0" w:space="0" w:color="auto"/>
        <w:right w:val="none" w:sz="0" w:space="0" w:color="auto"/>
      </w:divBdr>
    </w:div>
    <w:div w:id="1572424549">
      <w:bodyDiv w:val="1"/>
      <w:marLeft w:val="0"/>
      <w:marRight w:val="0"/>
      <w:marTop w:val="0"/>
      <w:marBottom w:val="0"/>
      <w:divBdr>
        <w:top w:val="none" w:sz="0" w:space="0" w:color="auto"/>
        <w:left w:val="none" w:sz="0" w:space="0" w:color="auto"/>
        <w:bottom w:val="none" w:sz="0" w:space="0" w:color="auto"/>
        <w:right w:val="none" w:sz="0" w:space="0" w:color="auto"/>
      </w:divBdr>
    </w:div>
    <w:div w:id="1573393637">
      <w:bodyDiv w:val="1"/>
      <w:marLeft w:val="0"/>
      <w:marRight w:val="0"/>
      <w:marTop w:val="0"/>
      <w:marBottom w:val="0"/>
      <w:divBdr>
        <w:top w:val="none" w:sz="0" w:space="0" w:color="auto"/>
        <w:left w:val="none" w:sz="0" w:space="0" w:color="auto"/>
        <w:bottom w:val="none" w:sz="0" w:space="0" w:color="auto"/>
        <w:right w:val="none" w:sz="0" w:space="0" w:color="auto"/>
      </w:divBdr>
    </w:div>
    <w:div w:id="1573468015">
      <w:bodyDiv w:val="1"/>
      <w:marLeft w:val="0"/>
      <w:marRight w:val="0"/>
      <w:marTop w:val="0"/>
      <w:marBottom w:val="0"/>
      <w:divBdr>
        <w:top w:val="none" w:sz="0" w:space="0" w:color="auto"/>
        <w:left w:val="none" w:sz="0" w:space="0" w:color="auto"/>
        <w:bottom w:val="none" w:sz="0" w:space="0" w:color="auto"/>
        <w:right w:val="none" w:sz="0" w:space="0" w:color="auto"/>
      </w:divBdr>
    </w:div>
    <w:div w:id="1573851886">
      <w:bodyDiv w:val="1"/>
      <w:marLeft w:val="0"/>
      <w:marRight w:val="0"/>
      <w:marTop w:val="0"/>
      <w:marBottom w:val="0"/>
      <w:divBdr>
        <w:top w:val="none" w:sz="0" w:space="0" w:color="auto"/>
        <w:left w:val="none" w:sz="0" w:space="0" w:color="auto"/>
        <w:bottom w:val="none" w:sz="0" w:space="0" w:color="auto"/>
        <w:right w:val="none" w:sz="0" w:space="0" w:color="auto"/>
      </w:divBdr>
    </w:div>
    <w:div w:id="1573926445">
      <w:bodyDiv w:val="1"/>
      <w:marLeft w:val="0"/>
      <w:marRight w:val="0"/>
      <w:marTop w:val="0"/>
      <w:marBottom w:val="0"/>
      <w:divBdr>
        <w:top w:val="none" w:sz="0" w:space="0" w:color="auto"/>
        <w:left w:val="none" w:sz="0" w:space="0" w:color="auto"/>
        <w:bottom w:val="none" w:sz="0" w:space="0" w:color="auto"/>
        <w:right w:val="none" w:sz="0" w:space="0" w:color="auto"/>
      </w:divBdr>
    </w:div>
    <w:div w:id="1574463910">
      <w:bodyDiv w:val="1"/>
      <w:marLeft w:val="0"/>
      <w:marRight w:val="0"/>
      <w:marTop w:val="0"/>
      <w:marBottom w:val="0"/>
      <w:divBdr>
        <w:top w:val="none" w:sz="0" w:space="0" w:color="auto"/>
        <w:left w:val="none" w:sz="0" w:space="0" w:color="auto"/>
        <w:bottom w:val="none" w:sz="0" w:space="0" w:color="auto"/>
        <w:right w:val="none" w:sz="0" w:space="0" w:color="auto"/>
      </w:divBdr>
    </w:div>
    <w:div w:id="1576545749">
      <w:bodyDiv w:val="1"/>
      <w:marLeft w:val="0"/>
      <w:marRight w:val="0"/>
      <w:marTop w:val="0"/>
      <w:marBottom w:val="0"/>
      <w:divBdr>
        <w:top w:val="none" w:sz="0" w:space="0" w:color="auto"/>
        <w:left w:val="none" w:sz="0" w:space="0" w:color="auto"/>
        <w:bottom w:val="none" w:sz="0" w:space="0" w:color="auto"/>
        <w:right w:val="none" w:sz="0" w:space="0" w:color="auto"/>
      </w:divBdr>
    </w:div>
    <w:div w:id="1577276306">
      <w:bodyDiv w:val="1"/>
      <w:marLeft w:val="0"/>
      <w:marRight w:val="0"/>
      <w:marTop w:val="0"/>
      <w:marBottom w:val="0"/>
      <w:divBdr>
        <w:top w:val="none" w:sz="0" w:space="0" w:color="auto"/>
        <w:left w:val="none" w:sz="0" w:space="0" w:color="auto"/>
        <w:bottom w:val="none" w:sz="0" w:space="0" w:color="auto"/>
        <w:right w:val="none" w:sz="0" w:space="0" w:color="auto"/>
      </w:divBdr>
    </w:div>
    <w:div w:id="1577666545">
      <w:bodyDiv w:val="1"/>
      <w:marLeft w:val="0"/>
      <w:marRight w:val="0"/>
      <w:marTop w:val="0"/>
      <w:marBottom w:val="0"/>
      <w:divBdr>
        <w:top w:val="none" w:sz="0" w:space="0" w:color="auto"/>
        <w:left w:val="none" w:sz="0" w:space="0" w:color="auto"/>
        <w:bottom w:val="none" w:sz="0" w:space="0" w:color="auto"/>
        <w:right w:val="none" w:sz="0" w:space="0" w:color="auto"/>
      </w:divBdr>
    </w:div>
    <w:div w:id="1578977399">
      <w:bodyDiv w:val="1"/>
      <w:marLeft w:val="0"/>
      <w:marRight w:val="0"/>
      <w:marTop w:val="0"/>
      <w:marBottom w:val="0"/>
      <w:divBdr>
        <w:top w:val="none" w:sz="0" w:space="0" w:color="auto"/>
        <w:left w:val="none" w:sz="0" w:space="0" w:color="auto"/>
        <w:bottom w:val="none" w:sz="0" w:space="0" w:color="auto"/>
        <w:right w:val="none" w:sz="0" w:space="0" w:color="auto"/>
      </w:divBdr>
    </w:div>
    <w:div w:id="1579750033">
      <w:bodyDiv w:val="1"/>
      <w:marLeft w:val="0"/>
      <w:marRight w:val="0"/>
      <w:marTop w:val="0"/>
      <w:marBottom w:val="0"/>
      <w:divBdr>
        <w:top w:val="none" w:sz="0" w:space="0" w:color="auto"/>
        <w:left w:val="none" w:sz="0" w:space="0" w:color="auto"/>
        <w:bottom w:val="none" w:sz="0" w:space="0" w:color="auto"/>
        <w:right w:val="none" w:sz="0" w:space="0" w:color="auto"/>
      </w:divBdr>
    </w:div>
    <w:div w:id="1581674991">
      <w:bodyDiv w:val="1"/>
      <w:marLeft w:val="0"/>
      <w:marRight w:val="0"/>
      <w:marTop w:val="0"/>
      <w:marBottom w:val="0"/>
      <w:divBdr>
        <w:top w:val="none" w:sz="0" w:space="0" w:color="auto"/>
        <w:left w:val="none" w:sz="0" w:space="0" w:color="auto"/>
        <w:bottom w:val="none" w:sz="0" w:space="0" w:color="auto"/>
        <w:right w:val="none" w:sz="0" w:space="0" w:color="auto"/>
      </w:divBdr>
    </w:div>
    <w:div w:id="1582909735">
      <w:bodyDiv w:val="1"/>
      <w:marLeft w:val="0"/>
      <w:marRight w:val="0"/>
      <w:marTop w:val="0"/>
      <w:marBottom w:val="0"/>
      <w:divBdr>
        <w:top w:val="none" w:sz="0" w:space="0" w:color="auto"/>
        <w:left w:val="none" w:sz="0" w:space="0" w:color="auto"/>
        <w:bottom w:val="none" w:sz="0" w:space="0" w:color="auto"/>
        <w:right w:val="none" w:sz="0" w:space="0" w:color="auto"/>
      </w:divBdr>
    </w:div>
    <w:div w:id="1583367033">
      <w:bodyDiv w:val="1"/>
      <w:marLeft w:val="0"/>
      <w:marRight w:val="0"/>
      <w:marTop w:val="0"/>
      <w:marBottom w:val="0"/>
      <w:divBdr>
        <w:top w:val="none" w:sz="0" w:space="0" w:color="auto"/>
        <w:left w:val="none" w:sz="0" w:space="0" w:color="auto"/>
        <w:bottom w:val="none" w:sz="0" w:space="0" w:color="auto"/>
        <w:right w:val="none" w:sz="0" w:space="0" w:color="auto"/>
      </w:divBdr>
    </w:div>
    <w:div w:id="1584871501">
      <w:bodyDiv w:val="1"/>
      <w:marLeft w:val="0"/>
      <w:marRight w:val="0"/>
      <w:marTop w:val="0"/>
      <w:marBottom w:val="0"/>
      <w:divBdr>
        <w:top w:val="none" w:sz="0" w:space="0" w:color="auto"/>
        <w:left w:val="none" w:sz="0" w:space="0" w:color="auto"/>
        <w:bottom w:val="none" w:sz="0" w:space="0" w:color="auto"/>
        <w:right w:val="none" w:sz="0" w:space="0" w:color="auto"/>
      </w:divBdr>
    </w:div>
    <w:div w:id="1585722595">
      <w:bodyDiv w:val="1"/>
      <w:marLeft w:val="0"/>
      <w:marRight w:val="0"/>
      <w:marTop w:val="0"/>
      <w:marBottom w:val="0"/>
      <w:divBdr>
        <w:top w:val="none" w:sz="0" w:space="0" w:color="auto"/>
        <w:left w:val="none" w:sz="0" w:space="0" w:color="auto"/>
        <w:bottom w:val="none" w:sz="0" w:space="0" w:color="auto"/>
        <w:right w:val="none" w:sz="0" w:space="0" w:color="auto"/>
      </w:divBdr>
    </w:div>
    <w:div w:id="1586570595">
      <w:bodyDiv w:val="1"/>
      <w:marLeft w:val="0"/>
      <w:marRight w:val="0"/>
      <w:marTop w:val="0"/>
      <w:marBottom w:val="0"/>
      <w:divBdr>
        <w:top w:val="none" w:sz="0" w:space="0" w:color="auto"/>
        <w:left w:val="none" w:sz="0" w:space="0" w:color="auto"/>
        <w:bottom w:val="none" w:sz="0" w:space="0" w:color="auto"/>
        <w:right w:val="none" w:sz="0" w:space="0" w:color="auto"/>
      </w:divBdr>
    </w:div>
    <w:div w:id="1587882844">
      <w:bodyDiv w:val="1"/>
      <w:marLeft w:val="0"/>
      <w:marRight w:val="0"/>
      <w:marTop w:val="0"/>
      <w:marBottom w:val="0"/>
      <w:divBdr>
        <w:top w:val="none" w:sz="0" w:space="0" w:color="auto"/>
        <w:left w:val="none" w:sz="0" w:space="0" w:color="auto"/>
        <w:bottom w:val="none" w:sz="0" w:space="0" w:color="auto"/>
        <w:right w:val="none" w:sz="0" w:space="0" w:color="auto"/>
      </w:divBdr>
    </w:div>
    <w:div w:id="1589923485">
      <w:bodyDiv w:val="1"/>
      <w:marLeft w:val="0"/>
      <w:marRight w:val="0"/>
      <w:marTop w:val="0"/>
      <w:marBottom w:val="0"/>
      <w:divBdr>
        <w:top w:val="none" w:sz="0" w:space="0" w:color="auto"/>
        <w:left w:val="none" w:sz="0" w:space="0" w:color="auto"/>
        <w:bottom w:val="none" w:sz="0" w:space="0" w:color="auto"/>
        <w:right w:val="none" w:sz="0" w:space="0" w:color="auto"/>
      </w:divBdr>
    </w:div>
    <w:div w:id="1589995983">
      <w:bodyDiv w:val="1"/>
      <w:marLeft w:val="0"/>
      <w:marRight w:val="0"/>
      <w:marTop w:val="0"/>
      <w:marBottom w:val="0"/>
      <w:divBdr>
        <w:top w:val="none" w:sz="0" w:space="0" w:color="auto"/>
        <w:left w:val="none" w:sz="0" w:space="0" w:color="auto"/>
        <w:bottom w:val="none" w:sz="0" w:space="0" w:color="auto"/>
        <w:right w:val="none" w:sz="0" w:space="0" w:color="auto"/>
      </w:divBdr>
    </w:div>
    <w:div w:id="1590190623">
      <w:bodyDiv w:val="1"/>
      <w:marLeft w:val="0"/>
      <w:marRight w:val="0"/>
      <w:marTop w:val="0"/>
      <w:marBottom w:val="0"/>
      <w:divBdr>
        <w:top w:val="none" w:sz="0" w:space="0" w:color="auto"/>
        <w:left w:val="none" w:sz="0" w:space="0" w:color="auto"/>
        <w:bottom w:val="none" w:sz="0" w:space="0" w:color="auto"/>
        <w:right w:val="none" w:sz="0" w:space="0" w:color="auto"/>
      </w:divBdr>
    </w:div>
    <w:div w:id="1591037625">
      <w:bodyDiv w:val="1"/>
      <w:marLeft w:val="0"/>
      <w:marRight w:val="0"/>
      <w:marTop w:val="0"/>
      <w:marBottom w:val="0"/>
      <w:divBdr>
        <w:top w:val="none" w:sz="0" w:space="0" w:color="auto"/>
        <w:left w:val="none" w:sz="0" w:space="0" w:color="auto"/>
        <w:bottom w:val="none" w:sz="0" w:space="0" w:color="auto"/>
        <w:right w:val="none" w:sz="0" w:space="0" w:color="auto"/>
      </w:divBdr>
    </w:div>
    <w:div w:id="1592154887">
      <w:bodyDiv w:val="1"/>
      <w:marLeft w:val="0"/>
      <w:marRight w:val="0"/>
      <w:marTop w:val="0"/>
      <w:marBottom w:val="0"/>
      <w:divBdr>
        <w:top w:val="none" w:sz="0" w:space="0" w:color="auto"/>
        <w:left w:val="none" w:sz="0" w:space="0" w:color="auto"/>
        <w:bottom w:val="none" w:sz="0" w:space="0" w:color="auto"/>
        <w:right w:val="none" w:sz="0" w:space="0" w:color="auto"/>
      </w:divBdr>
    </w:div>
    <w:div w:id="1592276703">
      <w:bodyDiv w:val="1"/>
      <w:marLeft w:val="0"/>
      <w:marRight w:val="0"/>
      <w:marTop w:val="0"/>
      <w:marBottom w:val="0"/>
      <w:divBdr>
        <w:top w:val="none" w:sz="0" w:space="0" w:color="auto"/>
        <w:left w:val="none" w:sz="0" w:space="0" w:color="auto"/>
        <w:bottom w:val="none" w:sz="0" w:space="0" w:color="auto"/>
        <w:right w:val="none" w:sz="0" w:space="0" w:color="auto"/>
      </w:divBdr>
    </w:div>
    <w:div w:id="1592616860">
      <w:bodyDiv w:val="1"/>
      <w:marLeft w:val="0"/>
      <w:marRight w:val="0"/>
      <w:marTop w:val="0"/>
      <w:marBottom w:val="0"/>
      <w:divBdr>
        <w:top w:val="none" w:sz="0" w:space="0" w:color="auto"/>
        <w:left w:val="none" w:sz="0" w:space="0" w:color="auto"/>
        <w:bottom w:val="none" w:sz="0" w:space="0" w:color="auto"/>
        <w:right w:val="none" w:sz="0" w:space="0" w:color="auto"/>
      </w:divBdr>
    </w:div>
    <w:div w:id="1592738782">
      <w:bodyDiv w:val="1"/>
      <w:marLeft w:val="0"/>
      <w:marRight w:val="0"/>
      <w:marTop w:val="0"/>
      <w:marBottom w:val="0"/>
      <w:divBdr>
        <w:top w:val="none" w:sz="0" w:space="0" w:color="auto"/>
        <w:left w:val="none" w:sz="0" w:space="0" w:color="auto"/>
        <w:bottom w:val="none" w:sz="0" w:space="0" w:color="auto"/>
        <w:right w:val="none" w:sz="0" w:space="0" w:color="auto"/>
      </w:divBdr>
    </w:div>
    <w:div w:id="1593851803">
      <w:bodyDiv w:val="1"/>
      <w:marLeft w:val="0"/>
      <w:marRight w:val="0"/>
      <w:marTop w:val="0"/>
      <w:marBottom w:val="0"/>
      <w:divBdr>
        <w:top w:val="none" w:sz="0" w:space="0" w:color="auto"/>
        <w:left w:val="none" w:sz="0" w:space="0" w:color="auto"/>
        <w:bottom w:val="none" w:sz="0" w:space="0" w:color="auto"/>
        <w:right w:val="none" w:sz="0" w:space="0" w:color="auto"/>
      </w:divBdr>
    </w:div>
    <w:div w:id="1593974752">
      <w:bodyDiv w:val="1"/>
      <w:marLeft w:val="0"/>
      <w:marRight w:val="0"/>
      <w:marTop w:val="0"/>
      <w:marBottom w:val="0"/>
      <w:divBdr>
        <w:top w:val="none" w:sz="0" w:space="0" w:color="auto"/>
        <w:left w:val="none" w:sz="0" w:space="0" w:color="auto"/>
        <w:bottom w:val="none" w:sz="0" w:space="0" w:color="auto"/>
        <w:right w:val="none" w:sz="0" w:space="0" w:color="auto"/>
      </w:divBdr>
    </w:div>
    <w:div w:id="1594779891">
      <w:bodyDiv w:val="1"/>
      <w:marLeft w:val="0"/>
      <w:marRight w:val="0"/>
      <w:marTop w:val="0"/>
      <w:marBottom w:val="0"/>
      <w:divBdr>
        <w:top w:val="none" w:sz="0" w:space="0" w:color="auto"/>
        <w:left w:val="none" w:sz="0" w:space="0" w:color="auto"/>
        <w:bottom w:val="none" w:sz="0" w:space="0" w:color="auto"/>
        <w:right w:val="none" w:sz="0" w:space="0" w:color="auto"/>
      </w:divBdr>
    </w:div>
    <w:div w:id="1595627777">
      <w:bodyDiv w:val="1"/>
      <w:marLeft w:val="0"/>
      <w:marRight w:val="0"/>
      <w:marTop w:val="0"/>
      <w:marBottom w:val="0"/>
      <w:divBdr>
        <w:top w:val="none" w:sz="0" w:space="0" w:color="auto"/>
        <w:left w:val="none" w:sz="0" w:space="0" w:color="auto"/>
        <w:bottom w:val="none" w:sz="0" w:space="0" w:color="auto"/>
        <w:right w:val="none" w:sz="0" w:space="0" w:color="auto"/>
      </w:divBdr>
    </w:div>
    <w:div w:id="1595899426">
      <w:bodyDiv w:val="1"/>
      <w:marLeft w:val="0"/>
      <w:marRight w:val="0"/>
      <w:marTop w:val="0"/>
      <w:marBottom w:val="0"/>
      <w:divBdr>
        <w:top w:val="none" w:sz="0" w:space="0" w:color="auto"/>
        <w:left w:val="none" w:sz="0" w:space="0" w:color="auto"/>
        <w:bottom w:val="none" w:sz="0" w:space="0" w:color="auto"/>
        <w:right w:val="none" w:sz="0" w:space="0" w:color="auto"/>
      </w:divBdr>
    </w:div>
    <w:div w:id="1596861799">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1715196">
      <w:bodyDiv w:val="1"/>
      <w:marLeft w:val="0"/>
      <w:marRight w:val="0"/>
      <w:marTop w:val="0"/>
      <w:marBottom w:val="0"/>
      <w:divBdr>
        <w:top w:val="none" w:sz="0" w:space="0" w:color="auto"/>
        <w:left w:val="none" w:sz="0" w:space="0" w:color="auto"/>
        <w:bottom w:val="none" w:sz="0" w:space="0" w:color="auto"/>
        <w:right w:val="none" w:sz="0" w:space="0" w:color="auto"/>
      </w:divBdr>
    </w:div>
    <w:div w:id="1603605635">
      <w:bodyDiv w:val="1"/>
      <w:marLeft w:val="0"/>
      <w:marRight w:val="0"/>
      <w:marTop w:val="0"/>
      <w:marBottom w:val="0"/>
      <w:divBdr>
        <w:top w:val="none" w:sz="0" w:space="0" w:color="auto"/>
        <w:left w:val="none" w:sz="0" w:space="0" w:color="auto"/>
        <w:bottom w:val="none" w:sz="0" w:space="0" w:color="auto"/>
        <w:right w:val="none" w:sz="0" w:space="0" w:color="auto"/>
      </w:divBdr>
    </w:div>
    <w:div w:id="1604419266">
      <w:bodyDiv w:val="1"/>
      <w:marLeft w:val="0"/>
      <w:marRight w:val="0"/>
      <w:marTop w:val="0"/>
      <w:marBottom w:val="0"/>
      <w:divBdr>
        <w:top w:val="none" w:sz="0" w:space="0" w:color="auto"/>
        <w:left w:val="none" w:sz="0" w:space="0" w:color="auto"/>
        <w:bottom w:val="none" w:sz="0" w:space="0" w:color="auto"/>
        <w:right w:val="none" w:sz="0" w:space="0" w:color="auto"/>
      </w:divBdr>
    </w:div>
    <w:div w:id="1604916261">
      <w:bodyDiv w:val="1"/>
      <w:marLeft w:val="0"/>
      <w:marRight w:val="0"/>
      <w:marTop w:val="0"/>
      <w:marBottom w:val="0"/>
      <w:divBdr>
        <w:top w:val="none" w:sz="0" w:space="0" w:color="auto"/>
        <w:left w:val="none" w:sz="0" w:space="0" w:color="auto"/>
        <w:bottom w:val="none" w:sz="0" w:space="0" w:color="auto"/>
        <w:right w:val="none" w:sz="0" w:space="0" w:color="auto"/>
      </w:divBdr>
    </w:div>
    <w:div w:id="1605529809">
      <w:bodyDiv w:val="1"/>
      <w:marLeft w:val="0"/>
      <w:marRight w:val="0"/>
      <w:marTop w:val="0"/>
      <w:marBottom w:val="0"/>
      <w:divBdr>
        <w:top w:val="none" w:sz="0" w:space="0" w:color="auto"/>
        <w:left w:val="none" w:sz="0" w:space="0" w:color="auto"/>
        <w:bottom w:val="none" w:sz="0" w:space="0" w:color="auto"/>
        <w:right w:val="none" w:sz="0" w:space="0" w:color="auto"/>
      </w:divBdr>
    </w:div>
    <w:div w:id="1608007026">
      <w:bodyDiv w:val="1"/>
      <w:marLeft w:val="0"/>
      <w:marRight w:val="0"/>
      <w:marTop w:val="0"/>
      <w:marBottom w:val="0"/>
      <w:divBdr>
        <w:top w:val="none" w:sz="0" w:space="0" w:color="auto"/>
        <w:left w:val="none" w:sz="0" w:space="0" w:color="auto"/>
        <w:bottom w:val="none" w:sz="0" w:space="0" w:color="auto"/>
        <w:right w:val="none" w:sz="0" w:space="0" w:color="auto"/>
      </w:divBdr>
    </w:div>
    <w:div w:id="1608151904">
      <w:bodyDiv w:val="1"/>
      <w:marLeft w:val="0"/>
      <w:marRight w:val="0"/>
      <w:marTop w:val="0"/>
      <w:marBottom w:val="0"/>
      <w:divBdr>
        <w:top w:val="none" w:sz="0" w:space="0" w:color="auto"/>
        <w:left w:val="none" w:sz="0" w:space="0" w:color="auto"/>
        <w:bottom w:val="none" w:sz="0" w:space="0" w:color="auto"/>
        <w:right w:val="none" w:sz="0" w:space="0" w:color="auto"/>
      </w:divBdr>
    </w:div>
    <w:div w:id="1608392589">
      <w:bodyDiv w:val="1"/>
      <w:marLeft w:val="0"/>
      <w:marRight w:val="0"/>
      <w:marTop w:val="0"/>
      <w:marBottom w:val="0"/>
      <w:divBdr>
        <w:top w:val="none" w:sz="0" w:space="0" w:color="auto"/>
        <w:left w:val="none" w:sz="0" w:space="0" w:color="auto"/>
        <w:bottom w:val="none" w:sz="0" w:space="0" w:color="auto"/>
        <w:right w:val="none" w:sz="0" w:space="0" w:color="auto"/>
      </w:divBdr>
    </w:div>
    <w:div w:id="1610621063">
      <w:bodyDiv w:val="1"/>
      <w:marLeft w:val="0"/>
      <w:marRight w:val="0"/>
      <w:marTop w:val="0"/>
      <w:marBottom w:val="0"/>
      <w:divBdr>
        <w:top w:val="none" w:sz="0" w:space="0" w:color="auto"/>
        <w:left w:val="none" w:sz="0" w:space="0" w:color="auto"/>
        <w:bottom w:val="none" w:sz="0" w:space="0" w:color="auto"/>
        <w:right w:val="none" w:sz="0" w:space="0" w:color="auto"/>
      </w:divBdr>
    </w:div>
    <w:div w:id="1612467659">
      <w:bodyDiv w:val="1"/>
      <w:marLeft w:val="0"/>
      <w:marRight w:val="0"/>
      <w:marTop w:val="0"/>
      <w:marBottom w:val="0"/>
      <w:divBdr>
        <w:top w:val="none" w:sz="0" w:space="0" w:color="auto"/>
        <w:left w:val="none" w:sz="0" w:space="0" w:color="auto"/>
        <w:bottom w:val="none" w:sz="0" w:space="0" w:color="auto"/>
        <w:right w:val="none" w:sz="0" w:space="0" w:color="auto"/>
      </w:divBdr>
    </w:div>
    <w:div w:id="1612859395">
      <w:bodyDiv w:val="1"/>
      <w:marLeft w:val="0"/>
      <w:marRight w:val="0"/>
      <w:marTop w:val="0"/>
      <w:marBottom w:val="0"/>
      <w:divBdr>
        <w:top w:val="none" w:sz="0" w:space="0" w:color="auto"/>
        <w:left w:val="none" w:sz="0" w:space="0" w:color="auto"/>
        <w:bottom w:val="none" w:sz="0" w:space="0" w:color="auto"/>
        <w:right w:val="none" w:sz="0" w:space="0" w:color="auto"/>
      </w:divBdr>
    </w:div>
    <w:div w:id="1614243111">
      <w:bodyDiv w:val="1"/>
      <w:marLeft w:val="0"/>
      <w:marRight w:val="0"/>
      <w:marTop w:val="0"/>
      <w:marBottom w:val="0"/>
      <w:divBdr>
        <w:top w:val="none" w:sz="0" w:space="0" w:color="auto"/>
        <w:left w:val="none" w:sz="0" w:space="0" w:color="auto"/>
        <w:bottom w:val="none" w:sz="0" w:space="0" w:color="auto"/>
        <w:right w:val="none" w:sz="0" w:space="0" w:color="auto"/>
      </w:divBdr>
    </w:div>
    <w:div w:id="1615287726">
      <w:bodyDiv w:val="1"/>
      <w:marLeft w:val="0"/>
      <w:marRight w:val="0"/>
      <w:marTop w:val="0"/>
      <w:marBottom w:val="0"/>
      <w:divBdr>
        <w:top w:val="none" w:sz="0" w:space="0" w:color="auto"/>
        <w:left w:val="none" w:sz="0" w:space="0" w:color="auto"/>
        <w:bottom w:val="none" w:sz="0" w:space="0" w:color="auto"/>
        <w:right w:val="none" w:sz="0" w:space="0" w:color="auto"/>
      </w:divBdr>
    </w:div>
    <w:div w:id="1615554421">
      <w:bodyDiv w:val="1"/>
      <w:marLeft w:val="0"/>
      <w:marRight w:val="0"/>
      <w:marTop w:val="0"/>
      <w:marBottom w:val="0"/>
      <w:divBdr>
        <w:top w:val="none" w:sz="0" w:space="0" w:color="auto"/>
        <w:left w:val="none" w:sz="0" w:space="0" w:color="auto"/>
        <w:bottom w:val="none" w:sz="0" w:space="0" w:color="auto"/>
        <w:right w:val="none" w:sz="0" w:space="0" w:color="auto"/>
      </w:divBdr>
    </w:div>
    <w:div w:id="1617834862">
      <w:bodyDiv w:val="1"/>
      <w:marLeft w:val="0"/>
      <w:marRight w:val="0"/>
      <w:marTop w:val="0"/>
      <w:marBottom w:val="0"/>
      <w:divBdr>
        <w:top w:val="none" w:sz="0" w:space="0" w:color="auto"/>
        <w:left w:val="none" w:sz="0" w:space="0" w:color="auto"/>
        <w:bottom w:val="none" w:sz="0" w:space="0" w:color="auto"/>
        <w:right w:val="none" w:sz="0" w:space="0" w:color="auto"/>
      </w:divBdr>
    </w:div>
    <w:div w:id="1619605247">
      <w:bodyDiv w:val="1"/>
      <w:marLeft w:val="0"/>
      <w:marRight w:val="0"/>
      <w:marTop w:val="0"/>
      <w:marBottom w:val="0"/>
      <w:divBdr>
        <w:top w:val="none" w:sz="0" w:space="0" w:color="auto"/>
        <w:left w:val="none" w:sz="0" w:space="0" w:color="auto"/>
        <w:bottom w:val="none" w:sz="0" w:space="0" w:color="auto"/>
        <w:right w:val="none" w:sz="0" w:space="0" w:color="auto"/>
      </w:divBdr>
    </w:div>
    <w:div w:id="1621302382">
      <w:bodyDiv w:val="1"/>
      <w:marLeft w:val="0"/>
      <w:marRight w:val="0"/>
      <w:marTop w:val="0"/>
      <w:marBottom w:val="0"/>
      <w:divBdr>
        <w:top w:val="none" w:sz="0" w:space="0" w:color="auto"/>
        <w:left w:val="none" w:sz="0" w:space="0" w:color="auto"/>
        <w:bottom w:val="none" w:sz="0" w:space="0" w:color="auto"/>
        <w:right w:val="none" w:sz="0" w:space="0" w:color="auto"/>
      </w:divBdr>
    </w:div>
    <w:div w:id="1623531014">
      <w:bodyDiv w:val="1"/>
      <w:marLeft w:val="0"/>
      <w:marRight w:val="0"/>
      <w:marTop w:val="0"/>
      <w:marBottom w:val="0"/>
      <w:divBdr>
        <w:top w:val="none" w:sz="0" w:space="0" w:color="auto"/>
        <w:left w:val="none" w:sz="0" w:space="0" w:color="auto"/>
        <w:bottom w:val="none" w:sz="0" w:space="0" w:color="auto"/>
        <w:right w:val="none" w:sz="0" w:space="0" w:color="auto"/>
      </w:divBdr>
    </w:div>
    <w:div w:id="1623532700">
      <w:bodyDiv w:val="1"/>
      <w:marLeft w:val="0"/>
      <w:marRight w:val="0"/>
      <w:marTop w:val="0"/>
      <w:marBottom w:val="0"/>
      <w:divBdr>
        <w:top w:val="none" w:sz="0" w:space="0" w:color="auto"/>
        <w:left w:val="none" w:sz="0" w:space="0" w:color="auto"/>
        <w:bottom w:val="none" w:sz="0" w:space="0" w:color="auto"/>
        <w:right w:val="none" w:sz="0" w:space="0" w:color="auto"/>
      </w:divBdr>
    </w:div>
    <w:div w:id="1624311557">
      <w:bodyDiv w:val="1"/>
      <w:marLeft w:val="0"/>
      <w:marRight w:val="0"/>
      <w:marTop w:val="0"/>
      <w:marBottom w:val="0"/>
      <w:divBdr>
        <w:top w:val="none" w:sz="0" w:space="0" w:color="auto"/>
        <w:left w:val="none" w:sz="0" w:space="0" w:color="auto"/>
        <w:bottom w:val="none" w:sz="0" w:space="0" w:color="auto"/>
        <w:right w:val="none" w:sz="0" w:space="0" w:color="auto"/>
      </w:divBdr>
    </w:div>
    <w:div w:id="1626156893">
      <w:bodyDiv w:val="1"/>
      <w:marLeft w:val="0"/>
      <w:marRight w:val="0"/>
      <w:marTop w:val="0"/>
      <w:marBottom w:val="0"/>
      <w:divBdr>
        <w:top w:val="none" w:sz="0" w:space="0" w:color="auto"/>
        <w:left w:val="none" w:sz="0" w:space="0" w:color="auto"/>
        <w:bottom w:val="none" w:sz="0" w:space="0" w:color="auto"/>
        <w:right w:val="none" w:sz="0" w:space="0" w:color="auto"/>
      </w:divBdr>
    </w:div>
    <w:div w:id="1626354685">
      <w:bodyDiv w:val="1"/>
      <w:marLeft w:val="0"/>
      <w:marRight w:val="0"/>
      <w:marTop w:val="0"/>
      <w:marBottom w:val="0"/>
      <w:divBdr>
        <w:top w:val="none" w:sz="0" w:space="0" w:color="auto"/>
        <w:left w:val="none" w:sz="0" w:space="0" w:color="auto"/>
        <w:bottom w:val="none" w:sz="0" w:space="0" w:color="auto"/>
        <w:right w:val="none" w:sz="0" w:space="0" w:color="auto"/>
      </w:divBdr>
    </w:div>
    <w:div w:id="1626815141">
      <w:bodyDiv w:val="1"/>
      <w:marLeft w:val="0"/>
      <w:marRight w:val="0"/>
      <w:marTop w:val="0"/>
      <w:marBottom w:val="0"/>
      <w:divBdr>
        <w:top w:val="none" w:sz="0" w:space="0" w:color="auto"/>
        <w:left w:val="none" w:sz="0" w:space="0" w:color="auto"/>
        <w:bottom w:val="none" w:sz="0" w:space="0" w:color="auto"/>
        <w:right w:val="none" w:sz="0" w:space="0" w:color="auto"/>
      </w:divBdr>
    </w:div>
    <w:div w:id="1628316810">
      <w:bodyDiv w:val="1"/>
      <w:marLeft w:val="0"/>
      <w:marRight w:val="0"/>
      <w:marTop w:val="0"/>
      <w:marBottom w:val="0"/>
      <w:divBdr>
        <w:top w:val="none" w:sz="0" w:space="0" w:color="auto"/>
        <w:left w:val="none" w:sz="0" w:space="0" w:color="auto"/>
        <w:bottom w:val="none" w:sz="0" w:space="0" w:color="auto"/>
        <w:right w:val="none" w:sz="0" w:space="0" w:color="auto"/>
      </w:divBdr>
    </w:div>
    <w:div w:id="1628778881">
      <w:bodyDiv w:val="1"/>
      <w:marLeft w:val="0"/>
      <w:marRight w:val="0"/>
      <w:marTop w:val="0"/>
      <w:marBottom w:val="0"/>
      <w:divBdr>
        <w:top w:val="none" w:sz="0" w:space="0" w:color="auto"/>
        <w:left w:val="none" w:sz="0" w:space="0" w:color="auto"/>
        <w:bottom w:val="none" w:sz="0" w:space="0" w:color="auto"/>
        <w:right w:val="none" w:sz="0" w:space="0" w:color="auto"/>
      </w:divBdr>
    </w:div>
    <w:div w:id="1629629211">
      <w:bodyDiv w:val="1"/>
      <w:marLeft w:val="0"/>
      <w:marRight w:val="0"/>
      <w:marTop w:val="0"/>
      <w:marBottom w:val="0"/>
      <w:divBdr>
        <w:top w:val="none" w:sz="0" w:space="0" w:color="auto"/>
        <w:left w:val="none" w:sz="0" w:space="0" w:color="auto"/>
        <w:bottom w:val="none" w:sz="0" w:space="0" w:color="auto"/>
        <w:right w:val="none" w:sz="0" w:space="0" w:color="auto"/>
      </w:divBdr>
    </w:div>
    <w:div w:id="1629968513">
      <w:bodyDiv w:val="1"/>
      <w:marLeft w:val="0"/>
      <w:marRight w:val="0"/>
      <w:marTop w:val="0"/>
      <w:marBottom w:val="0"/>
      <w:divBdr>
        <w:top w:val="none" w:sz="0" w:space="0" w:color="auto"/>
        <w:left w:val="none" w:sz="0" w:space="0" w:color="auto"/>
        <w:bottom w:val="none" w:sz="0" w:space="0" w:color="auto"/>
        <w:right w:val="none" w:sz="0" w:space="0" w:color="auto"/>
      </w:divBdr>
    </w:div>
    <w:div w:id="1630088793">
      <w:bodyDiv w:val="1"/>
      <w:marLeft w:val="0"/>
      <w:marRight w:val="0"/>
      <w:marTop w:val="0"/>
      <w:marBottom w:val="0"/>
      <w:divBdr>
        <w:top w:val="none" w:sz="0" w:space="0" w:color="auto"/>
        <w:left w:val="none" w:sz="0" w:space="0" w:color="auto"/>
        <w:bottom w:val="none" w:sz="0" w:space="0" w:color="auto"/>
        <w:right w:val="none" w:sz="0" w:space="0" w:color="auto"/>
      </w:divBdr>
    </w:div>
    <w:div w:id="1630279252">
      <w:bodyDiv w:val="1"/>
      <w:marLeft w:val="0"/>
      <w:marRight w:val="0"/>
      <w:marTop w:val="0"/>
      <w:marBottom w:val="0"/>
      <w:divBdr>
        <w:top w:val="none" w:sz="0" w:space="0" w:color="auto"/>
        <w:left w:val="none" w:sz="0" w:space="0" w:color="auto"/>
        <w:bottom w:val="none" w:sz="0" w:space="0" w:color="auto"/>
        <w:right w:val="none" w:sz="0" w:space="0" w:color="auto"/>
      </w:divBdr>
    </w:div>
    <w:div w:id="1631546469">
      <w:bodyDiv w:val="1"/>
      <w:marLeft w:val="0"/>
      <w:marRight w:val="0"/>
      <w:marTop w:val="0"/>
      <w:marBottom w:val="0"/>
      <w:divBdr>
        <w:top w:val="none" w:sz="0" w:space="0" w:color="auto"/>
        <w:left w:val="none" w:sz="0" w:space="0" w:color="auto"/>
        <w:bottom w:val="none" w:sz="0" w:space="0" w:color="auto"/>
        <w:right w:val="none" w:sz="0" w:space="0" w:color="auto"/>
      </w:divBdr>
    </w:div>
    <w:div w:id="1631550915">
      <w:bodyDiv w:val="1"/>
      <w:marLeft w:val="0"/>
      <w:marRight w:val="0"/>
      <w:marTop w:val="0"/>
      <w:marBottom w:val="0"/>
      <w:divBdr>
        <w:top w:val="none" w:sz="0" w:space="0" w:color="auto"/>
        <w:left w:val="none" w:sz="0" w:space="0" w:color="auto"/>
        <w:bottom w:val="none" w:sz="0" w:space="0" w:color="auto"/>
        <w:right w:val="none" w:sz="0" w:space="0" w:color="auto"/>
      </w:divBdr>
    </w:div>
    <w:div w:id="1633905018">
      <w:bodyDiv w:val="1"/>
      <w:marLeft w:val="0"/>
      <w:marRight w:val="0"/>
      <w:marTop w:val="0"/>
      <w:marBottom w:val="0"/>
      <w:divBdr>
        <w:top w:val="none" w:sz="0" w:space="0" w:color="auto"/>
        <w:left w:val="none" w:sz="0" w:space="0" w:color="auto"/>
        <w:bottom w:val="none" w:sz="0" w:space="0" w:color="auto"/>
        <w:right w:val="none" w:sz="0" w:space="0" w:color="auto"/>
      </w:divBdr>
    </w:div>
    <w:div w:id="1635331215">
      <w:bodyDiv w:val="1"/>
      <w:marLeft w:val="0"/>
      <w:marRight w:val="0"/>
      <w:marTop w:val="0"/>
      <w:marBottom w:val="0"/>
      <w:divBdr>
        <w:top w:val="none" w:sz="0" w:space="0" w:color="auto"/>
        <w:left w:val="none" w:sz="0" w:space="0" w:color="auto"/>
        <w:bottom w:val="none" w:sz="0" w:space="0" w:color="auto"/>
        <w:right w:val="none" w:sz="0" w:space="0" w:color="auto"/>
      </w:divBdr>
    </w:div>
    <w:div w:id="1635794825">
      <w:bodyDiv w:val="1"/>
      <w:marLeft w:val="0"/>
      <w:marRight w:val="0"/>
      <w:marTop w:val="0"/>
      <w:marBottom w:val="0"/>
      <w:divBdr>
        <w:top w:val="none" w:sz="0" w:space="0" w:color="auto"/>
        <w:left w:val="none" w:sz="0" w:space="0" w:color="auto"/>
        <w:bottom w:val="none" w:sz="0" w:space="0" w:color="auto"/>
        <w:right w:val="none" w:sz="0" w:space="0" w:color="auto"/>
      </w:divBdr>
    </w:div>
    <w:div w:id="1636325815">
      <w:bodyDiv w:val="1"/>
      <w:marLeft w:val="0"/>
      <w:marRight w:val="0"/>
      <w:marTop w:val="0"/>
      <w:marBottom w:val="0"/>
      <w:divBdr>
        <w:top w:val="none" w:sz="0" w:space="0" w:color="auto"/>
        <w:left w:val="none" w:sz="0" w:space="0" w:color="auto"/>
        <w:bottom w:val="none" w:sz="0" w:space="0" w:color="auto"/>
        <w:right w:val="none" w:sz="0" w:space="0" w:color="auto"/>
      </w:divBdr>
    </w:div>
    <w:div w:id="1638223847">
      <w:bodyDiv w:val="1"/>
      <w:marLeft w:val="0"/>
      <w:marRight w:val="0"/>
      <w:marTop w:val="0"/>
      <w:marBottom w:val="0"/>
      <w:divBdr>
        <w:top w:val="none" w:sz="0" w:space="0" w:color="auto"/>
        <w:left w:val="none" w:sz="0" w:space="0" w:color="auto"/>
        <w:bottom w:val="none" w:sz="0" w:space="0" w:color="auto"/>
        <w:right w:val="none" w:sz="0" w:space="0" w:color="auto"/>
      </w:divBdr>
      <w:divsChild>
        <w:div w:id="501243296">
          <w:marLeft w:val="0"/>
          <w:marRight w:val="0"/>
          <w:marTop w:val="0"/>
          <w:marBottom w:val="0"/>
          <w:divBdr>
            <w:top w:val="none" w:sz="0" w:space="0" w:color="auto"/>
            <w:left w:val="none" w:sz="0" w:space="0" w:color="auto"/>
            <w:bottom w:val="none" w:sz="0" w:space="0" w:color="auto"/>
            <w:right w:val="none" w:sz="0" w:space="0" w:color="auto"/>
          </w:divBdr>
        </w:div>
        <w:div w:id="2093551558">
          <w:marLeft w:val="0"/>
          <w:marRight w:val="0"/>
          <w:marTop w:val="0"/>
          <w:marBottom w:val="0"/>
          <w:divBdr>
            <w:top w:val="none" w:sz="0" w:space="0" w:color="auto"/>
            <w:left w:val="none" w:sz="0" w:space="0" w:color="auto"/>
            <w:bottom w:val="none" w:sz="0" w:space="0" w:color="auto"/>
            <w:right w:val="none" w:sz="0" w:space="0" w:color="auto"/>
          </w:divBdr>
        </w:div>
      </w:divsChild>
    </w:div>
    <w:div w:id="1638491013">
      <w:bodyDiv w:val="1"/>
      <w:marLeft w:val="0"/>
      <w:marRight w:val="0"/>
      <w:marTop w:val="0"/>
      <w:marBottom w:val="0"/>
      <w:divBdr>
        <w:top w:val="none" w:sz="0" w:space="0" w:color="auto"/>
        <w:left w:val="none" w:sz="0" w:space="0" w:color="auto"/>
        <w:bottom w:val="none" w:sz="0" w:space="0" w:color="auto"/>
        <w:right w:val="none" w:sz="0" w:space="0" w:color="auto"/>
      </w:divBdr>
    </w:div>
    <w:div w:id="1638684890">
      <w:bodyDiv w:val="1"/>
      <w:marLeft w:val="0"/>
      <w:marRight w:val="0"/>
      <w:marTop w:val="0"/>
      <w:marBottom w:val="0"/>
      <w:divBdr>
        <w:top w:val="none" w:sz="0" w:space="0" w:color="auto"/>
        <w:left w:val="none" w:sz="0" w:space="0" w:color="auto"/>
        <w:bottom w:val="none" w:sz="0" w:space="0" w:color="auto"/>
        <w:right w:val="none" w:sz="0" w:space="0" w:color="auto"/>
      </w:divBdr>
    </w:div>
    <w:div w:id="1643195747">
      <w:bodyDiv w:val="1"/>
      <w:marLeft w:val="0"/>
      <w:marRight w:val="0"/>
      <w:marTop w:val="0"/>
      <w:marBottom w:val="0"/>
      <w:divBdr>
        <w:top w:val="none" w:sz="0" w:space="0" w:color="auto"/>
        <w:left w:val="none" w:sz="0" w:space="0" w:color="auto"/>
        <w:bottom w:val="none" w:sz="0" w:space="0" w:color="auto"/>
        <w:right w:val="none" w:sz="0" w:space="0" w:color="auto"/>
      </w:divBdr>
    </w:div>
    <w:div w:id="1643656759">
      <w:bodyDiv w:val="1"/>
      <w:marLeft w:val="0"/>
      <w:marRight w:val="0"/>
      <w:marTop w:val="0"/>
      <w:marBottom w:val="0"/>
      <w:divBdr>
        <w:top w:val="none" w:sz="0" w:space="0" w:color="auto"/>
        <w:left w:val="none" w:sz="0" w:space="0" w:color="auto"/>
        <w:bottom w:val="none" w:sz="0" w:space="0" w:color="auto"/>
        <w:right w:val="none" w:sz="0" w:space="0" w:color="auto"/>
      </w:divBdr>
    </w:div>
    <w:div w:id="1643659243">
      <w:bodyDiv w:val="1"/>
      <w:marLeft w:val="0"/>
      <w:marRight w:val="0"/>
      <w:marTop w:val="0"/>
      <w:marBottom w:val="0"/>
      <w:divBdr>
        <w:top w:val="none" w:sz="0" w:space="0" w:color="auto"/>
        <w:left w:val="none" w:sz="0" w:space="0" w:color="auto"/>
        <w:bottom w:val="none" w:sz="0" w:space="0" w:color="auto"/>
        <w:right w:val="none" w:sz="0" w:space="0" w:color="auto"/>
      </w:divBdr>
    </w:div>
    <w:div w:id="1645696342">
      <w:bodyDiv w:val="1"/>
      <w:marLeft w:val="0"/>
      <w:marRight w:val="0"/>
      <w:marTop w:val="0"/>
      <w:marBottom w:val="0"/>
      <w:divBdr>
        <w:top w:val="none" w:sz="0" w:space="0" w:color="auto"/>
        <w:left w:val="none" w:sz="0" w:space="0" w:color="auto"/>
        <w:bottom w:val="none" w:sz="0" w:space="0" w:color="auto"/>
        <w:right w:val="none" w:sz="0" w:space="0" w:color="auto"/>
      </w:divBdr>
    </w:div>
    <w:div w:id="1647931145">
      <w:bodyDiv w:val="1"/>
      <w:marLeft w:val="0"/>
      <w:marRight w:val="0"/>
      <w:marTop w:val="0"/>
      <w:marBottom w:val="0"/>
      <w:divBdr>
        <w:top w:val="none" w:sz="0" w:space="0" w:color="auto"/>
        <w:left w:val="none" w:sz="0" w:space="0" w:color="auto"/>
        <w:bottom w:val="none" w:sz="0" w:space="0" w:color="auto"/>
        <w:right w:val="none" w:sz="0" w:space="0" w:color="auto"/>
      </w:divBdr>
    </w:div>
    <w:div w:id="1648239509">
      <w:bodyDiv w:val="1"/>
      <w:marLeft w:val="0"/>
      <w:marRight w:val="0"/>
      <w:marTop w:val="0"/>
      <w:marBottom w:val="0"/>
      <w:divBdr>
        <w:top w:val="none" w:sz="0" w:space="0" w:color="auto"/>
        <w:left w:val="none" w:sz="0" w:space="0" w:color="auto"/>
        <w:bottom w:val="none" w:sz="0" w:space="0" w:color="auto"/>
        <w:right w:val="none" w:sz="0" w:space="0" w:color="auto"/>
      </w:divBdr>
    </w:div>
    <w:div w:id="1649435292">
      <w:bodyDiv w:val="1"/>
      <w:marLeft w:val="0"/>
      <w:marRight w:val="0"/>
      <w:marTop w:val="0"/>
      <w:marBottom w:val="0"/>
      <w:divBdr>
        <w:top w:val="none" w:sz="0" w:space="0" w:color="auto"/>
        <w:left w:val="none" w:sz="0" w:space="0" w:color="auto"/>
        <w:bottom w:val="none" w:sz="0" w:space="0" w:color="auto"/>
        <w:right w:val="none" w:sz="0" w:space="0" w:color="auto"/>
      </w:divBdr>
    </w:div>
    <w:div w:id="1649702714">
      <w:bodyDiv w:val="1"/>
      <w:marLeft w:val="0"/>
      <w:marRight w:val="0"/>
      <w:marTop w:val="0"/>
      <w:marBottom w:val="0"/>
      <w:divBdr>
        <w:top w:val="none" w:sz="0" w:space="0" w:color="auto"/>
        <w:left w:val="none" w:sz="0" w:space="0" w:color="auto"/>
        <w:bottom w:val="none" w:sz="0" w:space="0" w:color="auto"/>
        <w:right w:val="none" w:sz="0" w:space="0" w:color="auto"/>
      </w:divBdr>
    </w:div>
    <w:div w:id="1650670115">
      <w:bodyDiv w:val="1"/>
      <w:marLeft w:val="0"/>
      <w:marRight w:val="0"/>
      <w:marTop w:val="0"/>
      <w:marBottom w:val="0"/>
      <w:divBdr>
        <w:top w:val="none" w:sz="0" w:space="0" w:color="auto"/>
        <w:left w:val="none" w:sz="0" w:space="0" w:color="auto"/>
        <w:bottom w:val="none" w:sz="0" w:space="0" w:color="auto"/>
        <w:right w:val="none" w:sz="0" w:space="0" w:color="auto"/>
      </w:divBdr>
    </w:div>
    <w:div w:id="1652949406">
      <w:bodyDiv w:val="1"/>
      <w:marLeft w:val="0"/>
      <w:marRight w:val="0"/>
      <w:marTop w:val="0"/>
      <w:marBottom w:val="0"/>
      <w:divBdr>
        <w:top w:val="none" w:sz="0" w:space="0" w:color="auto"/>
        <w:left w:val="none" w:sz="0" w:space="0" w:color="auto"/>
        <w:bottom w:val="none" w:sz="0" w:space="0" w:color="auto"/>
        <w:right w:val="none" w:sz="0" w:space="0" w:color="auto"/>
      </w:divBdr>
    </w:div>
    <w:div w:id="1653370774">
      <w:bodyDiv w:val="1"/>
      <w:marLeft w:val="0"/>
      <w:marRight w:val="0"/>
      <w:marTop w:val="0"/>
      <w:marBottom w:val="0"/>
      <w:divBdr>
        <w:top w:val="none" w:sz="0" w:space="0" w:color="auto"/>
        <w:left w:val="none" w:sz="0" w:space="0" w:color="auto"/>
        <w:bottom w:val="none" w:sz="0" w:space="0" w:color="auto"/>
        <w:right w:val="none" w:sz="0" w:space="0" w:color="auto"/>
      </w:divBdr>
    </w:div>
    <w:div w:id="1654485241">
      <w:bodyDiv w:val="1"/>
      <w:marLeft w:val="0"/>
      <w:marRight w:val="0"/>
      <w:marTop w:val="0"/>
      <w:marBottom w:val="0"/>
      <w:divBdr>
        <w:top w:val="none" w:sz="0" w:space="0" w:color="auto"/>
        <w:left w:val="none" w:sz="0" w:space="0" w:color="auto"/>
        <w:bottom w:val="none" w:sz="0" w:space="0" w:color="auto"/>
        <w:right w:val="none" w:sz="0" w:space="0" w:color="auto"/>
      </w:divBdr>
    </w:div>
    <w:div w:id="1656180314">
      <w:bodyDiv w:val="1"/>
      <w:marLeft w:val="0"/>
      <w:marRight w:val="0"/>
      <w:marTop w:val="0"/>
      <w:marBottom w:val="0"/>
      <w:divBdr>
        <w:top w:val="none" w:sz="0" w:space="0" w:color="auto"/>
        <w:left w:val="none" w:sz="0" w:space="0" w:color="auto"/>
        <w:bottom w:val="none" w:sz="0" w:space="0" w:color="auto"/>
        <w:right w:val="none" w:sz="0" w:space="0" w:color="auto"/>
      </w:divBdr>
    </w:div>
    <w:div w:id="1656447507">
      <w:bodyDiv w:val="1"/>
      <w:marLeft w:val="0"/>
      <w:marRight w:val="0"/>
      <w:marTop w:val="0"/>
      <w:marBottom w:val="0"/>
      <w:divBdr>
        <w:top w:val="none" w:sz="0" w:space="0" w:color="auto"/>
        <w:left w:val="none" w:sz="0" w:space="0" w:color="auto"/>
        <w:bottom w:val="none" w:sz="0" w:space="0" w:color="auto"/>
        <w:right w:val="none" w:sz="0" w:space="0" w:color="auto"/>
      </w:divBdr>
    </w:div>
    <w:div w:id="1656448372">
      <w:bodyDiv w:val="1"/>
      <w:marLeft w:val="0"/>
      <w:marRight w:val="0"/>
      <w:marTop w:val="0"/>
      <w:marBottom w:val="0"/>
      <w:divBdr>
        <w:top w:val="none" w:sz="0" w:space="0" w:color="auto"/>
        <w:left w:val="none" w:sz="0" w:space="0" w:color="auto"/>
        <w:bottom w:val="none" w:sz="0" w:space="0" w:color="auto"/>
        <w:right w:val="none" w:sz="0" w:space="0" w:color="auto"/>
      </w:divBdr>
    </w:div>
    <w:div w:id="1657803453">
      <w:bodyDiv w:val="1"/>
      <w:marLeft w:val="0"/>
      <w:marRight w:val="0"/>
      <w:marTop w:val="0"/>
      <w:marBottom w:val="0"/>
      <w:divBdr>
        <w:top w:val="none" w:sz="0" w:space="0" w:color="auto"/>
        <w:left w:val="none" w:sz="0" w:space="0" w:color="auto"/>
        <w:bottom w:val="none" w:sz="0" w:space="0" w:color="auto"/>
        <w:right w:val="none" w:sz="0" w:space="0" w:color="auto"/>
      </w:divBdr>
    </w:div>
    <w:div w:id="1657950113">
      <w:bodyDiv w:val="1"/>
      <w:marLeft w:val="0"/>
      <w:marRight w:val="0"/>
      <w:marTop w:val="0"/>
      <w:marBottom w:val="0"/>
      <w:divBdr>
        <w:top w:val="none" w:sz="0" w:space="0" w:color="auto"/>
        <w:left w:val="none" w:sz="0" w:space="0" w:color="auto"/>
        <w:bottom w:val="none" w:sz="0" w:space="0" w:color="auto"/>
        <w:right w:val="none" w:sz="0" w:space="0" w:color="auto"/>
      </w:divBdr>
    </w:div>
    <w:div w:id="1658922012">
      <w:bodyDiv w:val="1"/>
      <w:marLeft w:val="0"/>
      <w:marRight w:val="0"/>
      <w:marTop w:val="0"/>
      <w:marBottom w:val="0"/>
      <w:divBdr>
        <w:top w:val="none" w:sz="0" w:space="0" w:color="auto"/>
        <w:left w:val="none" w:sz="0" w:space="0" w:color="auto"/>
        <w:bottom w:val="none" w:sz="0" w:space="0" w:color="auto"/>
        <w:right w:val="none" w:sz="0" w:space="0" w:color="auto"/>
      </w:divBdr>
    </w:div>
    <w:div w:id="1659535109">
      <w:bodyDiv w:val="1"/>
      <w:marLeft w:val="0"/>
      <w:marRight w:val="0"/>
      <w:marTop w:val="0"/>
      <w:marBottom w:val="0"/>
      <w:divBdr>
        <w:top w:val="none" w:sz="0" w:space="0" w:color="auto"/>
        <w:left w:val="none" w:sz="0" w:space="0" w:color="auto"/>
        <w:bottom w:val="none" w:sz="0" w:space="0" w:color="auto"/>
        <w:right w:val="none" w:sz="0" w:space="0" w:color="auto"/>
      </w:divBdr>
    </w:div>
    <w:div w:id="1662808327">
      <w:bodyDiv w:val="1"/>
      <w:marLeft w:val="0"/>
      <w:marRight w:val="0"/>
      <w:marTop w:val="0"/>
      <w:marBottom w:val="0"/>
      <w:divBdr>
        <w:top w:val="none" w:sz="0" w:space="0" w:color="auto"/>
        <w:left w:val="none" w:sz="0" w:space="0" w:color="auto"/>
        <w:bottom w:val="none" w:sz="0" w:space="0" w:color="auto"/>
        <w:right w:val="none" w:sz="0" w:space="0" w:color="auto"/>
      </w:divBdr>
    </w:div>
    <w:div w:id="1663701080">
      <w:bodyDiv w:val="1"/>
      <w:marLeft w:val="0"/>
      <w:marRight w:val="0"/>
      <w:marTop w:val="0"/>
      <w:marBottom w:val="0"/>
      <w:divBdr>
        <w:top w:val="none" w:sz="0" w:space="0" w:color="auto"/>
        <w:left w:val="none" w:sz="0" w:space="0" w:color="auto"/>
        <w:bottom w:val="none" w:sz="0" w:space="0" w:color="auto"/>
        <w:right w:val="none" w:sz="0" w:space="0" w:color="auto"/>
      </w:divBdr>
    </w:div>
    <w:div w:id="1665359309">
      <w:bodyDiv w:val="1"/>
      <w:marLeft w:val="0"/>
      <w:marRight w:val="0"/>
      <w:marTop w:val="0"/>
      <w:marBottom w:val="0"/>
      <w:divBdr>
        <w:top w:val="none" w:sz="0" w:space="0" w:color="auto"/>
        <w:left w:val="none" w:sz="0" w:space="0" w:color="auto"/>
        <w:bottom w:val="none" w:sz="0" w:space="0" w:color="auto"/>
        <w:right w:val="none" w:sz="0" w:space="0" w:color="auto"/>
      </w:divBdr>
    </w:div>
    <w:div w:id="1667131612">
      <w:bodyDiv w:val="1"/>
      <w:marLeft w:val="0"/>
      <w:marRight w:val="0"/>
      <w:marTop w:val="0"/>
      <w:marBottom w:val="0"/>
      <w:divBdr>
        <w:top w:val="none" w:sz="0" w:space="0" w:color="auto"/>
        <w:left w:val="none" w:sz="0" w:space="0" w:color="auto"/>
        <w:bottom w:val="none" w:sz="0" w:space="0" w:color="auto"/>
        <w:right w:val="none" w:sz="0" w:space="0" w:color="auto"/>
      </w:divBdr>
    </w:div>
    <w:div w:id="1667172752">
      <w:bodyDiv w:val="1"/>
      <w:marLeft w:val="0"/>
      <w:marRight w:val="0"/>
      <w:marTop w:val="0"/>
      <w:marBottom w:val="0"/>
      <w:divBdr>
        <w:top w:val="none" w:sz="0" w:space="0" w:color="auto"/>
        <w:left w:val="none" w:sz="0" w:space="0" w:color="auto"/>
        <w:bottom w:val="none" w:sz="0" w:space="0" w:color="auto"/>
        <w:right w:val="none" w:sz="0" w:space="0" w:color="auto"/>
      </w:divBdr>
    </w:div>
    <w:div w:id="1667660207">
      <w:bodyDiv w:val="1"/>
      <w:marLeft w:val="0"/>
      <w:marRight w:val="0"/>
      <w:marTop w:val="0"/>
      <w:marBottom w:val="0"/>
      <w:divBdr>
        <w:top w:val="none" w:sz="0" w:space="0" w:color="auto"/>
        <w:left w:val="none" w:sz="0" w:space="0" w:color="auto"/>
        <w:bottom w:val="none" w:sz="0" w:space="0" w:color="auto"/>
        <w:right w:val="none" w:sz="0" w:space="0" w:color="auto"/>
      </w:divBdr>
    </w:div>
    <w:div w:id="1668050713">
      <w:bodyDiv w:val="1"/>
      <w:marLeft w:val="0"/>
      <w:marRight w:val="0"/>
      <w:marTop w:val="0"/>
      <w:marBottom w:val="0"/>
      <w:divBdr>
        <w:top w:val="none" w:sz="0" w:space="0" w:color="auto"/>
        <w:left w:val="none" w:sz="0" w:space="0" w:color="auto"/>
        <w:bottom w:val="none" w:sz="0" w:space="0" w:color="auto"/>
        <w:right w:val="none" w:sz="0" w:space="0" w:color="auto"/>
      </w:divBdr>
    </w:div>
    <w:div w:id="1669020451">
      <w:bodyDiv w:val="1"/>
      <w:marLeft w:val="0"/>
      <w:marRight w:val="0"/>
      <w:marTop w:val="0"/>
      <w:marBottom w:val="0"/>
      <w:divBdr>
        <w:top w:val="none" w:sz="0" w:space="0" w:color="auto"/>
        <w:left w:val="none" w:sz="0" w:space="0" w:color="auto"/>
        <w:bottom w:val="none" w:sz="0" w:space="0" w:color="auto"/>
        <w:right w:val="none" w:sz="0" w:space="0" w:color="auto"/>
      </w:divBdr>
    </w:div>
    <w:div w:id="1673291513">
      <w:bodyDiv w:val="1"/>
      <w:marLeft w:val="0"/>
      <w:marRight w:val="0"/>
      <w:marTop w:val="0"/>
      <w:marBottom w:val="0"/>
      <w:divBdr>
        <w:top w:val="none" w:sz="0" w:space="0" w:color="auto"/>
        <w:left w:val="none" w:sz="0" w:space="0" w:color="auto"/>
        <w:bottom w:val="none" w:sz="0" w:space="0" w:color="auto"/>
        <w:right w:val="none" w:sz="0" w:space="0" w:color="auto"/>
      </w:divBdr>
    </w:div>
    <w:div w:id="1674604096">
      <w:bodyDiv w:val="1"/>
      <w:marLeft w:val="0"/>
      <w:marRight w:val="0"/>
      <w:marTop w:val="0"/>
      <w:marBottom w:val="0"/>
      <w:divBdr>
        <w:top w:val="none" w:sz="0" w:space="0" w:color="auto"/>
        <w:left w:val="none" w:sz="0" w:space="0" w:color="auto"/>
        <w:bottom w:val="none" w:sz="0" w:space="0" w:color="auto"/>
        <w:right w:val="none" w:sz="0" w:space="0" w:color="auto"/>
      </w:divBdr>
    </w:div>
    <w:div w:id="1675373103">
      <w:bodyDiv w:val="1"/>
      <w:marLeft w:val="0"/>
      <w:marRight w:val="0"/>
      <w:marTop w:val="0"/>
      <w:marBottom w:val="0"/>
      <w:divBdr>
        <w:top w:val="none" w:sz="0" w:space="0" w:color="auto"/>
        <w:left w:val="none" w:sz="0" w:space="0" w:color="auto"/>
        <w:bottom w:val="none" w:sz="0" w:space="0" w:color="auto"/>
        <w:right w:val="none" w:sz="0" w:space="0" w:color="auto"/>
      </w:divBdr>
    </w:div>
    <w:div w:id="1676374589">
      <w:bodyDiv w:val="1"/>
      <w:marLeft w:val="0"/>
      <w:marRight w:val="0"/>
      <w:marTop w:val="0"/>
      <w:marBottom w:val="0"/>
      <w:divBdr>
        <w:top w:val="none" w:sz="0" w:space="0" w:color="auto"/>
        <w:left w:val="none" w:sz="0" w:space="0" w:color="auto"/>
        <w:bottom w:val="none" w:sz="0" w:space="0" w:color="auto"/>
        <w:right w:val="none" w:sz="0" w:space="0" w:color="auto"/>
      </w:divBdr>
    </w:div>
    <w:div w:id="1677265412">
      <w:bodyDiv w:val="1"/>
      <w:marLeft w:val="0"/>
      <w:marRight w:val="0"/>
      <w:marTop w:val="0"/>
      <w:marBottom w:val="0"/>
      <w:divBdr>
        <w:top w:val="none" w:sz="0" w:space="0" w:color="auto"/>
        <w:left w:val="none" w:sz="0" w:space="0" w:color="auto"/>
        <w:bottom w:val="none" w:sz="0" w:space="0" w:color="auto"/>
        <w:right w:val="none" w:sz="0" w:space="0" w:color="auto"/>
      </w:divBdr>
    </w:div>
    <w:div w:id="1678927099">
      <w:bodyDiv w:val="1"/>
      <w:marLeft w:val="0"/>
      <w:marRight w:val="0"/>
      <w:marTop w:val="0"/>
      <w:marBottom w:val="0"/>
      <w:divBdr>
        <w:top w:val="none" w:sz="0" w:space="0" w:color="auto"/>
        <w:left w:val="none" w:sz="0" w:space="0" w:color="auto"/>
        <w:bottom w:val="none" w:sz="0" w:space="0" w:color="auto"/>
        <w:right w:val="none" w:sz="0" w:space="0" w:color="auto"/>
      </w:divBdr>
    </w:div>
    <w:div w:id="1680309014">
      <w:bodyDiv w:val="1"/>
      <w:marLeft w:val="0"/>
      <w:marRight w:val="0"/>
      <w:marTop w:val="0"/>
      <w:marBottom w:val="0"/>
      <w:divBdr>
        <w:top w:val="none" w:sz="0" w:space="0" w:color="auto"/>
        <w:left w:val="none" w:sz="0" w:space="0" w:color="auto"/>
        <w:bottom w:val="none" w:sz="0" w:space="0" w:color="auto"/>
        <w:right w:val="none" w:sz="0" w:space="0" w:color="auto"/>
      </w:divBdr>
    </w:div>
    <w:div w:id="1685548758">
      <w:bodyDiv w:val="1"/>
      <w:marLeft w:val="0"/>
      <w:marRight w:val="0"/>
      <w:marTop w:val="0"/>
      <w:marBottom w:val="0"/>
      <w:divBdr>
        <w:top w:val="none" w:sz="0" w:space="0" w:color="auto"/>
        <w:left w:val="none" w:sz="0" w:space="0" w:color="auto"/>
        <w:bottom w:val="none" w:sz="0" w:space="0" w:color="auto"/>
        <w:right w:val="none" w:sz="0" w:space="0" w:color="auto"/>
      </w:divBdr>
    </w:div>
    <w:div w:id="1686401370">
      <w:bodyDiv w:val="1"/>
      <w:marLeft w:val="0"/>
      <w:marRight w:val="0"/>
      <w:marTop w:val="0"/>
      <w:marBottom w:val="0"/>
      <w:divBdr>
        <w:top w:val="none" w:sz="0" w:space="0" w:color="auto"/>
        <w:left w:val="none" w:sz="0" w:space="0" w:color="auto"/>
        <w:bottom w:val="none" w:sz="0" w:space="0" w:color="auto"/>
        <w:right w:val="none" w:sz="0" w:space="0" w:color="auto"/>
      </w:divBdr>
    </w:div>
    <w:div w:id="1686859224">
      <w:bodyDiv w:val="1"/>
      <w:marLeft w:val="0"/>
      <w:marRight w:val="0"/>
      <w:marTop w:val="0"/>
      <w:marBottom w:val="0"/>
      <w:divBdr>
        <w:top w:val="none" w:sz="0" w:space="0" w:color="auto"/>
        <w:left w:val="none" w:sz="0" w:space="0" w:color="auto"/>
        <w:bottom w:val="none" w:sz="0" w:space="0" w:color="auto"/>
        <w:right w:val="none" w:sz="0" w:space="0" w:color="auto"/>
      </w:divBdr>
    </w:div>
    <w:div w:id="1687903918">
      <w:bodyDiv w:val="1"/>
      <w:marLeft w:val="0"/>
      <w:marRight w:val="0"/>
      <w:marTop w:val="0"/>
      <w:marBottom w:val="0"/>
      <w:divBdr>
        <w:top w:val="none" w:sz="0" w:space="0" w:color="auto"/>
        <w:left w:val="none" w:sz="0" w:space="0" w:color="auto"/>
        <w:bottom w:val="none" w:sz="0" w:space="0" w:color="auto"/>
        <w:right w:val="none" w:sz="0" w:space="0" w:color="auto"/>
      </w:divBdr>
    </w:div>
    <w:div w:id="1688216646">
      <w:bodyDiv w:val="1"/>
      <w:marLeft w:val="0"/>
      <w:marRight w:val="0"/>
      <w:marTop w:val="0"/>
      <w:marBottom w:val="0"/>
      <w:divBdr>
        <w:top w:val="none" w:sz="0" w:space="0" w:color="auto"/>
        <w:left w:val="none" w:sz="0" w:space="0" w:color="auto"/>
        <w:bottom w:val="none" w:sz="0" w:space="0" w:color="auto"/>
        <w:right w:val="none" w:sz="0" w:space="0" w:color="auto"/>
      </w:divBdr>
    </w:div>
    <w:div w:id="1690528721">
      <w:bodyDiv w:val="1"/>
      <w:marLeft w:val="0"/>
      <w:marRight w:val="0"/>
      <w:marTop w:val="0"/>
      <w:marBottom w:val="0"/>
      <w:divBdr>
        <w:top w:val="none" w:sz="0" w:space="0" w:color="auto"/>
        <w:left w:val="none" w:sz="0" w:space="0" w:color="auto"/>
        <w:bottom w:val="none" w:sz="0" w:space="0" w:color="auto"/>
        <w:right w:val="none" w:sz="0" w:space="0" w:color="auto"/>
      </w:divBdr>
    </w:div>
    <w:div w:id="1690982520">
      <w:bodyDiv w:val="1"/>
      <w:marLeft w:val="0"/>
      <w:marRight w:val="0"/>
      <w:marTop w:val="0"/>
      <w:marBottom w:val="0"/>
      <w:divBdr>
        <w:top w:val="none" w:sz="0" w:space="0" w:color="auto"/>
        <w:left w:val="none" w:sz="0" w:space="0" w:color="auto"/>
        <w:bottom w:val="none" w:sz="0" w:space="0" w:color="auto"/>
        <w:right w:val="none" w:sz="0" w:space="0" w:color="auto"/>
      </w:divBdr>
    </w:div>
    <w:div w:id="1691761870">
      <w:bodyDiv w:val="1"/>
      <w:marLeft w:val="0"/>
      <w:marRight w:val="0"/>
      <w:marTop w:val="0"/>
      <w:marBottom w:val="0"/>
      <w:divBdr>
        <w:top w:val="none" w:sz="0" w:space="0" w:color="auto"/>
        <w:left w:val="none" w:sz="0" w:space="0" w:color="auto"/>
        <w:bottom w:val="none" w:sz="0" w:space="0" w:color="auto"/>
        <w:right w:val="none" w:sz="0" w:space="0" w:color="auto"/>
      </w:divBdr>
    </w:div>
    <w:div w:id="1692103905">
      <w:bodyDiv w:val="1"/>
      <w:marLeft w:val="0"/>
      <w:marRight w:val="0"/>
      <w:marTop w:val="0"/>
      <w:marBottom w:val="0"/>
      <w:divBdr>
        <w:top w:val="none" w:sz="0" w:space="0" w:color="auto"/>
        <w:left w:val="none" w:sz="0" w:space="0" w:color="auto"/>
        <w:bottom w:val="none" w:sz="0" w:space="0" w:color="auto"/>
        <w:right w:val="none" w:sz="0" w:space="0" w:color="auto"/>
      </w:divBdr>
    </w:div>
    <w:div w:id="1692292241">
      <w:bodyDiv w:val="1"/>
      <w:marLeft w:val="0"/>
      <w:marRight w:val="0"/>
      <w:marTop w:val="0"/>
      <w:marBottom w:val="0"/>
      <w:divBdr>
        <w:top w:val="none" w:sz="0" w:space="0" w:color="auto"/>
        <w:left w:val="none" w:sz="0" w:space="0" w:color="auto"/>
        <w:bottom w:val="none" w:sz="0" w:space="0" w:color="auto"/>
        <w:right w:val="none" w:sz="0" w:space="0" w:color="auto"/>
      </w:divBdr>
    </w:div>
    <w:div w:id="1694109569">
      <w:bodyDiv w:val="1"/>
      <w:marLeft w:val="0"/>
      <w:marRight w:val="0"/>
      <w:marTop w:val="0"/>
      <w:marBottom w:val="0"/>
      <w:divBdr>
        <w:top w:val="none" w:sz="0" w:space="0" w:color="auto"/>
        <w:left w:val="none" w:sz="0" w:space="0" w:color="auto"/>
        <w:bottom w:val="none" w:sz="0" w:space="0" w:color="auto"/>
        <w:right w:val="none" w:sz="0" w:space="0" w:color="auto"/>
      </w:divBdr>
    </w:div>
    <w:div w:id="1694258638">
      <w:bodyDiv w:val="1"/>
      <w:marLeft w:val="0"/>
      <w:marRight w:val="0"/>
      <w:marTop w:val="0"/>
      <w:marBottom w:val="0"/>
      <w:divBdr>
        <w:top w:val="none" w:sz="0" w:space="0" w:color="auto"/>
        <w:left w:val="none" w:sz="0" w:space="0" w:color="auto"/>
        <w:bottom w:val="none" w:sz="0" w:space="0" w:color="auto"/>
        <w:right w:val="none" w:sz="0" w:space="0" w:color="auto"/>
      </w:divBdr>
    </w:div>
    <w:div w:id="1695037874">
      <w:bodyDiv w:val="1"/>
      <w:marLeft w:val="0"/>
      <w:marRight w:val="0"/>
      <w:marTop w:val="0"/>
      <w:marBottom w:val="0"/>
      <w:divBdr>
        <w:top w:val="none" w:sz="0" w:space="0" w:color="auto"/>
        <w:left w:val="none" w:sz="0" w:space="0" w:color="auto"/>
        <w:bottom w:val="none" w:sz="0" w:space="0" w:color="auto"/>
        <w:right w:val="none" w:sz="0" w:space="0" w:color="auto"/>
      </w:divBdr>
    </w:div>
    <w:div w:id="1695158095">
      <w:bodyDiv w:val="1"/>
      <w:marLeft w:val="0"/>
      <w:marRight w:val="0"/>
      <w:marTop w:val="0"/>
      <w:marBottom w:val="0"/>
      <w:divBdr>
        <w:top w:val="none" w:sz="0" w:space="0" w:color="auto"/>
        <w:left w:val="none" w:sz="0" w:space="0" w:color="auto"/>
        <w:bottom w:val="none" w:sz="0" w:space="0" w:color="auto"/>
        <w:right w:val="none" w:sz="0" w:space="0" w:color="auto"/>
      </w:divBdr>
    </w:div>
    <w:div w:id="1696229409">
      <w:bodyDiv w:val="1"/>
      <w:marLeft w:val="0"/>
      <w:marRight w:val="0"/>
      <w:marTop w:val="0"/>
      <w:marBottom w:val="0"/>
      <w:divBdr>
        <w:top w:val="none" w:sz="0" w:space="0" w:color="auto"/>
        <w:left w:val="none" w:sz="0" w:space="0" w:color="auto"/>
        <w:bottom w:val="none" w:sz="0" w:space="0" w:color="auto"/>
        <w:right w:val="none" w:sz="0" w:space="0" w:color="auto"/>
      </w:divBdr>
    </w:div>
    <w:div w:id="1697536827">
      <w:bodyDiv w:val="1"/>
      <w:marLeft w:val="0"/>
      <w:marRight w:val="0"/>
      <w:marTop w:val="0"/>
      <w:marBottom w:val="0"/>
      <w:divBdr>
        <w:top w:val="none" w:sz="0" w:space="0" w:color="auto"/>
        <w:left w:val="none" w:sz="0" w:space="0" w:color="auto"/>
        <w:bottom w:val="none" w:sz="0" w:space="0" w:color="auto"/>
        <w:right w:val="none" w:sz="0" w:space="0" w:color="auto"/>
      </w:divBdr>
    </w:div>
    <w:div w:id="1697610424">
      <w:bodyDiv w:val="1"/>
      <w:marLeft w:val="0"/>
      <w:marRight w:val="0"/>
      <w:marTop w:val="0"/>
      <w:marBottom w:val="0"/>
      <w:divBdr>
        <w:top w:val="none" w:sz="0" w:space="0" w:color="auto"/>
        <w:left w:val="none" w:sz="0" w:space="0" w:color="auto"/>
        <w:bottom w:val="none" w:sz="0" w:space="0" w:color="auto"/>
        <w:right w:val="none" w:sz="0" w:space="0" w:color="auto"/>
      </w:divBdr>
    </w:div>
    <w:div w:id="1699702148">
      <w:bodyDiv w:val="1"/>
      <w:marLeft w:val="0"/>
      <w:marRight w:val="0"/>
      <w:marTop w:val="0"/>
      <w:marBottom w:val="0"/>
      <w:divBdr>
        <w:top w:val="none" w:sz="0" w:space="0" w:color="auto"/>
        <w:left w:val="none" w:sz="0" w:space="0" w:color="auto"/>
        <w:bottom w:val="none" w:sz="0" w:space="0" w:color="auto"/>
        <w:right w:val="none" w:sz="0" w:space="0" w:color="auto"/>
      </w:divBdr>
    </w:div>
    <w:div w:id="1699771986">
      <w:bodyDiv w:val="1"/>
      <w:marLeft w:val="0"/>
      <w:marRight w:val="0"/>
      <w:marTop w:val="0"/>
      <w:marBottom w:val="0"/>
      <w:divBdr>
        <w:top w:val="none" w:sz="0" w:space="0" w:color="auto"/>
        <w:left w:val="none" w:sz="0" w:space="0" w:color="auto"/>
        <w:bottom w:val="none" w:sz="0" w:space="0" w:color="auto"/>
        <w:right w:val="none" w:sz="0" w:space="0" w:color="auto"/>
      </w:divBdr>
    </w:div>
    <w:div w:id="1700354564">
      <w:bodyDiv w:val="1"/>
      <w:marLeft w:val="0"/>
      <w:marRight w:val="0"/>
      <w:marTop w:val="0"/>
      <w:marBottom w:val="0"/>
      <w:divBdr>
        <w:top w:val="none" w:sz="0" w:space="0" w:color="auto"/>
        <w:left w:val="none" w:sz="0" w:space="0" w:color="auto"/>
        <w:bottom w:val="none" w:sz="0" w:space="0" w:color="auto"/>
        <w:right w:val="none" w:sz="0" w:space="0" w:color="auto"/>
      </w:divBdr>
    </w:div>
    <w:div w:id="1701053880">
      <w:bodyDiv w:val="1"/>
      <w:marLeft w:val="0"/>
      <w:marRight w:val="0"/>
      <w:marTop w:val="0"/>
      <w:marBottom w:val="0"/>
      <w:divBdr>
        <w:top w:val="none" w:sz="0" w:space="0" w:color="auto"/>
        <w:left w:val="none" w:sz="0" w:space="0" w:color="auto"/>
        <w:bottom w:val="none" w:sz="0" w:space="0" w:color="auto"/>
        <w:right w:val="none" w:sz="0" w:space="0" w:color="auto"/>
      </w:divBdr>
    </w:div>
    <w:div w:id="1701130607">
      <w:bodyDiv w:val="1"/>
      <w:marLeft w:val="0"/>
      <w:marRight w:val="0"/>
      <w:marTop w:val="0"/>
      <w:marBottom w:val="0"/>
      <w:divBdr>
        <w:top w:val="none" w:sz="0" w:space="0" w:color="auto"/>
        <w:left w:val="none" w:sz="0" w:space="0" w:color="auto"/>
        <w:bottom w:val="none" w:sz="0" w:space="0" w:color="auto"/>
        <w:right w:val="none" w:sz="0" w:space="0" w:color="auto"/>
      </w:divBdr>
    </w:div>
    <w:div w:id="1701272166">
      <w:bodyDiv w:val="1"/>
      <w:marLeft w:val="0"/>
      <w:marRight w:val="0"/>
      <w:marTop w:val="0"/>
      <w:marBottom w:val="0"/>
      <w:divBdr>
        <w:top w:val="none" w:sz="0" w:space="0" w:color="auto"/>
        <w:left w:val="none" w:sz="0" w:space="0" w:color="auto"/>
        <w:bottom w:val="none" w:sz="0" w:space="0" w:color="auto"/>
        <w:right w:val="none" w:sz="0" w:space="0" w:color="auto"/>
      </w:divBdr>
    </w:div>
    <w:div w:id="1701516782">
      <w:bodyDiv w:val="1"/>
      <w:marLeft w:val="0"/>
      <w:marRight w:val="0"/>
      <w:marTop w:val="0"/>
      <w:marBottom w:val="0"/>
      <w:divBdr>
        <w:top w:val="none" w:sz="0" w:space="0" w:color="auto"/>
        <w:left w:val="none" w:sz="0" w:space="0" w:color="auto"/>
        <w:bottom w:val="none" w:sz="0" w:space="0" w:color="auto"/>
        <w:right w:val="none" w:sz="0" w:space="0" w:color="auto"/>
      </w:divBdr>
    </w:div>
    <w:div w:id="1701738742">
      <w:bodyDiv w:val="1"/>
      <w:marLeft w:val="0"/>
      <w:marRight w:val="0"/>
      <w:marTop w:val="0"/>
      <w:marBottom w:val="0"/>
      <w:divBdr>
        <w:top w:val="none" w:sz="0" w:space="0" w:color="auto"/>
        <w:left w:val="none" w:sz="0" w:space="0" w:color="auto"/>
        <w:bottom w:val="none" w:sz="0" w:space="0" w:color="auto"/>
        <w:right w:val="none" w:sz="0" w:space="0" w:color="auto"/>
      </w:divBdr>
    </w:div>
    <w:div w:id="1703633075">
      <w:bodyDiv w:val="1"/>
      <w:marLeft w:val="0"/>
      <w:marRight w:val="0"/>
      <w:marTop w:val="0"/>
      <w:marBottom w:val="0"/>
      <w:divBdr>
        <w:top w:val="none" w:sz="0" w:space="0" w:color="auto"/>
        <w:left w:val="none" w:sz="0" w:space="0" w:color="auto"/>
        <w:bottom w:val="none" w:sz="0" w:space="0" w:color="auto"/>
        <w:right w:val="none" w:sz="0" w:space="0" w:color="auto"/>
      </w:divBdr>
    </w:div>
    <w:div w:id="1705709223">
      <w:bodyDiv w:val="1"/>
      <w:marLeft w:val="0"/>
      <w:marRight w:val="0"/>
      <w:marTop w:val="0"/>
      <w:marBottom w:val="0"/>
      <w:divBdr>
        <w:top w:val="none" w:sz="0" w:space="0" w:color="auto"/>
        <w:left w:val="none" w:sz="0" w:space="0" w:color="auto"/>
        <w:bottom w:val="none" w:sz="0" w:space="0" w:color="auto"/>
        <w:right w:val="none" w:sz="0" w:space="0" w:color="auto"/>
      </w:divBdr>
    </w:div>
    <w:div w:id="1706247393">
      <w:bodyDiv w:val="1"/>
      <w:marLeft w:val="0"/>
      <w:marRight w:val="0"/>
      <w:marTop w:val="0"/>
      <w:marBottom w:val="0"/>
      <w:divBdr>
        <w:top w:val="none" w:sz="0" w:space="0" w:color="auto"/>
        <w:left w:val="none" w:sz="0" w:space="0" w:color="auto"/>
        <w:bottom w:val="none" w:sz="0" w:space="0" w:color="auto"/>
        <w:right w:val="none" w:sz="0" w:space="0" w:color="auto"/>
      </w:divBdr>
    </w:div>
    <w:div w:id="1706908166">
      <w:bodyDiv w:val="1"/>
      <w:marLeft w:val="0"/>
      <w:marRight w:val="0"/>
      <w:marTop w:val="0"/>
      <w:marBottom w:val="0"/>
      <w:divBdr>
        <w:top w:val="none" w:sz="0" w:space="0" w:color="auto"/>
        <w:left w:val="none" w:sz="0" w:space="0" w:color="auto"/>
        <w:bottom w:val="none" w:sz="0" w:space="0" w:color="auto"/>
        <w:right w:val="none" w:sz="0" w:space="0" w:color="auto"/>
      </w:divBdr>
    </w:div>
    <w:div w:id="1707752480">
      <w:bodyDiv w:val="1"/>
      <w:marLeft w:val="0"/>
      <w:marRight w:val="0"/>
      <w:marTop w:val="0"/>
      <w:marBottom w:val="0"/>
      <w:divBdr>
        <w:top w:val="none" w:sz="0" w:space="0" w:color="auto"/>
        <w:left w:val="none" w:sz="0" w:space="0" w:color="auto"/>
        <w:bottom w:val="none" w:sz="0" w:space="0" w:color="auto"/>
        <w:right w:val="none" w:sz="0" w:space="0" w:color="auto"/>
      </w:divBdr>
    </w:div>
    <w:div w:id="1707824780">
      <w:bodyDiv w:val="1"/>
      <w:marLeft w:val="0"/>
      <w:marRight w:val="0"/>
      <w:marTop w:val="0"/>
      <w:marBottom w:val="0"/>
      <w:divBdr>
        <w:top w:val="none" w:sz="0" w:space="0" w:color="auto"/>
        <w:left w:val="none" w:sz="0" w:space="0" w:color="auto"/>
        <w:bottom w:val="none" w:sz="0" w:space="0" w:color="auto"/>
        <w:right w:val="none" w:sz="0" w:space="0" w:color="auto"/>
      </w:divBdr>
    </w:div>
    <w:div w:id="1708220921">
      <w:bodyDiv w:val="1"/>
      <w:marLeft w:val="0"/>
      <w:marRight w:val="0"/>
      <w:marTop w:val="0"/>
      <w:marBottom w:val="0"/>
      <w:divBdr>
        <w:top w:val="none" w:sz="0" w:space="0" w:color="auto"/>
        <w:left w:val="none" w:sz="0" w:space="0" w:color="auto"/>
        <w:bottom w:val="none" w:sz="0" w:space="0" w:color="auto"/>
        <w:right w:val="none" w:sz="0" w:space="0" w:color="auto"/>
      </w:divBdr>
    </w:div>
    <w:div w:id="1708525299">
      <w:bodyDiv w:val="1"/>
      <w:marLeft w:val="0"/>
      <w:marRight w:val="0"/>
      <w:marTop w:val="0"/>
      <w:marBottom w:val="0"/>
      <w:divBdr>
        <w:top w:val="none" w:sz="0" w:space="0" w:color="auto"/>
        <w:left w:val="none" w:sz="0" w:space="0" w:color="auto"/>
        <w:bottom w:val="none" w:sz="0" w:space="0" w:color="auto"/>
        <w:right w:val="none" w:sz="0" w:space="0" w:color="auto"/>
      </w:divBdr>
    </w:div>
    <w:div w:id="1709989009">
      <w:bodyDiv w:val="1"/>
      <w:marLeft w:val="0"/>
      <w:marRight w:val="0"/>
      <w:marTop w:val="0"/>
      <w:marBottom w:val="0"/>
      <w:divBdr>
        <w:top w:val="none" w:sz="0" w:space="0" w:color="auto"/>
        <w:left w:val="none" w:sz="0" w:space="0" w:color="auto"/>
        <w:bottom w:val="none" w:sz="0" w:space="0" w:color="auto"/>
        <w:right w:val="none" w:sz="0" w:space="0" w:color="auto"/>
      </w:divBdr>
    </w:div>
    <w:div w:id="1710452385">
      <w:bodyDiv w:val="1"/>
      <w:marLeft w:val="0"/>
      <w:marRight w:val="0"/>
      <w:marTop w:val="0"/>
      <w:marBottom w:val="0"/>
      <w:divBdr>
        <w:top w:val="none" w:sz="0" w:space="0" w:color="auto"/>
        <w:left w:val="none" w:sz="0" w:space="0" w:color="auto"/>
        <w:bottom w:val="none" w:sz="0" w:space="0" w:color="auto"/>
        <w:right w:val="none" w:sz="0" w:space="0" w:color="auto"/>
      </w:divBdr>
    </w:div>
    <w:div w:id="1711419141">
      <w:bodyDiv w:val="1"/>
      <w:marLeft w:val="0"/>
      <w:marRight w:val="0"/>
      <w:marTop w:val="0"/>
      <w:marBottom w:val="0"/>
      <w:divBdr>
        <w:top w:val="none" w:sz="0" w:space="0" w:color="auto"/>
        <w:left w:val="none" w:sz="0" w:space="0" w:color="auto"/>
        <w:bottom w:val="none" w:sz="0" w:space="0" w:color="auto"/>
        <w:right w:val="none" w:sz="0" w:space="0" w:color="auto"/>
      </w:divBdr>
    </w:div>
    <w:div w:id="1711420825">
      <w:bodyDiv w:val="1"/>
      <w:marLeft w:val="0"/>
      <w:marRight w:val="0"/>
      <w:marTop w:val="0"/>
      <w:marBottom w:val="0"/>
      <w:divBdr>
        <w:top w:val="none" w:sz="0" w:space="0" w:color="auto"/>
        <w:left w:val="none" w:sz="0" w:space="0" w:color="auto"/>
        <w:bottom w:val="none" w:sz="0" w:space="0" w:color="auto"/>
        <w:right w:val="none" w:sz="0" w:space="0" w:color="auto"/>
      </w:divBdr>
    </w:div>
    <w:div w:id="1712613816">
      <w:bodyDiv w:val="1"/>
      <w:marLeft w:val="0"/>
      <w:marRight w:val="0"/>
      <w:marTop w:val="0"/>
      <w:marBottom w:val="0"/>
      <w:divBdr>
        <w:top w:val="none" w:sz="0" w:space="0" w:color="auto"/>
        <w:left w:val="none" w:sz="0" w:space="0" w:color="auto"/>
        <w:bottom w:val="none" w:sz="0" w:space="0" w:color="auto"/>
        <w:right w:val="none" w:sz="0" w:space="0" w:color="auto"/>
      </w:divBdr>
    </w:div>
    <w:div w:id="1715501713">
      <w:bodyDiv w:val="1"/>
      <w:marLeft w:val="0"/>
      <w:marRight w:val="0"/>
      <w:marTop w:val="0"/>
      <w:marBottom w:val="0"/>
      <w:divBdr>
        <w:top w:val="none" w:sz="0" w:space="0" w:color="auto"/>
        <w:left w:val="none" w:sz="0" w:space="0" w:color="auto"/>
        <w:bottom w:val="none" w:sz="0" w:space="0" w:color="auto"/>
        <w:right w:val="none" w:sz="0" w:space="0" w:color="auto"/>
      </w:divBdr>
    </w:div>
    <w:div w:id="1722173587">
      <w:bodyDiv w:val="1"/>
      <w:marLeft w:val="0"/>
      <w:marRight w:val="0"/>
      <w:marTop w:val="0"/>
      <w:marBottom w:val="0"/>
      <w:divBdr>
        <w:top w:val="none" w:sz="0" w:space="0" w:color="auto"/>
        <w:left w:val="none" w:sz="0" w:space="0" w:color="auto"/>
        <w:bottom w:val="none" w:sz="0" w:space="0" w:color="auto"/>
        <w:right w:val="none" w:sz="0" w:space="0" w:color="auto"/>
      </w:divBdr>
    </w:div>
    <w:div w:id="1723168749">
      <w:bodyDiv w:val="1"/>
      <w:marLeft w:val="0"/>
      <w:marRight w:val="0"/>
      <w:marTop w:val="0"/>
      <w:marBottom w:val="0"/>
      <w:divBdr>
        <w:top w:val="none" w:sz="0" w:space="0" w:color="auto"/>
        <w:left w:val="none" w:sz="0" w:space="0" w:color="auto"/>
        <w:bottom w:val="none" w:sz="0" w:space="0" w:color="auto"/>
        <w:right w:val="none" w:sz="0" w:space="0" w:color="auto"/>
      </w:divBdr>
    </w:div>
    <w:div w:id="1724789361">
      <w:bodyDiv w:val="1"/>
      <w:marLeft w:val="0"/>
      <w:marRight w:val="0"/>
      <w:marTop w:val="0"/>
      <w:marBottom w:val="0"/>
      <w:divBdr>
        <w:top w:val="none" w:sz="0" w:space="0" w:color="auto"/>
        <w:left w:val="none" w:sz="0" w:space="0" w:color="auto"/>
        <w:bottom w:val="none" w:sz="0" w:space="0" w:color="auto"/>
        <w:right w:val="none" w:sz="0" w:space="0" w:color="auto"/>
      </w:divBdr>
    </w:div>
    <w:div w:id="1725829480">
      <w:bodyDiv w:val="1"/>
      <w:marLeft w:val="0"/>
      <w:marRight w:val="0"/>
      <w:marTop w:val="0"/>
      <w:marBottom w:val="0"/>
      <w:divBdr>
        <w:top w:val="none" w:sz="0" w:space="0" w:color="auto"/>
        <w:left w:val="none" w:sz="0" w:space="0" w:color="auto"/>
        <w:bottom w:val="none" w:sz="0" w:space="0" w:color="auto"/>
        <w:right w:val="none" w:sz="0" w:space="0" w:color="auto"/>
      </w:divBdr>
    </w:div>
    <w:div w:id="1726642953">
      <w:bodyDiv w:val="1"/>
      <w:marLeft w:val="0"/>
      <w:marRight w:val="0"/>
      <w:marTop w:val="0"/>
      <w:marBottom w:val="0"/>
      <w:divBdr>
        <w:top w:val="none" w:sz="0" w:space="0" w:color="auto"/>
        <w:left w:val="none" w:sz="0" w:space="0" w:color="auto"/>
        <w:bottom w:val="none" w:sz="0" w:space="0" w:color="auto"/>
        <w:right w:val="none" w:sz="0" w:space="0" w:color="auto"/>
      </w:divBdr>
    </w:div>
    <w:div w:id="1727291039">
      <w:bodyDiv w:val="1"/>
      <w:marLeft w:val="0"/>
      <w:marRight w:val="0"/>
      <w:marTop w:val="0"/>
      <w:marBottom w:val="0"/>
      <w:divBdr>
        <w:top w:val="none" w:sz="0" w:space="0" w:color="auto"/>
        <w:left w:val="none" w:sz="0" w:space="0" w:color="auto"/>
        <w:bottom w:val="none" w:sz="0" w:space="0" w:color="auto"/>
        <w:right w:val="none" w:sz="0" w:space="0" w:color="auto"/>
      </w:divBdr>
    </w:div>
    <w:div w:id="1728260796">
      <w:bodyDiv w:val="1"/>
      <w:marLeft w:val="0"/>
      <w:marRight w:val="0"/>
      <w:marTop w:val="0"/>
      <w:marBottom w:val="0"/>
      <w:divBdr>
        <w:top w:val="none" w:sz="0" w:space="0" w:color="auto"/>
        <w:left w:val="none" w:sz="0" w:space="0" w:color="auto"/>
        <w:bottom w:val="none" w:sz="0" w:space="0" w:color="auto"/>
        <w:right w:val="none" w:sz="0" w:space="0" w:color="auto"/>
      </w:divBdr>
    </w:div>
    <w:div w:id="1729300166">
      <w:bodyDiv w:val="1"/>
      <w:marLeft w:val="0"/>
      <w:marRight w:val="0"/>
      <w:marTop w:val="0"/>
      <w:marBottom w:val="0"/>
      <w:divBdr>
        <w:top w:val="none" w:sz="0" w:space="0" w:color="auto"/>
        <w:left w:val="none" w:sz="0" w:space="0" w:color="auto"/>
        <w:bottom w:val="none" w:sz="0" w:space="0" w:color="auto"/>
        <w:right w:val="none" w:sz="0" w:space="0" w:color="auto"/>
      </w:divBdr>
    </w:div>
    <w:div w:id="1729301258">
      <w:bodyDiv w:val="1"/>
      <w:marLeft w:val="0"/>
      <w:marRight w:val="0"/>
      <w:marTop w:val="0"/>
      <w:marBottom w:val="0"/>
      <w:divBdr>
        <w:top w:val="none" w:sz="0" w:space="0" w:color="auto"/>
        <w:left w:val="none" w:sz="0" w:space="0" w:color="auto"/>
        <w:bottom w:val="none" w:sz="0" w:space="0" w:color="auto"/>
        <w:right w:val="none" w:sz="0" w:space="0" w:color="auto"/>
      </w:divBdr>
    </w:div>
    <w:div w:id="1731686526">
      <w:bodyDiv w:val="1"/>
      <w:marLeft w:val="0"/>
      <w:marRight w:val="0"/>
      <w:marTop w:val="0"/>
      <w:marBottom w:val="0"/>
      <w:divBdr>
        <w:top w:val="none" w:sz="0" w:space="0" w:color="auto"/>
        <w:left w:val="none" w:sz="0" w:space="0" w:color="auto"/>
        <w:bottom w:val="none" w:sz="0" w:space="0" w:color="auto"/>
        <w:right w:val="none" w:sz="0" w:space="0" w:color="auto"/>
      </w:divBdr>
    </w:div>
    <w:div w:id="1731807538">
      <w:bodyDiv w:val="1"/>
      <w:marLeft w:val="0"/>
      <w:marRight w:val="0"/>
      <w:marTop w:val="0"/>
      <w:marBottom w:val="0"/>
      <w:divBdr>
        <w:top w:val="none" w:sz="0" w:space="0" w:color="auto"/>
        <w:left w:val="none" w:sz="0" w:space="0" w:color="auto"/>
        <w:bottom w:val="none" w:sz="0" w:space="0" w:color="auto"/>
        <w:right w:val="none" w:sz="0" w:space="0" w:color="auto"/>
      </w:divBdr>
    </w:div>
    <w:div w:id="1732272255">
      <w:bodyDiv w:val="1"/>
      <w:marLeft w:val="0"/>
      <w:marRight w:val="0"/>
      <w:marTop w:val="0"/>
      <w:marBottom w:val="0"/>
      <w:divBdr>
        <w:top w:val="none" w:sz="0" w:space="0" w:color="auto"/>
        <w:left w:val="none" w:sz="0" w:space="0" w:color="auto"/>
        <w:bottom w:val="none" w:sz="0" w:space="0" w:color="auto"/>
        <w:right w:val="none" w:sz="0" w:space="0" w:color="auto"/>
      </w:divBdr>
    </w:div>
    <w:div w:id="1732924392">
      <w:bodyDiv w:val="1"/>
      <w:marLeft w:val="0"/>
      <w:marRight w:val="0"/>
      <w:marTop w:val="0"/>
      <w:marBottom w:val="0"/>
      <w:divBdr>
        <w:top w:val="none" w:sz="0" w:space="0" w:color="auto"/>
        <w:left w:val="none" w:sz="0" w:space="0" w:color="auto"/>
        <w:bottom w:val="none" w:sz="0" w:space="0" w:color="auto"/>
        <w:right w:val="none" w:sz="0" w:space="0" w:color="auto"/>
      </w:divBdr>
    </w:div>
    <w:div w:id="1733501249">
      <w:bodyDiv w:val="1"/>
      <w:marLeft w:val="0"/>
      <w:marRight w:val="0"/>
      <w:marTop w:val="0"/>
      <w:marBottom w:val="0"/>
      <w:divBdr>
        <w:top w:val="none" w:sz="0" w:space="0" w:color="auto"/>
        <w:left w:val="none" w:sz="0" w:space="0" w:color="auto"/>
        <w:bottom w:val="none" w:sz="0" w:space="0" w:color="auto"/>
        <w:right w:val="none" w:sz="0" w:space="0" w:color="auto"/>
      </w:divBdr>
    </w:div>
    <w:div w:id="1733654797">
      <w:bodyDiv w:val="1"/>
      <w:marLeft w:val="0"/>
      <w:marRight w:val="0"/>
      <w:marTop w:val="0"/>
      <w:marBottom w:val="0"/>
      <w:divBdr>
        <w:top w:val="none" w:sz="0" w:space="0" w:color="auto"/>
        <w:left w:val="none" w:sz="0" w:space="0" w:color="auto"/>
        <w:bottom w:val="none" w:sz="0" w:space="0" w:color="auto"/>
        <w:right w:val="none" w:sz="0" w:space="0" w:color="auto"/>
      </w:divBdr>
    </w:div>
    <w:div w:id="1734041074">
      <w:bodyDiv w:val="1"/>
      <w:marLeft w:val="0"/>
      <w:marRight w:val="0"/>
      <w:marTop w:val="0"/>
      <w:marBottom w:val="0"/>
      <w:divBdr>
        <w:top w:val="none" w:sz="0" w:space="0" w:color="auto"/>
        <w:left w:val="none" w:sz="0" w:space="0" w:color="auto"/>
        <w:bottom w:val="none" w:sz="0" w:space="0" w:color="auto"/>
        <w:right w:val="none" w:sz="0" w:space="0" w:color="auto"/>
      </w:divBdr>
    </w:div>
    <w:div w:id="1735084639">
      <w:bodyDiv w:val="1"/>
      <w:marLeft w:val="0"/>
      <w:marRight w:val="0"/>
      <w:marTop w:val="0"/>
      <w:marBottom w:val="0"/>
      <w:divBdr>
        <w:top w:val="none" w:sz="0" w:space="0" w:color="auto"/>
        <w:left w:val="none" w:sz="0" w:space="0" w:color="auto"/>
        <w:bottom w:val="none" w:sz="0" w:space="0" w:color="auto"/>
        <w:right w:val="none" w:sz="0" w:space="0" w:color="auto"/>
      </w:divBdr>
    </w:div>
    <w:div w:id="1735272632">
      <w:bodyDiv w:val="1"/>
      <w:marLeft w:val="0"/>
      <w:marRight w:val="0"/>
      <w:marTop w:val="0"/>
      <w:marBottom w:val="0"/>
      <w:divBdr>
        <w:top w:val="none" w:sz="0" w:space="0" w:color="auto"/>
        <w:left w:val="none" w:sz="0" w:space="0" w:color="auto"/>
        <w:bottom w:val="none" w:sz="0" w:space="0" w:color="auto"/>
        <w:right w:val="none" w:sz="0" w:space="0" w:color="auto"/>
      </w:divBdr>
    </w:div>
    <w:div w:id="1735275308">
      <w:bodyDiv w:val="1"/>
      <w:marLeft w:val="0"/>
      <w:marRight w:val="0"/>
      <w:marTop w:val="0"/>
      <w:marBottom w:val="0"/>
      <w:divBdr>
        <w:top w:val="none" w:sz="0" w:space="0" w:color="auto"/>
        <w:left w:val="none" w:sz="0" w:space="0" w:color="auto"/>
        <w:bottom w:val="none" w:sz="0" w:space="0" w:color="auto"/>
        <w:right w:val="none" w:sz="0" w:space="0" w:color="auto"/>
      </w:divBdr>
    </w:div>
    <w:div w:id="1735545099">
      <w:bodyDiv w:val="1"/>
      <w:marLeft w:val="0"/>
      <w:marRight w:val="0"/>
      <w:marTop w:val="0"/>
      <w:marBottom w:val="0"/>
      <w:divBdr>
        <w:top w:val="none" w:sz="0" w:space="0" w:color="auto"/>
        <w:left w:val="none" w:sz="0" w:space="0" w:color="auto"/>
        <w:bottom w:val="none" w:sz="0" w:space="0" w:color="auto"/>
        <w:right w:val="none" w:sz="0" w:space="0" w:color="auto"/>
      </w:divBdr>
    </w:div>
    <w:div w:id="1739551238">
      <w:bodyDiv w:val="1"/>
      <w:marLeft w:val="0"/>
      <w:marRight w:val="0"/>
      <w:marTop w:val="0"/>
      <w:marBottom w:val="0"/>
      <w:divBdr>
        <w:top w:val="none" w:sz="0" w:space="0" w:color="auto"/>
        <w:left w:val="none" w:sz="0" w:space="0" w:color="auto"/>
        <w:bottom w:val="none" w:sz="0" w:space="0" w:color="auto"/>
        <w:right w:val="none" w:sz="0" w:space="0" w:color="auto"/>
      </w:divBdr>
    </w:div>
    <w:div w:id="1740859004">
      <w:bodyDiv w:val="1"/>
      <w:marLeft w:val="0"/>
      <w:marRight w:val="0"/>
      <w:marTop w:val="0"/>
      <w:marBottom w:val="0"/>
      <w:divBdr>
        <w:top w:val="none" w:sz="0" w:space="0" w:color="auto"/>
        <w:left w:val="none" w:sz="0" w:space="0" w:color="auto"/>
        <w:bottom w:val="none" w:sz="0" w:space="0" w:color="auto"/>
        <w:right w:val="none" w:sz="0" w:space="0" w:color="auto"/>
      </w:divBdr>
    </w:div>
    <w:div w:id="1741174651">
      <w:bodyDiv w:val="1"/>
      <w:marLeft w:val="0"/>
      <w:marRight w:val="0"/>
      <w:marTop w:val="0"/>
      <w:marBottom w:val="0"/>
      <w:divBdr>
        <w:top w:val="none" w:sz="0" w:space="0" w:color="auto"/>
        <w:left w:val="none" w:sz="0" w:space="0" w:color="auto"/>
        <w:bottom w:val="none" w:sz="0" w:space="0" w:color="auto"/>
        <w:right w:val="none" w:sz="0" w:space="0" w:color="auto"/>
      </w:divBdr>
    </w:div>
    <w:div w:id="1741366527">
      <w:bodyDiv w:val="1"/>
      <w:marLeft w:val="0"/>
      <w:marRight w:val="0"/>
      <w:marTop w:val="0"/>
      <w:marBottom w:val="0"/>
      <w:divBdr>
        <w:top w:val="none" w:sz="0" w:space="0" w:color="auto"/>
        <w:left w:val="none" w:sz="0" w:space="0" w:color="auto"/>
        <w:bottom w:val="none" w:sz="0" w:space="0" w:color="auto"/>
        <w:right w:val="none" w:sz="0" w:space="0" w:color="auto"/>
      </w:divBdr>
    </w:div>
    <w:div w:id="1741637610">
      <w:bodyDiv w:val="1"/>
      <w:marLeft w:val="0"/>
      <w:marRight w:val="0"/>
      <w:marTop w:val="0"/>
      <w:marBottom w:val="0"/>
      <w:divBdr>
        <w:top w:val="none" w:sz="0" w:space="0" w:color="auto"/>
        <w:left w:val="none" w:sz="0" w:space="0" w:color="auto"/>
        <w:bottom w:val="none" w:sz="0" w:space="0" w:color="auto"/>
        <w:right w:val="none" w:sz="0" w:space="0" w:color="auto"/>
      </w:divBdr>
    </w:div>
    <w:div w:id="1742099163">
      <w:bodyDiv w:val="1"/>
      <w:marLeft w:val="0"/>
      <w:marRight w:val="0"/>
      <w:marTop w:val="0"/>
      <w:marBottom w:val="0"/>
      <w:divBdr>
        <w:top w:val="none" w:sz="0" w:space="0" w:color="auto"/>
        <w:left w:val="none" w:sz="0" w:space="0" w:color="auto"/>
        <w:bottom w:val="none" w:sz="0" w:space="0" w:color="auto"/>
        <w:right w:val="none" w:sz="0" w:space="0" w:color="auto"/>
      </w:divBdr>
    </w:div>
    <w:div w:id="1742480520">
      <w:bodyDiv w:val="1"/>
      <w:marLeft w:val="0"/>
      <w:marRight w:val="0"/>
      <w:marTop w:val="0"/>
      <w:marBottom w:val="0"/>
      <w:divBdr>
        <w:top w:val="none" w:sz="0" w:space="0" w:color="auto"/>
        <w:left w:val="none" w:sz="0" w:space="0" w:color="auto"/>
        <w:bottom w:val="none" w:sz="0" w:space="0" w:color="auto"/>
        <w:right w:val="none" w:sz="0" w:space="0" w:color="auto"/>
      </w:divBdr>
    </w:div>
    <w:div w:id="1742940823">
      <w:bodyDiv w:val="1"/>
      <w:marLeft w:val="0"/>
      <w:marRight w:val="0"/>
      <w:marTop w:val="0"/>
      <w:marBottom w:val="0"/>
      <w:divBdr>
        <w:top w:val="none" w:sz="0" w:space="0" w:color="auto"/>
        <w:left w:val="none" w:sz="0" w:space="0" w:color="auto"/>
        <w:bottom w:val="none" w:sz="0" w:space="0" w:color="auto"/>
        <w:right w:val="none" w:sz="0" w:space="0" w:color="auto"/>
      </w:divBdr>
    </w:div>
    <w:div w:id="1745108996">
      <w:bodyDiv w:val="1"/>
      <w:marLeft w:val="0"/>
      <w:marRight w:val="0"/>
      <w:marTop w:val="0"/>
      <w:marBottom w:val="0"/>
      <w:divBdr>
        <w:top w:val="none" w:sz="0" w:space="0" w:color="auto"/>
        <w:left w:val="none" w:sz="0" w:space="0" w:color="auto"/>
        <w:bottom w:val="none" w:sz="0" w:space="0" w:color="auto"/>
        <w:right w:val="none" w:sz="0" w:space="0" w:color="auto"/>
      </w:divBdr>
    </w:div>
    <w:div w:id="1745177001">
      <w:bodyDiv w:val="1"/>
      <w:marLeft w:val="0"/>
      <w:marRight w:val="0"/>
      <w:marTop w:val="0"/>
      <w:marBottom w:val="0"/>
      <w:divBdr>
        <w:top w:val="none" w:sz="0" w:space="0" w:color="auto"/>
        <w:left w:val="none" w:sz="0" w:space="0" w:color="auto"/>
        <w:bottom w:val="none" w:sz="0" w:space="0" w:color="auto"/>
        <w:right w:val="none" w:sz="0" w:space="0" w:color="auto"/>
      </w:divBdr>
    </w:div>
    <w:div w:id="1745837372">
      <w:bodyDiv w:val="1"/>
      <w:marLeft w:val="0"/>
      <w:marRight w:val="0"/>
      <w:marTop w:val="0"/>
      <w:marBottom w:val="0"/>
      <w:divBdr>
        <w:top w:val="none" w:sz="0" w:space="0" w:color="auto"/>
        <w:left w:val="none" w:sz="0" w:space="0" w:color="auto"/>
        <w:bottom w:val="none" w:sz="0" w:space="0" w:color="auto"/>
        <w:right w:val="none" w:sz="0" w:space="0" w:color="auto"/>
      </w:divBdr>
    </w:div>
    <w:div w:id="1746605929">
      <w:bodyDiv w:val="1"/>
      <w:marLeft w:val="0"/>
      <w:marRight w:val="0"/>
      <w:marTop w:val="0"/>
      <w:marBottom w:val="0"/>
      <w:divBdr>
        <w:top w:val="none" w:sz="0" w:space="0" w:color="auto"/>
        <w:left w:val="none" w:sz="0" w:space="0" w:color="auto"/>
        <w:bottom w:val="none" w:sz="0" w:space="0" w:color="auto"/>
        <w:right w:val="none" w:sz="0" w:space="0" w:color="auto"/>
      </w:divBdr>
    </w:div>
    <w:div w:id="1746799493">
      <w:bodyDiv w:val="1"/>
      <w:marLeft w:val="0"/>
      <w:marRight w:val="0"/>
      <w:marTop w:val="0"/>
      <w:marBottom w:val="0"/>
      <w:divBdr>
        <w:top w:val="none" w:sz="0" w:space="0" w:color="auto"/>
        <w:left w:val="none" w:sz="0" w:space="0" w:color="auto"/>
        <w:bottom w:val="none" w:sz="0" w:space="0" w:color="auto"/>
        <w:right w:val="none" w:sz="0" w:space="0" w:color="auto"/>
      </w:divBdr>
    </w:div>
    <w:div w:id="1748067096">
      <w:bodyDiv w:val="1"/>
      <w:marLeft w:val="0"/>
      <w:marRight w:val="0"/>
      <w:marTop w:val="0"/>
      <w:marBottom w:val="0"/>
      <w:divBdr>
        <w:top w:val="none" w:sz="0" w:space="0" w:color="auto"/>
        <w:left w:val="none" w:sz="0" w:space="0" w:color="auto"/>
        <w:bottom w:val="none" w:sz="0" w:space="0" w:color="auto"/>
        <w:right w:val="none" w:sz="0" w:space="0" w:color="auto"/>
      </w:divBdr>
    </w:div>
    <w:div w:id="1748530621">
      <w:bodyDiv w:val="1"/>
      <w:marLeft w:val="0"/>
      <w:marRight w:val="0"/>
      <w:marTop w:val="0"/>
      <w:marBottom w:val="0"/>
      <w:divBdr>
        <w:top w:val="none" w:sz="0" w:space="0" w:color="auto"/>
        <w:left w:val="none" w:sz="0" w:space="0" w:color="auto"/>
        <w:bottom w:val="none" w:sz="0" w:space="0" w:color="auto"/>
        <w:right w:val="none" w:sz="0" w:space="0" w:color="auto"/>
      </w:divBdr>
    </w:div>
    <w:div w:id="1751542643">
      <w:bodyDiv w:val="1"/>
      <w:marLeft w:val="0"/>
      <w:marRight w:val="0"/>
      <w:marTop w:val="0"/>
      <w:marBottom w:val="0"/>
      <w:divBdr>
        <w:top w:val="none" w:sz="0" w:space="0" w:color="auto"/>
        <w:left w:val="none" w:sz="0" w:space="0" w:color="auto"/>
        <w:bottom w:val="none" w:sz="0" w:space="0" w:color="auto"/>
        <w:right w:val="none" w:sz="0" w:space="0" w:color="auto"/>
      </w:divBdr>
    </w:div>
    <w:div w:id="1752240964">
      <w:bodyDiv w:val="1"/>
      <w:marLeft w:val="0"/>
      <w:marRight w:val="0"/>
      <w:marTop w:val="0"/>
      <w:marBottom w:val="0"/>
      <w:divBdr>
        <w:top w:val="none" w:sz="0" w:space="0" w:color="auto"/>
        <w:left w:val="none" w:sz="0" w:space="0" w:color="auto"/>
        <w:bottom w:val="none" w:sz="0" w:space="0" w:color="auto"/>
        <w:right w:val="none" w:sz="0" w:space="0" w:color="auto"/>
      </w:divBdr>
    </w:div>
    <w:div w:id="1753815069">
      <w:bodyDiv w:val="1"/>
      <w:marLeft w:val="0"/>
      <w:marRight w:val="0"/>
      <w:marTop w:val="0"/>
      <w:marBottom w:val="0"/>
      <w:divBdr>
        <w:top w:val="none" w:sz="0" w:space="0" w:color="auto"/>
        <w:left w:val="none" w:sz="0" w:space="0" w:color="auto"/>
        <w:bottom w:val="none" w:sz="0" w:space="0" w:color="auto"/>
        <w:right w:val="none" w:sz="0" w:space="0" w:color="auto"/>
      </w:divBdr>
    </w:div>
    <w:div w:id="1755276798">
      <w:bodyDiv w:val="1"/>
      <w:marLeft w:val="0"/>
      <w:marRight w:val="0"/>
      <w:marTop w:val="0"/>
      <w:marBottom w:val="0"/>
      <w:divBdr>
        <w:top w:val="none" w:sz="0" w:space="0" w:color="auto"/>
        <w:left w:val="none" w:sz="0" w:space="0" w:color="auto"/>
        <w:bottom w:val="none" w:sz="0" w:space="0" w:color="auto"/>
        <w:right w:val="none" w:sz="0" w:space="0" w:color="auto"/>
      </w:divBdr>
    </w:div>
    <w:div w:id="1756245534">
      <w:bodyDiv w:val="1"/>
      <w:marLeft w:val="0"/>
      <w:marRight w:val="0"/>
      <w:marTop w:val="0"/>
      <w:marBottom w:val="0"/>
      <w:divBdr>
        <w:top w:val="none" w:sz="0" w:space="0" w:color="auto"/>
        <w:left w:val="none" w:sz="0" w:space="0" w:color="auto"/>
        <w:bottom w:val="none" w:sz="0" w:space="0" w:color="auto"/>
        <w:right w:val="none" w:sz="0" w:space="0" w:color="auto"/>
      </w:divBdr>
    </w:div>
    <w:div w:id="1756632977">
      <w:bodyDiv w:val="1"/>
      <w:marLeft w:val="0"/>
      <w:marRight w:val="0"/>
      <w:marTop w:val="0"/>
      <w:marBottom w:val="0"/>
      <w:divBdr>
        <w:top w:val="none" w:sz="0" w:space="0" w:color="auto"/>
        <w:left w:val="none" w:sz="0" w:space="0" w:color="auto"/>
        <w:bottom w:val="none" w:sz="0" w:space="0" w:color="auto"/>
        <w:right w:val="none" w:sz="0" w:space="0" w:color="auto"/>
      </w:divBdr>
    </w:div>
    <w:div w:id="1758288061">
      <w:bodyDiv w:val="1"/>
      <w:marLeft w:val="0"/>
      <w:marRight w:val="0"/>
      <w:marTop w:val="0"/>
      <w:marBottom w:val="0"/>
      <w:divBdr>
        <w:top w:val="none" w:sz="0" w:space="0" w:color="auto"/>
        <w:left w:val="none" w:sz="0" w:space="0" w:color="auto"/>
        <w:bottom w:val="none" w:sz="0" w:space="0" w:color="auto"/>
        <w:right w:val="none" w:sz="0" w:space="0" w:color="auto"/>
      </w:divBdr>
    </w:div>
    <w:div w:id="1758595113">
      <w:bodyDiv w:val="1"/>
      <w:marLeft w:val="0"/>
      <w:marRight w:val="0"/>
      <w:marTop w:val="0"/>
      <w:marBottom w:val="0"/>
      <w:divBdr>
        <w:top w:val="none" w:sz="0" w:space="0" w:color="auto"/>
        <w:left w:val="none" w:sz="0" w:space="0" w:color="auto"/>
        <w:bottom w:val="none" w:sz="0" w:space="0" w:color="auto"/>
        <w:right w:val="none" w:sz="0" w:space="0" w:color="auto"/>
      </w:divBdr>
    </w:div>
    <w:div w:id="1760328722">
      <w:bodyDiv w:val="1"/>
      <w:marLeft w:val="0"/>
      <w:marRight w:val="0"/>
      <w:marTop w:val="0"/>
      <w:marBottom w:val="0"/>
      <w:divBdr>
        <w:top w:val="none" w:sz="0" w:space="0" w:color="auto"/>
        <w:left w:val="none" w:sz="0" w:space="0" w:color="auto"/>
        <w:bottom w:val="none" w:sz="0" w:space="0" w:color="auto"/>
        <w:right w:val="none" w:sz="0" w:space="0" w:color="auto"/>
      </w:divBdr>
    </w:div>
    <w:div w:id="1762019976">
      <w:bodyDiv w:val="1"/>
      <w:marLeft w:val="0"/>
      <w:marRight w:val="0"/>
      <w:marTop w:val="0"/>
      <w:marBottom w:val="0"/>
      <w:divBdr>
        <w:top w:val="none" w:sz="0" w:space="0" w:color="auto"/>
        <w:left w:val="none" w:sz="0" w:space="0" w:color="auto"/>
        <w:bottom w:val="none" w:sz="0" w:space="0" w:color="auto"/>
        <w:right w:val="none" w:sz="0" w:space="0" w:color="auto"/>
      </w:divBdr>
    </w:div>
    <w:div w:id="1766999224">
      <w:bodyDiv w:val="1"/>
      <w:marLeft w:val="0"/>
      <w:marRight w:val="0"/>
      <w:marTop w:val="0"/>
      <w:marBottom w:val="0"/>
      <w:divBdr>
        <w:top w:val="none" w:sz="0" w:space="0" w:color="auto"/>
        <w:left w:val="none" w:sz="0" w:space="0" w:color="auto"/>
        <w:bottom w:val="none" w:sz="0" w:space="0" w:color="auto"/>
        <w:right w:val="none" w:sz="0" w:space="0" w:color="auto"/>
      </w:divBdr>
    </w:div>
    <w:div w:id="1767118405">
      <w:bodyDiv w:val="1"/>
      <w:marLeft w:val="0"/>
      <w:marRight w:val="0"/>
      <w:marTop w:val="0"/>
      <w:marBottom w:val="0"/>
      <w:divBdr>
        <w:top w:val="none" w:sz="0" w:space="0" w:color="auto"/>
        <w:left w:val="none" w:sz="0" w:space="0" w:color="auto"/>
        <w:bottom w:val="none" w:sz="0" w:space="0" w:color="auto"/>
        <w:right w:val="none" w:sz="0" w:space="0" w:color="auto"/>
      </w:divBdr>
    </w:div>
    <w:div w:id="1767581091">
      <w:bodyDiv w:val="1"/>
      <w:marLeft w:val="0"/>
      <w:marRight w:val="0"/>
      <w:marTop w:val="0"/>
      <w:marBottom w:val="0"/>
      <w:divBdr>
        <w:top w:val="none" w:sz="0" w:space="0" w:color="auto"/>
        <w:left w:val="none" w:sz="0" w:space="0" w:color="auto"/>
        <w:bottom w:val="none" w:sz="0" w:space="0" w:color="auto"/>
        <w:right w:val="none" w:sz="0" w:space="0" w:color="auto"/>
      </w:divBdr>
    </w:div>
    <w:div w:id="1768387453">
      <w:bodyDiv w:val="1"/>
      <w:marLeft w:val="0"/>
      <w:marRight w:val="0"/>
      <w:marTop w:val="0"/>
      <w:marBottom w:val="0"/>
      <w:divBdr>
        <w:top w:val="none" w:sz="0" w:space="0" w:color="auto"/>
        <w:left w:val="none" w:sz="0" w:space="0" w:color="auto"/>
        <w:bottom w:val="none" w:sz="0" w:space="0" w:color="auto"/>
        <w:right w:val="none" w:sz="0" w:space="0" w:color="auto"/>
      </w:divBdr>
    </w:div>
    <w:div w:id="1768774387">
      <w:bodyDiv w:val="1"/>
      <w:marLeft w:val="0"/>
      <w:marRight w:val="0"/>
      <w:marTop w:val="0"/>
      <w:marBottom w:val="0"/>
      <w:divBdr>
        <w:top w:val="none" w:sz="0" w:space="0" w:color="auto"/>
        <w:left w:val="none" w:sz="0" w:space="0" w:color="auto"/>
        <w:bottom w:val="none" w:sz="0" w:space="0" w:color="auto"/>
        <w:right w:val="none" w:sz="0" w:space="0" w:color="auto"/>
      </w:divBdr>
    </w:div>
    <w:div w:id="1769499751">
      <w:bodyDiv w:val="1"/>
      <w:marLeft w:val="0"/>
      <w:marRight w:val="0"/>
      <w:marTop w:val="0"/>
      <w:marBottom w:val="0"/>
      <w:divBdr>
        <w:top w:val="none" w:sz="0" w:space="0" w:color="auto"/>
        <w:left w:val="none" w:sz="0" w:space="0" w:color="auto"/>
        <w:bottom w:val="none" w:sz="0" w:space="0" w:color="auto"/>
        <w:right w:val="none" w:sz="0" w:space="0" w:color="auto"/>
      </w:divBdr>
    </w:div>
    <w:div w:id="1772042126">
      <w:bodyDiv w:val="1"/>
      <w:marLeft w:val="0"/>
      <w:marRight w:val="0"/>
      <w:marTop w:val="0"/>
      <w:marBottom w:val="0"/>
      <w:divBdr>
        <w:top w:val="none" w:sz="0" w:space="0" w:color="auto"/>
        <w:left w:val="none" w:sz="0" w:space="0" w:color="auto"/>
        <w:bottom w:val="none" w:sz="0" w:space="0" w:color="auto"/>
        <w:right w:val="none" w:sz="0" w:space="0" w:color="auto"/>
      </w:divBdr>
    </w:div>
    <w:div w:id="1772124766">
      <w:bodyDiv w:val="1"/>
      <w:marLeft w:val="0"/>
      <w:marRight w:val="0"/>
      <w:marTop w:val="0"/>
      <w:marBottom w:val="0"/>
      <w:divBdr>
        <w:top w:val="none" w:sz="0" w:space="0" w:color="auto"/>
        <w:left w:val="none" w:sz="0" w:space="0" w:color="auto"/>
        <w:bottom w:val="none" w:sz="0" w:space="0" w:color="auto"/>
        <w:right w:val="none" w:sz="0" w:space="0" w:color="auto"/>
      </w:divBdr>
    </w:div>
    <w:div w:id="1772698182">
      <w:bodyDiv w:val="1"/>
      <w:marLeft w:val="0"/>
      <w:marRight w:val="0"/>
      <w:marTop w:val="0"/>
      <w:marBottom w:val="0"/>
      <w:divBdr>
        <w:top w:val="none" w:sz="0" w:space="0" w:color="auto"/>
        <w:left w:val="none" w:sz="0" w:space="0" w:color="auto"/>
        <w:bottom w:val="none" w:sz="0" w:space="0" w:color="auto"/>
        <w:right w:val="none" w:sz="0" w:space="0" w:color="auto"/>
      </w:divBdr>
    </w:div>
    <w:div w:id="1774200867">
      <w:bodyDiv w:val="1"/>
      <w:marLeft w:val="0"/>
      <w:marRight w:val="0"/>
      <w:marTop w:val="0"/>
      <w:marBottom w:val="0"/>
      <w:divBdr>
        <w:top w:val="none" w:sz="0" w:space="0" w:color="auto"/>
        <w:left w:val="none" w:sz="0" w:space="0" w:color="auto"/>
        <w:bottom w:val="none" w:sz="0" w:space="0" w:color="auto"/>
        <w:right w:val="none" w:sz="0" w:space="0" w:color="auto"/>
      </w:divBdr>
    </w:div>
    <w:div w:id="1774399307">
      <w:bodyDiv w:val="1"/>
      <w:marLeft w:val="0"/>
      <w:marRight w:val="0"/>
      <w:marTop w:val="0"/>
      <w:marBottom w:val="0"/>
      <w:divBdr>
        <w:top w:val="none" w:sz="0" w:space="0" w:color="auto"/>
        <w:left w:val="none" w:sz="0" w:space="0" w:color="auto"/>
        <w:bottom w:val="none" w:sz="0" w:space="0" w:color="auto"/>
        <w:right w:val="none" w:sz="0" w:space="0" w:color="auto"/>
      </w:divBdr>
    </w:div>
    <w:div w:id="1774592196">
      <w:bodyDiv w:val="1"/>
      <w:marLeft w:val="0"/>
      <w:marRight w:val="0"/>
      <w:marTop w:val="0"/>
      <w:marBottom w:val="0"/>
      <w:divBdr>
        <w:top w:val="none" w:sz="0" w:space="0" w:color="auto"/>
        <w:left w:val="none" w:sz="0" w:space="0" w:color="auto"/>
        <w:bottom w:val="none" w:sz="0" w:space="0" w:color="auto"/>
        <w:right w:val="none" w:sz="0" w:space="0" w:color="auto"/>
      </w:divBdr>
    </w:div>
    <w:div w:id="1775250362">
      <w:bodyDiv w:val="1"/>
      <w:marLeft w:val="0"/>
      <w:marRight w:val="0"/>
      <w:marTop w:val="0"/>
      <w:marBottom w:val="0"/>
      <w:divBdr>
        <w:top w:val="none" w:sz="0" w:space="0" w:color="auto"/>
        <w:left w:val="none" w:sz="0" w:space="0" w:color="auto"/>
        <w:bottom w:val="none" w:sz="0" w:space="0" w:color="auto"/>
        <w:right w:val="none" w:sz="0" w:space="0" w:color="auto"/>
      </w:divBdr>
    </w:div>
    <w:div w:id="1775591123">
      <w:bodyDiv w:val="1"/>
      <w:marLeft w:val="0"/>
      <w:marRight w:val="0"/>
      <w:marTop w:val="0"/>
      <w:marBottom w:val="0"/>
      <w:divBdr>
        <w:top w:val="none" w:sz="0" w:space="0" w:color="auto"/>
        <w:left w:val="none" w:sz="0" w:space="0" w:color="auto"/>
        <w:bottom w:val="none" w:sz="0" w:space="0" w:color="auto"/>
        <w:right w:val="none" w:sz="0" w:space="0" w:color="auto"/>
      </w:divBdr>
    </w:div>
    <w:div w:id="1776899033">
      <w:bodyDiv w:val="1"/>
      <w:marLeft w:val="0"/>
      <w:marRight w:val="0"/>
      <w:marTop w:val="0"/>
      <w:marBottom w:val="0"/>
      <w:divBdr>
        <w:top w:val="none" w:sz="0" w:space="0" w:color="auto"/>
        <w:left w:val="none" w:sz="0" w:space="0" w:color="auto"/>
        <w:bottom w:val="none" w:sz="0" w:space="0" w:color="auto"/>
        <w:right w:val="none" w:sz="0" w:space="0" w:color="auto"/>
      </w:divBdr>
    </w:div>
    <w:div w:id="1777016654">
      <w:bodyDiv w:val="1"/>
      <w:marLeft w:val="0"/>
      <w:marRight w:val="0"/>
      <w:marTop w:val="0"/>
      <w:marBottom w:val="0"/>
      <w:divBdr>
        <w:top w:val="none" w:sz="0" w:space="0" w:color="auto"/>
        <w:left w:val="none" w:sz="0" w:space="0" w:color="auto"/>
        <w:bottom w:val="none" w:sz="0" w:space="0" w:color="auto"/>
        <w:right w:val="none" w:sz="0" w:space="0" w:color="auto"/>
      </w:divBdr>
    </w:div>
    <w:div w:id="1777211245">
      <w:bodyDiv w:val="1"/>
      <w:marLeft w:val="0"/>
      <w:marRight w:val="0"/>
      <w:marTop w:val="0"/>
      <w:marBottom w:val="0"/>
      <w:divBdr>
        <w:top w:val="none" w:sz="0" w:space="0" w:color="auto"/>
        <w:left w:val="none" w:sz="0" w:space="0" w:color="auto"/>
        <w:bottom w:val="none" w:sz="0" w:space="0" w:color="auto"/>
        <w:right w:val="none" w:sz="0" w:space="0" w:color="auto"/>
      </w:divBdr>
    </w:div>
    <w:div w:id="1779449962">
      <w:bodyDiv w:val="1"/>
      <w:marLeft w:val="0"/>
      <w:marRight w:val="0"/>
      <w:marTop w:val="0"/>
      <w:marBottom w:val="0"/>
      <w:divBdr>
        <w:top w:val="none" w:sz="0" w:space="0" w:color="auto"/>
        <w:left w:val="none" w:sz="0" w:space="0" w:color="auto"/>
        <w:bottom w:val="none" w:sz="0" w:space="0" w:color="auto"/>
        <w:right w:val="none" w:sz="0" w:space="0" w:color="auto"/>
      </w:divBdr>
    </w:div>
    <w:div w:id="1782063902">
      <w:bodyDiv w:val="1"/>
      <w:marLeft w:val="0"/>
      <w:marRight w:val="0"/>
      <w:marTop w:val="0"/>
      <w:marBottom w:val="0"/>
      <w:divBdr>
        <w:top w:val="none" w:sz="0" w:space="0" w:color="auto"/>
        <w:left w:val="none" w:sz="0" w:space="0" w:color="auto"/>
        <w:bottom w:val="none" w:sz="0" w:space="0" w:color="auto"/>
        <w:right w:val="none" w:sz="0" w:space="0" w:color="auto"/>
      </w:divBdr>
    </w:div>
    <w:div w:id="1782844618">
      <w:bodyDiv w:val="1"/>
      <w:marLeft w:val="0"/>
      <w:marRight w:val="0"/>
      <w:marTop w:val="0"/>
      <w:marBottom w:val="0"/>
      <w:divBdr>
        <w:top w:val="none" w:sz="0" w:space="0" w:color="auto"/>
        <w:left w:val="none" w:sz="0" w:space="0" w:color="auto"/>
        <w:bottom w:val="none" w:sz="0" w:space="0" w:color="auto"/>
        <w:right w:val="none" w:sz="0" w:space="0" w:color="auto"/>
      </w:divBdr>
    </w:div>
    <w:div w:id="1784153038">
      <w:bodyDiv w:val="1"/>
      <w:marLeft w:val="0"/>
      <w:marRight w:val="0"/>
      <w:marTop w:val="0"/>
      <w:marBottom w:val="0"/>
      <w:divBdr>
        <w:top w:val="none" w:sz="0" w:space="0" w:color="auto"/>
        <w:left w:val="none" w:sz="0" w:space="0" w:color="auto"/>
        <w:bottom w:val="none" w:sz="0" w:space="0" w:color="auto"/>
        <w:right w:val="none" w:sz="0" w:space="0" w:color="auto"/>
      </w:divBdr>
    </w:div>
    <w:div w:id="1785005144">
      <w:bodyDiv w:val="1"/>
      <w:marLeft w:val="0"/>
      <w:marRight w:val="0"/>
      <w:marTop w:val="0"/>
      <w:marBottom w:val="0"/>
      <w:divBdr>
        <w:top w:val="none" w:sz="0" w:space="0" w:color="auto"/>
        <w:left w:val="none" w:sz="0" w:space="0" w:color="auto"/>
        <w:bottom w:val="none" w:sz="0" w:space="0" w:color="auto"/>
        <w:right w:val="none" w:sz="0" w:space="0" w:color="auto"/>
      </w:divBdr>
    </w:div>
    <w:div w:id="1785416419">
      <w:bodyDiv w:val="1"/>
      <w:marLeft w:val="0"/>
      <w:marRight w:val="0"/>
      <w:marTop w:val="0"/>
      <w:marBottom w:val="0"/>
      <w:divBdr>
        <w:top w:val="none" w:sz="0" w:space="0" w:color="auto"/>
        <w:left w:val="none" w:sz="0" w:space="0" w:color="auto"/>
        <w:bottom w:val="none" w:sz="0" w:space="0" w:color="auto"/>
        <w:right w:val="none" w:sz="0" w:space="0" w:color="auto"/>
      </w:divBdr>
    </w:div>
    <w:div w:id="1785463345">
      <w:bodyDiv w:val="1"/>
      <w:marLeft w:val="0"/>
      <w:marRight w:val="0"/>
      <w:marTop w:val="0"/>
      <w:marBottom w:val="0"/>
      <w:divBdr>
        <w:top w:val="none" w:sz="0" w:space="0" w:color="auto"/>
        <w:left w:val="none" w:sz="0" w:space="0" w:color="auto"/>
        <w:bottom w:val="none" w:sz="0" w:space="0" w:color="auto"/>
        <w:right w:val="none" w:sz="0" w:space="0" w:color="auto"/>
      </w:divBdr>
    </w:div>
    <w:div w:id="1789620534">
      <w:bodyDiv w:val="1"/>
      <w:marLeft w:val="0"/>
      <w:marRight w:val="0"/>
      <w:marTop w:val="0"/>
      <w:marBottom w:val="0"/>
      <w:divBdr>
        <w:top w:val="none" w:sz="0" w:space="0" w:color="auto"/>
        <w:left w:val="none" w:sz="0" w:space="0" w:color="auto"/>
        <w:bottom w:val="none" w:sz="0" w:space="0" w:color="auto"/>
        <w:right w:val="none" w:sz="0" w:space="0" w:color="auto"/>
      </w:divBdr>
    </w:div>
    <w:div w:id="1789885035">
      <w:bodyDiv w:val="1"/>
      <w:marLeft w:val="0"/>
      <w:marRight w:val="0"/>
      <w:marTop w:val="0"/>
      <w:marBottom w:val="0"/>
      <w:divBdr>
        <w:top w:val="none" w:sz="0" w:space="0" w:color="auto"/>
        <w:left w:val="none" w:sz="0" w:space="0" w:color="auto"/>
        <w:bottom w:val="none" w:sz="0" w:space="0" w:color="auto"/>
        <w:right w:val="none" w:sz="0" w:space="0" w:color="auto"/>
      </w:divBdr>
    </w:div>
    <w:div w:id="1790859331">
      <w:bodyDiv w:val="1"/>
      <w:marLeft w:val="0"/>
      <w:marRight w:val="0"/>
      <w:marTop w:val="0"/>
      <w:marBottom w:val="0"/>
      <w:divBdr>
        <w:top w:val="none" w:sz="0" w:space="0" w:color="auto"/>
        <w:left w:val="none" w:sz="0" w:space="0" w:color="auto"/>
        <w:bottom w:val="none" w:sz="0" w:space="0" w:color="auto"/>
        <w:right w:val="none" w:sz="0" w:space="0" w:color="auto"/>
      </w:divBdr>
    </w:div>
    <w:div w:id="1791049845">
      <w:bodyDiv w:val="1"/>
      <w:marLeft w:val="0"/>
      <w:marRight w:val="0"/>
      <w:marTop w:val="0"/>
      <w:marBottom w:val="0"/>
      <w:divBdr>
        <w:top w:val="none" w:sz="0" w:space="0" w:color="auto"/>
        <w:left w:val="none" w:sz="0" w:space="0" w:color="auto"/>
        <w:bottom w:val="none" w:sz="0" w:space="0" w:color="auto"/>
        <w:right w:val="none" w:sz="0" w:space="0" w:color="auto"/>
      </w:divBdr>
    </w:div>
    <w:div w:id="1791707576">
      <w:bodyDiv w:val="1"/>
      <w:marLeft w:val="0"/>
      <w:marRight w:val="0"/>
      <w:marTop w:val="0"/>
      <w:marBottom w:val="0"/>
      <w:divBdr>
        <w:top w:val="none" w:sz="0" w:space="0" w:color="auto"/>
        <w:left w:val="none" w:sz="0" w:space="0" w:color="auto"/>
        <w:bottom w:val="none" w:sz="0" w:space="0" w:color="auto"/>
        <w:right w:val="none" w:sz="0" w:space="0" w:color="auto"/>
      </w:divBdr>
    </w:div>
    <w:div w:id="1792237090">
      <w:bodyDiv w:val="1"/>
      <w:marLeft w:val="0"/>
      <w:marRight w:val="0"/>
      <w:marTop w:val="0"/>
      <w:marBottom w:val="0"/>
      <w:divBdr>
        <w:top w:val="none" w:sz="0" w:space="0" w:color="auto"/>
        <w:left w:val="none" w:sz="0" w:space="0" w:color="auto"/>
        <w:bottom w:val="none" w:sz="0" w:space="0" w:color="auto"/>
        <w:right w:val="none" w:sz="0" w:space="0" w:color="auto"/>
      </w:divBdr>
    </w:div>
    <w:div w:id="1793817669">
      <w:bodyDiv w:val="1"/>
      <w:marLeft w:val="0"/>
      <w:marRight w:val="0"/>
      <w:marTop w:val="0"/>
      <w:marBottom w:val="0"/>
      <w:divBdr>
        <w:top w:val="none" w:sz="0" w:space="0" w:color="auto"/>
        <w:left w:val="none" w:sz="0" w:space="0" w:color="auto"/>
        <w:bottom w:val="none" w:sz="0" w:space="0" w:color="auto"/>
        <w:right w:val="none" w:sz="0" w:space="0" w:color="auto"/>
      </w:divBdr>
    </w:div>
    <w:div w:id="1794253153">
      <w:bodyDiv w:val="1"/>
      <w:marLeft w:val="0"/>
      <w:marRight w:val="0"/>
      <w:marTop w:val="0"/>
      <w:marBottom w:val="0"/>
      <w:divBdr>
        <w:top w:val="none" w:sz="0" w:space="0" w:color="auto"/>
        <w:left w:val="none" w:sz="0" w:space="0" w:color="auto"/>
        <w:bottom w:val="none" w:sz="0" w:space="0" w:color="auto"/>
        <w:right w:val="none" w:sz="0" w:space="0" w:color="auto"/>
      </w:divBdr>
    </w:div>
    <w:div w:id="1795178571">
      <w:bodyDiv w:val="1"/>
      <w:marLeft w:val="0"/>
      <w:marRight w:val="0"/>
      <w:marTop w:val="0"/>
      <w:marBottom w:val="0"/>
      <w:divBdr>
        <w:top w:val="none" w:sz="0" w:space="0" w:color="auto"/>
        <w:left w:val="none" w:sz="0" w:space="0" w:color="auto"/>
        <w:bottom w:val="none" w:sz="0" w:space="0" w:color="auto"/>
        <w:right w:val="none" w:sz="0" w:space="0" w:color="auto"/>
      </w:divBdr>
    </w:div>
    <w:div w:id="1795366920">
      <w:bodyDiv w:val="1"/>
      <w:marLeft w:val="0"/>
      <w:marRight w:val="0"/>
      <w:marTop w:val="0"/>
      <w:marBottom w:val="0"/>
      <w:divBdr>
        <w:top w:val="none" w:sz="0" w:space="0" w:color="auto"/>
        <w:left w:val="none" w:sz="0" w:space="0" w:color="auto"/>
        <w:bottom w:val="none" w:sz="0" w:space="0" w:color="auto"/>
        <w:right w:val="none" w:sz="0" w:space="0" w:color="auto"/>
      </w:divBdr>
    </w:div>
    <w:div w:id="1796026501">
      <w:bodyDiv w:val="1"/>
      <w:marLeft w:val="0"/>
      <w:marRight w:val="0"/>
      <w:marTop w:val="0"/>
      <w:marBottom w:val="0"/>
      <w:divBdr>
        <w:top w:val="none" w:sz="0" w:space="0" w:color="auto"/>
        <w:left w:val="none" w:sz="0" w:space="0" w:color="auto"/>
        <w:bottom w:val="none" w:sz="0" w:space="0" w:color="auto"/>
        <w:right w:val="none" w:sz="0" w:space="0" w:color="auto"/>
      </w:divBdr>
    </w:div>
    <w:div w:id="1796168499">
      <w:bodyDiv w:val="1"/>
      <w:marLeft w:val="0"/>
      <w:marRight w:val="0"/>
      <w:marTop w:val="0"/>
      <w:marBottom w:val="0"/>
      <w:divBdr>
        <w:top w:val="none" w:sz="0" w:space="0" w:color="auto"/>
        <w:left w:val="none" w:sz="0" w:space="0" w:color="auto"/>
        <w:bottom w:val="none" w:sz="0" w:space="0" w:color="auto"/>
        <w:right w:val="none" w:sz="0" w:space="0" w:color="auto"/>
      </w:divBdr>
    </w:div>
    <w:div w:id="1796294389">
      <w:bodyDiv w:val="1"/>
      <w:marLeft w:val="0"/>
      <w:marRight w:val="0"/>
      <w:marTop w:val="0"/>
      <w:marBottom w:val="0"/>
      <w:divBdr>
        <w:top w:val="none" w:sz="0" w:space="0" w:color="auto"/>
        <w:left w:val="none" w:sz="0" w:space="0" w:color="auto"/>
        <w:bottom w:val="none" w:sz="0" w:space="0" w:color="auto"/>
        <w:right w:val="none" w:sz="0" w:space="0" w:color="auto"/>
      </w:divBdr>
    </w:div>
    <w:div w:id="1796606358">
      <w:bodyDiv w:val="1"/>
      <w:marLeft w:val="0"/>
      <w:marRight w:val="0"/>
      <w:marTop w:val="0"/>
      <w:marBottom w:val="0"/>
      <w:divBdr>
        <w:top w:val="none" w:sz="0" w:space="0" w:color="auto"/>
        <w:left w:val="none" w:sz="0" w:space="0" w:color="auto"/>
        <w:bottom w:val="none" w:sz="0" w:space="0" w:color="auto"/>
        <w:right w:val="none" w:sz="0" w:space="0" w:color="auto"/>
      </w:divBdr>
    </w:div>
    <w:div w:id="1797290233">
      <w:bodyDiv w:val="1"/>
      <w:marLeft w:val="0"/>
      <w:marRight w:val="0"/>
      <w:marTop w:val="0"/>
      <w:marBottom w:val="0"/>
      <w:divBdr>
        <w:top w:val="none" w:sz="0" w:space="0" w:color="auto"/>
        <w:left w:val="none" w:sz="0" w:space="0" w:color="auto"/>
        <w:bottom w:val="none" w:sz="0" w:space="0" w:color="auto"/>
        <w:right w:val="none" w:sz="0" w:space="0" w:color="auto"/>
      </w:divBdr>
    </w:div>
    <w:div w:id="1797946439">
      <w:bodyDiv w:val="1"/>
      <w:marLeft w:val="0"/>
      <w:marRight w:val="0"/>
      <w:marTop w:val="0"/>
      <w:marBottom w:val="0"/>
      <w:divBdr>
        <w:top w:val="none" w:sz="0" w:space="0" w:color="auto"/>
        <w:left w:val="none" w:sz="0" w:space="0" w:color="auto"/>
        <w:bottom w:val="none" w:sz="0" w:space="0" w:color="auto"/>
        <w:right w:val="none" w:sz="0" w:space="0" w:color="auto"/>
      </w:divBdr>
    </w:div>
    <w:div w:id="1800027609">
      <w:bodyDiv w:val="1"/>
      <w:marLeft w:val="0"/>
      <w:marRight w:val="0"/>
      <w:marTop w:val="0"/>
      <w:marBottom w:val="0"/>
      <w:divBdr>
        <w:top w:val="none" w:sz="0" w:space="0" w:color="auto"/>
        <w:left w:val="none" w:sz="0" w:space="0" w:color="auto"/>
        <w:bottom w:val="none" w:sz="0" w:space="0" w:color="auto"/>
        <w:right w:val="none" w:sz="0" w:space="0" w:color="auto"/>
      </w:divBdr>
    </w:div>
    <w:div w:id="1800226786">
      <w:bodyDiv w:val="1"/>
      <w:marLeft w:val="0"/>
      <w:marRight w:val="0"/>
      <w:marTop w:val="0"/>
      <w:marBottom w:val="0"/>
      <w:divBdr>
        <w:top w:val="none" w:sz="0" w:space="0" w:color="auto"/>
        <w:left w:val="none" w:sz="0" w:space="0" w:color="auto"/>
        <w:bottom w:val="none" w:sz="0" w:space="0" w:color="auto"/>
        <w:right w:val="none" w:sz="0" w:space="0" w:color="auto"/>
      </w:divBdr>
    </w:div>
    <w:div w:id="1801999013">
      <w:bodyDiv w:val="1"/>
      <w:marLeft w:val="0"/>
      <w:marRight w:val="0"/>
      <w:marTop w:val="0"/>
      <w:marBottom w:val="0"/>
      <w:divBdr>
        <w:top w:val="none" w:sz="0" w:space="0" w:color="auto"/>
        <w:left w:val="none" w:sz="0" w:space="0" w:color="auto"/>
        <w:bottom w:val="none" w:sz="0" w:space="0" w:color="auto"/>
        <w:right w:val="none" w:sz="0" w:space="0" w:color="auto"/>
      </w:divBdr>
    </w:div>
    <w:div w:id="1805734333">
      <w:bodyDiv w:val="1"/>
      <w:marLeft w:val="0"/>
      <w:marRight w:val="0"/>
      <w:marTop w:val="0"/>
      <w:marBottom w:val="0"/>
      <w:divBdr>
        <w:top w:val="none" w:sz="0" w:space="0" w:color="auto"/>
        <w:left w:val="none" w:sz="0" w:space="0" w:color="auto"/>
        <w:bottom w:val="none" w:sz="0" w:space="0" w:color="auto"/>
        <w:right w:val="none" w:sz="0" w:space="0" w:color="auto"/>
      </w:divBdr>
    </w:div>
    <w:div w:id="1808008851">
      <w:bodyDiv w:val="1"/>
      <w:marLeft w:val="0"/>
      <w:marRight w:val="0"/>
      <w:marTop w:val="0"/>
      <w:marBottom w:val="0"/>
      <w:divBdr>
        <w:top w:val="none" w:sz="0" w:space="0" w:color="auto"/>
        <w:left w:val="none" w:sz="0" w:space="0" w:color="auto"/>
        <w:bottom w:val="none" w:sz="0" w:space="0" w:color="auto"/>
        <w:right w:val="none" w:sz="0" w:space="0" w:color="auto"/>
      </w:divBdr>
    </w:div>
    <w:div w:id="1809475079">
      <w:bodyDiv w:val="1"/>
      <w:marLeft w:val="0"/>
      <w:marRight w:val="0"/>
      <w:marTop w:val="0"/>
      <w:marBottom w:val="0"/>
      <w:divBdr>
        <w:top w:val="none" w:sz="0" w:space="0" w:color="auto"/>
        <w:left w:val="none" w:sz="0" w:space="0" w:color="auto"/>
        <w:bottom w:val="none" w:sz="0" w:space="0" w:color="auto"/>
        <w:right w:val="none" w:sz="0" w:space="0" w:color="auto"/>
      </w:divBdr>
    </w:div>
    <w:div w:id="1809784948">
      <w:bodyDiv w:val="1"/>
      <w:marLeft w:val="0"/>
      <w:marRight w:val="0"/>
      <w:marTop w:val="0"/>
      <w:marBottom w:val="0"/>
      <w:divBdr>
        <w:top w:val="none" w:sz="0" w:space="0" w:color="auto"/>
        <w:left w:val="none" w:sz="0" w:space="0" w:color="auto"/>
        <w:bottom w:val="none" w:sz="0" w:space="0" w:color="auto"/>
        <w:right w:val="none" w:sz="0" w:space="0" w:color="auto"/>
      </w:divBdr>
    </w:div>
    <w:div w:id="1810394632">
      <w:bodyDiv w:val="1"/>
      <w:marLeft w:val="0"/>
      <w:marRight w:val="0"/>
      <w:marTop w:val="0"/>
      <w:marBottom w:val="0"/>
      <w:divBdr>
        <w:top w:val="none" w:sz="0" w:space="0" w:color="auto"/>
        <w:left w:val="none" w:sz="0" w:space="0" w:color="auto"/>
        <w:bottom w:val="none" w:sz="0" w:space="0" w:color="auto"/>
        <w:right w:val="none" w:sz="0" w:space="0" w:color="auto"/>
      </w:divBdr>
    </w:div>
    <w:div w:id="1811164019">
      <w:bodyDiv w:val="1"/>
      <w:marLeft w:val="0"/>
      <w:marRight w:val="0"/>
      <w:marTop w:val="0"/>
      <w:marBottom w:val="0"/>
      <w:divBdr>
        <w:top w:val="none" w:sz="0" w:space="0" w:color="auto"/>
        <w:left w:val="none" w:sz="0" w:space="0" w:color="auto"/>
        <w:bottom w:val="none" w:sz="0" w:space="0" w:color="auto"/>
        <w:right w:val="none" w:sz="0" w:space="0" w:color="auto"/>
      </w:divBdr>
    </w:div>
    <w:div w:id="1812089969">
      <w:bodyDiv w:val="1"/>
      <w:marLeft w:val="0"/>
      <w:marRight w:val="0"/>
      <w:marTop w:val="0"/>
      <w:marBottom w:val="0"/>
      <w:divBdr>
        <w:top w:val="none" w:sz="0" w:space="0" w:color="auto"/>
        <w:left w:val="none" w:sz="0" w:space="0" w:color="auto"/>
        <w:bottom w:val="none" w:sz="0" w:space="0" w:color="auto"/>
        <w:right w:val="none" w:sz="0" w:space="0" w:color="auto"/>
      </w:divBdr>
    </w:div>
    <w:div w:id="1813985022">
      <w:bodyDiv w:val="1"/>
      <w:marLeft w:val="0"/>
      <w:marRight w:val="0"/>
      <w:marTop w:val="0"/>
      <w:marBottom w:val="0"/>
      <w:divBdr>
        <w:top w:val="none" w:sz="0" w:space="0" w:color="auto"/>
        <w:left w:val="none" w:sz="0" w:space="0" w:color="auto"/>
        <w:bottom w:val="none" w:sz="0" w:space="0" w:color="auto"/>
        <w:right w:val="none" w:sz="0" w:space="0" w:color="auto"/>
      </w:divBdr>
    </w:div>
    <w:div w:id="1815367313">
      <w:bodyDiv w:val="1"/>
      <w:marLeft w:val="0"/>
      <w:marRight w:val="0"/>
      <w:marTop w:val="0"/>
      <w:marBottom w:val="0"/>
      <w:divBdr>
        <w:top w:val="none" w:sz="0" w:space="0" w:color="auto"/>
        <w:left w:val="none" w:sz="0" w:space="0" w:color="auto"/>
        <w:bottom w:val="none" w:sz="0" w:space="0" w:color="auto"/>
        <w:right w:val="none" w:sz="0" w:space="0" w:color="auto"/>
      </w:divBdr>
    </w:div>
    <w:div w:id="1817448925">
      <w:bodyDiv w:val="1"/>
      <w:marLeft w:val="0"/>
      <w:marRight w:val="0"/>
      <w:marTop w:val="0"/>
      <w:marBottom w:val="0"/>
      <w:divBdr>
        <w:top w:val="none" w:sz="0" w:space="0" w:color="auto"/>
        <w:left w:val="none" w:sz="0" w:space="0" w:color="auto"/>
        <w:bottom w:val="none" w:sz="0" w:space="0" w:color="auto"/>
        <w:right w:val="none" w:sz="0" w:space="0" w:color="auto"/>
      </w:divBdr>
    </w:div>
    <w:div w:id="1818187675">
      <w:bodyDiv w:val="1"/>
      <w:marLeft w:val="0"/>
      <w:marRight w:val="0"/>
      <w:marTop w:val="0"/>
      <w:marBottom w:val="0"/>
      <w:divBdr>
        <w:top w:val="none" w:sz="0" w:space="0" w:color="auto"/>
        <w:left w:val="none" w:sz="0" w:space="0" w:color="auto"/>
        <w:bottom w:val="none" w:sz="0" w:space="0" w:color="auto"/>
        <w:right w:val="none" w:sz="0" w:space="0" w:color="auto"/>
      </w:divBdr>
    </w:div>
    <w:div w:id="1819034190">
      <w:bodyDiv w:val="1"/>
      <w:marLeft w:val="0"/>
      <w:marRight w:val="0"/>
      <w:marTop w:val="0"/>
      <w:marBottom w:val="0"/>
      <w:divBdr>
        <w:top w:val="none" w:sz="0" w:space="0" w:color="auto"/>
        <w:left w:val="none" w:sz="0" w:space="0" w:color="auto"/>
        <w:bottom w:val="none" w:sz="0" w:space="0" w:color="auto"/>
        <w:right w:val="none" w:sz="0" w:space="0" w:color="auto"/>
      </w:divBdr>
    </w:div>
    <w:div w:id="1819301235">
      <w:bodyDiv w:val="1"/>
      <w:marLeft w:val="0"/>
      <w:marRight w:val="0"/>
      <w:marTop w:val="0"/>
      <w:marBottom w:val="0"/>
      <w:divBdr>
        <w:top w:val="none" w:sz="0" w:space="0" w:color="auto"/>
        <w:left w:val="none" w:sz="0" w:space="0" w:color="auto"/>
        <w:bottom w:val="none" w:sz="0" w:space="0" w:color="auto"/>
        <w:right w:val="none" w:sz="0" w:space="0" w:color="auto"/>
      </w:divBdr>
    </w:div>
    <w:div w:id="1820415398">
      <w:bodyDiv w:val="1"/>
      <w:marLeft w:val="0"/>
      <w:marRight w:val="0"/>
      <w:marTop w:val="0"/>
      <w:marBottom w:val="0"/>
      <w:divBdr>
        <w:top w:val="none" w:sz="0" w:space="0" w:color="auto"/>
        <w:left w:val="none" w:sz="0" w:space="0" w:color="auto"/>
        <w:bottom w:val="none" w:sz="0" w:space="0" w:color="auto"/>
        <w:right w:val="none" w:sz="0" w:space="0" w:color="auto"/>
      </w:divBdr>
    </w:div>
    <w:div w:id="1820807970">
      <w:bodyDiv w:val="1"/>
      <w:marLeft w:val="0"/>
      <w:marRight w:val="0"/>
      <w:marTop w:val="0"/>
      <w:marBottom w:val="0"/>
      <w:divBdr>
        <w:top w:val="none" w:sz="0" w:space="0" w:color="auto"/>
        <w:left w:val="none" w:sz="0" w:space="0" w:color="auto"/>
        <w:bottom w:val="none" w:sz="0" w:space="0" w:color="auto"/>
        <w:right w:val="none" w:sz="0" w:space="0" w:color="auto"/>
      </w:divBdr>
    </w:div>
    <w:div w:id="1821191801">
      <w:bodyDiv w:val="1"/>
      <w:marLeft w:val="0"/>
      <w:marRight w:val="0"/>
      <w:marTop w:val="0"/>
      <w:marBottom w:val="0"/>
      <w:divBdr>
        <w:top w:val="none" w:sz="0" w:space="0" w:color="auto"/>
        <w:left w:val="none" w:sz="0" w:space="0" w:color="auto"/>
        <w:bottom w:val="none" w:sz="0" w:space="0" w:color="auto"/>
        <w:right w:val="none" w:sz="0" w:space="0" w:color="auto"/>
      </w:divBdr>
    </w:div>
    <w:div w:id="1822843324">
      <w:bodyDiv w:val="1"/>
      <w:marLeft w:val="0"/>
      <w:marRight w:val="0"/>
      <w:marTop w:val="0"/>
      <w:marBottom w:val="0"/>
      <w:divBdr>
        <w:top w:val="none" w:sz="0" w:space="0" w:color="auto"/>
        <w:left w:val="none" w:sz="0" w:space="0" w:color="auto"/>
        <w:bottom w:val="none" w:sz="0" w:space="0" w:color="auto"/>
        <w:right w:val="none" w:sz="0" w:space="0" w:color="auto"/>
      </w:divBdr>
    </w:div>
    <w:div w:id="1823038534">
      <w:bodyDiv w:val="1"/>
      <w:marLeft w:val="0"/>
      <w:marRight w:val="0"/>
      <w:marTop w:val="0"/>
      <w:marBottom w:val="0"/>
      <w:divBdr>
        <w:top w:val="none" w:sz="0" w:space="0" w:color="auto"/>
        <w:left w:val="none" w:sz="0" w:space="0" w:color="auto"/>
        <w:bottom w:val="none" w:sz="0" w:space="0" w:color="auto"/>
        <w:right w:val="none" w:sz="0" w:space="0" w:color="auto"/>
      </w:divBdr>
    </w:div>
    <w:div w:id="1824423685">
      <w:bodyDiv w:val="1"/>
      <w:marLeft w:val="0"/>
      <w:marRight w:val="0"/>
      <w:marTop w:val="0"/>
      <w:marBottom w:val="0"/>
      <w:divBdr>
        <w:top w:val="none" w:sz="0" w:space="0" w:color="auto"/>
        <w:left w:val="none" w:sz="0" w:space="0" w:color="auto"/>
        <w:bottom w:val="none" w:sz="0" w:space="0" w:color="auto"/>
        <w:right w:val="none" w:sz="0" w:space="0" w:color="auto"/>
      </w:divBdr>
    </w:div>
    <w:div w:id="1824617289">
      <w:bodyDiv w:val="1"/>
      <w:marLeft w:val="0"/>
      <w:marRight w:val="0"/>
      <w:marTop w:val="0"/>
      <w:marBottom w:val="0"/>
      <w:divBdr>
        <w:top w:val="none" w:sz="0" w:space="0" w:color="auto"/>
        <w:left w:val="none" w:sz="0" w:space="0" w:color="auto"/>
        <w:bottom w:val="none" w:sz="0" w:space="0" w:color="auto"/>
        <w:right w:val="none" w:sz="0" w:space="0" w:color="auto"/>
      </w:divBdr>
    </w:div>
    <w:div w:id="1825006357">
      <w:bodyDiv w:val="1"/>
      <w:marLeft w:val="0"/>
      <w:marRight w:val="0"/>
      <w:marTop w:val="0"/>
      <w:marBottom w:val="0"/>
      <w:divBdr>
        <w:top w:val="none" w:sz="0" w:space="0" w:color="auto"/>
        <w:left w:val="none" w:sz="0" w:space="0" w:color="auto"/>
        <w:bottom w:val="none" w:sz="0" w:space="0" w:color="auto"/>
        <w:right w:val="none" w:sz="0" w:space="0" w:color="auto"/>
      </w:divBdr>
    </w:div>
    <w:div w:id="1826706853">
      <w:bodyDiv w:val="1"/>
      <w:marLeft w:val="0"/>
      <w:marRight w:val="0"/>
      <w:marTop w:val="0"/>
      <w:marBottom w:val="0"/>
      <w:divBdr>
        <w:top w:val="none" w:sz="0" w:space="0" w:color="auto"/>
        <w:left w:val="none" w:sz="0" w:space="0" w:color="auto"/>
        <w:bottom w:val="none" w:sz="0" w:space="0" w:color="auto"/>
        <w:right w:val="none" w:sz="0" w:space="0" w:color="auto"/>
      </w:divBdr>
    </w:div>
    <w:div w:id="1827432670">
      <w:bodyDiv w:val="1"/>
      <w:marLeft w:val="0"/>
      <w:marRight w:val="0"/>
      <w:marTop w:val="0"/>
      <w:marBottom w:val="0"/>
      <w:divBdr>
        <w:top w:val="none" w:sz="0" w:space="0" w:color="auto"/>
        <w:left w:val="none" w:sz="0" w:space="0" w:color="auto"/>
        <w:bottom w:val="none" w:sz="0" w:space="0" w:color="auto"/>
        <w:right w:val="none" w:sz="0" w:space="0" w:color="auto"/>
      </w:divBdr>
    </w:div>
    <w:div w:id="1827745358">
      <w:bodyDiv w:val="1"/>
      <w:marLeft w:val="0"/>
      <w:marRight w:val="0"/>
      <w:marTop w:val="0"/>
      <w:marBottom w:val="0"/>
      <w:divBdr>
        <w:top w:val="none" w:sz="0" w:space="0" w:color="auto"/>
        <w:left w:val="none" w:sz="0" w:space="0" w:color="auto"/>
        <w:bottom w:val="none" w:sz="0" w:space="0" w:color="auto"/>
        <w:right w:val="none" w:sz="0" w:space="0" w:color="auto"/>
      </w:divBdr>
    </w:div>
    <w:div w:id="1828091715">
      <w:bodyDiv w:val="1"/>
      <w:marLeft w:val="0"/>
      <w:marRight w:val="0"/>
      <w:marTop w:val="0"/>
      <w:marBottom w:val="0"/>
      <w:divBdr>
        <w:top w:val="none" w:sz="0" w:space="0" w:color="auto"/>
        <w:left w:val="none" w:sz="0" w:space="0" w:color="auto"/>
        <w:bottom w:val="none" w:sz="0" w:space="0" w:color="auto"/>
        <w:right w:val="none" w:sz="0" w:space="0" w:color="auto"/>
      </w:divBdr>
    </w:div>
    <w:div w:id="1828865661">
      <w:bodyDiv w:val="1"/>
      <w:marLeft w:val="0"/>
      <w:marRight w:val="0"/>
      <w:marTop w:val="0"/>
      <w:marBottom w:val="0"/>
      <w:divBdr>
        <w:top w:val="none" w:sz="0" w:space="0" w:color="auto"/>
        <w:left w:val="none" w:sz="0" w:space="0" w:color="auto"/>
        <w:bottom w:val="none" w:sz="0" w:space="0" w:color="auto"/>
        <w:right w:val="none" w:sz="0" w:space="0" w:color="auto"/>
      </w:divBdr>
    </w:div>
    <w:div w:id="1830513120">
      <w:bodyDiv w:val="1"/>
      <w:marLeft w:val="0"/>
      <w:marRight w:val="0"/>
      <w:marTop w:val="0"/>
      <w:marBottom w:val="0"/>
      <w:divBdr>
        <w:top w:val="none" w:sz="0" w:space="0" w:color="auto"/>
        <w:left w:val="none" w:sz="0" w:space="0" w:color="auto"/>
        <w:bottom w:val="none" w:sz="0" w:space="0" w:color="auto"/>
        <w:right w:val="none" w:sz="0" w:space="0" w:color="auto"/>
      </w:divBdr>
    </w:div>
    <w:div w:id="1832136702">
      <w:bodyDiv w:val="1"/>
      <w:marLeft w:val="0"/>
      <w:marRight w:val="0"/>
      <w:marTop w:val="0"/>
      <w:marBottom w:val="0"/>
      <w:divBdr>
        <w:top w:val="none" w:sz="0" w:space="0" w:color="auto"/>
        <w:left w:val="none" w:sz="0" w:space="0" w:color="auto"/>
        <w:bottom w:val="none" w:sz="0" w:space="0" w:color="auto"/>
        <w:right w:val="none" w:sz="0" w:space="0" w:color="auto"/>
      </w:divBdr>
    </w:div>
    <w:div w:id="1832869203">
      <w:bodyDiv w:val="1"/>
      <w:marLeft w:val="0"/>
      <w:marRight w:val="0"/>
      <w:marTop w:val="0"/>
      <w:marBottom w:val="0"/>
      <w:divBdr>
        <w:top w:val="none" w:sz="0" w:space="0" w:color="auto"/>
        <w:left w:val="none" w:sz="0" w:space="0" w:color="auto"/>
        <w:bottom w:val="none" w:sz="0" w:space="0" w:color="auto"/>
        <w:right w:val="none" w:sz="0" w:space="0" w:color="auto"/>
      </w:divBdr>
    </w:div>
    <w:div w:id="1833912415">
      <w:bodyDiv w:val="1"/>
      <w:marLeft w:val="0"/>
      <w:marRight w:val="0"/>
      <w:marTop w:val="0"/>
      <w:marBottom w:val="0"/>
      <w:divBdr>
        <w:top w:val="none" w:sz="0" w:space="0" w:color="auto"/>
        <w:left w:val="none" w:sz="0" w:space="0" w:color="auto"/>
        <w:bottom w:val="none" w:sz="0" w:space="0" w:color="auto"/>
        <w:right w:val="none" w:sz="0" w:space="0" w:color="auto"/>
      </w:divBdr>
    </w:div>
    <w:div w:id="1833913499">
      <w:bodyDiv w:val="1"/>
      <w:marLeft w:val="0"/>
      <w:marRight w:val="0"/>
      <w:marTop w:val="0"/>
      <w:marBottom w:val="0"/>
      <w:divBdr>
        <w:top w:val="none" w:sz="0" w:space="0" w:color="auto"/>
        <w:left w:val="none" w:sz="0" w:space="0" w:color="auto"/>
        <w:bottom w:val="none" w:sz="0" w:space="0" w:color="auto"/>
        <w:right w:val="none" w:sz="0" w:space="0" w:color="auto"/>
      </w:divBdr>
    </w:div>
    <w:div w:id="1834754343">
      <w:bodyDiv w:val="1"/>
      <w:marLeft w:val="0"/>
      <w:marRight w:val="0"/>
      <w:marTop w:val="0"/>
      <w:marBottom w:val="0"/>
      <w:divBdr>
        <w:top w:val="none" w:sz="0" w:space="0" w:color="auto"/>
        <w:left w:val="none" w:sz="0" w:space="0" w:color="auto"/>
        <w:bottom w:val="none" w:sz="0" w:space="0" w:color="auto"/>
        <w:right w:val="none" w:sz="0" w:space="0" w:color="auto"/>
      </w:divBdr>
    </w:div>
    <w:div w:id="1838881789">
      <w:bodyDiv w:val="1"/>
      <w:marLeft w:val="0"/>
      <w:marRight w:val="0"/>
      <w:marTop w:val="0"/>
      <w:marBottom w:val="0"/>
      <w:divBdr>
        <w:top w:val="none" w:sz="0" w:space="0" w:color="auto"/>
        <w:left w:val="none" w:sz="0" w:space="0" w:color="auto"/>
        <w:bottom w:val="none" w:sz="0" w:space="0" w:color="auto"/>
        <w:right w:val="none" w:sz="0" w:space="0" w:color="auto"/>
      </w:divBdr>
    </w:div>
    <w:div w:id="1840998760">
      <w:bodyDiv w:val="1"/>
      <w:marLeft w:val="0"/>
      <w:marRight w:val="0"/>
      <w:marTop w:val="0"/>
      <w:marBottom w:val="0"/>
      <w:divBdr>
        <w:top w:val="none" w:sz="0" w:space="0" w:color="auto"/>
        <w:left w:val="none" w:sz="0" w:space="0" w:color="auto"/>
        <w:bottom w:val="none" w:sz="0" w:space="0" w:color="auto"/>
        <w:right w:val="none" w:sz="0" w:space="0" w:color="auto"/>
      </w:divBdr>
    </w:div>
    <w:div w:id="1841505405">
      <w:bodyDiv w:val="1"/>
      <w:marLeft w:val="0"/>
      <w:marRight w:val="0"/>
      <w:marTop w:val="0"/>
      <w:marBottom w:val="0"/>
      <w:divBdr>
        <w:top w:val="none" w:sz="0" w:space="0" w:color="auto"/>
        <w:left w:val="none" w:sz="0" w:space="0" w:color="auto"/>
        <w:bottom w:val="none" w:sz="0" w:space="0" w:color="auto"/>
        <w:right w:val="none" w:sz="0" w:space="0" w:color="auto"/>
      </w:divBdr>
    </w:div>
    <w:div w:id="1842547862">
      <w:bodyDiv w:val="1"/>
      <w:marLeft w:val="0"/>
      <w:marRight w:val="0"/>
      <w:marTop w:val="0"/>
      <w:marBottom w:val="0"/>
      <w:divBdr>
        <w:top w:val="none" w:sz="0" w:space="0" w:color="auto"/>
        <w:left w:val="none" w:sz="0" w:space="0" w:color="auto"/>
        <w:bottom w:val="none" w:sz="0" w:space="0" w:color="auto"/>
        <w:right w:val="none" w:sz="0" w:space="0" w:color="auto"/>
      </w:divBdr>
    </w:div>
    <w:div w:id="1843543523">
      <w:bodyDiv w:val="1"/>
      <w:marLeft w:val="0"/>
      <w:marRight w:val="0"/>
      <w:marTop w:val="0"/>
      <w:marBottom w:val="0"/>
      <w:divBdr>
        <w:top w:val="none" w:sz="0" w:space="0" w:color="auto"/>
        <w:left w:val="none" w:sz="0" w:space="0" w:color="auto"/>
        <w:bottom w:val="none" w:sz="0" w:space="0" w:color="auto"/>
        <w:right w:val="none" w:sz="0" w:space="0" w:color="auto"/>
      </w:divBdr>
    </w:div>
    <w:div w:id="1843927793">
      <w:bodyDiv w:val="1"/>
      <w:marLeft w:val="0"/>
      <w:marRight w:val="0"/>
      <w:marTop w:val="0"/>
      <w:marBottom w:val="0"/>
      <w:divBdr>
        <w:top w:val="none" w:sz="0" w:space="0" w:color="auto"/>
        <w:left w:val="none" w:sz="0" w:space="0" w:color="auto"/>
        <w:bottom w:val="none" w:sz="0" w:space="0" w:color="auto"/>
        <w:right w:val="none" w:sz="0" w:space="0" w:color="auto"/>
      </w:divBdr>
    </w:div>
    <w:div w:id="1845634235">
      <w:bodyDiv w:val="1"/>
      <w:marLeft w:val="0"/>
      <w:marRight w:val="0"/>
      <w:marTop w:val="0"/>
      <w:marBottom w:val="0"/>
      <w:divBdr>
        <w:top w:val="none" w:sz="0" w:space="0" w:color="auto"/>
        <w:left w:val="none" w:sz="0" w:space="0" w:color="auto"/>
        <w:bottom w:val="none" w:sz="0" w:space="0" w:color="auto"/>
        <w:right w:val="none" w:sz="0" w:space="0" w:color="auto"/>
      </w:divBdr>
    </w:div>
    <w:div w:id="1846674669">
      <w:bodyDiv w:val="1"/>
      <w:marLeft w:val="0"/>
      <w:marRight w:val="0"/>
      <w:marTop w:val="0"/>
      <w:marBottom w:val="0"/>
      <w:divBdr>
        <w:top w:val="none" w:sz="0" w:space="0" w:color="auto"/>
        <w:left w:val="none" w:sz="0" w:space="0" w:color="auto"/>
        <w:bottom w:val="none" w:sz="0" w:space="0" w:color="auto"/>
        <w:right w:val="none" w:sz="0" w:space="0" w:color="auto"/>
      </w:divBdr>
    </w:div>
    <w:div w:id="1849441993">
      <w:bodyDiv w:val="1"/>
      <w:marLeft w:val="0"/>
      <w:marRight w:val="0"/>
      <w:marTop w:val="0"/>
      <w:marBottom w:val="0"/>
      <w:divBdr>
        <w:top w:val="none" w:sz="0" w:space="0" w:color="auto"/>
        <w:left w:val="none" w:sz="0" w:space="0" w:color="auto"/>
        <w:bottom w:val="none" w:sz="0" w:space="0" w:color="auto"/>
        <w:right w:val="none" w:sz="0" w:space="0" w:color="auto"/>
      </w:divBdr>
    </w:div>
    <w:div w:id="1853376445">
      <w:bodyDiv w:val="1"/>
      <w:marLeft w:val="0"/>
      <w:marRight w:val="0"/>
      <w:marTop w:val="0"/>
      <w:marBottom w:val="0"/>
      <w:divBdr>
        <w:top w:val="none" w:sz="0" w:space="0" w:color="auto"/>
        <w:left w:val="none" w:sz="0" w:space="0" w:color="auto"/>
        <w:bottom w:val="none" w:sz="0" w:space="0" w:color="auto"/>
        <w:right w:val="none" w:sz="0" w:space="0" w:color="auto"/>
      </w:divBdr>
    </w:div>
    <w:div w:id="1853647648">
      <w:bodyDiv w:val="1"/>
      <w:marLeft w:val="0"/>
      <w:marRight w:val="0"/>
      <w:marTop w:val="0"/>
      <w:marBottom w:val="0"/>
      <w:divBdr>
        <w:top w:val="none" w:sz="0" w:space="0" w:color="auto"/>
        <w:left w:val="none" w:sz="0" w:space="0" w:color="auto"/>
        <w:bottom w:val="none" w:sz="0" w:space="0" w:color="auto"/>
        <w:right w:val="none" w:sz="0" w:space="0" w:color="auto"/>
      </w:divBdr>
    </w:div>
    <w:div w:id="1853911468">
      <w:bodyDiv w:val="1"/>
      <w:marLeft w:val="0"/>
      <w:marRight w:val="0"/>
      <w:marTop w:val="0"/>
      <w:marBottom w:val="0"/>
      <w:divBdr>
        <w:top w:val="none" w:sz="0" w:space="0" w:color="auto"/>
        <w:left w:val="none" w:sz="0" w:space="0" w:color="auto"/>
        <w:bottom w:val="none" w:sz="0" w:space="0" w:color="auto"/>
        <w:right w:val="none" w:sz="0" w:space="0" w:color="auto"/>
      </w:divBdr>
    </w:div>
    <w:div w:id="1854146903">
      <w:bodyDiv w:val="1"/>
      <w:marLeft w:val="0"/>
      <w:marRight w:val="0"/>
      <w:marTop w:val="0"/>
      <w:marBottom w:val="0"/>
      <w:divBdr>
        <w:top w:val="none" w:sz="0" w:space="0" w:color="auto"/>
        <w:left w:val="none" w:sz="0" w:space="0" w:color="auto"/>
        <w:bottom w:val="none" w:sz="0" w:space="0" w:color="auto"/>
        <w:right w:val="none" w:sz="0" w:space="0" w:color="auto"/>
      </w:divBdr>
    </w:div>
    <w:div w:id="1854294371">
      <w:bodyDiv w:val="1"/>
      <w:marLeft w:val="0"/>
      <w:marRight w:val="0"/>
      <w:marTop w:val="0"/>
      <w:marBottom w:val="0"/>
      <w:divBdr>
        <w:top w:val="none" w:sz="0" w:space="0" w:color="auto"/>
        <w:left w:val="none" w:sz="0" w:space="0" w:color="auto"/>
        <w:bottom w:val="none" w:sz="0" w:space="0" w:color="auto"/>
        <w:right w:val="none" w:sz="0" w:space="0" w:color="auto"/>
      </w:divBdr>
    </w:div>
    <w:div w:id="1855411945">
      <w:bodyDiv w:val="1"/>
      <w:marLeft w:val="0"/>
      <w:marRight w:val="0"/>
      <w:marTop w:val="0"/>
      <w:marBottom w:val="0"/>
      <w:divBdr>
        <w:top w:val="none" w:sz="0" w:space="0" w:color="auto"/>
        <w:left w:val="none" w:sz="0" w:space="0" w:color="auto"/>
        <w:bottom w:val="none" w:sz="0" w:space="0" w:color="auto"/>
        <w:right w:val="none" w:sz="0" w:space="0" w:color="auto"/>
      </w:divBdr>
    </w:div>
    <w:div w:id="1856650394">
      <w:bodyDiv w:val="1"/>
      <w:marLeft w:val="0"/>
      <w:marRight w:val="0"/>
      <w:marTop w:val="0"/>
      <w:marBottom w:val="0"/>
      <w:divBdr>
        <w:top w:val="none" w:sz="0" w:space="0" w:color="auto"/>
        <w:left w:val="none" w:sz="0" w:space="0" w:color="auto"/>
        <w:bottom w:val="none" w:sz="0" w:space="0" w:color="auto"/>
        <w:right w:val="none" w:sz="0" w:space="0" w:color="auto"/>
      </w:divBdr>
    </w:div>
    <w:div w:id="1857815139">
      <w:bodyDiv w:val="1"/>
      <w:marLeft w:val="0"/>
      <w:marRight w:val="0"/>
      <w:marTop w:val="0"/>
      <w:marBottom w:val="0"/>
      <w:divBdr>
        <w:top w:val="none" w:sz="0" w:space="0" w:color="auto"/>
        <w:left w:val="none" w:sz="0" w:space="0" w:color="auto"/>
        <w:bottom w:val="none" w:sz="0" w:space="0" w:color="auto"/>
        <w:right w:val="none" w:sz="0" w:space="0" w:color="auto"/>
      </w:divBdr>
    </w:div>
    <w:div w:id="1859541626">
      <w:bodyDiv w:val="1"/>
      <w:marLeft w:val="0"/>
      <w:marRight w:val="0"/>
      <w:marTop w:val="0"/>
      <w:marBottom w:val="0"/>
      <w:divBdr>
        <w:top w:val="none" w:sz="0" w:space="0" w:color="auto"/>
        <w:left w:val="none" w:sz="0" w:space="0" w:color="auto"/>
        <w:bottom w:val="none" w:sz="0" w:space="0" w:color="auto"/>
        <w:right w:val="none" w:sz="0" w:space="0" w:color="auto"/>
      </w:divBdr>
    </w:div>
    <w:div w:id="1859808007">
      <w:bodyDiv w:val="1"/>
      <w:marLeft w:val="0"/>
      <w:marRight w:val="0"/>
      <w:marTop w:val="0"/>
      <w:marBottom w:val="0"/>
      <w:divBdr>
        <w:top w:val="none" w:sz="0" w:space="0" w:color="auto"/>
        <w:left w:val="none" w:sz="0" w:space="0" w:color="auto"/>
        <w:bottom w:val="none" w:sz="0" w:space="0" w:color="auto"/>
        <w:right w:val="none" w:sz="0" w:space="0" w:color="auto"/>
      </w:divBdr>
    </w:div>
    <w:div w:id="1860586478">
      <w:bodyDiv w:val="1"/>
      <w:marLeft w:val="0"/>
      <w:marRight w:val="0"/>
      <w:marTop w:val="0"/>
      <w:marBottom w:val="0"/>
      <w:divBdr>
        <w:top w:val="none" w:sz="0" w:space="0" w:color="auto"/>
        <w:left w:val="none" w:sz="0" w:space="0" w:color="auto"/>
        <w:bottom w:val="none" w:sz="0" w:space="0" w:color="auto"/>
        <w:right w:val="none" w:sz="0" w:space="0" w:color="auto"/>
      </w:divBdr>
    </w:div>
    <w:div w:id="1861121306">
      <w:bodyDiv w:val="1"/>
      <w:marLeft w:val="0"/>
      <w:marRight w:val="0"/>
      <w:marTop w:val="0"/>
      <w:marBottom w:val="0"/>
      <w:divBdr>
        <w:top w:val="none" w:sz="0" w:space="0" w:color="auto"/>
        <w:left w:val="none" w:sz="0" w:space="0" w:color="auto"/>
        <w:bottom w:val="none" w:sz="0" w:space="0" w:color="auto"/>
        <w:right w:val="none" w:sz="0" w:space="0" w:color="auto"/>
      </w:divBdr>
    </w:div>
    <w:div w:id="1861621224">
      <w:bodyDiv w:val="1"/>
      <w:marLeft w:val="0"/>
      <w:marRight w:val="0"/>
      <w:marTop w:val="0"/>
      <w:marBottom w:val="0"/>
      <w:divBdr>
        <w:top w:val="none" w:sz="0" w:space="0" w:color="auto"/>
        <w:left w:val="none" w:sz="0" w:space="0" w:color="auto"/>
        <w:bottom w:val="none" w:sz="0" w:space="0" w:color="auto"/>
        <w:right w:val="none" w:sz="0" w:space="0" w:color="auto"/>
      </w:divBdr>
    </w:div>
    <w:div w:id="1861973257">
      <w:bodyDiv w:val="1"/>
      <w:marLeft w:val="0"/>
      <w:marRight w:val="0"/>
      <w:marTop w:val="0"/>
      <w:marBottom w:val="0"/>
      <w:divBdr>
        <w:top w:val="none" w:sz="0" w:space="0" w:color="auto"/>
        <w:left w:val="none" w:sz="0" w:space="0" w:color="auto"/>
        <w:bottom w:val="none" w:sz="0" w:space="0" w:color="auto"/>
        <w:right w:val="none" w:sz="0" w:space="0" w:color="auto"/>
      </w:divBdr>
    </w:div>
    <w:div w:id="1862937171">
      <w:bodyDiv w:val="1"/>
      <w:marLeft w:val="0"/>
      <w:marRight w:val="0"/>
      <w:marTop w:val="0"/>
      <w:marBottom w:val="0"/>
      <w:divBdr>
        <w:top w:val="none" w:sz="0" w:space="0" w:color="auto"/>
        <w:left w:val="none" w:sz="0" w:space="0" w:color="auto"/>
        <w:bottom w:val="none" w:sz="0" w:space="0" w:color="auto"/>
        <w:right w:val="none" w:sz="0" w:space="0" w:color="auto"/>
      </w:divBdr>
    </w:div>
    <w:div w:id="1870534375">
      <w:bodyDiv w:val="1"/>
      <w:marLeft w:val="0"/>
      <w:marRight w:val="0"/>
      <w:marTop w:val="0"/>
      <w:marBottom w:val="0"/>
      <w:divBdr>
        <w:top w:val="none" w:sz="0" w:space="0" w:color="auto"/>
        <w:left w:val="none" w:sz="0" w:space="0" w:color="auto"/>
        <w:bottom w:val="none" w:sz="0" w:space="0" w:color="auto"/>
        <w:right w:val="none" w:sz="0" w:space="0" w:color="auto"/>
      </w:divBdr>
    </w:div>
    <w:div w:id="1871645371">
      <w:bodyDiv w:val="1"/>
      <w:marLeft w:val="0"/>
      <w:marRight w:val="0"/>
      <w:marTop w:val="0"/>
      <w:marBottom w:val="0"/>
      <w:divBdr>
        <w:top w:val="none" w:sz="0" w:space="0" w:color="auto"/>
        <w:left w:val="none" w:sz="0" w:space="0" w:color="auto"/>
        <w:bottom w:val="none" w:sz="0" w:space="0" w:color="auto"/>
        <w:right w:val="none" w:sz="0" w:space="0" w:color="auto"/>
      </w:divBdr>
    </w:div>
    <w:div w:id="1876850166">
      <w:bodyDiv w:val="1"/>
      <w:marLeft w:val="0"/>
      <w:marRight w:val="0"/>
      <w:marTop w:val="0"/>
      <w:marBottom w:val="0"/>
      <w:divBdr>
        <w:top w:val="none" w:sz="0" w:space="0" w:color="auto"/>
        <w:left w:val="none" w:sz="0" w:space="0" w:color="auto"/>
        <w:bottom w:val="none" w:sz="0" w:space="0" w:color="auto"/>
        <w:right w:val="none" w:sz="0" w:space="0" w:color="auto"/>
      </w:divBdr>
    </w:div>
    <w:div w:id="1878615641">
      <w:bodyDiv w:val="1"/>
      <w:marLeft w:val="0"/>
      <w:marRight w:val="0"/>
      <w:marTop w:val="0"/>
      <w:marBottom w:val="0"/>
      <w:divBdr>
        <w:top w:val="none" w:sz="0" w:space="0" w:color="auto"/>
        <w:left w:val="none" w:sz="0" w:space="0" w:color="auto"/>
        <w:bottom w:val="none" w:sz="0" w:space="0" w:color="auto"/>
        <w:right w:val="none" w:sz="0" w:space="0" w:color="auto"/>
      </w:divBdr>
    </w:div>
    <w:div w:id="1878929973">
      <w:bodyDiv w:val="1"/>
      <w:marLeft w:val="0"/>
      <w:marRight w:val="0"/>
      <w:marTop w:val="0"/>
      <w:marBottom w:val="0"/>
      <w:divBdr>
        <w:top w:val="none" w:sz="0" w:space="0" w:color="auto"/>
        <w:left w:val="none" w:sz="0" w:space="0" w:color="auto"/>
        <w:bottom w:val="none" w:sz="0" w:space="0" w:color="auto"/>
        <w:right w:val="none" w:sz="0" w:space="0" w:color="auto"/>
      </w:divBdr>
    </w:div>
    <w:div w:id="1880509796">
      <w:bodyDiv w:val="1"/>
      <w:marLeft w:val="0"/>
      <w:marRight w:val="0"/>
      <w:marTop w:val="0"/>
      <w:marBottom w:val="0"/>
      <w:divBdr>
        <w:top w:val="none" w:sz="0" w:space="0" w:color="auto"/>
        <w:left w:val="none" w:sz="0" w:space="0" w:color="auto"/>
        <w:bottom w:val="none" w:sz="0" w:space="0" w:color="auto"/>
        <w:right w:val="none" w:sz="0" w:space="0" w:color="auto"/>
      </w:divBdr>
    </w:div>
    <w:div w:id="1880628172">
      <w:bodyDiv w:val="1"/>
      <w:marLeft w:val="0"/>
      <w:marRight w:val="0"/>
      <w:marTop w:val="0"/>
      <w:marBottom w:val="0"/>
      <w:divBdr>
        <w:top w:val="none" w:sz="0" w:space="0" w:color="auto"/>
        <w:left w:val="none" w:sz="0" w:space="0" w:color="auto"/>
        <w:bottom w:val="none" w:sz="0" w:space="0" w:color="auto"/>
        <w:right w:val="none" w:sz="0" w:space="0" w:color="auto"/>
      </w:divBdr>
    </w:div>
    <w:div w:id="1880849437">
      <w:bodyDiv w:val="1"/>
      <w:marLeft w:val="0"/>
      <w:marRight w:val="0"/>
      <w:marTop w:val="0"/>
      <w:marBottom w:val="0"/>
      <w:divBdr>
        <w:top w:val="none" w:sz="0" w:space="0" w:color="auto"/>
        <w:left w:val="none" w:sz="0" w:space="0" w:color="auto"/>
        <w:bottom w:val="none" w:sz="0" w:space="0" w:color="auto"/>
        <w:right w:val="none" w:sz="0" w:space="0" w:color="auto"/>
      </w:divBdr>
    </w:div>
    <w:div w:id="1881672134">
      <w:bodyDiv w:val="1"/>
      <w:marLeft w:val="0"/>
      <w:marRight w:val="0"/>
      <w:marTop w:val="0"/>
      <w:marBottom w:val="0"/>
      <w:divBdr>
        <w:top w:val="none" w:sz="0" w:space="0" w:color="auto"/>
        <w:left w:val="none" w:sz="0" w:space="0" w:color="auto"/>
        <w:bottom w:val="none" w:sz="0" w:space="0" w:color="auto"/>
        <w:right w:val="none" w:sz="0" w:space="0" w:color="auto"/>
      </w:divBdr>
    </w:div>
    <w:div w:id="1882596980">
      <w:bodyDiv w:val="1"/>
      <w:marLeft w:val="0"/>
      <w:marRight w:val="0"/>
      <w:marTop w:val="0"/>
      <w:marBottom w:val="0"/>
      <w:divBdr>
        <w:top w:val="none" w:sz="0" w:space="0" w:color="auto"/>
        <w:left w:val="none" w:sz="0" w:space="0" w:color="auto"/>
        <w:bottom w:val="none" w:sz="0" w:space="0" w:color="auto"/>
        <w:right w:val="none" w:sz="0" w:space="0" w:color="auto"/>
      </w:divBdr>
    </w:div>
    <w:div w:id="1883247230">
      <w:bodyDiv w:val="1"/>
      <w:marLeft w:val="0"/>
      <w:marRight w:val="0"/>
      <w:marTop w:val="0"/>
      <w:marBottom w:val="0"/>
      <w:divBdr>
        <w:top w:val="none" w:sz="0" w:space="0" w:color="auto"/>
        <w:left w:val="none" w:sz="0" w:space="0" w:color="auto"/>
        <w:bottom w:val="none" w:sz="0" w:space="0" w:color="auto"/>
        <w:right w:val="none" w:sz="0" w:space="0" w:color="auto"/>
      </w:divBdr>
    </w:div>
    <w:div w:id="1884173518">
      <w:bodyDiv w:val="1"/>
      <w:marLeft w:val="0"/>
      <w:marRight w:val="0"/>
      <w:marTop w:val="0"/>
      <w:marBottom w:val="0"/>
      <w:divBdr>
        <w:top w:val="none" w:sz="0" w:space="0" w:color="auto"/>
        <w:left w:val="none" w:sz="0" w:space="0" w:color="auto"/>
        <w:bottom w:val="none" w:sz="0" w:space="0" w:color="auto"/>
        <w:right w:val="none" w:sz="0" w:space="0" w:color="auto"/>
      </w:divBdr>
    </w:div>
    <w:div w:id="1884974476">
      <w:bodyDiv w:val="1"/>
      <w:marLeft w:val="0"/>
      <w:marRight w:val="0"/>
      <w:marTop w:val="0"/>
      <w:marBottom w:val="0"/>
      <w:divBdr>
        <w:top w:val="none" w:sz="0" w:space="0" w:color="auto"/>
        <w:left w:val="none" w:sz="0" w:space="0" w:color="auto"/>
        <w:bottom w:val="none" w:sz="0" w:space="0" w:color="auto"/>
        <w:right w:val="none" w:sz="0" w:space="0" w:color="auto"/>
      </w:divBdr>
    </w:div>
    <w:div w:id="1887401575">
      <w:bodyDiv w:val="1"/>
      <w:marLeft w:val="0"/>
      <w:marRight w:val="0"/>
      <w:marTop w:val="0"/>
      <w:marBottom w:val="0"/>
      <w:divBdr>
        <w:top w:val="none" w:sz="0" w:space="0" w:color="auto"/>
        <w:left w:val="none" w:sz="0" w:space="0" w:color="auto"/>
        <w:bottom w:val="none" w:sz="0" w:space="0" w:color="auto"/>
        <w:right w:val="none" w:sz="0" w:space="0" w:color="auto"/>
      </w:divBdr>
    </w:div>
    <w:div w:id="1887713872">
      <w:bodyDiv w:val="1"/>
      <w:marLeft w:val="0"/>
      <w:marRight w:val="0"/>
      <w:marTop w:val="0"/>
      <w:marBottom w:val="0"/>
      <w:divBdr>
        <w:top w:val="none" w:sz="0" w:space="0" w:color="auto"/>
        <w:left w:val="none" w:sz="0" w:space="0" w:color="auto"/>
        <w:bottom w:val="none" w:sz="0" w:space="0" w:color="auto"/>
        <w:right w:val="none" w:sz="0" w:space="0" w:color="auto"/>
      </w:divBdr>
    </w:div>
    <w:div w:id="1888643977">
      <w:bodyDiv w:val="1"/>
      <w:marLeft w:val="0"/>
      <w:marRight w:val="0"/>
      <w:marTop w:val="0"/>
      <w:marBottom w:val="0"/>
      <w:divBdr>
        <w:top w:val="none" w:sz="0" w:space="0" w:color="auto"/>
        <w:left w:val="none" w:sz="0" w:space="0" w:color="auto"/>
        <w:bottom w:val="none" w:sz="0" w:space="0" w:color="auto"/>
        <w:right w:val="none" w:sz="0" w:space="0" w:color="auto"/>
      </w:divBdr>
    </w:div>
    <w:div w:id="1894268651">
      <w:bodyDiv w:val="1"/>
      <w:marLeft w:val="0"/>
      <w:marRight w:val="0"/>
      <w:marTop w:val="0"/>
      <w:marBottom w:val="0"/>
      <w:divBdr>
        <w:top w:val="none" w:sz="0" w:space="0" w:color="auto"/>
        <w:left w:val="none" w:sz="0" w:space="0" w:color="auto"/>
        <w:bottom w:val="none" w:sz="0" w:space="0" w:color="auto"/>
        <w:right w:val="none" w:sz="0" w:space="0" w:color="auto"/>
      </w:divBdr>
    </w:div>
    <w:div w:id="1896619610">
      <w:bodyDiv w:val="1"/>
      <w:marLeft w:val="0"/>
      <w:marRight w:val="0"/>
      <w:marTop w:val="0"/>
      <w:marBottom w:val="0"/>
      <w:divBdr>
        <w:top w:val="none" w:sz="0" w:space="0" w:color="auto"/>
        <w:left w:val="none" w:sz="0" w:space="0" w:color="auto"/>
        <w:bottom w:val="none" w:sz="0" w:space="0" w:color="auto"/>
        <w:right w:val="none" w:sz="0" w:space="0" w:color="auto"/>
      </w:divBdr>
    </w:div>
    <w:div w:id="1898006868">
      <w:bodyDiv w:val="1"/>
      <w:marLeft w:val="0"/>
      <w:marRight w:val="0"/>
      <w:marTop w:val="0"/>
      <w:marBottom w:val="0"/>
      <w:divBdr>
        <w:top w:val="none" w:sz="0" w:space="0" w:color="auto"/>
        <w:left w:val="none" w:sz="0" w:space="0" w:color="auto"/>
        <w:bottom w:val="none" w:sz="0" w:space="0" w:color="auto"/>
        <w:right w:val="none" w:sz="0" w:space="0" w:color="auto"/>
      </w:divBdr>
    </w:div>
    <w:div w:id="1900247175">
      <w:bodyDiv w:val="1"/>
      <w:marLeft w:val="0"/>
      <w:marRight w:val="0"/>
      <w:marTop w:val="0"/>
      <w:marBottom w:val="0"/>
      <w:divBdr>
        <w:top w:val="none" w:sz="0" w:space="0" w:color="auto"/>
        <w:left w:val="none" w:sz="0" w:space="0" w:color="auto"/>
        <w:bottom w:val="none" w:sz="0" w:space="0" w:color="auto"/>
        <w:right w:val="none" w:sz="0" w:space="0" w:color="auto"/>
      </w:divBdr>
    </w:div>
    <w:div w:id="1902326208">
      <w:bodyDiv w:val="1"/>
      <w:marLeft w:val="0"/>
      <w:marRight w:val="0"/>
      <w:marTop w:val="0"/>
      <w:marBottom w:val="0"/>
      <w:divBdr>
        <w:top w:val="none" w:sz="0" w:space="0" w:color="auto"/>
        <w:left w:val="none" w:sz="0" w:space="0" w:color="auto"/>
        <w:bottom w:val="none" w:sz="0" w:space="0" w:color="auto"/>
        <w:right w:val="none" w:sz="0" w:space="0" w:color="auto"/>
      </w:divBdr>
    </w:div>
    <w:div w:id="1903058092">
      <w:bodyDiv w:val="1"/>
      <w:marLeft w:val="0"/>
      <w:marRight w:val="0"/>
      <w:marTop w:val="0"/>
      <w:marBottom w:val="0"/>
      <w:divBdr>
        <w:top w:val="none" w:sz="0" w:space="0" w:color="auto"/>
        <w:left w:val="none" w:sz="0" w:space="0" w:color="auto"/>
        <w:bottom w:val="none" w:sz="0" w:space="0" w:color="auto"/>
        <w:right w:val="none" w:sz="0" w:space="0" w:color="auto"/>
      </w:divBdr>
    </w:div>
    <w:div w:id="1903445482">
      <w:bodyDiv w:val="1"/>
      <w:marLeft w:val="0"/>
      <w:marRight w:val="0"/>
      <w:marTop w:val="0"/>
      <w:marBottom w:val="0"/>
      <w:divBdr>
        <w:top w:val="none" w:sz="0" w:space="0" w:color="auto"/>
        <w:left w:val="none" w:sz="0" w:space="0" w:color="auto"/>
        <w:bottom w:val="none" w:sz="0" w:space="0" w:color="auto"/>
        <w:right w:val="none" w:sz="0" w:space="0" w:color="auto"/>
      </w:divBdr>
    </w:div>
    <w:div w:id="1904752280">
      <w:bodyDiv w:val="1"/>
      <w:marLeft w:val="0"/>
      <w:marRight w:val="0"/>
      <w:marTop w:val="0"/>
      <w:marBottom w:val="0"/>
      <w:divBdr>
        <w:top w:val="none" w:sz="0" w:space="0" w:color="auto"/>
        <w:left w:val="none" w:sz="0" w:space="0" w:color="auto"/>
        <w:bottom w:val="none" w:sz="0" w:space="0" w:color="auto"/>
        <w:right w:val="none" w:sz="0" w:space="0" w:color="auto"/>
      </w:divBdr>
    </w:div>
    <w:div w:id="1905601057">
      <w:bodyDiv w:val="1"/>
      <w:marLeft w:val="0"/>
      <w:marRight w:val="0"/>
      <w:marTop w:val="0"/>
      <w:marBottom w:val="0"/>
      <w:divBdr>
        <w:top w:val="none" w:sz="0" w:space="0" w:color="auto"/>
        <w:left w:val="none" w:sz="0" w:space="0" w:color="auto"/>
        <w:bottom w:val="none" w:sz="0" w:space="0" w:color="auto"/>
        <w:right w:val="none" w:sz="0" w:space="0" w:color="auto"/>
      </w:divBdr>
    </w:div>
    <w:div w:id="1905791912">
      <w:bodyDiv w:val="1"/>
      <w:marLeft w:val="0"/>
      <w:marRight w:val="0"/>
      <w:marTop w:val="0"/>
      <w:marBottom w:val="0"/>
      <w:divBdr>
        <w:top w:val="none" w:sz="0" w:space="0" w:color="auto"/>
        <w:left w:val="none" w:sz="0" w:space="0" w:color="auto"/>
        <w:bottom w:val="none" w:sz="0" w:space="0" w:color="auto"/>
        <w:right w:val="none" w:sz="0" w:space="0" w:color="auto"/>
      </w:divBdr>
    </w:div>
    <w:div w:id="1906254052">
      <w:bodyDiv w:val="1"/>
      <w:marLeft w:val="0"/>
      <w:marRight w:val="0"/>
      <w:marTop w:val="0"/>
      <w:marBottom w:val="0"/>
      <w:divBdr>
        <w:top w:val="none" w:sz="0" w:space="0" w:color="auto"/>
        <w:left w:val="none" w:sz="0" w:space="0" w:color="auto"/>
        <w:bottom w:val="none" w:sz="0" w:space="0" w:color="auto"/>
        <w:right w:val="none" w:sz="0" w:space="0" w:color="auto"/>
      </w:divBdr>
    </w:div>
    <w:div w:id="1906603450">
      <w:bodyDiv w:val="1"/>
      <w:marLeft w:val="0"/>
      <w:marRight w:val="0"/>
      <w:marTop w:val="0"/>
      <w:marBottom w:val="0"/>
      <w:divBdr>
        <w:top w:val="none" w:sz="0" w:space="0" w:color="auto"/>
        <w:left w:val="none" w:sz="0" w:space="0" w:color="auto"/>
        <w:bottom w:val="none" w:sz="0" w:space="0" w:color="auto"/>
        <w:right w:val="none" w:sz="0" w:space="0" w:color="auto"/>
      </w:divBdr>
    </w:div>
    <w:div w:id="1909416069">
      <w:bodyDiv w:val="1"/>
      <w:marLeft w:val="0"/>
      <w:marRight w:val="0"/>
      <w:marTop w:val="0"/>
      <w:marBottom w:val="0"/>
      <w:divBdr>
        <w:top w:val="none" w:sz="0" w:space="0" w:color="auto"/>
        <w:left w:val="none" w:sz="0" w:space="0" w:color="auto"/>
        <w:bottom w:val="none" w:sz="0" w:space="0" w:color="auto"/>
        <w:right w:val="none" w:sz="0" w:space="0" w:color="auto"/>
      </w:divBdr>
    </w:div>
    <w:div w:id="1911037896">
      <w:bodyDiv w:val="1"/>
      <w:marLeft w:val="0"/>
      <w:marRight w:val="0"/>
      <w:marTop w:val="0"/>
      <w:marBottom w:val="0"/>
      <w:divBdr>
        <w:top w:val="none" w:sz="0" w:space="0" w:color="auto"/>
        <w:left w:val="none" w:sz="0" w:space="0" w:color="auto"/>
        <w:bottom w:val="none" w:sz="0" w:space="0" w:color="auto"/>
        <w:right w:val="none" w:sz="0" w:space="0" w:color="auto"/>
      </w:divBdr>
    </w:div>
    <w:div w:id="1911498338">
      <w:bodyDiv w:val="1"/>
      <w:marLeft w:val="0"/>
      <w:marRight w:val="0"/>
      <w:marTop w:val="0"/>
      <w:marBottom w:val="0"/>
      <w:divBdr>
        <w:top w:val="none" w:sz="0" w:space="0" w:color="auto"/>
        <w:left w:val="none" w:sz="0" w:space="0" w:color="auto"/>
        <w:bottom w:val="none" w:sz="0" w:space="0" w:color="auto"/>
        <w:right w:val="none" w:sz="0" w:space="0" w:color="auto"/>
      </w:divBdr>
    </w:div>
    <w:div w:id="1913201906">
      <w:bodyDiv w:val="1"/>
      <w:marLeft w:val="0"/>
      <w:marRight w:val="0"/>
      <w:marTop w:val="0"/>
      <w:marBottom w:val="0"/>
      <w:divBdr>
        <w:top w:val="none" w:sz="0" w:space="0" w:color="auto"/>
        <w:left w:val="none" w:sz="0" w:space="0" w:color="auto"/>
        <w:bottom w:val="none" w:sz="0" w:space="0" w:color="auto"/>
        <w:right w:val="none" w:sz="0" w:space="0" w:color="auto"/>
      </w:divBdr>
    </w:div>
    <w:div w:id="1914926007">
      <w:bodyDiv w:val="1"/>
      <w:marLeft w:val="0"/>
      <w:marRight w:val="0"/>
      <w:marTop w:val="0"/>
      <w:marBottom w:val="0"/>
      <w:divBdr>
        <w:top w:val="none" w:sz="0" w:space="0" w:color="auto"/>
        <w:left w:val="none" w:sz="0" w:space="0" w:color="auto"/>
        <w:bottom w:val="none" w:sz="0" w:space="0" w:color="auto"/>
        <w:right w:val="none" w:sz="0" w:space="0" w:color="auto"/>
      </w:divBdr>
    </w:div>
    <w:div w:id="1915583542">
      <w:bodyDiv w:val="1"/>
      <w:marLeft w:val="0"/>
      <w:marRight w:val="0"/>
      <w:marTop w:val="0"/>
      <w:marBottom w:val="0"/>
      <w:divBdr>
        <w:top w:val="none" w:sz="0" w:space="0" w:color="auto"/>
        <w:left w:val="none" w:sz="0" w:space="0" w:color="auto"/>
        <w:bottom w:val="none" w:sz="0" w:space="0" w:color="auto"/>
        <w:right w:val="none" w:sz="0" w:space="0" w:color="auto"/>
      </w:divBdr>
    </w:div>
    <w:div w:id="1915623058">
      <w:bodyDiv w:val="1"/>
      <w:marLeft w:val="0"/>
      <w:marRight w:val="0"/>
      <w:marTop w:val="0"/>
      <w:marBottom w:val="0"/>
      <w:divBdr>
        <w:top w:val="none" w:sz="0" w:space="0" w:color="auto"/>
        <w:left w:val="none" w:sz="0" w:space="0" w:color="auto"/>
        <w:bottom w:val="none" w:sz="0" w:space="0" w:color="auto"/>
        <w:right w:val="none" w:sz="0" w:space="0" w:color="auto"/>
      </w:divBdr>
    </w:div>
    <w:div w:id="1915625838">
      <w:bodyDiv w:val="1"/>
      <w:marLeft w:val="0"/>
      <w:marRight w:val="0"/>
      <w:marTop w:val="0"/>
      <w:marBottom w:val="0"/>
      <w:divBdr>
        <w:top w:val="none" w:sz="0" w:space="0" w:color="auto"/>
        <w:left w:val="none" w:sz="0" w:space="0" w:color="auto"/>
        <w:bottom w:val="none" w:sz="0" w:space="0" w:color="auto"/>
        <w:right w:val="none" w:sz="0" w:space="0" w:color="auto"/>
      </w:divBdr>
    </w:div>
    <w:div w:id="1915629171">
      <w:bodyDiv w:val="1"/>
      <w:marLeft w:val="0"/>
      <w:marRight w:val="0"/>
      <w:marTop w:val="0"/>
      <w:marBottom w:val="0"/>
      <w:divBdr>
        <w:top w:val="none" w:sz="0" w:space="0" w:color="auto"/>
        <w:left w:val="none" w:sz="0" w:space="0" w:color="auto"/>
        <w:bottom w:val="none" w:sz="0" w:space="0" w:color="auto"/>
        <w:right w:val="none" w:sz="0" w:space="0" w:color="auto"/>
      </w:divBdr>
    </w:div>
    <w:div w:id="1915968035">
      <w:bodyDiv w:val="1"/>
      <w:marLeft w:val="0"/>
      <w:marRight w:val="0"/>
      <w:marTop w:val="0"/>
      <w:marBottom w:val="0"/>
      <w:divBdr>
        <w:top w:val="none" w:sz="0" w:space="0" w:color="auto"/>
        <w:left w:val="none" w:sz="0" w:space="0" w:color="auto"/>
        <w:bottom w:val="none" w:sz="0" w:space="0" w:color="auto"/>
        <w:right w:val="none" w:sz="0" w:space="0" w:color="auto"/>
      </w:divBdr>
    </w:div>
    <w:div w:id="1916015624">
      <w:bodyDiv w:val="1"/>
      <w:marLeft w:val="0"/>
      <w:marRight w:val="0"/>
      <w:marTop w:val="0"/>
      <w:marBottom w:val="0"/>
      <w:divBdr>
        <w:top w:val="none" w:sz="0" w:space="0" w:color="auto"/>
        <w:left w:val="none" w:sz="0" w:space="0" w:color="auto"/>
        <w:bottom w:val="none" w:sz="0" w:space="0" w:color="auto"/>
        <w:right w:val="none" w:sz="0" w:space="0" w:color="auto"/>
      </w:divBdr>
    </w:div>
    <w:div w:id="1916158991">
      <w:bodyDiv w:val="1"/>
      <w:marLeft w:val="0"/>
      <w:marRight w:val="0"/>
      <w:marTop w:val="0"/>
      <w:marBottom w:val="0"/>
      <w:divBdr>
        <w:top w:val="none" w:sz="0" w:space="0" w:color="auto"/>
        <w:left w:val="none" w:sz="0" w:space="0" w:color="auto"/>
        <w:bottom w:val="none" w:sz="0" w:space="0" w:color="auto"/>
        <w:right w:val="none" w:sz="0" w:space="0" w:color="auto"/>
      </w:divBdr>
    </w:div>
    <w:div w:id="1919170801">
      <w:bodyDiv w:val="1"/>
      <w:marLeft w:val="0"/>
      <w:marRight w:val="0"/>
      <w:marTop w:val="0"/>
      <w:marBottom w:val="0"/>
      <w:divBdr>
        <w:top w:val="none" w:sz="0" w:space="0" w:color="auto"/>
        <w:left w:val="none" w:sz="0" w:space="0" w:color="auto"/>
        <w:bottom w:val="none" w:sz="0" w:space="0" w:color="auto"/>
        <w:right w:val="none" w:sz="0" w:space="0" w:color="auto"/>
      </w:divBdr>
    </w:div>
    <w:div w:id="1919975163">
      <w:bodyDiv w:val="1"/>
      <w:marLeft w:val="0"/>
      <w:marRight w:val="0"/>
      <w:marTop w:val="0"/>
      <w:marBottom w:val="0"/>
      <w:divBdr>
        <w:top w:val="none" w:sz="0" w:space="0" w:color="auto"/>
        <w:left w:val="none" w:sz="0" w:space="0" w:color="auto"/>
        <w:bottom w:val="none" w:sz="0" w:space="0" w:color="auto"/>
        <w:right w:val="none" w:sz="0" w:space="0" w:color="auto"/>
      </w:divBdr>
    </w:div>
    <w:div w:id="1921284953">
      <w:bodyDiv w:val="1"/>
      <w:marLeft w:val="0"/>
      <w:marRight w:val="0"/>
      <w:marTop w:val="0"/>
      <w:marBottom w:val="0"/>
      <w:divBdr>
        <w:top w:val="none" w:sz="0" w:space="0" w:color="auto"/>
        <w:left w:val="none" w:sz="0" w:space="0" w:color="auto"/>
        <w:bottom w:val="none" w:sz="0" w:space="0" w:color="auto"/>
        <w:right w:val="none" w:sz="0" w:space="0" w:color="auto"/>
      </w:divBdr>
    </w:div>
    <w:div w:id="1921451540">
      <w:bodyDiv w:val="1"/>
      <w:marLeft w:val="0"/>
      <w:marRight w:val="0"/>
      <w:marTop w:val="0"/>
      <w:marBottom w:val="0"/>
      <w:divBdr>
        <w:top w:val="none" w:sz="0" w:space="0" w:color="auto"/>
        <w:left w:val="none" w:sz="0" w:space="0" w:color="auto"/>
        <w:bottom w:val="none" w:sz="0" w:space="0" w:color="auto"/>
        <w:right w:val="none" w:sz="0" w:space="0" w:color="auto"/>
      </w:divBdr>
    </w:div>
    <w:div w:id="1922331125">
      <w:bodyDiv w:val="1"/>
      <w:marLeft w:val="0"/>
      <w:marRight w:val="0"/>
      <w:marTop w:val="0"/>
      <w:marBottom w:val="0"/>
      <w:divBdr>
        <w:top w:val="none" w:sz="0" w:space="0" w:color="auto"/>
        <w:left w:val="none" w:sz="0" w:space="0" w:color="auto"/>
        <w:bottom w:val="none" w:sz="0" w:space="0" w:color="auto"/>
        <w:right w:val="none" w:sz="0" w:space="0" w:color="auto"/>
      </w:divBdr>
    </w:div>
    <w:div w:id="1922333521">
      <w:bodyDiv w:val="1"/>
      <w:marLeft w:val="0"/>
      <w:marRight w:val="0"/>
      <w:marTop w:val="0"/>
      <w:marBottom w:val="0"/>
      <w:divBdr>
        <w:top w:val="none" w:sz="0" w:space="0" w:color="auto"/>
        <w:left w:val="none" w:sz="0" w:space="0" w:color="auto"/>
        <w:bottom w:val="none" w:sz="0" w:space="0" w:color="auto"/>
        <w:right w:val="none" w:sz="0" w:space="0" w:color="auto"/>
      </w:divBdr>
    </w:div>
    <w:div w:id="1922906925">
      <w:bodyDiv w:val="1"/>
      <w:marLeft w:val="0"/>
      <w:marRight w:val="0"/>
      <w:marTop w:val="0"/>
      <w:marBottom w:val="0"/>
      <w:divBdr>
        <w:top w:val="none" w:sz="0" w:space="0" w:color="auto"/>
        <w:left w:val="none" w:sz="0" w:space="0" w:color="auto"/>
        <w:bottom w:val="none" w:sz="0" w:space="0" w:color="auto"/>
        <w:right w:val="none" w:sz="0" w:space="0" w:color="auto"/>
      </w:divBdr>
    </w:div>
    <w:div w:id="1924214862">
      <w:bodyDiv w:val="1"/>
      <w:marLeft w:val="0"/>
      <w:marRight w:val="0"/>
      <w:marTop w:val="0"/>
      <w:marBottom w:val="0"/>
      <w:divBdr>
        <w:top w:val="none" w:sz="0" w:space="0" w:color="auto"/>
        <w:left w:val="none" w:sz="0" w:space="0" w:color="auto"/>
        <w:bottom w:val="none" w:sz="0" w:space="0" w:color="auto"/>
        <w:right w:val="none" w:sz="0" w:space="0" w:color="auto"/>
      </w:divBdr>
    </w:div>
    <w:div w:id="1925603033">
      <w:bodyDiv w:val="1"/>
      <w:marLeft w:val="0"/>
      <w:marRight w:val="0"/>
      <w:marTop w:val="0"/>
      <w:marBottom w:val="0"/>
      <w:divBdr>
        <w:top w:val="none" w:sz="0" w:space="0" w:color="auto"/>
        <w:left w:val="none" w:sz="0" w:space="0" w:color="auto"/>
        <w:bottom w:val="none" w:sz="0" w:space="0" w:color="auto"/>
        <w:right w:val="none" w:sz="0" w:space="0" w:color="auto"/>
      </w:divBdr>
    </w:div>
    <w:div w:id="1925989118">
      <w:bodyDiv w:val="1"/>
      <w:marLeft w:val="0"/>
      <w:marRight w:val="0"/>
      <w:marTop w:val="0"/>
      <w:marBottom w:val="0"/>
      <w:divBdr>
        <w:top w:val="none" w:sz="0" w:space="0" w:color="auto"/>
        <w:left w:val="none" w:sz="0" w:space="0" w:color="auto"/>
        <w:bottom w:val="none" w:sz="0" w:space="0" w:color="auto"/>
        <w:right w:val="none" w:sz="0" w:space="0" w:color="auto"/>
      </w:divBdr>
    </w:div>
    <w:div w:id="1926038922">
      <w:bodyDiv w:val="1"/>
      <w:marLeft w:val="0"/>
      <w:marRight w:val="0"/>
      <w:marTop w:val="0"/>
      <w:marBottom w:val="0"/>
      <w:divBdr>
        <w:top w:val="none" w:sz="0" w:space="0" w:color="auto"/>
        <w:left w:val="none" w:sz="0" w:space="0" w:color="auto"/>
        <w:bottom w:val="none" w:sz="0" w:space="0" w:color="auto"/>
        <w:right w:val="none" w:sz="0" w:space="0" w:color="auto"/>
      </w:divBdr>
    </w:div>
    <w:div w:id="1929189707">
      <w:bodyDiv w:val="1"/>
      <w:marLeft w:val="0"/>
      <w:marRight w:val="0"/>
      <w:marTop w:val="0"/>
      <w:marBottom w:val="0"/>
      <w:divBdr>
        <w:top w:val="none" w:sz="0" w:space="0" w:color="auto"/>
        <w:left w:val="none" w:sz="0" w:space="0" w:color="auto"/>
        <w:bottom w:val="none" w:sz="0" w:space="0" w:color="auto"/>
        <w:right w:val="none" w:sz="0" w:space="0" w:color="auto"/>
      </w:divBdr>
    </w:div>
    <w:div w:id="1929341856">
      <w:bodyDiv w:val="1"/>
      <w:marLeft w:val="0"/>
      <w:marRight w:val="0"/>
      <w:marTop w:val="0"/>
      <w:marBottom w:val="0"/>
      <w:divBdr>
        <w:top w:val="none" w:sz="0" w:space="0" w:color="auto"/>
        <w:left w:val="none" w:sz="0" w:space="0" w:color="auto"/>
        <w:bottom w:val="none" w:sz="0" w:space="0" w:color="auto"/>
        <w:right w:val="none" w:sz="0" w:space="0" w:color="auto"/>
      </w:divBdr>
    </w:div>
    <w:div w:id="1930456604">
      <w:bodyDiv w:val="1"/>
      <w:marLeft w:val="0"/>
      <w:marRight w:val="0"/>
      <w:marTop w:val="0"/>
      <w:marBottom w:val="0"/>
      <w:divBdr>
        <w:top w:val="none" w:sz="0" w:space="0" w:color="auto"/>
        <w:left w:val="none" w:sz="0" w:space="0" w:color="auto"/>
        <w:bottom w:val="none" w:sz="0" w:space="0" w:color="auto"/>
        <w:right w:val="none" w:sz="0" w:space="0" w:color="auto"/>
      </w:divBdr>
    </w:div>
    <w:div w:id="1932546702">
      <w:bodyDiv w:val="1"/>
      <w:marLeft w:val="0"/>
      <w:marRight w:val="0"/>
      <w:marTop w:val="0"/>
      <w:marBottom w:val="0"/>
      <w:divBdr>
        <w:top w:val="none" w:sz="0" w:space="0" w:color="auto"/>
        <w:left w:val="none" w:sz="0" w:space="0" w:color="auto"/>
        <w:bottom w:val="none" w:sz="0" w:space="0" w:color="auto"/>
        <w:right w:val="none" w:sz="0" w:space="0" w:color="auto"/>
      </w:divBdr>
    </w:div>
    <w:div w:id="1939022270">
      <w:bodyDiv w:val="1"/>
      <w:marLeft w:val="0"/>
      <w:marRight w:val="0"/>
      <w:marTop w:val="0"/>
      <w:marBottom w:val="0"/>
      <w:divBdr>
        <w:top w:val="none" w:sz="0" w:space="0" w:color="auto"/>
        <w:left w:val="none" w:sz="0" w:space="0" w:color="auto"/>
        <w:bottom w:val="none" w:sz="0" w:space="0" w:color="auto"/>
        <w:right w:val="none" w:sz="0" w:space="0" w:color="auto"/>
      </w:divBdr>
    </w:div>
    <w:div w:id="1939558308">
      <w:bodyDiv w:val="1"/>
      <w:marLeft w:val="0"/>
      <w:marRight w:val="0"/>
      <w:marTop w:val="0"/>
      <w:marBottom w:val="0"/>
      <w:divBdr>
        <w:top w:val="none" w:sz="0" w:space="0" w:color="auto"/>
        <w:left w:val="none" w:sz="0" w:space="0" w:color="auto"/>
        <w:bottom w:val="none" w:sz="0" w:space="0" w:color="auto"/>
        <w:right w:val="none" w:sz="0" w:space="0" w:color="auto"/>
      </w:divBdr>
    </w:div>
    <w:div w:id="1940679934">
      <w:bodyDiv w:val="1"/>
      <w:marLeft w:val="0"/>
      <w:marRight w:val="0"/>
      <w:marTop w:val="0"/>
      <w:marBottom w:val="0"/>
      <w:divBdr>
        <w:top w:val="none" w:sz="0" w:space="0" w:color="auto"/>
        <w:left w:val="none" w:sz="0" w:space="0" w:color="auto"/>
        <w:bottom w:val="none" w:sz="0" w:space="0" w:color="auto"/>
        <w:right w:val="none" w:sz="0" w:space="0" w:color="auto"/>
      </w:divBdr>
    </w:div>
    <w:div w:id="1941451206">
      <w:bodyDiv w:val="1"/>
      <w:marLeft w:val="0"/>
      <w:marRight w:val="0"/>
      <w:marTop w:val="0"/>
      <w:marBottom w:val="0"/>
      <w:divBdr>
        <w:top w:val="none" w:sz="0" w:space="0" w:color="auto"/>
        <w:left w:val="none" w:sz="0" w:space="0" w:color="auto"/>
        <w:bottom w:val="none" w:sz="0" w:space="0" w:color="auto"/>
        <w:right w:val="none" w:sz="0" w:space="0" w:color="auto"/>
      </w:divBdr>
    </w:div>
    <w:div w:id="1941838054">
      <w:bodyDiv w:val="1"/>
      <w:marLeft w:val="0"/>
      <w:marRight w:val="0"/>
      <w:marTop w:val="0"/>
      <w:marBottom w:val="0"/>
      <w:divBdr>
        <w:top w:val="none" w:sz="0" w:space="0" w:color="auto"/>
        <w:left w:val="none" w:sz="0" w:space="0" w:color="auto"/>
        <w:bottom w:val="none" w:sz="0" w:space="0" w:color="auto"/>
        <w:right w:val="none" w:sz="0" w:space="0" w:color="auto"/>
      </w:divBdr>
    </w:div>
    <w:div w:id="1942179597">
      <w:bodyDiv w:val="1"/>
      <w:marLeft w:val="0"/>
      <w:marRight w:val="0"/>
      <w:marTop w:val="0"/>
      <w:marBottom w:val="0"/>
      <w:divBdr>
        <w:top w:val="none" w:sz="0" w:space="0" w:color="auto"/>
        <w:left w:val="none" w:sz="0" w:space="0" w:color="auto"/>
        <w:bottom w:val="none" w:sz="0" w:space="0" w:color="auto"/>
        <w:right w:val="none" w:sz="0" w:space="0" w:color="auto"/>
      </w:divBdr>
    </w:div>
    <w:div w:id="1942296887">
      <w:bodyDiv w:val="1"/>
      <w:marLeft w:val="0"/>
      <w:marRight w:val="0"/>
      <w:marTop w:val="0"/>
      <w:marBottom w:val="0"/>
      <w:divBdr>
        <w:top w:val="none" w:sz="0" w:space="0" w:color="auto"/>
        <w:left w:val="none" w:sz="0" w:space="0" w:color="auto"/>
        <w:bottom w:val="none" w:sz="0" w:space="0" w:color="auto"/>
        <w:right w:val="none" w:sz="0" w:space="0" w:color="auto"/>
      </w:divBdr>
    </w:div>
    <w:div w:id="1942957807">
      <w:bodyDiv w:val="1"/>
      <w:marLeft w:val="0"/>
      <w:marRight w:val="0"/>
      <w:marTop w:val="0"/>
      <w:marBottom w:val="0"/>
      <w:divBdr>
        <w:top w:val="none" w:sz="0" w:space="0" w:color="auto"/>
        <w:left w:val="none" w:sz="0" w:space="0" w:color="auto"/>
        <w:bottom w:val="none" w:sz="0" w:space="0" w:color="auto"/>
        <w:right w:val="none" w:sz="0" w:space="0" w:color="auto"/>
      </w:divBdr>
    </w:div>
    <w:div w:id="1943798146">
      <w:bodyDiv w:val="1"/>
      <w:marLeft w:val="0"/>
      <w:marRight w:val="0"/>
      <w:marTop w:val="0"/>
      <w:marBottom w:val="0"/>
      <w:divBdr>
        <w:top w:val="none" w:sz="0" w:space="0" w:color="auto"/>
        <w:left w:val="none" w:sz="0" w:space="0" w:color="auto"/>
        <w:bottom w:val="none" w:sz="0" w:space="0" w:color="auto"/>
        <w:right w:val="none" w:sz="0" w:space="0" w:color="auto"/>
      </w:divBdr>
    </w:div>
    <w:div w:id="1945306357">
      <w:bodyDiv w:val="1"/>
      <w:marLeft w:val="0"/>
      <w:marRight w:val="0"/>
      <w:marTop w:val="0"/>
      <w:marBottom w:val="0"/>
      <w:divBdr>
        <w:top w:val="none" w:sz="0" w:space="0" w:color="auto"/>
        <w:left w:val="none" w:sz="0" w:space="0" w:color="auto"/>
        <w:bottom w:val="none" w:sz="0" w:space="0" w:color="auto"/>
        <w:right w:val="none" w:sz="0" w:space="0" w:color="auto"/>
      </w:divBdr>
    </w:div>
    <w:div w:id="1946185037">
      <w:bodyDiv w:val="1"/>
      <w:marLeft w:val="0"/>
      <w:marRight w:val="0"/>
      <w:marTop w:val="0"/>
      <w:marBottom w:val="0"/>
      <w:divBdr>
        <w:top w:val="none" w:sz="0" w:space="0" w:color="auto"/>
        <w:left w:val="none" w:sz="0" w:space="0" w:color="auto"/>
        <w:bottom w:val="none" w:sz="0" w:space="0" w:color="auto"/>
        <w:right w:val="none" w:sz="0" w:space="0" w:color="auto"/>
      </w:divBdr>
    </w:div>
    <w:div w:id="1947885526">
      <w:bodyDiv w:val="1"/>
      <w:marLeft w:val="0"/>
      <w:marRight w:val="0"/>
      <w:marTop w:val="0"/>
      <w:marBottom w:val="0"/>
      <w:divBdr>
        <w:top w:val="none" w:sz="0" w:space="0" w:color="auto"/>
        <w:left w:val="none" w:sz="0" w:space="0" w:color="auto"/>
        <w:bottom w:val="none" w:sz="0" w:space="0" w:color="auto"/>
        <w:right w:val="none" w:sz="0" w:space="0" w:color="auto"/>
      </w:divBdr>
    </w:div>
    <w:div w:id="1948076704">
      <w:bodyDiv w:val="1"/>
      <w:marLeft w:val="0"/>
      <w:marRight w:val="0"/>
      <w:marTop w:val="0"/>
      <w:marBottom w:val="0"/>
      <w:divBdr>
        <w:top w:val="none" w:sz="0" w:space="0" w:color="auto"/>
        <w:left w:val="none" w:sz="0" w:space="0" w:color="auto"/>
        <w:bottom w:val="none" w:sz="0" w:space="0" w:color="auto"/>
        <w:right w:val="none" w:sz="0" w:space="0" w:color="auto"/>
      </w:divBdr>
    </w:div>
    <w:div w:id="1948151224">
      <w:bodyDiv w:val="1"/>
      <w:marLeft w:val="0"/>
      <w:marRight w:val="0"/>
      <w:marTop w:val="0"/>
      <w:marBottom w:val="0"/>
      <w:divBdr>
        <w:top w:val="none" w:sz="0" w:space="0" w:color="auto"/>
        <w:left w:val="none" w:sz="0" w:space="0" w:color="auto"/>
        <w:bottom w:val="none" w:sz="0" w:space="0" w:color="auto"/>
        <w:right w:val="none" w:sz="0" w:space="0" w:color="auto"/>
      </w:divBdr>
    </w:div>
    <w:div w:id="1948855440">
      <w:bodyDiv w:val="1"/>
      <w:marLeft w:val="0"/>
      <w:marRight w:val="0"/>
      <w:marTop w:val="0"/>
      <w:marBottom w:val="0"/>
      <w:divBdr>
        <w:top w:val="none" w:sz="0" w:space="0" w:color="auto"/>
        <w:left w:val="none" w:sz="0" w:space="0" w:color="auto"/>
        <w:bottom w:val="none" w:sz="0" w:space="0" w:color="auto"/>
        <w:right w:val="none" w:sz="0" w:space="0" w:color="auto"/>
      </w:divBdr>
    </w:div>
    <w:div w:id="1950041086">
      <w:bodyDiv w:val="1"/>
      <w:marLeft w:val="0"/>
      <w:marRight w:val="0"/>
      <w:marTop w:val="0"/>
      <w:marBottom w:val="0"/>
      <w:divBdr>
        <w:top w:val="none" w:sz="0" w:space="0" w:color="auto"/>
        <w:left w:val="none" w:sz="0" w:space="0" w:color="auto"/>
        <w:bottom w:val="none" w:sz="0" w:space="0" w:color="auto"/>
        <w:right w:val="none" w:sz="0" w:space="0" w:color="auto"/>
      </w:divBdr>
    </w:div>
    <w:div w:id="1953246464">
      <w:bodyDiv w:val="1"/>
      <w:marLeft w:val="0"/>
      <w:marRight w:val="0"/>
      <w:marTop w:val="0"/>
      <w:marBottom w:val="0"/>
      <w:divBdr>
        <w:top w:val="none" w:sz="0" w:space="0" w:color="auto"/>
        <w:left w:val="none" w:sz="0" w:space="0" w:color="auto"/>
        <w:bottom w:val="none" w:sz="0" w:space="0" w:color="auto"/>
        <w:right w:val="none" w:sz="0" w:space="0" w:color="auto"/>
      </w:divBdr>
    </w:div>
    <w:div w:id="1953828224">
      <w:bodyDiv w:val="1"/>
      <w:marLeft w:val="0"/>
      <w:marRight w:val="0"/>
      <w:marTop w:val="0"/>
      <w:marBottom w:val="0"/>
      <w:divBdr>
        <w:top w:val="none" w:sz="0" w:space="0" w:color="auto"/>
        <w:left w:val="none" w:sz="0" w:space="0" w:color="auto"/>
        <w:bottom w:val="none" w:sz="0" w:space="0" w:color="auto"/>
        <w:right w:val="none" w:sz="0" w:space="0" w:color="auto"/>
      </w:divBdr>
    </w:div>
    <w:div w:id="1954094340">
      <w:bodyDiv w:val="1"/>
      <w:marLeft w:val="0"/>
      <w:marRight w:val="0"/>
      <w:marTop w:val="0"/>
      <w:marBottom w:val="0"/>
      <w:divBdr>
        <w:top w:val="none" w:sz="0" w:space="0" w:color="auto"/>
        <w:left w:val="none" w:sz="0" w:space="0" w:color="auto"/>
        <w:bottom w:val="none" w:sz="0" w:space="0" w:color="auto"/>
        <w:right w:val="none" w:sz="0" w:space="0" w:color="auto"/>
      </w:divBdr>
    </w:div>
    <w:div w:id="1954287250">
      <w:bodyDiv w:val="1"/>
      <w:marLeft w:val="0"/>
      <w:marRight w:val="0"/>
      <w:marTop w:val="0"/>
      <w:marBottom w:val="0"/>
      <w:divBdr>
        <w:top w:val="none" w:sz="0" w:space="0" w:color="auto"/>
        <w:left w:val="none" w:sz="0" w:space="0" w:color="auto"/>
        <w:bottom w:val="none" w:sz="0" w:space="0" w:color="auto"/>
        <w:right w:val="none" w:sz="0" w:space="0" w:color="auto"/>
      </w:divBdr>
    </w:div>
    <w:div w:id="1954709427">
      <w:bodyDiv w:val="1"/>
      <w:marLeft w:val="0"/>
      <w:marRight w:val="0"/>
      <w:marTop w:val="0"/>
      <w:marBottom w:val="0"/>
      <w:divBdr>
        <w:top w:val="none" w:sz="0" w:space="0" w:color="auto"/>
        <w:left w:val="none" w:sz="0" w:space="0" w:color="auto"/>
        <w:bottom w:val="none" w:sz="0" w:space="0" w:color="auto"/>
        <w:right w:val="none" w:sz="0" w:space="0" w:color="auto"/>
      </w:divBdr>
    </w:div>
    <w:div w:id="1954897325">
      <w:bodyDiv w:val="1"/>
      <w:marLeft w:val="0"/>
      <w:marRight w:val="0"/>
      <w:marTop w:val="0"/>
      <w:marBottom w:val="0"/>
      <w:divBdr>
        <w:top w:val="none" w:sz="0" w:space="0" w:color="auto"/>
        <w:left w:val="none" w:sz="0" w:space="0" w:color="auto"/>
        <w:bottom w:val="none" w:sz="0" w:space="0" w:color="auto"/>
        <w:right w:val="none" w:sz="0" w:space="0" w:color="auto"/>
      </w:divBdr>
    </w:div>
    <w:div w:id="1955477490">
      <w:bodyDiv w:val="1"/>
      <w:marLeft w:val="0"/>
      <w:marRight w:val="0"/>
      <w:marTop w:val="0"/>
      <w:marBottom w:val="0"/>
      <w:divBdr>
        <w:top w:val="none" w:sz="0" w:space="0" w:color="auto"/>
        <w:left w:val="none" w:sz="0" w:space="0" w:color="auto"/>
        <w:bottom w:val="none" w:sz="0" w:space="0" w:color="auto"/>
        <w:right w:val="none" w:sz="0" w:space="0" w:color="auto"/>
      </w:divBdr>
    </w:div>
    <w:div w:id="1955483010">
      <w:bodyDiv w:val="1"/>
      <w:marLeft w:val="0"/>
      <w:marRight w:val="0"/>
      <w:marTop w:val="0"/>
      <w:marBottom w:val="0"/>
      <w:divBdr>
        <w:top w:val="none" w:sz="0" w:space="0" w:color="auto"/>
        <w:left w:val="none" w:sz="0" w:space="0" w:color="auto"/>
        <w:bottom w:val="none" w:sz="0" w:space="0" w:color="auto"/>
        <w:right w:val="none" w:sz="0" w:space="0" w:color="auto"/>
      </w:divBdr>
    </w:div>
    <w:div w:id="1957059117">
      <w:bodyDiv w:val="1"/>
      <w:marLeft w:val="0"/>
      <w:marRight w:val="0"/>
      <w:marTop w:val="0"/>
      <w:marBottom w:val="0"/>
      <w:divBdr>
        <w:top w:val="none" w:sz="0" w:space="0" w:color="auto"/>
        <w:left w:val="none" w:sz="0" w:space="0" w:color="auto"/>
        <w:bottom w:val="none" w:sz="0" w:space="0" w:color="auto"/>
        <w:right w:val="none" w:sz="0" w:space="0" w:color="auto"/>
      </w:divBdr>
    </w:div>
    <w:div w:id="1958676381">
      <w:bodyDiv w:val="1"/>
      <w:marLeft w:val="0"/>
      <w:marRight w:val="0"/>
      <w:marTop w:val="0"/>
      <w:marBottom w:val="0"/>
      <w:divBdr>
        <w:top w:val="none" w:sz="0" w:space="0" w:color="auto"/>
        <w:left w:val="none" w:sz="0" w:space="0" w:color="auto"/>
        <w:bottom w:val="none" w:sz="0" w:space="0" w:color="auto"/>
        <w:right w:val="none" w:sz="0" w:space="0" w:color="auto"/>
      </w:divBdr>
    </w:div>
    <w:div w:id="1959264502">
      <w:bodyDiv w:val="1"/>
      <w:marLeft w:val="0"/>
      <w:marRight w:val="0"/>
      <w:marTop w:val="0"/>
      <w:marBottom w:val="0"/>
      <w:divBdr>
        <w:top w:val="none" w:sz="0" w:space="0" w:color="auto"/>
        <w:left w:val="none" w:sz="0" w:space="0" w:color="auto"/>
        <w:bottom w:val="none" w:sz="0" w:space="0" w:color="auto"/>
        <w:right w:val="none" w:sz="0" w:space="0" w:color="auto"/>
      </w:divBdr>
    </w:div>
    <w:div w:id="1962108370">
      <w:bodyDiv w:val="1"/>
      <w:marLeft w:val="0"/>
      <w:marRight w:val="0"/>
      <w:marTop w:val="0"/>
      <w:marBottom w:val="0"/>
      <w:divBdr>
        <w:top w:val="none" w:sz="0" w:space="0" w:color="auto"/>
        <w:left w:val="none" w:sz="0" w:space="0" w:color="auto"/>
        <w:bottom w:val="none" w:sz="0" w:space="0" w:color="auto"/>
        <w:right w:val="none" w:sz="0" w:space="0" w:color="auto"/>
      </w:divBdr>
    </w:div>
    <w:div w:id="1962420175">
      <w:bodyDiv w:val="1"/>
      <w:marLeft w:val="0"/>
      <w:marRight w:val="0"/>
      <w:marTop w:val="0"/>
      <w:marBottom w:val="0"/>
      <w:divBdr>
        <w:top w:val="none" w:sz="0" w:space="0" w:color="auto"/>
        <w:left w:val="none" w:sz="0" w:space="0" w:color="auto"/>
        <w:bottom w:val="none" w:sz="0" w:space="0" w:color="auto"/>
        <w:right w:val="none" w:sz="0" w:space="0" w:color="auto"/>
      </w:divBdr>
    </w:div>
    <w:div w:id="1963149420">
      <w:bodyDiv w:val="1"/>
      <w:marLeft w:val="0"/>
      <w:marRight w:val="0"/>
      <w:marTop w:val="0"/>
      <w:marBottom w:val="0"/>
      <w:divBdr>
        <w:top w:val="none" w:sz="0" w:space="0" w:color="auto"/>
        <w:left w:val="none" w:sz="0" w:space="0" w:color="auto"/>
        <w:bottom w:val="none" w:sz="0" w:space="0" w:color="auto"/>
        <w:right w:val="none" w:sz="0" w:space="0" w:color="auto"/>
      </w:divBdr>
    </w:div>
    <w:div w:id="1968002002">
      <w:bodyDiv w:val="1"/>
      <w:marLeft w:val="0"/>
      <w:marRight w:val="0"/>
      <w:marTop w:val="0"/>
      <w:marBottom w:val="0"/>
      <w:divBdr>
        <w:top w:val="none" w:sz="0" w:space="0" w:color="auto"/>
        <w:left w:val="none" w:sz="0" w:space="0" w:color="auto"/>
        <w:bottom w:val="none" w:sz="0" w:space="0" w:color="auto"/>
        <w:right w:val="none" w:sz="0" w:space="0" w:color="auto"/>
      </w:divBdr>
    </w:div>
    <w:div w:id="1968730019">
      <w:bodyDiv w:val="1"/>
      <w:marLeft w:val="0"/>
      <w:marRight w:val="0"/>
      <w:marTop w:val="0"/>
      <w:marBottom w:val="0"/>
      <w:divBdr>
        <w:top w:val="none" w:sz="0" w:space="0" w:color="auto"/>
        <w:left w:val="none" w:sz="0" w:space="0" w:color="auto"/>
        <w:bottom w:val="none" w:sz="0" w:space="0" w:color="auto"/>
        <w:right w:val="none" w:sz="0" w:space="0" w:color="auto"/>
      </w:divBdr>
    </w:div>
    <w:div w:id="1969166933">
      <w:bodyDiv w:val="1"/>
      <w:marLeft w:val="0"/>
      <w:marRight w:val="0"/>
      <w:marTop w:val="0"/>
      <w:marBottom w:val="0"/>
      <w:divBdr>
        <w:top w:val="none" w:sz="0" w:space="0" w:color="auto"/>
        <w:left w:val="none" w:sz="0" w:space="0" w:color="auto"/>
        <w:bottom w:val="none" w:sz="0" w:space="0" w:color="auto"/>
        <w:right w:val="none" w:sz="0" w:space="0" w:color="auto"/>
      </w:divBdr>
    </w:div>
    <w:div w:id="1969318931">
      <w:bodyDiv w:val="1"/>
      <w:marLeft w:val="0"/>
      <w:marRight w:val="0"/>
      <w:marTop w:val="0"/>
      <w:marBottom w:val="0"/>
      <w:divBdr>
        <w:top w:val="none" w:sz="0" w:space="0" w:color="auto"/>
        <w:left w:val="none" w:sz="0" w:space="0" w:color="auto"/>
        <w:bottom w:val="none" w:sz="0" w:space="0" w:color="auto"/>
        <w:right w:val="none" w:sz="0" w:space="0" w:color="auto"/>
      </w:divBdr>
    </w:div>
    <w:div w:id="1971280301">
      <w:bodyDiv w:val="1"/>
      <w:marLeft w:val="0"/>
      <w:marRight w:val="0"/>
      <w:marTop w:val="0"/>
      <w:marBottom w:val="0"/>
      <w:divBdr>
        <w:top w:val="none" w:sz="0" w:space="0" w:color="auto"/>
        <w:left w:val="none" w:sz="0" w:space="0" w:color="auto"/>
        <w:bottom w:val="none" w:sz="0" w:space="0" w:color="auto"/>
        <w:right w:val="none" w:sz="0" w:space="0" w:color="auto"/>
      </w:divBdr>
    </w:div>
    <w:div w:id="1971396951">
      <w:bodyDiv w:val="1"/>
      <w:marLeft w:val="0"/>
      <w:marRight w:val="0"/>
      <w:marTop w:val="0"/>
      <w:marBottom w:val="0"/>
      <w:divBdr>
        <w:top w:val="none" w:sz="0" w:space="0" w:color="auto"/>
        <w:left w:val="none" w:sz="0" w:space="0" w:color="auto"/>
        <w:bottom w:val="none" w:sz="0" w:space="0" w:color="auto"/>
        <w:right w:val="none" w:sz="0" w:space="0" w:color="auto"/>
      </w:divBdr>
    </w:div>
    <w:div w:id="1972131264">
      <w:bodyDiv w:val="1"/>
      <w:marLeft w:val="0"/>
      <w:marRight w:val="0"/>
      <w:marTop w:val="0"/>
      <w:marBottom w:val="0"/>
      <w:divBdr>
        <w:top w:val="none" w:sz="0" w:space="0" w:color="auto"/>
        <w:left w:val="none" w:sz="0" w:space="0" w:color="auto"/>
        <w:bottom w:val="none" w:sz="0" w:space="0" w:color="auto"/>
        <w:right w:val="none" w:sz="0" w:space="0" w:color="auto"/>
      </w:divBdr>
    </w:div>
    <w:div w:id="1974366234">
      <w:bodyDiv w:val="1"/>
      <w:marLeft w:val="0"/>
      <w:marRight w:val="0"/>
      <w:marTop w:val="0"/>
      <w:marBottom w:val="0"/>
      <w:divBdr>
        <w:top w:val="none" w:sz="0" w:space="0" w:color="auto"/>
        <w:left w:val="none" w:sz="0" w:space="0" w:color="auto"/>
        <w:bottom w:val="none" w:sz="0" w:space="0" w:color="auto"/>
        <w:right w:val="none" w:sz="0" w:space="0" w:color="auto"/>
      </w:divBdr>
    </w:div>
    <w:div w:id="1976256772">
      <w:bodyDiv w:val="1"/>
      <w:marLeft w:val="0"/>
      <w:marRight w:val="0"/>
      <w:marTop w:val="0"/>
      <w:marBottom w:val="0"/>
      <w:divBdr>
        <w:top w:val="none" w:sz="0" w:space="0" w:color="auto"/>
        <w:left w:val="none" w:sz="0" w:space="0" w:color="auto"/>
        <w:bottom w:val="none" w:sz="0" w:space="0" w:color="auto"/>
        <w:right w:val="none" w:sz="0" w:space="0" w:color="auto"/>
      </w:divBdr>
    </w:div>
    <w:div w:id="1976451578">
      <w:bodyDiv w:val="1"/>
      <w:marLeft w:val="0"/>
      <w:marRight w:val="0"/>
      <w:marTop w:val="0"/>
      <w:marBottom w:val="0"/>
      <w:divBdr>
        <w:top w:val="none" w:sz="0" w:space="0" w:color="auto"/>
        <w:left w:val="none" w:sz="0" w:space="0" w:color="auto"/>
        <w:bottom w:val="none" w:sz="0" w:space="0" w:color="auto"/>
        <w:right w:val="none" w:sz="0" w:space="0" w:color="auto"/>
      </w:divBdr>
    </w:div>
    <w:div w:id="1977175218">
      <w:bodyDiv w:val="1"/>
      <w:marLeft w:val="0"/>
      <w:marRight w:val="0"/>
      <w:marTop w:val="0"/>
      <w:marBottom w:val="0"/>
      <w:divBdr>
        <w:top w:val="none" w:sz="0" w:space="0" w:color="auto"/>
        <w:left w:val="none" w:sz="0" w:space="0" w:color="auto"/>
        <w:bottom w:val="none" w:sz="0" w:space="0" w:color="auto"/>
        <w:right w:val="none" w:sz="0" w:space="0" w:color="auto"/>
      </w:divBdr>
    </w:div>
    <w:div w:id="1978216570">
      <w:bodyDiv w:val="1"/>
      <w:marLeft w:val="0"/>
      <w:marRight w:val="0"/>
      <w:marTop w:val="0"/>
      <w:marBottom w:val="0"/>
      <w:divBdr>
        <w:top w:val="none" w:sz="0" w:space="0" w:color="auto"/>
        <w:left w:val="none" w:sz="0" w:space="0" w:color="auto"/>
        <w:bottom w:val="none" w:sz="0" w:space="0" w:color="auto"/>
        <w:right w:val="none" w:sz="0" w:space="0" w:color="auto"/>
      </w:divBdr>
    </w:div>
    <w:div w:id="1979071952">
      <w:bodyDiv w:val="1"/>
      <w:marLeft w:val="0"/>
      <w:marRight w:val="0"/>
      <w:marTop w:val="0"/>
      <w:marBottom w:val="0"/>
      <w:divBdr>
        <w:top w:val="none" w:sz="0" w:space="0" w:color="auto"/>
        <w:left w:val="none" w:sz="0" w:space="0" w:color="auto"/>
        <w:bottom w:val="none" w:sz="0" w:space="0" w:color="auto"/>
        <w:right w:val="none" w:sz="0" w:space="0" w:color="auto"/>
      </w:divBdr>
    </w:div>
    <w:div w:id="1981298486">
      <w:bodyDiv w:val="1"/>
      <w:marLeft w:val="0"/>
      <w:marRight w:val="0"/>
      <w:marTop w:val="0"/>
      <w:marBottom w:val="0"/>
      <w:divBdr>
        <w:top w:val="none" w:sz="0" w:space="0" w:color="auto"/>
        <w:left w:val="none" w:sz="0" w:space="0" w:color="auto"/>
        <w:bottom w:val="none" w:sz="0" w:space="0" w:color="auto"/>
        <w:right w:val="none" w:sz="0" w:space="0" w:color="auto"/>
      </w:divBdr>
    </w:div>
    <w:div w:id="1983147405">
      <w:bodyDiv w:val="1"/>
      <w:marLeft w:val="0"/>
      <w:marRight w:val="0"/>
      <w:marTop w:val="0"/>
      <w:marBottom w:val="0"/>
      <w:divBdr>
        <w:top w:val="none" w:sz="0" w:space="0" w:color="auto"/>
        <w:left w:val="none" w:sz="0" w:space="0" w:color="auto"/>
        <w:bottom w:val="none" w:sz="0" w:space="0" w:color="auto"/>
        <w:right w:val="none" w:sz="0" w:space="0" w:color="auto"/>
      </w:divBdr>
    </w:div>
    <w:div w:id="1983850447">
      <w:bodyDiv w:val="1"/>
      <w:marLeft w:val="0"/>
      <w:marRight w:val="0"/>
      <w:marTop w:val="0"/>
      <w:marBottom w:val="0"/>
      <w:divBdr>
        <w:top w:val="none" w:sz="0" w:space="0" w:color="auto"/>
        <w:left w:val="none" w:sz="0" w:space="0" w:color="auto"/>
        <w:bottom w:val="none" w:sz="0" w:space="0" w:color="auto"/>
        <w:right w:val="none" w:sz="0" w:space="0" w:color="auto"/>
      </w:divBdr>
    </w:div>
    <w:div w:id="1985114070">
      <w:bodyDiv w:val="1"/>
      <w:marLeft w:val="0"/>
      <w:marRight w:val="0"/>
      <w:marTop w:val="0"/>
      <w:marBottom w:val="0"/>
      <w:divBdr>
        <w:top w:val="none" w:sz="0" w:space="0" w:color="auto"/>
        <w:left w:val="none" w:sz="0" w:space="0" w:color="auto"/>
        <w:bottom w:val="none" w:sz="0" w:space="0" w:color="auto"/>
        <w:right w:val="none" w:sz="0" w:space="0" w:color="auto"/>
      </w:divBdr>
    </w:div>
    <w:div w:id="1985699440">
      <w:bodyDiv w:val="1"/>
      <w:marLeft w:val="0"/>
      <w:marRight w:val="0"/>
      <w:marTop w:val="0"/>
      <w:marBottom w:val="0"/>
      <w:divBdr>
        <w:top w:val="none" w:sz="0" w:space="0" w:color="auto"/>
        <w:left w:val="none" w:sz="0" w:space="0" w:color="auto"/>
        <w:bottom w:val="none" w:sz="0" w:space="0" w:color="auto"/>
        <w:right w:val="none" w:sz="0" w:space="0" w:color="auto"/>
      </w:divBdr>
    </w:div>
    <w:div w:id="1988317487">
      <w:bodyDiv w:val="1"/>
      <w:marLeft w:val="0"/>
      <w:marRight w:val="0"/>
      <w:marTop w:val="0"/>
      <w:marBottom w:val="0"/>
      <w:divBdr>
        <w:top w:val="none" w:sz="0" w:space="0" w:color="auto"/>
        <w:left w:val="none" w:sz="0" w:space="0" w:color="auto"/>
        <w:bottom w:val="none" w:sz="0" w:space="0" w:color="auto"/>
        <w:right w:val="none" w:sz="0" w:space="0" w:color="auto"/>
      </w:divBdr>
    </w:div>
    <w:div w:id="1988627317">
      <w:bodyDiv w:val="1"/>
      <w:marLeft w:val="0"/>
      <w:marRight w:val="0"/>
      <w:marTop w:val="0"/>
      <w:marBottom w:val="0"/>
      <w:divBdr>
        <w:top w:val="none" w:sz="0" w:space="0" w:color="auto"/>
        <w:left w:val="none" w:sz="0" w:space="0" w:color="auto"/>
        <w:bottom w:val="none" w:sz="0" w:space="0" w:color="auto"/>
        <w:right w:val="none" w:sz="0" w:space="0" w:color="auto"/>
      </w:divBdr>
    </w:div>
    <w:div w:id="1988898114">
      <w:bodyDiv w:val="1"/>
      <w:marLeft w:val="0"/>
      <w:marRight w:val="0"/>
      <w:marTop w:val="0"/>
      <w:marBottom w:val="0"/>
      <w:divBdr>
        <w:top w:val="none" w:sz="0" w:space="0" w:color="auto"/>
        <w:left w:val="none" w:sz="0" w:space="0" w:color="auto"/>
        <w:bottom w:val="none" w:sz="0" w:space="0" w:color="auto"/>
        <w:right w:val="none" w:sz="0" w:space="0" w:color="auto"/>
      </w:divBdr>
    </w:div>
    <w:div w:id="1989047486">
      <w:bodyDiv w:val="1"/>
      <w:marLeft w:val="0"/>
      <w:marRight w:val="0"/>
      <w:marTop w:val="0"/>
      <w:marBottom w:val="0"/>
      <w:divBdr>
        <w:top w:val="none" w:sz="0" w:space="0" w:color="auto"/>
        <w:left w:val="none" w:sz="0" w:space="0" w:color="auto"/>
        <w:bottom w:val="none" w:sz="0" w:space="0" w:color="auto"/>
        <w:right w:val="none" w:sz="0" w:space="0" w:color="auto"/>
      </w:divBdr>
    </w:div>
    <w:div w:id="1995181714">
      <w:bodyDiv w:val="1"/>
      <w:marLeft w:val="0"/>
      <w:marRight w:val="0"/>
      <w:marTop w:val="0"/>
      <w:marBottom w:val="0"/>
      <w:divBdr>
        <w:top w:val="none" w:sz="0" w:space="0" w:color="auto"/>
        <w:left w:val="none" w:sz="0" w:space="0" w:color="auto"/>
        <w:bottom w:val="none" w:sz="0" w:space="0" w:color="auto"/>
        <w:right w:val="none" w:sz="0" w:space="0" w:color="auto"/>
      </w:divBdr>
    </w:div>
    <w:div w:id="1998142476">
      <w:bodyDiv w:val="1"/>
      <w:marLeft w:val="0"/>
      <w:marRight w:val="0"/>
      <w:marTop w:val="0"/>
      <w:marBottom w:val="0"/>
      <w:divBdr>
        <w:top w:val="none" w:sz="0" w:space="0" w:color="auto"/>
        <w:left w:val="none" w:sz="0" w:space="0" w:color="auto"/>
        <w:bottom w:val="none" w:sz="0" w:space="0" w:color="auto"/>
        <w:right w:val="none" w:sz="0" w:space="0" w:color="auto"/>
      </w:divBdr>
    </w:div>
    <w:div w:id="1999528787">
      <w:bodyDiv w:val="1"/>
      <w:marLeft w:val="0"/>
      <w:marRight w:val="0"/>
      <w:marTop w:val="0"/>
      <w:marBottom w:val="0"/>
      <w:divBdr>
        <w:top w:val="none" w:sz="0" w:space="0" w:color="auto"/>
        <w:left w:val="none" w:sz="0" w:space="0" w:color="auto"/>
        <w:bottom w:val="none" w:sz="0" w:space="0" w:color="auto"/>
        <w:right w:val="none" w:sz="0" w:space="0" w:color="auto"/>
      </w:divBdr>
    </w:div>
    <w:div w:id="1999726338">
      <w:bodyDiv w:val="1"/>
      <w:marLeft w:val="0"/>
      <w:marRight w:val="0"/>
      <w:marTop w:val="0"/>
      <w:marBottom w:val="0"/>
      <w:divBdr>
        <w:top w:val="none" w:sz="0" w:space="0" w:color="auto"/>
        <w:left w:val="none" w:sz="0" w:space="0" w:color="auto"/>
        <w:bottom w:val="none" w:sz="0" w:space="0" w:color="auto"/>
        <w:right w:val="none" w:sz="0" w:space="0" w:color="auto"/>
      </w:divBdr>
    </w:div>
    <w:div w:id="2000190775">
      <w:bodyDiv w:val="1"/>
      <w:marLeft w:val="0"/>
      <w:marRight w:val="0"/>
      <w:marTop w:val="0"/>
      <w:marBottom w:val="0"/>
      <w:divBdr>
        <w:top w:val="none" w:sz="0" w:space="0" w:color="auto"/>
        <w:left w:val="none" w:sz="0" w:space="0" w:color="auto"/>
        <w:bottom w:val="none" w:sz="0" w:space="0" w:color="auto"/>
        <w:right w:val="none" w:sz="0" w:space="0" w:color="auto"/>
      </w:divBdr>
    </w:div>
    <w:div w:id="2000502838">
      <w:bodyDiv w:val="1"/>
      <w:marLeft w:val="0"/>
      <w:marRight w:val="0"/>
      <w:marTop w:val="0"/>
      <w:marBottom w:val="0"/>
      <w:divBdr>
        <w:top w:val="none" w:sz="0" w:space="0" w:color="auto"/>
        <w:left w:val="none" w:sz="0" w:space="0" w:color="auto"/>
        <w:bottom w:val="none" w:sz="0" w:space="0" w:color="auto"/>
        <w:right w:val="none" w:sz="0" w:space="0" w:color="auto"/>
      </w:divBdr>
    </w:div>
    <w:div w:id="2000769380">
      <w:bodyDiv w:val="1"/>
      <w:marLeft w:val="0"/>
      <w:marRight w:val="0"/>
      <w:marTop w:val="0"/>
      <w:marBottom w:val="0"/>
      <w:divBdr>
        <w:top w:val="none" w:sz="0" w:space="0" w:color="auto"/>
        <w:left w:val="none" w:sz="0" w:space="0" w:color="auto"/>
        <w:bottom w:val="none" w:sz="0" w:space="0" w:color="auto"/>
        <w:right w:val="none" w:sz="0" w:space="0" w:color="auto"/>
      </w:divBdr>
    </w:div>
    <w:div w:id="2001887790">
      <w:bodyDiv w:val="1"/>
      <w:marLeft w:val="0"/>
      <w:marRight w:val="0"/>
      <w:marTop w:val="0"/>
      <w:marBottom w:val="0"/>
      <w:divBdr>
        <w:top w:val="none" w:sz="0" w:space="0" w:color="auto"/>
        <w:left w:val="none" w:sz="0" w:space="0" w:color="auto"/>
        <w:bottom w:val="none" w:sz="0" w:space="0" w:color="auto"/>
        <w:right w:val="none" w:sz="0" w:space="0" w:color="auto"/>
      </w:divBdr>
    </w:div>
    <w:div w:id="2003390715">
      <w:bodyDiv w:val="1"/>
      <w:marLeft w:val="0"/>
      <w:marRight w:val="0"/>
      <w:marTop w:val="0"/>
      <w:marBottom w:val="0"/>
      <w:divBdr>
        <w:top w:val="none" w:sz="0" w:space="0" w:color="auto"/>
        <w:left w:val="none" w:sz="0" w:space="0" w:color="auto"/>
        <w:bottom w:val="none" w:sz="0" w:space="0" w:color="auto"/>
        <w:right w:val="none" w:sz="0" w:space="0" w:color="auto"/>
      </w:divBdr>
    </w:div>
    <w:div w:id="2004503878">
      <w:bodyDiv w:val="1"/>
      <w:marLeft w:val="0"/>
      <w:marRight w:val="0"/>
      <w:marTop w:val="0"/>
      <w:marBottom w:val="0"/>
      <w:divBdr>
        <w:top w:val="none" w:sz="0" w:space="0" w:color="auto"/>
        <w:left w:val="none" w:sz="0" w:space="0" w:color="auto"/>
        <w:bottom w:val="none" w:sz="0" w:space="0" w:color="auto"/>
        <w:right w:val="none" w:sz="0" w:space="0" w:color="auto"/>
      </w:divBdr>
    </w:div>
    <w:div w:id="2004504425">
      <w:bodyDiv w:val="1"/>
      <w:marLeft w:val="0"/>
      <w:marRight w:val="0"/>
      <w:marTop w:val="0"/>
      <w:marBottom w:val="0"/>
      <w:divBdr>
        <w:top w:val="none" w:sz="0" w:space="0" w:color="auto"/>
        <w:left w:val="none" w:sz="0" w:space="0" w:color="auto"/>
        <w:bottom w:val="none" w:sz="0" w:space="0" w:color="auto"/>
        <w:right w:val="none" w:sz="0" w:space="0" w:color="auto"/>
      </w:divBdr>
    </w:div>
    <w:div w:id="2006978197">
      <w:bodyDiv w:val="1"/>
      <w:marLeft w:val="0"/>
      <w:marRight w:val="0"/>
      <w:marTop w:val="0"/>
      <w:marBottom w:val="0"/>
      <w:divBdr>
        <w:top w:val="none" w:sz="0" w:space="0" w:color="auto"/>
        <w:left w:val="none" w:sz="0" w:space="0" w:color="auto"/>
        <w:bottom w:val="none" w:sz="0" w:space="0" w:color="auto"/>
        <w:right w:val="none" w:sz="0" w:space="0" w:color="auto"/>
      </w:divBdr>
    </w:div>
    <w:div w:id="2007441883">
      <w:bodyDiv w:val="1"/>
      <w:marLeft w:val="0"/>
      <w:marRight w:val="0"/>
      <w:marTop w:val="0"/>
      <w:marBottom w:val="0"/>
      <w:divBdr>
        <w:top w:val="none" w:sz="0" w:space="0" w:color="auto"/>
        <w:left w:val="none" w:sz="0" w:space="0" w:color="auto"/>
        <w:bottom w:val="none" w:sz="0" w:space="0" w:color="auto"/>
        <w:right w:val="none" w:sz="0" w:space="0" w:color="auto"/>
      </w:divBdr>
    </w:div>
    <w:div w:id="2007705051">
      <w:bodyDiv w:val="1"/>
      <w:marLeft w:val="0"/>
      <w:marRight w:val="0"/>
      <w:marTop w:val="0"/>
      <w:marBottom w:val="0"/>
      <w:divBdr>
        <w:top w:val="none" w:sz="0" w:space="0" w:color="auto"/>
        <w:left w:val="none" w:sz="0" w:space="0" w:color="auto"/>
        <w:bottom w:val="none" w:sz="0" w:space="0" w:color="auto"/>
        <w:right w:val="none" w:sz="0" w:space="0" w:color="auto"/>
      </w:divBdr>
    </w:div>
    <w:div w:id="2009213457">
      <w:bodyDiv w:val="1"/>
      <w:marLeft w:val="0"/>
      <w:marRight w:val="0"/>
      <w:marTop w:val="0"/>
      <w:marBottom w:val="0"/>
      <w:divBdr>
        <w:top w:val="none" w:sz="0" w:space="0" w:color="auto"/>
        <w:left w:val="none" w:sz="0" w:space="0" w:color="auto"/>
        <w:bottom w:val="none" w:sz="0" w:space="0" w:color="auto"/>
        <w:right w:val="none" w:sz="0" w:space="0" w:color="auto"/>
      </w:divBdr>
    </w:div>
    <w:div w:id="2009941711">
      <w:bodyDiv w:val="1"/>
      <w:marLeft w:val="0"/>
      <w:marRight w:val="0"/>
      <w:marTop w:val="0"/>
      <w:marBottom w:val="0"/>
      <w:divBdr>
        <w:top w:val="none" w:sz="0" w:space="0" w:color="auto"/>
        <w:left w:val="none" w:sz="0" w:space="0" w:color="auto"/>
        <w:bottom w:val="none" w:sz="0" w:space="0" w:color="auto"/>
        <w:right w:val="none" w:sz="0" w:space="0" w:color="auto"/>
      </w:divBdr>
    </w:div>
    <w:div w:id="2010020899">
      <w:bodyDiv w:val="1"/>
      <w:marLeft w:val="0"/>
      <w:marRight w:val="0"/>
      <w:marTop w:val="0"/>
      <w:marBottom w:val="0"/>
      <w:divBdr>
        <w:top w:val="none" w:sz="0" w:space="0" w:color="auto"/>
        <w:left w:val="none" w:sz="0" w:space="0" w:color="auto"/>
        <w:bottom w:val="none" w:sz="0" w:space="0" w:color="auto"/>
        <w:right w:val="none" w:sz="0" w:space="0" w:color="auto"/>
      </w:divBdr>
    </w:div>
    <w:div w:id="2010717667">
      <w:bodyDiv w:val="1"/>
      <w:marLeft w:val="0"/>
      <w:marRight w:val="0"/>
      <w:marTop w:val="0"/>
      <w:marBottom w:val="0"/>
      <w:divBdr>
        <w:top w:val="none" w:sz="0" w:space="0" w:color="auto"/>
        <w:left w:val="none" w:sz="0" w:space="0" w:color="auto"/>
        <w:bottom w:val="none" w:sz="0" w:space="0" w:color="auto"/>
        <w:right w:val="none" w:sz="0" w:space="0" w:color="auto"/>
      </w:divBdr>
    </w:div>
    <w:div w:id="2010864376">
      <w:bodyDiv w:val="1"/>
      <w:marLeft w:val="0"/>
      <w:marRight w:val="0"/>
      <w:marTop w:val="0"/>
      <w:marBottom w:val="0"/>
      <w:divBdr>
        <w:top w:val="none" w:sz="0" w:space="0" w:color="auto"/>
        <w:left w:val="none" w:sz="0" w:space="0" w:color="auto"/>
        <w:bottom w:val="none" w:sz="0" w:space="0" w:color="auto"/>
        <w:right w:val="none" w:sz="0" w:space="0" w:color="auto"/>
      </w:divBdr>
    </w:div>
    <w:div w:id="2011636209">
      <w:bodyDiv w:val="1"/>
      <w:marLeft w:val="0"/>
      <w:marRight w:val="0"/>
      <w:marTop w:val="0"/>
      <w:marBottom w:val="0"/>
      <w:divBdr>
        <w:top w:val="none" w:sz="0" w:space="0" w:color="auto"/>
        <w:left w:val="none" w:sz="0" w:space="0" w:color="auto"/>
        <w:bottom w:val="none" w:sz="0" w:space="0" w:color="auto"/>
        <w:right w:val="none" w:sz="0" w:space="0" w:color="auto"/>
      </w:divBdr>
    </w:div>
    <w:div w:id="2011830809">
      <w:bodyDiv w:val="1"/>
      <w:marLeft w:val="0"/>
      <w:marRight w:val="0"/>
      <w:marTop w:val="0"/>
      <w:marBottom w:val="0"/>
      <w:divBdr>
        <w:top w:val="none" w:sz="0" w:space="0" w:color="auto"/>
        <w:left w:val="none" w:sz="0" w:space="0" w:color="auto"/>
        <w:bottom w:val="none" w:sz="0" w:space="0" w:color="auto"/>
        <w:right w:val="none" w:sz="0" w:space="0" w:color="auto"/>
      </w:divBdr>
    </w:div>
    <w:div w:id="2013604049">
      <w:bodyDiv w:val="1"/>
      <w:marLeft w:val="0"/>
      <w:marRight w:val="0"/>
      <w:marTop w:val="0"/>
      <w:marBottom w:val="0"/>
      <w:divBdr>
        <w:top w:val="none" w:sz="0" w:space="0" w:color="auto"/>
        <w:left w:val="none" w:sz="0" w:space="0" w:color="auto"/>
        <w:bottom w:val="none" w:sz="0" w:space="0" w:color="auto"/>
        <w:right w:val="none" w:sz="0" w:space="0" w:color="auto"/>
      </w:divBdr>
    </w:div>
    <w:div w:id="2014333155">
      <w:bodyDiv w:val="1"/>
      <w:marLeft w:val="0"/>
      <w:marRight w:val="0"/>
      <w:marTop w:val="0"/>
      <w:marBottom w:val="0"/>
      <w:divBdr>
        <w:top w:val="none" w:sz="0" w:space="0" w:color="auto"/>
        <w:left w:val="none" w:sz="0" w:space="0" w:color="auto"/>
        <w:bottom w:val="none" w:sz="0" w:space="0" w:color="auto"/>
        <w:right w:val="none" w:sz="0" w:space="0" w:color="auto"/>
      </w:divBdr>
    </w:div>
    <w:div w:id="2014533134">
      <w:bodyDiv w:val="1"/>
      <w:marLeft w:val="0"/>
      <w:marRight w:val="0"/>
      <w:marTop w:val="0"/>
      <w:marBottom w:val="0"/>
      <w:divBdr>
        <w:top w:val="none" w:sz="0" w:space="0" w:color="auto"/>
        <w:left w:val="none" w:sz="0" w:space="0" w:color="auto"/>
        <w:bottom w:val="none" w:sz="0" w:space="0" w:color="auto"/>
        <w:right w:val="none" w:sz="0" w:space="0" w:color="auto"/>
      </w:divBdr>
    </w:div>
    <w:div w:id="2015381253">
      <w:bodyDiv w:val="1"/>
      <w:marLeft w:val="0"/>
      <w:marRight w:val="0"/>
      <w:marTop w:val="0"/>
      <w:marBottom w:val="0"/>
      <w:divBdr>
        <w:top w:val="none" w:sz="0" w:space="0" w:color="auto"/>
        <w:left w:val="none" w:sz="0" w:space="0" w:color="auto"/>
        <w:bottom w:val="none" w:sz="0" w:space="0" w:color="auto"/>
        <w:right w:val="none" w:sz="0" w:space="0" w:color="auto"/>
      </w:divBdr>
    </w:div>
    <w:div w:id="2015499664">
      <w:bodyDiv w:val="1"/>
      <w:marLeft w:val="0"/>
      <w:marRight w:val="0"/>
      <w:marTop w:val="0"/>
      <w:marBottom w:val="0"/>
      <w:divBdr>
        <w:top w:val="none" w:sz="0" w:space="0" w:color="auto"/>
        <w:left w:val="none" w:sz="0" w:space="0" w:color="auto"/>
        <w:bottom w:val="none" w:sz="0" w:space="0" w:color="auto"/>
        <w:right w:val="none" w:sz="0" w:space="0" w:color="auto"/>
      </w:divBdr>
    </w:div>
    <w:div w:id="2015761553">
      <w:bodyDiv w:val="1"/>
      <w:marLeft w:val="0"/>
      <w:marRight w:val="0"/>
      <w:marTop w:val="0"/>
      <w:marBottom w:val="0"/>
      <w:divBdr>
        <w:top w:val="none" w:sz="0" w:space="0" w:color="auto"/>
        <w:left w:val="none" w:sz="0" w:space="0" w:color="auto"/>
        <w:bottom w:val="none" w:sz="0" w:space="0" w:color="auto"/>
        <w:right w:val="none" w:sz="0" w:space="0" w:color="auto"/>
      </w:divBdr>
    </w:div>
    <w:div w:id="2015838407">
      <w:bodyDiv w:val="1"/>
      <w:marLeft w:val="0"/>
      <w:marRight w:val="0"/>
      <w:marTop w:val="0"/>
      <w:marBottom w:val="0"/>
      <w:divBdr>
        <w:top w:val="none" w:sz="0" w:space="0" w:color="auto"/>
        <w:left w:val="none" w:sz="0" w:space="0" w:color="auto"/>
        <w:bottom w:val="none" w:sz="0" w:space="0" w:color="auto"/>
        <w:right w:val="none" w:sz="0" w:space="0" w:color="auto"/>
      </w:divBdr>
    </w:div>
    <w:div w:id="2018845454">
      <w:bodyDiv w:val="1"/>
      <w:marLeft w:val="0"/>
      <w:marRight w:val="0"/>
      <w:marTop w:val="0"/>
      <w:marBottom w:val="0"/>
      <w:divBdr>
        <w:top w:val="none" w:sz="0" w:space="0" w:color="auto"/>
        <w:left w:val="none" w:sz="0" w:space="0" w:color="auto"/>
        <w:bottom w:val="none" w:sz="0" w:space="0" w:color="auto"/>
        <w:right w:val="none" w:sz="0" w:space="0" w:color="auto"/>
      </w:divBdr>
    </w:div>
    <w:div w:id="2018993857">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21621696">
      <w:bodyDiv w:val="1"/>
      <w:marLeft w:val="0"/>
      <w:marRight w:val="0"/>
      <w:marTop w:val="0"/>
      <w:marBottom w:val="0"/>
      <w:divBdr>
        <w:top w:val="none" w:sz="0" w:space="0" w:color="auto"/>
        <w:left w:val="none" w:sz="0" w:space="0" w:color="auto"/>
        <w:bottom w:val="none" w:sz="0" w:space="0" w:color="auto"/>
        <w:right w:val="none" w:sz="0" w:space="0" w:color="auto"/>
      </w:divBdr>
    </w:div>
    <w:div w:id="2021809523">
      <w:bodyDiv w:val="1"/>
      <w:marLeft w:val="0"/>
      <w:marRight w:val="0"/>
      <w:marTop w:val="0"/>
      <w:marBottom w:val="0"/>
      <w:divBdr>
        <w:top w:val="none" w:sz="0" w:space="0" w:color="auto"/>
        <w:left w:val="none" w:sz="0" w:space="0" w:color="auto"/>
        <w:bottom w:val="none" w:sz="0" w:space="0" w:color="auto"/>
        <w:right w:val="none" w:sz="0" w:space="0" w:color="auto"/>
      </w:divBdr>
    </w:div>
    <w:div w:id="2022003856">
      <w:bodyDiv w:val="1"/>
      <w:marLeft w:val="0"/>
      <w:marRight w:val="0"/>
      <w:marTop w:val="0"/>
      <w:marBottom w:val="0"/>
      <w:divBdr>
        <w:top w:val="none" w:sz="0" w:space="0" w:color="auto"/>
        <w:left w:val="none" w:sz="0" w:space="0" w:color="auto"/>
        <w:bottom w:val="none" w:sz="0" w:space="0" w:color="auto"/>
        <w:right w:val="none" w:sz="0" w:space="0" w:color="auto"/>
      </w:divBdr>
    </w:div>
    <w:div w:id="2022661281">
      <w:bodyDiv w:val="1"/>
      <w:marLeft w:val="0"/>
      <w:marRight w:val="0"/>
      <w:marTop w:val="0"/>
      <w:marBottom w:val="0"/>
      <w:divBdr>
        <w:top w:val="none" w:sz="0" w:space="0" w:color="auto"/>
        <w:left w:val="none" w:sz="0" w:space="0" w:color="auto"/>
        <w:bottom w:val="none" w:sz="0" w:space="0" w:color="auto"/>
        <w:right w:val="none" w:sz="0" w:space="0" w:color="auto"/>
      </w:divBdr>
    </w:div>
    <w:div w:id="2023049869">
      <w:bodyDiv w:val="1"/>
      <w:marLeft w:val="0"/>
      <w:marRight w:val="0"/>
      <w:marTop w:val="0"/>
      <w:marBottom w:val="0"/>
      <w:divBdr>
        <w:top w:val="none" w:sz="0" w:space="0" w:color="auto"/>
        <w:left w:val="none" w:sz="0" w:space="0" w:color="auto"/>
        <w:bottom w:val="none" w:sz="0" w:space="0" w:color="auto"/>
        <w:right w:val="none" w:sz="0" w:space="0" w:color="auto"/>
      </w:divBdr>
    </w:div>
    <w:div w:id="2023361125">
      <w:bodyDiv w:val="1"/>
      <w:marLeft w:val="0"/>
      <w:marRight w:val="0"/>
      <w:marTop w:val="0"/>
      <w:marBottom w:val="0"/>
      <w:divBdr>
        <w:top w:val="none" w:sz="0" w:space="0" w:color="auto"/>
        <w:left w:val="none" w:sz="0" w:space="0" w:color="auto"/>
        <w:bottom w:val="none" w:sz="0" w:space="0" w:color="auto"/>
        <w:right w:val="none" w:sz="0" w:space="0" w:color="auto"/>
      </w:divBdr>
    </w:div>
    <w:div w:id="2023703685">
      <w:bodyDiv w:val="1"/>
      <w:marLeft w:val="0"/>
      <w:marRight w:val="0"/>
      <w:marTop w:val="0"/>
      <w:marBottom w:val="0"/>
      <w:divBdr>
        <w:top w:val="none" w:sz="0" w:space="0" w:color="auto"/>
        <w:left w:val="none" w:sz="0" w:space="0" w:color="auto"/>
        <w:bottom w:val="none" w:sz="0" w:space="0" w:color="auto"/>
        <w:right w:val="none" w:sz="0" w:space="0" w:color="auto"/>
      </w:divBdr>
    </w:div>
    <w:div w:id="2024357334">
      <w:bodyDiv w:val="1"/>
      <w:marLeft w:val="0"/>
      <w:marRight w:val="0"/>
      <w:marTop w:val="0"/>
      <w:marBottom w:val="0"/>
      <w:divBdr>
        <w:top w:val="none" w:sz="0" w:space="0" w:color="auto"/>
        <w:left w:val="none" w:sz="0" w:space="0" w:color="auto"/>
        <w:bottom w:val="none" w:sz="0" w:space="0" w:color="auto"/>
        <w:right w:val="none" w:sz="0" w:space="0" w:color="auto"/>
      </w:divBdr>
    </w:div>
    <w:div w:id="2026517044">
      <w:bodyDiv w:val="1"/>
      <w:marLeft w:val="0"/>
      <w:marRight w:val="0"/>
      <w:marTop w:val="0"/>
      <w:marBottom w:val="0"/>
      <w:divBdr>
        <w:top w:val="none" w:sz="0" w:space="0" w:color="auto"/>
        <w:left w:val="none" w:sz="0" w:space="0" w:color="auto"/>
        <w:bottom w:val="none" w:sz="0" w:space="0" w:color="auto"/>
        <w:right w:val="none" w:sz="0" w:space="0" w:color="auto"/>
      </w:divBdr>
    </w:div>
    <w:div w:id="2026664955">
      <w:bodyDiv w:val="1"/>
      <w:marLeft w:val="0"/>
      <w:marRight w:val="0"/>
      <w:marTop w:val="0"/>
      <w:marBottom w:val="0"/>
      <w:divBdr>
        <w:top w:val="none" w:sz="0" w:space="0" w:color="auto"/>
        <w:left w:val="none" w:sz="0" w:space="0" w:color="auto"/>
        <w:bottom w:val="none" w:sz="0" w:space="0" w:color="auto"/>
        <w:right w:val="none" w:sz="0" w:space="0" w:color="auto"/>
      </w:divBdr>
    </w:div>
    <w:div w:id="2027249043">
      <w:bodyDiv w:val="1"/>
      <w:marLeft w:val="0"/>
      <w:marRight w:val="0"/>
      <w:marTop w:val="0"/>
      <w:marBottom w:val="0"/>
      <w:divBdr>
        <w:top w:val="none" w:sz="0" w:space="0" w:color="auto"/>
        <w:left w:val="none" w:sz="0" w:space="0" w:color="auto"/>
        <w:bottom w:val="none" w:sz="0" w:space="0" w:color="auto"/>
        <w:right w:val="none" w:sz="0" w:space="0" w:color="auto"/>
      </w:divBdr>
    </w:div>
    <w:div w:id="2027441257">
      <w:bodyDiv w:val="1"/>
      <w:marLeft w:val="0"/>
      <w:marRight w:val="0"/>
      <w:marTop w:val="0"/>
      <w:marBottom w:val="0"/>
      <w:divBdr>
        <w:top w:val="none" w:sz="0" w:space="0" w:color="auto"/>
        <w:left w:val="none" w:sz="0" w:space="0" w:color="auto"/>
        <w:bottom w:val="none" w:sz="0" w:space="0" w:color="auto"/>
        <w:right w:val="none" w:sz="0" w:space="0" w:color="auto"/>
      </w:divBdr>
    </w:div>
    <w:div w:id="2029715995">
      <w:bodyDiv w:val="1"/>
      <w:marLeft w:val="0"/>
      <w:marRight w:val="0"/>
      <w:marTop w:val="0"/>
      <w:marBottom w:val="0"/>
      <w:divBdr>
        <w:top w:val="none" w:sz="0" w:space="0" w:color="auto"/>
        <w:left w:val="none" w:sz="0" w:space="0" w:color="auto"/>
        <w:bottom w:val="none" w:sz="0" w:space="0" w:color="auto"/>
        <w:right w:val="none" w:sz="0" w:space="0" w:color="auto"/>
      </w:divBdr>
    </w:div>
    <w:div w:id="2031757366">
      <w:bodyDiv w:val="1"/>
      <w:marLeft w:val="0"/>
      <w:marRight w:val="0"/>
      <w:marTop w:val="0"/>
      <w:marBottom w:val="0"/>
      <w:divBdr>
        <w:top w:val="none" w:sz="0" w:space="0" w:color="auto"/>
        <w:left w:val="none" w:sz="0" w:space="0" w:color="auto"/>
        <w:bottom w:val="none" w:sz="0" w:space="0" w:color="auto"/>
        <w:right w:val="none" w:sz="0" w:space="0" w:color="auto"/>
      </w:divBdr>
    </w:div>
    <w:div w:id="2032800307">
      <w:bodyDiv w:val="1"/>
      <w:marLeft w:val="0"/>
      <w:marRight w:val="0"/>
      <w:marTop w:val="0"/>
      <w:marBottom w:val="0"/>
      <w:divBdr>
        <w:top w:val="none" w:sz="0" w:space="0" w:color="auto"/>
        <w:left w:val="none" w:sz="0" w:space="0" w:color="auto"/>
        <w:bottom w:val="none" w:sz="0" w:space="0" w:color="auto"/>
        <w:right w:val="none" w:sz="0" w:space="0" w:color="auto"/>
      </w:divBdr>
    </w:div>
    <w:div w:id="2033140303">
      <w:bodyDiv w:val="1"/>
      <w:marLeft w:val="0"/>
      <w:marRight w:val="0"/>
      <w:marTop w:val="0"/>
      <w:marBottom w:val="0"/>
      <w:divBdr>
        <w:top w:val="none" w:sz="0" w:space="0" w:color="auto"/>
        <w:left w:val="none" w:sz="0" w:space="0" w:color="auto"/>
        <w:bottom w:val="none" w:sz="0" w:space="0" w:color="auto"/>
        <w:right w:val="none" w:sz="0" w:space="0" w:color="auto"/>
      </w:divBdr>
    </w:div>
    <w:div w:id="2035105707">
      <w:bodyDiv w:val="1"/>
      <w:marLeft w:val="0"/>
      <w:marRight w:val="0"/>
      <w:marTop w:val="0"/>
      <w:marBottom w:val="0"/>
      <w:divBdr>
        <w:top w:val="none" w:sz="0" w:space="0" w:color="auto"/>
        <w:left w:val="none" w:sz="0" w:space="0" w:color="auto"/>
        <w:bottom w:val="none" w:sz="0" w:space="0" w:color="auto"/>
        <w:right w:val="none" w:sz="0" w:space="0" w:color="auto"/>
      </w:divBdr>
    </w:div>
    <w:div w:id="2036493304">
      <w:bodyDiv w:val="1"/>
      <w:marLeft w:val="0"/>
      <w:marRight w:val="0"/>
      <w:marTop w:val="0"/>
      <w:marBottom w:val="0"/>
      <w:divBdr>
        <w:top w:val="none" w:sz="0" w:space="0" w:color="auto"/>
        <w:left w:val="none" w:sz="0" w:space="0" w:color="auto"/>
        <w:bottom w:val="none" w:sz="0" w:space="0" w:color="auto"/>
        <w:right w:val="none" w:sz="0" w:space="0" w:color="auto"/>
      </w:divBdr>
    </w:div>
    <w:div w:id="2038655408">
      <w:bodyDiv w:val="1"/>
      <w:marLeft w:val="0"/>
      <w:marRight w:val="0"/>
      <w:marTop w:val="0"/>
      <w:marBottom w:val="0"/>
      <w:divBdr>
        <w:top w:val="none" w:sz="0" w:space="0" w:color="auto"/>
        <w:left w:val="none" w:sz="0" w:space="0" w:color="auto"/>
        <w:bottom w:val="none" w:sz="0" w:space="0" w:color="auto"/>
        <w:right w:val="none" w:sz="0" w:space="0" w:color="auto"/>
      </w:divBdr>
    </w:div>
    <w:div w:id="2040231018">
      <w:bodyDiv w:val="1"/>
      <w:marLeft w:val="0"/>
      <w:marRight w:val="0"/>
      <w:marTop w:val="0"/>
      <w:marBottom w:val="0"/>
      <w:divBdr>
        <w:top w:val="none" w:sz="0" w:space="0" w:color="auto"/>
        <w:left w:val="none" w:sz="0" w:space="0" w:color="auto"/>
        <w:bottom w:val="none" w:sz="0" w:space="0" w:color="auto"/>
        <w:right w:val="none" w:sz="0" w:space="0" w:color="auto"/>
      </w:divBdr>
    </w:div>
    <w:div w:id="2040857955">
      <w:bodyDiv w:val="1"/>
      <w:marLeft w:val="0"/>
      <w:marRight w:val="0"/>
      <w:marTop w:val="0"/>
      <w:marBottom w:val="0"/>
      <w:divBdr>
        <w:top w:val="none" w:sz="0" w:space="0" w:color="auto"/>
        <w:left w:val="none" w:sz="0" w:space="0" w:color="auto"/>
        <w:bottom w:val="none" w:sz="0" w:space="0" w:color="auto"/>
        <w:right w:val="none" w:sz="0" w:space="0" w:color="auto"/>
      </w:divBdr>
    </w:div>
    <w:div w:id="2042507021">
      <w:bodyDiv w:val="1"/>
      <w:marLeft w:val="0"/>
      <w:marRight w:val="0"/>
      <w:marTop w:val="0"/>
      <w:marBottom w:val="0"/>
      <w:divBdr>
        <w:top w:val="none" w:sz="0" w:space="0" w:color="auto"/>
        <w:left w:val="none" w:sz="0" w:space="0" w:color="auto"/>
        <w:bottom w:val="none" w:sz="0" w:space="0" w:color="auto"/>
        <w:right w:val="none" w:sz="0" w:space="0" w:color="auto"/>
      </w:divBdr>
    </w:div>
    <w:div w:id="2042823600">
      <w:bodyDiv w:val="1"/>
      <w:marLeft w:val="0"/>
      <w:marRight w:val="0"/>
      <w:marTop w:val="0"/>
      <w:marBottom w:val="0"/>
      <w:divBdr>
        <w:top w:val="none" w:sz="0" w:space="0" w:color="auto"/>
        <w:left w:val="none" w:sz="0" w:space="0" w:color="auto"/>
        <w:bottom w:val="none" w:sz="0" w:space="0" w:color="auto"/>
        <w:right w:val="none" w:sz="0" w:space="0" w:color="auto"/>
      </w:divBdr>
    </w:div>
    <w:div w:id="2043432119">
      <w:bodyDiv w:val="1"/>
      <w:marLeft w:val="0"/>
      <w:marRight w:val="0"/>
      <w:marTop w:val="0"/>
      <w:marBottom w:val="0"/>
      <w:divBdr>
        <w:top w:val="none" w:sz="0" w:space="0" w:color="auto"/>
        <w:left w:val="none" w:sz="0" w:space="0" w:color="auto"/>
        <w:bottom w:val="none" w:sz="0" w:space="0" w:color="auto"/>
        <w:right w:val="none" w:sz="0" w:space="0" w:color="auto"/>
      </w:divBdr>
    </w:div>
    <w:div w:id="2044135471">
      <w:bodyDiv w:val="1"/>
      <w:marLeft w:val="0"/>
      <w:marRight w:val="0"/>
      <w:marTop w:val="0"/>
      <w:marBottom w:val="0"/>
      <w:divBdr>
        <w:top w:val="none" w:sz="0" w:space="0" w:color="auto"/>
        <w:left w:val="none" w:sz="0" w:space="0" w:color="auto"/>
        <w:bottom w:val="none" w:sz="0" w:space="0" w:color="auto"/>
        <w:right w:val="none" w:sz="0" w:space="0" w:color="auto"/>
      </w:divBdr>
    </w:div>
    <w:div w:id="2045716545">
      <w:bodyDiv w:val="1"/>
      <w:marLeft w:val="0"/>
      <w:marRight w:val="0"/>
      <w:marTop w:val="0"/>
      <w:marBottom w:val="0"/>
      <w:divBdr>
        <w:top w:val="none" w:sz="0" w:space="0" w:color="auto"/>
        <w:left w:val="none" w:sz="0" w:space="0" w:color="auto"/>
        <w:bottom w:val="none" w:sz="0" w:space="0" w:color="auto"/>
        <w:right w:val="none" w:sz="0" w:space="0" w:color="auto"/>
      </w:divBdr>
    </w:div>
    <w:div w:id="2046177532">
      <w:bodyDiv w:val="1"/>
      <w:marLeft w:val="0"/>
      <w:marRight w:val="0"/>
      <w:marTop w:val="0"/>
      <w:marBottom w:val="0"/>
      <w:divBdr>
        <w:top w:val="none" w:sz="0" w:space="0" w:color="auto"/>
        <w:left w:val="none" w:sz="0" w:space="0" w:color="auto"/>
        <w:bottom w:val="none" w:sz="0" w:space="0" w:color="auto"/>
        <w:right w:val="none" w:sz="0" w:space="0" w:color="auto"/>
      </w:divBdr>
    </w:div>
    <w:div w:id="2047411186">
      <w:bodyDiv w:val="1"/>
      <w:marLeft w:val="0"/>
      <w:marRight w:val="0"/>
      <w:marTop w:val="0"/>
      <w:marBottom w:val="0"/>
      <w:divBdr>
        <w:top w:val="none" w:sz="0" w:space="0" w:color="auto"/>
        <w:left w:val="none" w:sz="0" w:space="0" w:color="auto"/>
        <w:bottom w:val="none" w:sz="0" w:space="0" w:color="auto"/>
        <w:right w:val="none" w:sz="0" w:space="0" w:color="auto"/>
      </w:divBdr>
    </w:div>
    <w:div w:id="2047758261">
      <w:bodyDiv w:val="1"/>
      <w:marLeft w:val="0"/>
      <w:marRight w:val="0"/>
      <w:marTop w:val="0"/>
      <w:marBottom w:val="0"/>
      <w:divBdr>
        <w:top w:val="none" w:sz="0" w:space="0" w:color="auto"/>
        <w:left w:val="none" w:sz="0" w:space="0" w:color="auto"/>
        <w:bottom w:val="none" w:sz="0" w:space="0" w:color="auto"/>
        <w:right w:val="none" w:sz="0" w:space="0" w:color="auto"/>
      </w:divBdr>
    </w:div>
    <w:div w:id="2048674783">
      <w:bodyDiv w:val="1"/>
      <w:marLeft w:val="0"/>
      <w:marRight w:val="0"/>
      <w:marTop w:val="0"/>
      <w:marBottom w:val="0"/>
      <w:divBdr>
        <w:top w:val="none" w:sz="0" w:space="0" w:color="auto"/>
        <w:left w:val="none" w:sz="0" w:space="0" w:color="auto"/>
        <w:bottom w:val="none" w:sz="0" w:space="0" w:color="auto"/>
        <w:right w:val="none" w:sz="0" w:space="0" w:color="auto"/>
      </w:divBdr>
    </w:div>
    <w:div w:id="2050639633">
      <w:bodyDiv w:val="1"/>
      <w:marLeft w:val="0"/>
      <w:marRight w:val="0"/>
      <w:marTop w:val="0"/>
      <w:marBottom w:val="0"/>
      <w:divBdr>
        <w:top w:val="none" w:sz="0" w:space="0" w:color="auto"/>
        <w:left w:val="none" w:sz="0" w:space="0" w:color="auto"/>
        <w:bottom w:val="none" w:sz="0" w:space="0" w:color="auto"/>
        <w:right w:val="none" w:sz="0" w:space="0" w:color="auto"/>
      </w:divBdr>
    </w:div>
    <w:div w:id="2052685051">
      <w:bodyDiv w:val="1"/>
      <w:marLeft w:val="0"/>
      <w:marRight w:val="0"/>
      <w:marTop w:val="0"/>
      <w:marBottom w:val="0"/>
      <w:divBdr>
        <w:top w:val="none" w:sz="0" w:space="0" w:color="auto"/>
        <w:left w:val="none" w:sz="0" w:space="0" w:color="auto"/>
        <w:bottom w:val="none" w:sz="0" w:space="0" w:color="auto"/>
        <w:right w:val="none" w:sz="0" w:space="0" w:color="auto"/>
      </w:divBdr>
    </w:div>
    <w:div w:id="2053919380">
      <w:bodyDiv w:val="1"/>
      <w:marLeft w:val="0"/>
      <w:marRight w:val="0"/>
      <w:marTop w:val="0"/>
      <w:marBottom w:val="0"/>
      <w:divBdr>
        <w:top w:val="none" w:sz="0" w:space="0" w:color="auto"/>
        <w:left w:val="none" w:sz="0" w:space="0" w:color="auto"/>
        <w:bottom w:val="none" w:sz="0" w:space="0" w:color="auto"/>
        <w:right w:val="none" w:sz="0" w:space="0" w:color="auto"/>
      </w:divBdr>
    </w:div>
    <w:div w:id="2055692014">
      <w:bodyDiv w:val="1"/>
      <w:marLeft w:val="0"/>
      <w:marRight w:val="0"/>
      <w:marTop w:val="0"/>
      <w:marBottom w:val="0"/>
      <w:divBdr>
        <w:top w:val="none" w:sz="0" w:space="0" w:color="auto"/>
        <w:left w:val="none" w:sz="0" w:space="0" w:color="auto"/>
        <w:bottom w:val="none" w:sz="0" w:space="0" w:color="auto"/>
        <w:right w:val="none" w:sz="0" w:space="0" w:color="auto"/>
      </w:divBdr>
    </w:div>
    <w:div w:id="2056199881">
      <w:bodyDiv w:val="1"/>
      <w:marLeft w:val="0"/>
      <w:marRight w:val="0"/>
      <w:marTop w:val="0"/>
      <w:marBottom w:val="0"/>
      <w:divBdr>
        <w:top w:val="none" w:sz="0" w:space="0" w:color="auto"/>
        <w:left w:val="none" w:sz="0" w:space="0" w:color="auto"/>
        <w:bottom w:val="none" w:sz="0" w:space="0" w:color="auto"/>
        <w:right w:val="none" w:sz="0" w:space="0" w:color="auto"/>
      </w:divBdr>
    </w:div>
    <w:div w:id="2057045351">
      <w:bodyDiv w:val="1"/>
      <w:marLeft w:val="0"/>
      <w:marRight w:val="0"/>
      <w:marTop w:val="0"/>
      <w:marBottom w:val="0"/>
      <w:divBdr>
        <w:top w:val="none" w:sz="0" w:space="0" w:color="auto"/>
        <w:left w:val="none" w:sz="0" w:space="0" w:color="auto"/>
        <w:bottom w:val="none" w:sz="0" w:space="0" w:color="auto"/>
        <w:right w:val="none" w:sz="0" w:space="0" w:color="auto"/>
      </w:divBdr>
    </w:div>
    <w:div w:id="2057391305">
      <w:bodyDiv w:val="1"/>
      <w:marLeft w:val="0"/>
      <w:marRight w:val="0"/>
      <w:marTop w:val="0"/>
      <w:marBottom w:val="0"/>
      <w:divBdr>
        <w:top w:val="none" w:sz="0" w:space="0" w:color="auto"/>
        <w:left w:val="none" w:sz="0" w:space="0" w:color="auto"/>
        <w:bottom w:val="none" w:sz="0" w:space="0" w:color="auto"/>
        <w:right w:val="none" w:sz="0" w:space="0" w:color="auto"/>
      </w:divBdr>
    </w:div>
    <w:div w:id="2059697983">
      <w:bodyDiv w:val="1"/>
      <w:marLeft w:val="0"/>
      <w:marRight w:val="0"/>
      <w:marTop w:val="0"/>
      <w:marBottom w:val="0"/>
      <w:divBdr>
        <w:top w:val="none" w:sz="0" w:space="0" w:color="auto"/>
        <w:left w:val="none" w:sz="0" w:space="0" w:color="auto"/>
        <w:bottom w:val="none" w:sz="0" w:space="0" w:color="auto"/>
        <w:right w:val="none" w:sz="0" w:space="0" w:color="auto"/>
      </w:divBdr>
    </w:div>
    <w:div w:id="2061321453">
      <w:bodyDiv w:val="1"/>
      <w:marLeft w:val="0"/>
      <w:marRight w:val="0"/>
      <w:marTop w:val="0"/>
      <w:marBottom w:val="0"/>
      <w:divBdr>
        <w:top w:val="none" w:sz="0" w:space="0" w:color="auto"/>
        <w:left w:val="none" w:sz="0" w:space="0" w:color="auto"/>
        <w:bottom w:val="none" w:sz="0" w:space="0" w:color="auto"/>
        <w:right w:val="none" w:sz="0" w:space="0" w:color="auto"/>
      </w:divBdr>
    </w:div>
    <w:div w:id="2061438457">
      <w:bodyDiv w:val="1"/>
      <w:marLeft w:val="0"/>
      <w:marRight w:val="0"/>
      <w:marTop w:val="0"/>
      <w:marBottom w:val="0"/>
      <w:divBdr>
        <w:top w:val="none" w:sz="0" w:space="0" w:color="auto"/>
        <w:left w:val="none" w:sz="0" w:space="0" w:color="auto"/>
        <w:bottom w:val="none" w:sz="0" w:space="0" w:color="auto"/>
        <w:right w:val="none" w:sz="0" w:space="0" w:color="auto"/>
      </w:divBdr>
    </w:div>
    <w:div w:id="2061785210">
      <w:bodyDiv w:val="1"/>
      <w:marLeft w:val="0"/>
      <w:marRight w:val="0"/>
      <w:marTop w:val="0"/>
      <w:marBottom w:val="0"/>
      <w:divBdr>
        <w:top w:val="none" w:sz="0" w:space="0" w:color="auto"/>
        <w:left w:val="none" w:sz="0" w:space="0" w:color="auto"/>
        <w:bottom w:val="none" w:sz="0" w:space="0" w:color="auto"/>
        <w:right w:val="none" w:sz="0" w:space="0" w:color="auto"/>
      </w:divBdr>
    </w:div>
    <w:div w:id="2062749030">
      <w:bodyDiv w:val="1"/>
      <w:marLeft w:val="0"/>
      <w:marRight w:val="0"/>
      <w:marTop w:val="0"/>
      <w:marBottom w:val="0"/>
      <w:divBdr>
        <w:top w:val="none" w:sz="0" w:space="0" w:color="auto"/>
        <w:left w:val="none" w:sz="0" w:space="0" w:color="auto"/>
        <w:bottom w:val="none" w:sz="0" w:space="0" w:color="auto"/>
        <w:right w:val="none" w:sz="0" w:space="0" w:color="auto"/>
      </w:divBdr>
    </w:div>
    <w:div w:id="2064869659">
      <w:bodyDiv w:val="1"/>
      <w:marLeft w:val="0"/>
      <w:marRight w:val="0"/>
      <w:marTop w:val="0"/>
      <w:marBottom w:val="0"/>
      <w:divBdr>
        <w:top w:val="none" w:sz="0" w:space="0" w:color="auto"/>
        <w:left w:val="none" w:sz="0" w:space="0" w:color="auto"/>
        <w:bottom w:val="none" w:sz="0" w:space="0" w:color="auto"/>
        <w:right w:val="none" w:sz="0" w:space="0" w:color="auto"/>
      </w:divBdr>
    </w:div>
    <w:div w:id="2065250446">
      <w:bodyDiv w:val="1"/>
      <w:marLeft w:val="0"/>
      <w:marRight w:val="0"/>
      <w:marTop w:val="0"/>
      <w:marBottom w:val="0"/>
      <w:divBdr>
        <w:top w:val="none" w:sz="0" w:space="0" w:color="auto"/>
        <w:left w:val="none" w:sz="0" w:space="0" w:color="auto"/>
        <w:bottom w:val="none" w:sz="0" w:space="0" w:color="auto"/>
        <w:right w:val="none" w:sz="0" w:space="0" w:color="auto"/>
      </w:divBdr>
    </w:div>
    <w:div w:id="2065324212">
      <w:bodyDiv w:val="1"/>
      <w:marLeft w:val="0"/>
      <w:marRight w:val="0"/>
      <w:marTop w:val="0"/>
      <w:marBottom w:val="0"/>
      <w:divBdr>
        <w:top w:val="none" w:sz="0" w:space="0" w:color="auto"/>
        <w:left w:val="none" w:sz="0" w:space="0" w:color="auto"/>
        <w:bottom w:val="none" w:sz="0" w:space="0" w:color="auto"/>
        <w:right w:val="none" w:sz="0" w:space="0" w:color="auto"/>
      </w:divBdr>
    </w:div>
    <w:div w:id="2067220268">
      <w:bodyDiv w:val="1"/>
      <w:marLeft w:val="0"/>
      <w:marRight w:val="0"/>
      <w:marTop w:val="0"/>
      <w:marBottom w:val="0"/>
      <w:divBdr>
        <w:top w:val="none" w:sz="0" w:space="0" w:color="auto"/>
        <w:left w:val="none" w:sz="0" w:space="0" w:color="auto"/>
        <w:bottom w:val="none" w:sz="0" w:space="0" w:color="auto"/>
        <w:right w:val="none" w:sz="0" w:space="0" w:color="auto"/>
      </w:divBdr>
    </w:div>
    <w:div w:id="2068651114">
      <w:bodyDiv w:val="1"/>
      <w:marLeft w:val="0"/>
      <w:marRight w:val="0"/>
      <w:marTop w:val="0"/>
      <w:marBottom w:val="0"/>
      <w:divBdr>
        <w:top w:val="none" w:sz="0" w:space="0" w:color="auto"/>
        <w:left w:val="none" w:sz="0" w:space="0" w:color="auto"/>
        <w:bottom w:val="none" w:sz="0" w:space="0" w:color="auto"/>
        <w:right w:val="none" w:sz="0" w:space="0" w:color="auto"/>
      </w:divBdr>
    </w:div>
    <w:div w:id="2072462357">
      <w:bodyDiv w:val="1"/>
      <w:marLeft w:val="0"/>
      <w:marRight w:val="0"/>
      <w:marTop w:val="0"/>
      <w:marBottom w:val="0"/>
      <w:divBdr>
        <w:top w:val="none" w:sz="0" w:space="0" w:color="auto"/>
        <w:left w:val="none" w:sz="0" w:space="0" w:color="auto"/>
        <w:bottom w:val="none" w:sz="0" w:space="0" w:color="auto"/>
        <w:right w:val="none" w:sz="0" w:space="0" w:color="auto"/>
      </w:divBdr>
    </w:div>
    <w:div w:id="2075202259">
      <w:bodyDiv w:val="1"/>
      <w:marLeft w:val="0"/>
      <w:marRight w:val="0"/>
      <w:marTop w:val="0"/>
      <w:marBottom w:val="0"/>
      <w:divBdr>
        <w:top w:val="none" w:sz="0" w:space="0" w:color="auto"/>
        <w:left w:val="none" w:sz="0" w:space="0" w:color="auto"/>
        <w:bottom w:val="none" w:sz="0" w:space="0" w:color="auto"/>
        <w:right w:val="none" w:sz="0" w:space="0" w:color="auto"/>
      </w:divBdr>
    </w:div>
    <w:div w:id="2075925609">
      <w:bodyDiv w:val="1"/>
      <w:marLeft w:val="0"/>
      <w:marRight w:val="0"/>
      <w:marTop w:val="0"/>
      <w:marBottom w:val="0"/>
      <w:divBdr>
        <w:top w:val="none" w:sz="0" w:space="0" w:color="auto"/>
        <w:left w:val="none" w:sz="0" w:space="0" w:color="auto"/>
        <w:bottom w:val="none" w:sz="0" w:space="0" w:color="auto"/>
        <w:right w:val="none" w:sz="0" w:space="0" w:color="auto"/>
      </w:divBdr>
    </w:div>
    <w:div w:id="2076203785">
      <w:bodyDiv w:val="1"/>
      <w:marLeft w:val="0"/>
      <w:marRight w:val="0"/>
      <w:marTop w:val="0"/>
      <w:marBottom w:val="0"/>
      <w:divBdr>
        <w:top w:val="none" w:sz="0" w:space="0" w:color="auto"/>
        <w:left w:val="none" w:sz="0" w:space="0" w:color="auto"/>
        <w:bottom w:val="none" w:sz="0" w:space="0" w:color="auto"/>
        <w:right w:val="none" w:sz="0" w:space="0" w:color="auto"/>
      </w:divBdr>
    </w:div>
    <w:div w:id="2076707078">
      <w:bodyDiv w:val="1"/>
      <w:marLeft w:val="0"/>
      <w:marRight w:val="0"/>
      <w:marTop w:val="0"/>
      <w:marBottom w:val="0"/>
      <w:divBdr>
        <w:top w:val="none" w:sz="0" w:space="0" w:color="auto"/>
        <w:left w:val="none" w:sz="0" w:space="0" w:color="auto"/>
        <w:bottom w:val="none" w:sz="0" w:space="0" w:color="auto"/>
        <w:right w:val="none" w:sz="0" w:space="0" w:color="auto"/>
      </w:divBdr>
    </w:div>
    <w:div w:id="2077119464">
      <w:bodyDiv w:val="1"/>
      <w:marLeft w:val="0"/>
      <w:marRight w:val="0"/>
      <w:marTop w:val="0"/>
      <w:marBottom w:val="0"/>
      <w:divBdr>
        <w:top w:val="none" w:sz="0" w:space="0" w:color="auto"/>
        <w:left w:val="none" w:sz="0" w:space="0" w:color="auto"/>
        <w:bottom w:val="none" w:sz="0" w:space="0" w:color="auto"/>
        <w:right w:val="none" w:sz="0" w:space="0" w:color="auto"/>
      </w:divBdr>
    </w:div>
    <w:div w:id="2077513397">
      <w:bodyDiv w:val="1"/>
      <w:marLeft w:val="0"/>
      <w:marRight w:val="0"/>
      <w:marTop w:val="0"/>
      <w:marBottom w:val="0"/>
      <w:divBdr>
        <w:top w:val="none" w:sz="0" w:space="0" w:color="auto"/>
        <w:left w:val="none" w:sz="0" w:space="0" w:color="auto"/>
        <w:bottom w:val="none" w:sz="0" w:space="0" w:color="auto"/>
        <w:right w:val="none" w:sz="0" w:space="0" w:color="auto"/>
      </w:divBdr>
    </w:div>
    <w:div w:id="2077819284">
      <w:bodyDiv w:val="1"/>
      <w:marLeft w:val="0"/>
      <w:marRight w:val="0"/>
      <w:marTop w:val="0"/>
      <w:marBottom w:val="0"/>
      <w:divBdr>
        <w:top w:val="none" w:sz="0" w:space="0" w:color="auto"/>
        <w:left w:val="none" w:sz="0" w:space="0" w:color="auto"/>
        <w:bottom w:val="none" w:sz="0" w:space="0" w:color="auto"/>
        <w:right w:val="none" w:sz="0" w:space="0" w:color="auto"/>
      </w:divBdr>
    </w:div>
    <w:div w:id="2079204156">
      <w:bodyDiv w:val="1"/>
      <w:marLeft w:val="0"/>
      <w:marRight w:val="0"/>
      <w:marTop w:val="0"/>
      <w:marBottom w:val="0"/>
      <w:divBdr>
        <w:top w:val="none" w:sz="0" w:space="0" w:color="auto"/>
        <w:left w:val="none" w:sz="0" w:space="0" w:color="auto"/>
        <w:bottom w:val="none" w:sz="0" w:space="0" w:color="auto"/>
        <w:right w:val="none" w:sz="0" w:space="0" w:color="auto"/>
      </w:divBdr>
    </w:div>
    <w:div w:id="2081096562">
      <w:bodyDiv w:val="1"/>
      <w:marLeft w:val="0"/>
      <w:marRight w:val="0"/>
      <w:marTop w:val="0"/>
      <w:marBottom w:val="0"/>
      <w:divBdr>
        <w:top w:val="none" w:sz="0" w:space="0" w:color="auto"/>
        <w:left w:val="none" w:sz="0" w:space="0" w:color="auto"/>
        <w:bottom w:val="none" w:sz="0" w:space="0" w:color="auto"/>
        <w:right w:val="none" w:sz="0" w:space="0" w:color="auto"/>
      </w:divBdr>
    </w:div>
    <w:div w:id="2081437431">
      <w:bodyDiv w:val="1"/>
      <w:marLeft w:val="0"/>
      <w:marRight w:val="0"/>
      <w:marTop w:val="0"/>
      <w:marBottom w:val="0"/>
      <w:divBdr>
        <w:top w:val="none" w:sz="0" w:space="0" w:color="auto"/>
        <w:left w:val="none" w:sz="0" w:space="0" w:color="auto"/>
        <w:bottom w:val="none" w:sz="0" w:space="0" w:color="auto"/>
        <w:right w:val="none" w:sz="0" w:space="0" w:color="auto"/>
      </w:divBdr>
    </w:div>
    <w:div w:id="2083673197">
      <w:bodyDiv w:val="1"/>
      <w:marLeft w:val="0"/>
      <w:marRight w:val="0"/>
      <w:marTop w:val="0"/>
      <w:marBottom w:val="0"/>
      <w:divBdr>
        <w:top w:val="none" w:sz="0" w:space="0" w:color="auto"/>
        <w:left w:val="none" w:sz="0" w:space="0" w:color="auto"/>
        <w:bottom w:val="none" w:sz="0" w:space="0" w:color="auto"/>
        <w:right w:val="none" w:sz="0" w:space="0" w:color="auto"/>
      </w:divBdr>
    </w:div>
    <w:div w:id="2085687833">
      <w:bodyDiv w:val="1"/>
      <w:marLeft w:val="0"/>
      <w:marRight w:val="0"/>
      <w:marTop w:val="0"/>
      <w:marBottom w:val="0"/>
      <w:divBdr>
        <w:top w:val="none" w:sz="0" w:space="0" w:color="auto"/>
        <w:left w:val="none" w:sz="0" w:space="0" w:color="auto"/>
        <w:bottom w:val="none" w:sz="0" w:space="0" w:color="auto"/>
        <w:right w:val="none" w:sz="0" w:space="0" w:color="auto"/>
      </w:divBdr>
    </w:div>
    <w:div w:id="2085758130">
      <w:bodyDiv w:val="1"/>
      <w:marLeft w:val="0"/>
      <w:marRight w:val="0"/>
      <w:marTop w:val="0"/>
      <w:marBottom w:val="0"/>
      <w:divBdr>
        <w:top w:val="none" w:sz="0" w:space="0" w:color="auto"/>
        <w:left w:val="none" w:sz="0" w:space="0" w:color="auto"/>
        <w:bottom w:val="none" w:sz="0" w:space="0" w:color="auto"/>
        <w:right w:val="none" w:sz="0" w:space="0" w:color="auto"/>
      </w:divBdr>
    </w:div>
    <w:div w:id="2087341256">
      <w:bodyDiv w:val="1"/>
      <w:marLeft w:val="0"/>
      <w:marRight w:val="0"/>
      <w:marTop w:val="0"/>
      <w:marBottom w:val="0"/>
      <w:divBdr>
        <w:top w:val="none" w:sz="0" w:space="0" w:color="auto"/>
        <w:left w:val="none" w:sz="0" w:space="0" w:color="auto"/>
        <w:bottom w:val="none" w:sz="0" w:space="0" w:color="auto"/>
        <w:right w:val="none" w:sz="0" w:space="0" w:color="auto"/>
      </w:divBdr>
    </w:div>
    <w:div w:id="2087801139">
      <w:bodyDiv w:val="1"/>
      <w:marLeft w:val="0"/>
      <w:marRight w:val="0"/>
      <w:marTop w:val="0"/>
      <w:marBottom w:val="0"/>
      <w:divBdr>
        <w:top w:val="none" w:sz="0" w:space="0" w:color="auto"/>
        <w:left w:val="none" w:sz="0" w:space="0" w:color="auto"/>
        <w:bottom w:val="none" w:sz="0" w:space="0" w:color="auto"/>
        <w:right w:val="none" w:sz="0" w:space="0" w:color="auto"/>
      </w:divBdr>
    </w:div>
    <w:div w:id="2087990211">
      <w:bodyDiv w:val="1"/>
      <w:marLeft w:val="0"/>
      <w:marRight w:val="0"/>
      <w:marTop w:val="0"/>
      <w:marBottom w:val="0"/>
      <w:divBdr>
        <w:top w:val="none" w:sz="0" w:space="0" w:color="auto"/>
        <w:left w:val="none" w:sz="0" w:space="0" w:color="auto"/>
        <w:bottom w:val="none" w:sz="0" w:space="0" w:color="auto"/>
        <w:right w:val="none" w:sz="0" w:space="0" w:color="auto"/>
      </w:divBdr>
    </w:div>
    <w:div w:id="2088072489">
      <w:bodyDiv w:val="1"/>
      <w:marLeft w:val="0"/>
      <w:marRight w:val="0"/>
      <w:marTop w:val="0"/>
      <w:marBottom w:val="0"/>
      <w:divBdr>
        <w:top w:val="none" w:sz="0" w:space="0" w:color="auto"/>
        <w:left w:val="none" w:sz="0" w:space="0" w:color="auto"/>
        <w:bottom w:val="none" w:sz="0" w:space="0" w:color="auto"/>
        <w:right w:val="none" w:sz="0" w:space="0" w:color="auto"/>
      </w:divBdr>
    </w:div>
    <w:div w:id="2088111221">
      <w:bodyDiv w:val="1"/>
      <w:marLeft w:val="0"/>
      <w:marRight w:val="0"/>
      <w:marTop w:val="0"/>
      <w:marBottom w:val="0"/>
      <w:divBdr>
        <w:top w:val="none" w:sz="0" w:space="0" w:color="auto"/>
        <w:left w:val="none" w:sz="0" w:space="0" w:color="auto"/>
        <w:bottom w:val="none" w:sz="0" w:space="0" w:color="auto"/>
        <w:right w:val="none" w:sz="0" w:space="0" w:color="auto"/>
      </w:divBdr>
    </w:div>
    <w:div w:id="2089879850">
      <w:bodyDiv w:val="1"/>
      <w:marLeft w:val="0"/>
      <w:marRight w:val="0"/>
      <w:marTop w:val="0"/>
      <w:marBottom w:val="0"/>
      <w:divBdr>
        <w:top w:val="none" w:sz="0" w:space="0" w:color="auto"/>
        <w:left w:val="none" w:sz="0" w:space="0" w:color="auto"/>
        <w:bottom w:val="none" w:sz="0" w:space="0" w:color="auto"/>
        <w:right w:val="none" w:sz="0" w:space="0" w:color="auto"/>
      </w:divBdr>
    </w:div>
    <w:div w:id="2090228433">
      <w:bodyDiv w:val="1"/>
      <w:marLeft w:val="0"/>
      <w:marRight w:val="0"/>
      <w:marTop w:val="0"/>
      <w:marBottom w:val="0"/>
      <w:divBdr>
        <w:top w:val="none" w:sz="0" w:space="0" w:color="auto"/>
        <w:left w:val="none" w:sz="0" w:space="0" w:color="auto"/>
        <w:bottom w:val="none" w:sz="0" w:space="0" w:color="auto"/>
        <w:right w:val="none" w:sz="0" w:space="0" w:color="auto"/>
      </w:divBdr>
    </w:div>
    <w:div w:id="2090538366">
      <w:bodyDiv w:val="1"/>
      <w:marLeft w:val="0"/>
      <w:marRight w:val="0"/>
      <w:marTop w:val="0"/>
      <w:marBottom w:val="0"/>
      <w:divBdr>
        <w:top w:val="none" w:sz="0" w:space="0" w:color="auto"/>
        <w:left w:val="none" w:sz="0" w:space="0" w:color="auto"/>
        <w:bottom w:val="none" w:sz="0" w:space="0" w:color="auto"/>
        <w:right w:val="none" w:sz="0" w:space="0" w:color="auto"/>
      </w:divBdr>
    </w:div>
    <w:div w:id="2090691300">
      <w:bodyDiv w:val="1"/>
      <w:marLeft w:val="0"/>
      <w:marRight w:val="0"/>
      <w:marTop w:val="0"/>
      <w:marBottom w:val="0"/>
      <w:divBdr>
        <w:top w:val="none" w:sz="0" w:space="0" w:color="auto"/>
        <w:left w:val="none" w:sz="0" w:space="0" w:color="auto"/>
        <w:bottom w:val="none" w:sz="0" w:space="0" w:color="auto"/>
        <w:right w:val="none" w:sz="0" w:space="0" w:color="auto"/>
      </w:divBdr>
    </w:div>
    <w:div w:id="2091539387">
      <w:bodyDiv w:val="1"/>
      <w:marLeft w:val="0"/>
      <w:marRight w:val="0"/>
      <w:marTop w:val="0"/>
      <w:marBottom w:val="0"/>
      <w:divBdr>
        <w:top w:val="none" w:sz="0" w:space="0" w:color="auto"/>
        <w:left w:val="none" w:sz="0" w:space="0" w:color="auto"/>
        <w:bottom w:val="none" w:sz="0" w:space="0" w:color="auto"/>
        <w:right w:val="none" w:sz="0" w:space="0" w:color="auto"/>
      </w:divBdr>
    </w:div>
    <w:div w:id="2091732153">
      <w:bodyDiv w:val="1"/>
      <w:marLeft w:val="0"/>
      <w:marRight w:val="0"/>
      <w:marTop w:val="0"/>
      <w:marBottom w:val="0"/>
      <w:divBdr>
        <w:top w:val="none" w:sz="0" w:space="0" w:color="auto"/>
        <w:left w:val="none" w:sz="0" w:space="0" w:color="auto"/>
        <w:bottom w:val="none" w:sz="0" w:space="0" w:color="auto"/>
        <w:right w:val="none" w:sz="0" w:space="0" w:color="auto"/>
      </w:divBdr>
    </w:div>
    <w:div w:id="2092773423">
      <w:bodyDiv w:val="1"/>
      <w:marLeft w:val="0"/>
      <w:marRight w:val="0"/>
      <w:marTop w:val="0"/>
      <w:marBottom w:val="0"/>
      <w:divBdr>
        <w:top w:val="none" w:sz="0" w:space="0" w:color="auto"/>
        <w:left w:val="none" w:sz="0" w:space="0" w:color="auto"/>
        <w:bottom w:val="none" w:sz="0" w:space="0" w:color="auto"/>
        <w:right w:val="none" w:sz="0" w:space="0" w:color="auto"/>
      </w:divBdr>
    </w:div>
    <w:div w:id="2095852756">
      <w:bodyDiv w:val="1"/>
      <w:marLeft w:val="0"/>
      <w:marRight w:val="0"/>
      <w:marTop w:val="0"/>
      <w:marBottom w:val="0"/>
      <w:divBdr>
        <w:top w:val="none" w:sz="0" w:space="0" w:color="auto"/>
        <w:left w:val="none" w:sz="0" w:space="0" w:color="auto"/>
        <w:bottom w:val="none" w:sz="0" w:space="0" w:color="auto"/>
        <w:right w:val="none" w:sz="0" w:space="0" w:color="auto"/>
      </w:divBdr>
    </w:div>
    <w:div w:id="2096315659">
      <w:bodyDiv w:val="1"/>
      <w:marLeft w:val="0"/>
      <w:marRight w:val="0"/>
      <w:marTop w:val="0"/>
      <w:marBottom w:val="0"/>
      <w:divBdr>
        <w:top w:val="none" w:sz="0" w:space="0" w:color="auto"/>
        <w:left w:val="none" w:sz="0" w:space="0" w:color="auto"/>
        <w:bottom w:val="none" w:sz="0" w:space="0" w:color="auto"/>
        <w:right w:val="none" w:sz="0" w:space="0" w:color="auto"/>
      </w:divBdr>
    </w:div>
    <w:div w:id="2097626932">
      <w:bodyDiv w:val="1"/>
      <w:marLeft w:val="0"/>
      <w:marRight w:val="0"/>
      <w:marTop w:val="0"/>
      <w:marBottom w:val="0"/>
      <w:divBdr>
        <w:top w:val="none" w:sz="0" w:space="0" w:color="auto"/>
        <w:left w:val="none" w:sz="0" w:space="0" w:color="auto"/>
        <w:bottom w:val="none" w:sz="0" w:space="0" w:color="auto"/>
        <w:right w:val="none" w:sz="0" w:space="0" w:color="auto"/>
      </w:divBdr>
    </w:div>
    <w:div w:id="2098167267">
      <w:bodyDiv w:val="1"/>
      <w:marLeft w:val="0"/>
      <w:marRight w:val="0"/>
      <w:marTop w:val="0"/>
      <w:marBottom w:val="0"/>
      <w:divBdr>
        <w:top w:val="none" w:sz="0" w:space="0" w:color="auto"/>
        <w:left w:val="none" w:sz="0" w:space="0" w:color="auto"/>
        <w:bottom w:val="none" w:sz="0" w:space="0" w:color="auto"/>
        <w:right w:val="none" w:sz="0" w:space="0" w:color="auto"/>
      </w:divBdr>
    </w:div>
    <w:div w:id="2099213295">
      <w:bodyDiv w:val="1"/>
      <w:marLeft w:val="0"/>
      <w:marRight w:val="0"/>
      <w:marTop w:val="0"/>
      <w:marBottom w:val="0"/>
      <w:divBdr>
        <w:top w:val="none" w:sz="0" w:space="0" w:color="auto"/>
        <w:left w:val="none" w:sz="0" w:space="0" w:color="auto"/>
        <w:bottom w:val="none" w:sz="0" w:space="0" w:color="auto"/>
        <w:right w:val="none" w:sz="0" w:space="0" w:color="auto"/>
      </w:divBdr>
    </w:div>
    <w:div w:id="2100174713">
      <w:bodyDiv w:val="1"/>
      <w:marLeft w:val="0"/>
      <w:marRight w:val="0"/>
      <w:marTop w:val="0"/>
      <w:marBottom w:val="0"/>
      <w:divBdr>
        <w:top w:val="none" w:sz="0" w:space="0" w:color="auto"/>
        <w:left w:val="none" w:sz="0" w:space="0" w:color="auto"/>
        <w:bottom w:val="none" w:sz="0" w:space="0" w:color="auto"/>
        <w:right w:val="none" w:sz="0" w:space="0" w:color="auto"/>
      </w:divBdr>
    </w:div>
    <w:div w:id="2100904282">
      <w:bodyDiv w:val="1"/>
      <w:marLeft w:val="0"/>
      <w:marRight w:val="0"/>
      <w:marTop w:val="0"/>
      <w:marBottom w:val="0"/>
      <w:divBdr>
        <w:top w:val="none" w:sz="0" w:space="0" w:color="auto"/>
        <w:left w:val="none" w:sz="0" w:space="0" w:color="auto"/>
        <w:bottom w:val="none" w:sz="0" w:space="0" w:color="auto"/>
        <w:right w:val="none" w:sz="0" w:space="0" w:color="auto"/>
      </w:divBdr>
    </w:div>
    <w:div w:id="2102606055">
      <w:bodyDiv w:val="1"/>
      <w:marLeft w:val="0"/>
      <w:marRight w:val="0"/>
      <w:marTop w:val="0"/>
      <w:marBottom w:val="0"/>
      <w:divBdr>
        <w:top w:val="none" w:sz="0" w:space="0" w:color="auto"/>
        <w:left w:val="none" w:sz="0" w:space="0" w:color="auto"/>
        <w:bottom w:val="none" w:sz="0" w:space="0" w:color="auto"/>
        <w:right w:val="none" w:sz="0" w:space="0" w:color="auto"/>
      </w:divBdr>
    </w:div>
    <w:div w:id="2105105216">
      <w:bodyDiv w:val="1"/>
      <w:marLeft w:val="0"/>
      <w:marRight w:val="0"/>
      <w:marTop w:val="0"/>
      <w:marBottom w:val="0"/>
      <w:divBdr>
        <w:top w:val="none" w:sz="0" w:space="0" w:color="auto"/>
        <w:left w:val="none" w:sz="0" w:space="0" w:color="auto"/>
        <w:bottom w:val="none" w:sz="0" w:space="0" w:color="auto"/>
        <w:right w:val="none" w:sz="0" w:space="0" w:color="auto"/>
      </w:divBdr>
    </w:div>
    <w:div w:id="2107458415">
      <w:bodyDiv w:val="1"/>
      <w:marLeft w:val="0"/>
      <w:marRight w:val="0"/>
      <w:marTop w:val="0"/>
      <w:marBottom w:val="0"/>
      <w:divBdr>
        <w:top w:val="none" w:sz="0" w:space="0" w:color="auto"/>
        <w:left w:val="none" w:sz="0" w:space="0" w:color="auto"/>
        <w:bottom w:val="none" w:sz="0" w:space="0" w:color="auto"/>
        <w:right w:val="none" w:sz="0" w:space="0" w:color="auto"/>
      </w:divBdr>
    </w:div>
    <w:div w:id="2107917820">
      <w:bodyDiv w:val="1"/>
      <w:marLeft w:val="0"/>
      <w:marRight w:val="0"/>
      <w:marTop w:val="0"/>
      <w:marBottom w:val="0"/>
      <w:divBdr>
        <w:top w:val="none" w:sz="0" w:space="0" w:color="auto"/>
        <w:left w:val="none" w:sz="0" w:space="0" w:color="auto"/>
        <w:bottom w:val="none" w:sz="0" w:space="0" w:color="auto"/>
        <w:right w:val="none" w:sz="0" w:space="0" w:color="auto"/>
      </w:divBdr>
    </w:div>
    <w:div w:id="2108235314">
      <w:bodyDiv w:val="1"/>
      <w:marLeft w:val="0"/>
      <w:marRight w:val="0"/>
      <w:marTop w:val="0"/>
      <w:marBottom w:val="0"/>
      <w:divBdr>
        <w:top w:val="none" w:sz="0" w:space="0" w:color="auto"/>
        <w:left w:val="none" w:sz="0" w:space="0" w:color="auto"/>
        <w:bottom w:val="none" w:sz="0" w:space="0" w:color="auto"/>
        <w:right w:val="none" w:sz="0" w:space="0" w:color="auto"/>
      </w:divBdr>
    </w:div>
    <w:div w:id="2110540735">
      <w:bodyDiv w:val="1"/>
      <w:marLeft w:val="0"/>
      <w:marRight w:val="0"/>
      <w:marTop w:val="0"/>
      <w:marBottom w:val="0"/>
      <w:divBdr>
        <w:top w:val="none" w:sz="0" w:space="0" w:color="auto"/>
        <w:left w:val="none" w:sz="0" w:space="0" w:color="auto"/>
        <w:bottom w:val="none" w:sz="0" w:space="0" w:color="auto"/>
        <w:right w:val="none" w:sz="0" w:space="0" w:color="auto"/>
      </w:divBdr>
    </w:div>
    <w:div w:id="2110659108">
      <w:bodyDiv w:val="1"/>
      <w:marLeft w:val="0"/>
      <w:marRight w:val="0"/>
      <w:marTop w:val="0"/>
      <w:marBottom w:val="0"/>
      <w:divBdr>
        <w:top w:val="none" w:sz="0" w:space="0" w:color="auto"/>
        <w:left w:val="none" w:sz="0" w:space="0" w:color="auto"/>
        <w:bottom w:val="none" w:sz="0" w:space="0" w:color="auto"/>
        <w:right w:val="none" w:sz="0" w:space="0" w:color="auto"/>
      </w:divBdr>
    </w:div>
    <w:div w:id="2110807303">
      <w:bodyDiv w:val="1"/>
      <w:marLeft w:val="0"/>
      <w:marRight w:val="0"/>
      <w:marTop w:val="0"/>
      <w:marBottom w:val="0"/>
      <w:divBdr>
        <w:top w:val="none" w:sz="0" w:space="0" w:color="auto"/>
        <w:left w:val="none" w:sz="0" w:space="0" w:color="auto"/>
        <w:bottom w:val="none" w:sz="0" w:space="0" w:color="auto"/>
        <w:right w:val="none" w:sz="0" w:space="0" w:color="auto"/>
      </w:divBdr>
    </w:div>
    <w:div w:id="2112241080">
      <w:bodyDiv w:val="1"/>
      <w:marLeft w:val="0"/>
      <w:marRight w:val="0"/>
      <w:marTop w:val="0"/>
      <w:marBottom w:val="0"/>
      <w:divBdr>
        <w:top w:val="none" w:sz="0" w:space="0" w:color="auto"/>
        <w:left w:val="none" w:sz="0" w:space="0" w:color="auto"/>
        <w:bottom w:val="none" w:sz="0" w:space="0" w:color="auto"/>
        <w:right w:val="none" w:sz="0" w:space="0" w:color="auto"/>
      </w:divBdr>
    </w:div>
    <w:div w:id="2112627025">
      <w:bodyDiv w:val="1"/>
      <w:marLeft w:val="0"/>
      <w:marRight w:val="0"/>
      <w:marTop w:val="0"/>
      <w:marBottom w:val="0"/>
      <w:divBdr>
        <w:top w:val="none" w:sz="0" w:space="0" w:color="auto"/>
        <w:left w:val="none" w:sz="0" w:space="0" w:color="auto"/>
        <w:bottom w:val="none" w:sz="0" w:space="0" w:color="auto"/>
        <w:right w:val="none" w:sz="0" w:space="0" w:color="auto"/>
      </w:divBdr>
    </w:div>
    <w:div w:id="2118483485">
      <w:bodyDiv w:val="1"/>
      <w:marLeft w:val="0"/>
      <w:marRight w:val="0"/>
      <w:marTop w:val="0"/>
      <w:marBottom w:val="0"/>
      <w:divBdr>
        <w:top w:val="none" w:sz="0" w:space="0" w:color="auto"/>
        <w:left w:val="none" w:sz="0" w:space="0" w:color="auto"/>
        <w:bottom w:val="none" w:sz="0" w:space="0" w:color="auto"/>
        <w:right w:val="none" w:sz="0" w:space="0" w:color="auto"/>
      </w:divBdr>
    </w:div>
    <w:div w:id="2119257386">
      <w:bodyDiv w:val="1"/>
      <w:marLeft w:val="0"/>
      <w:marRight w:val="0"/>
      <w:marTop w:val="0"/>
      <w:marBottom w:val="0"/>
      <w:divBdr>
        <w:top w:val="none" w:sz="0" w:space="0" w:color="auto"/>
        <w:left w:val="none" w:sz="0" w:space="0" w:color="auto"/>
        <w:bottom w:val="none" w:sz="0" w:space="0" w:color="auto"/>
        <w:right w:val="none" w:sz="0" w:space="0" w:color="auto"/>
      </w:divBdr>
    </w:div>
    <w:div w:id="2121870691">
      <w:bodyDiv w:val="1"/>
      <w:marLeft w:val="0"/>
      <w:marRight w:val="0"/>
      <w:marTop w:val="0"/>
      <w:marBottom w:val="0"/>
      <w:divBdr>
        <w:top w:val="none" w:sz="0" w:space="0" w:color="auto"/>
        <w:left w:val="none" w:sz="0" w:space="0" w:color="auto"/>
        <w:bottom w:val="none" w:sz="0" w:space="0" w:color="auto"/>
        <w:right w:val="none" w:sz="0" w:space="0" w:color="auto"/>
      </w:divBdr>
    </w:div>
    <w:div w:id="2122911451">
      <w:bodyDiv w:val="1"/>
      <w:marLeft w:val="0"/>
      <w:marRight w:val="0"/>
      <w:marTop w:val="0"/>
      <w:marBottom w:val="0"/>
      <w:divBdr>
        <w:top w:val="none" w:sz="0" w:space="0" w:color="auto"/>
        <w:left w:val="none" w:sz="0" w:space="0" w:color="auto"/>
        <w:bottom w:val="none" w:sz="0" w:space="0" w:color="auto"/>
        <w:right w:val="none" w:sz="0" w:space="0" w:color="auto"/>
      </w:divBdr>
    </w:div>
    <w:div w:id="2124230270">
      <w:bodyDiv w:val="1"/>
      <w:marLeft w:val="0"/>
      <w:marRight w:val="0"/>
      <w:marTop w:val="0"/>
      <w:marBottom w:val="0"/>
      <w:divBdr>
        <w:top w:val="none" w:sz="0" w:space="0" w:color="auto"/>
        <w:left w:val="none" w:sz="0" w:space="0" w:color="auto"/>
        <w:bottom w:val="none" w:sz="0" w:space="0" w:color="auto"/>
        <w:right w:val="none" w:sz="0" w:space="0" w:color="auto"/>
      </w:divBdr>
    </w:div>
    <w:div w:id="2125035325">
      <w:bodyDiv w:val="1"/>
      <w:marLeft w:val="0"/>
      <w:marRight w:val="0"/>
      <w:marTop w:val="0"/>
      <w:marBottom w:val="0"/>
      <w:divBdr>
        <w:top w:val="none" w:sz="0" w:space="0" w:color="auto"/>
        <w:left w:val="none" w:sz="0" w:space="0" w:color="auto"/>
        <w:bottom w:val="none" w:sz="0" w:space="0" w:color="auto"/>
        <w:right w:val="none" w:sz="0" w:space="0" w:color="auto"/>
      </w:divBdr>
    </w:div>
    <w:div w:id="2125153509">
      <w:bodyDiv w:val="1"/>
      <w:marLeft w:val="0"/>
      <w:marRight w:val="0"/>
      <w:marTop w:val="0"/>
      <w:marBottom w:val="0"/>
      <w:divBdr>
        <w:top w:val="none" w:sz="0" w:space="0" w:color="auto"/>
        <w:left w:val="none" w:sz="0" w:space="0" w:color="auto"/>
        <w:bottom w:val="none" w:sz="0" w:space="0" w:color="auto"/>
        <w:right w:val="none" w:sz="0" w:space="0" w:color="auto"/>
      </w:divBdr>
    </w:div>
    <w:div w:id="2125153983">
      <w:bodyDiv w:val="1"/>
      <w:marLeft w:val="0"/>
      <w:marRight w:val="0"/>
      <w:marTop w:val="0"/>
      <w:marBottom w:val="0"/>
      <w:divBdr>
        <w:top w:val="none" w:sz="0" w:space="0" w:color="auto"/>
        <w:left w:val="none" w:sz="0" w:space="0" w:color="auto"/>
        <w:bottom w:val="none" w:sz="0" w:space="0" w:color="auto"/>
        <w:right w:val="none" w:sz="0" w:space="0" w:color="auto"/>
      </w:divBdr>
    </w:div>
    <w:div w:id="2126341139">
      <w:bodyDiv w:val="1"/>
      <w:marLeft w:val="0"/>
      <w:marRight w:val="0"/>
      <w:marTop w:val="0"/>
      <w:marBottom w:val="0"/>
      <w:divBdr>
        <w:top w:val="none" w:sz="0" w:space="0" w:color="auto"/>
        <w:left w:val="none" w:sz="0" w:space="0" w:color="auto"/>
        <w:bottom w:val="none" w:sz="0" w:space="0" w:color="auto"/>
        <w:right w:val="none" w:sz="0" w:space="0" w:color="auto"/>
      </w:divBdr>
    </w:div>
    <w:div w:id="2128116998">
      <w:bodyDiv w:val="1"/>
      <w:marLeft w:val="0"/>
      <w:marRight w:val="0"/>
      <w:marTop w:val="0"/>
      <w:marBottom w:val="0"/>
      <w:divBdr>
        <w:top w:val="none" w:sz="0" w:space="0" w:color="auto"/>
        <w:left w:val="none" w:sz="0" w:space="0" w:color="auto"/>
        <w:bottom w:val="none" w:sz="0" w:space="0" w:color="auto"/>
        <w:right w:val="none" w:sz="0" w:space="0" w:color="auto"/>
      </w:divBdr>
    </w:div>
    <w:div w:id="2129230472">
      <w:bodyDiv w:val="1"/>
      <w:marLeft w:val="0"/>
      <w:marRight w:val="0"/>
      <w:marTop w:val="0"/>
      <w:marBottom w:val="0"/>
      <w:divBdr>
        <w:top w:val="none" w:sz="0" w:space="0" w:color="auto"/>
        <w:left w:val="none" w:sz="0" w:space="0" w:color="auto"/>
        <w:bottom w:val="none" w:sz="0" w:space="0" w:color="auto"/>
        <w:right w:val="none" w:sz="0" w:space="0" w:color="auto"/>
      </w:divBdr>
    </w:div>
    <w:div w:id="2130661160">
      <w:bodyDiv w:val="1"/>
      <w:marLeft w:val="0"/>
      <w:marRight w:val="0"/>
      <w:marTop w:val="0"/>
      <w:marBottom w:val="0"/>
      <w:divBdr>
        <w:top w:val="none" w:sz="0" w:space="0" w:color="auto"/>
        <w:left w:val="none" w:sz="0" w:space="0" w:color="auto"/>
        <w:bottom w:val="none" w:sz="0" w:space="0" w:color="auto"/>
        <w:right w:val="none" w:sz="0" w:space="0" w:color="auto"/>
      </w:divBdr>
    </w:div>
    <w:div w:id="2130777330">
      <w:bodyDiv w:val="1"/>
      <w:marLeft w:val="0"/>
      <w:marRight w:val="0"/>
      <w:marTop w:val="0"/>
      <w:marBottom w:val="0"/>
      <w:divBdr>
        <w:top w:val="none" w:sz="0" w:space="0" w:color="auto"/>
        <w:left w:val="none" w:sz="0" w:space="0" w:color="auto"/>
        <w:bottom w:val="none" w:sz="0" w:space="0" w:color="auto"/>
        <w:right w:val="none" w:sz="0" w:space="0" w:color="auto"/>
      </w:divBdr>
    </w:div>
    <w:div w:id="2131243614">
      <w:bodyDiv w:val="1"/>
      <w:marLeft w:val="0"/>
      <w:marRight w:val="0"/>
      <w:marTop w:val="0"/>
      <w:marBottom w:val="0"/>
      <w:divBdr>
        <w:top w:val="none" w:sz="0" w:space="0" w:color="auto"/>
        <w:left w:val="none" w:sz="0" w:space="0" w:color="auto"/>
        <w:bottom w:val="none" w:sz="0" w:space="0" w:color="auto"/>
        <w:right w:val="none" w:sz="0" w:space="0" w:color="auto"/>
      </w:divBdr>
    </w:div>
    <w:div w:id="2131317425">
      <w:bodyDiv w:val="1"/>
      <w:marLeft w:val="0"/>
      <w:marRight w:val="0"/>
      <w:marTop w:val="0"/>
      <w:marBottom w:val="0"/>
      <w:divBdr>
        <w:top w:val="none" w:sz="0" w:space="0" w:color="auto"/>
        <w:left w:val="none" w:sz="0" w:space="0" w:color="auto"/>
        <w:bottom w:val="none" w:sz="0" w:space="0" w:color="auto"/>
        <w:right w:val="none" w:sz="0" w:space="0" w:color="auto"/>
      </w:divBdr>
    </w:div>
    <w:div w:id="2131589813">
      <w:bodyDiv w:val="1"/>
      <w:marLeft w:val="0"/>
      <w:marRight w:val="0"/>
      <w:marTop w:val="0"/>
      <w:marBottom w:val="0"/>
      <w:divBdr>
        <w:top w:val="none" w:sz="0" w:space="0" w:color="auto"/>
        <w:left w:val="none" w:sz="0" w:space="0" w:color="auto"/>
        <w:bottom w:val="none" w:sz="0" w:space="0" w:color="auto"/>
        <w:right w:val="none" w:sz="0" w:space="0" w:color="auto"/>
      </w:divBdr>
    </w:div>
    <w:div w:id="2133358547">
      <w:bodyDiv w:val="1"/>
      <w:marLeft w:val="0"/>
      <w:marRight w:val="0"/>
      <w:marTop w:val="0"/>
      <w:marBottom w:val="0"/>
      <w:divBdr>
        <w:top w:val="none" w:sz="0" w:space="0" w:color="auto"/>
        <w:left w:val="none" w:sz="0" w:space="0" w:color="auto"/>
        <w:bottom w:val="none" w:sz="0" w:space="0" w:color="auto"/>
        <w:right w:val="none" w:sz="0" w:space="0" w:color="auto"/>
      </w:divBdr>
    </w:div>
    <w:div w:id="2135059706">
      <w:bodyDiv w:val="1"/>
      <w:marLeft w:val="0"/>
      <w:marRight w:val="0"/>
      <w:marTop w:val="0"/>
      <w:marBottom w:val="0"/>
      <w:divBdr>
        <w:top w:val="none" w:sz="0" w:space="0" w:color="auto"/>
        <w:left w:val="none" w:sz="0" w:space="0" w:color="auto"/>
        <w:bottom w:val="none" w:sz="0" w:space="0" w:color="auto"/>
        <w:right w:val="none" w:sz="0" w:space="0" w:color="auto"/>
      </w:divBdr>
    </w:div>
    <w:div w:id="2135172063">
      <w:bodyDiv w:val="1"/>
      <w:marLeft w:val="0"/>
      <w:marRight w:val="0"/>
      <w:marTop w:val="0"/>
      <w:marBottom w:val="0"/>
      <w:divBdr>
        <w:top w:val="none" w:sz="0" w:space="0" w:color="auto"/>
        <w:left w:val="none" w:sz="0" w:space="0" w:color="auto"/>
        <w:bottom w:val="none" w:sz="0" w:space="0" w:color="auto"/>
        <w:right w:val="none" w:sz="0" w:space="0" w:color="auto"/>
      </w:divBdr>
    </w:div>
    <w:div w:id="2135369749">
      <w:bodyDiv w:val="1"/>
      <w:marLeft w:val="0"/>
      <w:marRight w:val="0"/>
      <w:marTop w:val="0"/>
      <w:marBottom w:val="0"/>
      <w:divBdr>
        <w:top w:val="none" w:sz="0" w:space="0" w:color="auto"/>
        <w:left w:val="none" w:sz="0" w:space="0" w:color="auto"/>
        <w:bottom w:val="none" w:sz="0" w:space="0" w:color="auto"/>
        <w:right w:val="none" w:sz="0" w:space="0" w:color="auto"/>
      </w:divBdr>
    </w:div>
    <w:div w:id="2136169986">
      <w:bodyDiv w:val="1"/>
      <w:marLeft w:val="0"/>
      <w:marRight w:val="0"/>
      <w:marTop w:val="0"/>
      <w:marBottom w:val="0"/>
      <w:divBdr>
        <w:top w:val="none" w:sz="0" w:space="0" w:color="auto"/>
        <w:left w:val="none" w:sz="0" w:space="0" w:color="auto"/>
        <w:bottom w:val="none" w:sz="0" w:space="0" w:color="auto"/>
        <w:right w:val="none" w:sz="0" w:space="0" w:color="auto"/>
      </w:divBdr>
    </w:div>
    <w:div w:id="2136872669">
      <w:bodyDiv w:val="1"/>
      <w:marLeft w:val="0"/>
      <w:marRight w:val="0"/>
      <w:marTop w:val="0"/>
      <w:marBottom w:val="0"/>
      <w:divBdr>
        <w:top w:val="none" w:sz="0" w:space="0" w:color="auto"/>
        <w:left w:val="none" w:sz="0" w:space="0" w:color="auto"/>
        <w:bottom w:val="none" w:sz="0" w:space="0" w:color="auto"/>
        <w:right w:val="none" w:sz="0" w:space="0" w:color="auto"/>
      </w:divBdr>
    </w:div>
    <w:div w:id="2136946965">
      <w:bodyDiv w:val="1"/>
      <w:marLeft w:val="0"/>
      <w:marRight w:val="0"/>
      <w:marTop w:val="0"/>
      <w:marBottom w:val="0"/>
      <w:divBdr>
        <w:top w:val="none" w:sz="0" w:space="0" w:color="auto"/>
        <w:left w:val="none" w:sz="0" w:space="0" w:color="auto"/>
        <w:bottom w:val="none" w:sz="0" w:space="0" w:color="auto"/>
        <w:right w:val="none" w:sz="0" w:space="0" w:color="auto"/>
      </w:divBdr>
    </w:div>
    <w:div w:id="2137095445">
      <w:bodyDiv w:val="1"/>
      <w:marLeft w:val="0"/>
      <w:marRight w:val="0"/>
      <w:marTop w:val="0"/>
      <w:marBottom w:val="0"/>
      <w:divBdr>
        <w:top w:val="none" w:sz="0" w:space="0" w:color="auto"/>
        <w:left w:val="none" w:sz="0" w:space="0" w:color="auto"/>
        <w:bottom w:val="none" w:sz="0" w:space="0" w:color="auto"/>
        <w:right w:val="none" w:sz="0" w:space="0" w:color="auto"/>
      </w:divBdr>
    </w:div>
    <w:div w:id="2137523450">
      <w:bodyDiv w:val="1"/>
      <w:marLeft w:val="0"/>
      <w:marRight w:val="0"/>
      <w:marTop w:val="0"/>
      <w:marBottom w:val="0"/>
      <w:divBdr>
        <w:top w:val="none" w:sz="0" w:space="0" w:color="auto"/>
        <w:left w:val="none" w:sz="0" w:space="0" w:color="auto"/>
        <w:bottom w:val="none" w:sz="0" w:space="0" w:color="auto"/>
        <w:right w:val="none" w:sz="0" w:space="0" w:color="auto"/>
      </w:divBdr>
    </w:div>
    <w:div w:id="2138836195">
      <w:bodyDiv w:val="1"/>
      <w:marLeft w:val="0"/>
      <w:marRight w:val="0"/>
      <w:marTop w:val="0"/>
      <w:marBottom w:val="0"/>
      <w:divBdr>
        <w:top w:val="none" w:sz="0" w:space="0" w:color="auto"/>
        <w:left w:val="none" w:sz="0" w:space="0" w:color="auto"/>
        <w:bottom w:val="none" w:sz="0" w:space="0" w:color="auto"/>
        <w:right w:val="none" w:sz="0" w:space="0" w:color="auto"/>
      </w:divBdr>
    </w:div>
    <w:div w:id="2140226089">
      <w:bodyDiv w:val="1"/>
      <w:marLeft w:val="0"/>
      <w:marRight w:val="0"/>
      <w:marTop w:val="0"/>
      <w:marBottom w:val="0"/>
      <w:divBdr>
        <w:top w:val="none" w:sz="0" w:space="0" w:color="auto"/>
        <w:left w:val="none" w:sz="0" w:space="0" w:color="auto"/>
        <w:bottom w:val="none" w:sz="0" w:space="0" w:color="auto"/>
        <w:right w:val="none" w:sz="0" w:space="0" w:color="auto"/>
      </w:divBdr>
    </w:div>
    <w:div w:id="2140414208">
      <w:bodyDiv w:val="1"/>
      <w:marLeft w:val="0"/>
      <w:marRight w:val="0"/>
      <w:marTop w:val="0"/>
      <w:marBottom w:val="0"/>
      <w:divBdr>
        <w:top w:val="none" w:sz="0" w:space="0" w:color="auto"/>
        <w:left w:val="none" w:sz="0" w:space="0" w:color="auto"/>
        <w:bottom w:val="none" w:sz="0" w:space="0" w:color="auto"/>
        <w:right w:val="none" w:sz="0" w:space="0" w:color="auto"/>
      </w:divBdr>
    </w:div>
    <w:div w:id="2140606738">
      <w:bodyDiv w:val="1"/>
      <w:marLeft w:val="0"/>
      <w:marRight w:val="0"/>
      <w:marTop w:val="0"/>
      <w:marBottom w:val="0"/>
      <w:divBdr>
        <w:top w:val="none" w:sz="0" w:space="0" w:color="auto"/>
        <w:left w:val="none" w:sz="0" w:space="0" w:color="auto"/>
        <w:bottom w:val="none" w:sz="0" w:space="0" w:color="auto"/>
        <w:right w:val="none" w:sz="0" w:space="0" w:color="auto"/>
      </w:divBdr>
    </w:div>
    <w:div w:id="2140803845">
      <w:bodyDiv w:val="1"/>
      <w:marLeft w:val="0"/>
      <w:marRight w:val="0"/>
      <w:marTop w:val="0"/>
      <w:marBottom w:val="0"/>
      <w:divBdr>
        <w:top w:val="none" w:sz="0" w:space="0" w:color="auto"/>
        <w:left w:val="none" w:sz="0" w:space="0" w:color="auto"/>
        <w:bottom w:val="none" w:sz="0" w:space="0" w:color="auto"/>
        <w:right w:val="none" w:sz="0" w:space="0" w:color="auto"/>
      </w:divBdr>
    </w:div>
    <w:div w:id="2143301434">
      <w:bodyDiv w:val="1"/>
      <w:marLeft w:val="0"/>
      <w:marRight w:val="0"/>
      <w:marTop w:val="0"/>
      <w:marBottom w:val="0"/>
      <w:divBdr>
        <w:top w:val="none" w:sz="0" w:space="0" w:color="auto"/>
        <w:left w:val="none" w:sz="0" w:space="0" w:color="auto"/>
        <w:bottom w:val="none" w:sz="0" w:space="0" w:color="auto"/>
        <w:right w:val="none" w:sz="0" w:space="0" w:color="auto"/>
      </w:divBdr>
    </w:div>
    <w:div w:id="2144691090">
      <w:bodyDiv w:val="1"/>
      <w:marLeft w:val="0"/>
      <w:marRight w:val="0"/>
      <w:marTop w:val="0"/>
      <w:marBottom w:val="0"/>
      <w:divBdr>
        <w:top w:val="none" w:sz="0" w:space="0" w:color="auto"/>
        <w:left w:val="none" w:sz="0" w:space="0" w:color="auto"/>
        <w:bottom w:val="none" w:sz="0" w:space="0" w:color="auto"/>
        <w:right w:val="none" w:sz="0" w:space="0" w:color="auto"/>
      </w:divBdr>
    </w:div>
    <w:div w:id="2145344325">
      <w:bodyDiv w:val="1"/>
      <w:marLeft w:val="0"/>
      <w:marRight w:val="0"/>
      <w:marTop w:val="0"/>
      <w:marBottom w:val="0"/>
      <w:divBdr>
        <w:top w:val="none" w:sz="0" w:space="0" w:color="auto"/>
        <w:left w:val="none" w:sz="0" w:space="0" w:color="auto"/>
        <w:bottom w:val="none" w:sz="0" w:space="0" w:color="auto"/>
        <w:right w:val="none" w:sz="0" w:space="0" w:color="auto"/>
      </w:divBdr>
    </w:div>
    <w:div w:id="214599955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3" Type="http://schemas.openxmlformats.org/officeDocument/2006/relationships/hyperlink" Target="https://www.doc.govt.nz/globalassets/documents/conservation/marine-and-coastal/coastal-management/guidance/policy-15.pdf" TargetMode="External"/><Relationship Id="rId2" Type="http://schemas.openxmlformats.org/officeDocument/2006/relationships/hyperlink" Target="https://www.orc.govt.nz/media/8479/rps-reference-groups-tor.pdf" TargetMode="External"/><Relationship Id="rId1" Type="http://schemas.openxmlformats.org/officeDocument/2006/relationships/hyperlink" Target="https://www.orc.govt.nz/plans-policies-reports/regional-plans-and-policies/regional-policy-statement/regional-policy-statement-review" TargetMode="External"/><Relationship Id="rId6" Type="http://schemas.openxmlformats.org/officeDocument/2006/relationships/hyperlink" Target="https://www.mfe.govt.nz/sites/default/files/nps-electricity-transmission-mar08.pdf" TargetMode="External"/><Relationship Id="rId5" Type="http://schemas.openxmlformats.org/officeDocument/2006/relationships/hyperlink" Target="https://www.mfe.govt.nz/sites/default/files/nps-reg-2011.pdf" TargetMode="External"/><Relationship Id="rId4" Type="http://schemas.openxmlformats.org/officeDocument/2006/relationships/hyperlink" Target="https://www.mfe.govt.nz/sites/default/files/media/Towns%20and%20cities/AA%20Gazetted%20-%20NPSUD%2017.07.2020%20pdf.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9DD6E293-61EC-4B95-A203-68979D6BF702}"/>
      </w:docPartPr>
      <w:docPartBody>
        <w:p w:rsidR="007A7257" w:rsidRDefault="007A7257"/>
      </w:docPartBody>
    </w:docPart>
    <w:docPart>
      <w:docPartPr>
        <w:name w:val="88D265A415914D6082B57FA7F5DBD1D2"/>
        <w:category>
          <w:name w:val="General"/>
          <w:gallery w:val="placeholder"/>
        </w:category>
        <w:types>
          <w:type w:val="bbPlcHdr"/>
        </w:types>
        <w:behaviors>
          <w:behavior w:val="content"/>
        </w:behaviors>
        <w:guid w:val="{986AA0F8-7E04-4C14-8180-7FB8DCE153BF}"/>
      </w:docPartPr>
      <w:docPartBody>
        <w:p w:rsidR="00186942" w:rsidRDefault="00186942"/>
      </w:docPartBody>
    </w:docPart>
    <w:docPart>
      <w:docPartPr>
        <w:name w:val="5877CDC9C3BB49B48C309E4D6E9906C3"/>
        <w:category>
          <w:name w:val="General"/>
          <w:gallery w:val="placeholder"/>
        </w:category>
        <w:types>
          <w:type w:val="bbPlcHdr"/>
        </w:types>
        <w:behaviors>
          <w:behavior w:val="content"/>
        </w:behaviors>
        <w:guid w:val="{A1E18AB0-527C-4962-8BA5-F442538CE5A9}"/>
      </w:docPartPr>
      <w:docPartBody>
        <w:p w:rsidR="008D6F11" w:rsidRDefault="008D6F11"/>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T1B0t00">
    <w:altName w:val="Calibri"/>
    <w:panose1 w:val="00000000000000000000"/>
    <w:charset w:val="00"/>
    <w:family w:val="auto"/>
    <w:notTrueType/>
    <w:pitch w:val="default"/>
    <w:sig w:usb0="00000003" w:usb1="00000000" w:usb2="00000000" w:usb3="00000000" w:csb0="00000001" w:csb1="00000000"/>
  </w:font>
  <w:font w:name="MBerkBoo">
    <w:altName w:val="Calibri"/>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A7257"/>
    <w:rsid w:val="00170D42"/>
    <w:rsid w:val="00186942"/>
    <w:rsid w:val="001E525E"/>
    <w:rsid w:val="003332FB"/>
    <w:rsid w:val="0035586A"/>
    <w:rsid w:val="00391DFD"/>
    <w:rsid w:val="003B0AEB"/>
    <w:rsid w:val="0045418B"/>
    <w:rsid w:val="004A6736"/>
    <w:rsid w:val="00512640"/>
    <w:rsid w:val="00554D78"/>
    <w:rsid w:val="00557659"/>
    <w:rsid w:val="00584F6B"/>
    <w:rsid w:val="007A7257"/>
    <w:rsid w:val="007C2B02"/>
    <w:rsid w:val="008A054F"/>
    <w:rsid w:val="008D6F11"/>
    <w:rsid w:val="00915374"/>
    <w:rsid w:val="0092781F"/>
    <w:rsid w:val="00995792"/>
    <w:rsid w:val="009E2B50"/>
    <w:rsid w:val="009F5D7A"/>
    <w:rsid w:val="00A93AAA"/>
    <w:rsid w:val="00AC5ED3"/>
    <w:rsid w:val="00B30680"/>
    <w:rsid w:val="00B40EB5"/>
    <w:rsid w:val="00B85E3E"/>
    <w:rsid w:val="00BD73AD"/>
    <w:rsid w:val="00C10F2C"/>
    <w:rsid w:val="00D81C2C"/>
    <w:rsid w:val="00DD6E32"/>
    <w:rsid w:val="00DE26F4"/>
    <w:rsid w:val="00DF5E54"/>
    <w:rsid w:val="00E64318"/>
    <w:rsid w:val="00EE45EE"/>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B48EA0D5DE5D47B0645DA09193BCEC" ma:contentTypeVersion="4" ma:contentTypeDescription="Create a new document." ma:contentTypeScope="" ma:versionID="aa4232348ac512ae481f15cd60a3d2ed">
  <xsd:schema xmlns:xsd="http://www.w3.org/2001/XMLSchema" xmlns:xs="http://www.w3.org/2001/XMLSchema" xmlns:p="http://schemas.microsoft.com/office/2006/metadata/properties" xmlns:ns2="cb433d5c-c910-4180-9543-d98f4375e38c" targetNamespace="http://schemas.microsoft.com/office/2006/metadata/properties" ma:root="true" ma:fieldsID="3fdc12089fd399ac996fd2e3408fb311" ns2:_="">
    <xsd:import namespace="cb433d5c-c910-4180-9543-d98f4375e3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33d5c-c910-4180-9543-d98f4375e3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Ota05</b:Tag>
    <b:SourceType>Misc</b:SourceType>
    <b:Guid>{CB74F5AA-4B3F-484C-B803-26FBB0E19146}</b:Guid>
    <b:Title>Otago Regional Airshed Notice</b:Title>
    <b:Year>2005</b:Year>
    <b:Publisher>New Zealand Gazette, No 2005-go8236</b:Publisher>
    <b:Month>December</b:Month>
    <b:Day>8</b:Day>
    <b:RefOrder>11</b:RefOrder>
  </b:Source>
  <b:Source>
    <b:Tag>ORC18</b:Tag>
    <b:SourceType>Misc</b:SourceType>
    <b:Guid>{E1E47CF0-E434-4683-83D1-81131C051EDA}</b:Guid>
    <b:Title>An assessment of the Clean Heat Clean Air program's effectiveness</b:Title>
    <b:Year>2018</b:Year>
    <b:Month>June</b:Month>
    <b:Day>13</b:Day>
    <b:Publisher>Tehcnical Committee Report</b:Publisher>
    <b:Author>
      <b:Author>
        <b:Corporate>ORC</b:Corporate>
      </b:Author>
    </b:Author>
    <b:RefOrder>12</b:RefOrder>
  </b:Source>
  <b:Source>
    <b:Tag>Har20</b:Tag>
    <b:SourceType>Misc</b:SourceType>
    <b:Guid>{EAB85F1D-A031-4EF9-B0CF-4EA2BB69216D}</b:Guid>
    <b:Author>
      <b:Author>
        <b:NameList>
          <b:Person>
            <b:Last>Harrison</b:Last>
            <b:First>S</b:First>
          </b:Person>
        </b:NameList>
      </b:Author>
    </b:Author>
    <b:Title>Technical implications of the 2020 NESAQ proposal</b:Title>
    <b:Year>2020</b:Year>
    <b:Month>May</b:Month>
    <b:Day>4</b:Day>
    <b:Publisher>Technical report ID A1334295</b:Publisher>
    <b:RefOrder>13</b:RefOrder>
  </b:Source>
  <b:Source>
    <b:Tag>Dep16</b:Tag>
    <b:SourceType>Report</b:SourceType>
    <b:Guid>{E17E6FB8-619A-4E94-96AA-585544477006}</b:Guid>
    <b:Author>
      <b:Author>
        <b:Corporate>Department of Conservation</b:Corporate>
      </b:Author>
    </b:Author>
    <b:Title>Otago Conservation Management Strategy</b:Title>
    <b:Year>2016</b:Year>
    <b:Pages>22</b:Pages>
    <b:RefOrder>26</b:RefOrder>
  </b:Source>
  <b:Source>
    <b:Tag>Min19</b:Tag>
    <b:SourceType>Report</b:SourceType>
    <b:Guid>{C1332752-659E-4AF2-9BD1-D9B6FE5A086D}</b:Guid>
    <b:Title>Environment Aotearoa 2019</b:Title>
    <b:Year>2019</b:Year>
    <b:City>Wellington</b:City>
    <b:Publisher>Ministry for the Environment &amp; Stats NZ</b:Publisher>
    <b:Author>
      <b:Author>
        <b:Corporate>Ministry for the Environment &amp; Stats NZ</b:Corporate>
      </b:Author>
    </b:Author>
    <b:URL>http://www.mfe.govt.nz/sites/default/media/Environmental%reporting/environment-aotearoa-2019.pdf</b:URL>
    <b:Pages>17</b:Pages>
    <b:RefOrder>25</b:RefOrder>
  </b:Source>
  <b:Source>
    <b:Tag>JMo20</b:Tag>
    <b:SourceType>Report</b:SourceType>
    <b:Guid>{9CBC36F2-712A-4859-AB6C-3E72D711E97F}</b:Guid>
    <b:Title>Regional policy statement heritage advice - Otago Regional Council</b:Title>
    <b:Year>2020</b:Year>
    <b:Publisher>Origin Consultants</b:Publisher>
    <b:City>Dunedin</b:City>
    <b:Author>
      <b:Author>
        <b:NameList>
          <b:Person>
            <b:Last>Moyle</b:Last>
            <b:First>J</b:First>
          </b:Person>
        </b:NameList>
      </b:Author>
    </b:Author>
    <b:RefOrder>32</b:RefOrder>
  </b:Source>
  <b:Source>
    <b:Tag>New10</b:Tag>
    <b:SourceType>Report</b:SourceType>
    <b:Guid>{649BD195-C9AE-419E-93E2-7341529888F1}</b:Guid>
    <b:Author>
      <b:Author>
        <b:Corporate>New Zealand Institute of Landscape Architects</b:Corporate>
      </b:Author>
    </b:Author>
    <b:Title>Best practice note: Landscape assessment and sustainable management 10.1</b:Title>
    <b:Year>2010</b:Year>
    <b:Publisher>New Zealand Institute of Landscape Architects</b:Publisher>
    <b:City>Wellington</b:City>
    <b:URL>https://nzila.co.nz/media/uploads/2017_01/nzila_ldas_v3.pdf</b:URL>
    <b:RefOrder>33</b:RefOrder>
  </b:Source>
  <b:Source>
    <b:Tag>Lee20</b:Tag>
    <b:SourceType>Report</b:SourceType>
    <b:Guid>{3CEE2F4B-757C-4818-8D0E-F8628CD3ED12}</b:Guid>
    <b:Author>
      <b:Author>
        <b:NameList>
          <b:Person>
            <b:Last>Lee</b:Last>
            <b:First>Dolina</b:First>
          </b:Person>
        </b:NameList>
      </b:Author>
    </b:Author>
    <b:Title>Key issues report - Plan Change 8 to the Regional Plan: Water for Otago</b:Title>
    <b:Year>2020</b:Year>
    <b:Publisher>Otago Regional Council</b:Publisher>
    <b:City>Dunedin</b:City>
    <b:URL>https://www.epa.govt.nz/assets/FileAPI/proposal/NSP000045/External-advice-and-reports-External-reports/Key_Issues_Report_Plan_Change-8_Plan_Change_1_9_Oct_2020.pdf</b:URL>
    <b:RefOrder>35</b:RefOrder>
  </b:Source>
  <b:Source>
    <b:Tag>Pet19</b:Tag>
    <b:SourceType>Report</b:SourceType>
    <b:Guid>{F8D36FE5-7A55-4E66-AF0D-DE6912BCD51B}</b:Guid>
    <b:Author>
      <b:Author>
        <b:NameList>
          <b:Person>
            <b:Last>Skelton</b:Last>
            <b:First>Peter</b:First>
          </b:Person>
        </b:NameList>
      </b:Author>
    </b:Author>
    <b:Title>Investigation of freshwater management and allocation functions at Otago Regional Council - report to the Minister for the Environment</b:Title>
    <b:Year>2019</b:Year>
    <b:Publisher>Ministry for the Environment</b:Publisher>
    <b:City>Wellington</b:City>
    <b:RefOrder>36</b:RefOrder>
  </b:Source>
  <b:Source>
    <b:Tag>Pel20</b:Tag>
    <b:SourceType>Case</b:SourceType>
    <b:Guid>{5F59C558-8C38-473B-A66A-308E1D86C392}</b:Guid>
    <b:Author>
      <b:Author>
        <b:NameList>
          <b:Person>
            <b:Last>Pelsemaeker</b:Last>
            <b:First>Tom</b:First>
            <b:Middle>De</b:Middle>
          </b:Person>
        </b:NameList>
      </b:Author>
    </b:Author>
    <b:Title>Statement of evidence of Tom de Pelsemaeker on behalf of Otago Regional Council</b:Title>
    <b:Year>2020</b:Year>
    <b:Publisher>Otago Regional Council</b:Publisher>
    <b:City>Dunedin</b:City>
    <b:URL>https://environmentcourt.govt.nz/assets/Documents/Publications/2020-12-07-Statement-of-Evidence-of-Tom-de-Pelsemaeker-on-behalf-of-the-ORC.pdf</b:URL>
    <b:Month>December</b:Month>
    <b:Day>7</b:Day>
    <b:CaseNumber>ENV-2020-CHC-127</b:CaseNumber>
    <b:Court>Environment Court</b:Court>
    <b:RefOrder>19</b:RefOrder>
  </b:Source>
  <b:Source>
    <b:Tag>Ota20</b:Tag>
    <b:SourceType>Report</b:SourceType>
    <b:Guid>{6BA6D181-832B-4493-B62E-7C5111CF0859}</b:Guid>
    <b:Title>Water quality in Otago</b:Title>
    <b:Year>2020</b:Year>
    <b:Author>
      <b:Author>
        <b:Corporate>Otago Regional Council</b:Corporate>
      </b:Author>
    </b:Author>
    <b:InternetSiteTitle>https://environmentcourt.govt.nz/assets/Documents/Publications/Water-quality-in-Otago-July-2015-to-June-2020.pdf</b:InternetSiteTitle>
    <b:URL>https://environmentcourt.govt.nz/assets/Documents/Publications/Water-quality-in-Otago-July-2015-to-June-2020.pdf</b:URL>
    <b:City>Dunedin</b:City>
    <b:Publisher>Otago Regional Council</b:Publisher>
    <b:RefOrder>20</b:RefOrder>
  </b:Source>
  <b:Source>
    <b:Tag>Min18</b:Tag>
    <b:SourceType>Report</b:SourceType>
    <b:Guid>{D0F7F9D7-8AEA-406D-831D-B2651CEB032D}</b:Guid>
    <b:Author>
      <b:Author>
        <b:Corporate>Ministry for the Environment &amp; Stats NZ</b:Corporate>
      </b:Author>
    </b:Author>
    <b:Title>New Zealand's environmentla reporting series: Our air 2018</b:Title>
    <b:Year>2018</b:Year>
    <b:Publisher>Ministry for the Environment &amp; Stats NZ</b:Publisher>
    <b:City>Wellington</b:City>
    <b:URL>https://www.mfe.govt.nz/sites/default/files/media/Environmental%20reporting/our-air-2018.pdf</b:URL>
    <b:RefOrder>9</b:RefOrder>
  </b:Source>
  <b:Source>
    <b:Tag>Min20</b:Tag>
    <b:SourceType>Report</b:SourceType>
    <b:Guid>{37870B2A-EEEB-4384-8EF5-A14B13F5C8DC}</b:Guid>
    <b:Author>
      <b:Author>
        <b:Corporate>Ministry for the Environment</b:Corporate>
      </b:Author>
    </b:Author>
    <b:Title>Regulatory impact analysis: Action for healthy waterways - Part II: Detailed analysis</b:Title>
    <b:Year>2020</b:Year>
    <b:Publisher>Ministry for the Environment</b:Publisher>
    <b:City>Wellington</b:City>
    <b:URL>https://www.mfe.govt.nz/sites/default/files/media/Legislation/RIS/essential-freshwater-ria-part-II-detailed-analysis.docx</b:URL>
    <b:RefOrder>23</b:RefOrder>
  </b:Source>
  <b:Source>
    <b:Tag>Min191</b:Tag>
    <b:SourceType>Misc</b:SourceType>
    <b:Guid>{66B8A058-904E-449C-A43F-31734875C6A5}</b:Guid>
    <b:Title>Letter to ORC regarding investigation of freshwater management and allocation functions </b:Title>
    <b:Year>2019</b:Year>
    <b:Author>
      <b:Author>
        <b:Corporate>Minister for the Environment</b:Corporate>
      </b:Author>
    </b:Author>
    <b:RefOrder>1</b:RefOrder>
  </b:Source>
  <b:Source>
    <b:Tag>Ota201</b:Tag>
    <b:SourceType>Report</b:SourceType>
    <b:Guid>{90B21D62-99FD-4837-8974-AFC764EB9F15}</b:Guid>
    <b:Author>
      <b:Author>
        <b:Corporate>Otago Regional Council</b:Corporate>
      </b:Author>
    </b:Author>
    <b:Title>Section 32 evaluation report for Plan Changes 8 and 1</b:Title>
    <b:Year>2020</b:Year>
    <b:City>Dunedin</b:City>
    <b:StateProvince>Otago</b:StateProvince>
    <b:CountryRegion>New Zealand</b:CountryRegion>
    <b:Publisher>Otago Regional Council</b:Publisher>
    <b:URL>https://environmentcourt.govt.nz/assets/Documents/Publications/2020-04-09-Plan-Changes-1-8-s-32-Evaluation-Report.pdf</b:URL>
    <b:RefOrder>24</b:RefOrder>
  </b:Source>
  <b:Source>
    <b:Tag>Wil201</b:Tag>
    <b:SourceType>Report</b:SourceType>
    <b:Guid>{63F42BD1-F190-47B8-A9A7-9D7196BE865A}</b:Guid>
    <b:Author>
      <b:Author>
        <b:Corporate>Wildlands</b:Corporate>
      </b:Author>
    </b:Author>
    <b:Title>Mapping of potential natural ecosystems and current ecosystems in Otago Region</b:Title>
    <b:Year>2020b</b:Year>
    <b:Publisher>Wildlands</b:Publisher>
    <b:City>Dunedin</b:City>
    <b:StandardNumber>Contract Report No. 5015a</b:StandardNumber>
    <b:RefOrder>17</b:RefOrder>
  </b:Source>
  <b:Source>
    <b:Tag>Wil20</b:Tag>
    <b:SourceType>Report</b:SourceType>
    <b:Guid>{B85CA264-E94E-4C19-B8E4-9AC3110F8DE9}</b:Guid>
    <b:Author>
      <b:Author>
        <b:Corporate>Wildlands</b:Corporate>
      </b:Author>
    </b:Author>
    <b:Title>Mapping of significant habitats for indigneous fauna in terrestrial, freshwater and marine ecosystems in Otago Region</b:Title>
    <b:Year>2020a</b:Year>
    <b:Publisher>Wildlands</b:Publisher>
    <b:City>Dunedin</b:City>
    <b:StandardNumber>Contract Report No. 5015b</b:StandardNumber>
    <b:RefOrder>16</b:RefOrder>
  </b:Source>
  <b:Source>
    <b:Tag>4si19</b:Tag>
    <b:SourceType>Report</b:SourceType>
    <b:Guid>{2E9BF7D3-CE70-4F02-A45B-95C79A9CB93A}</b:Guid>
    <b:Author>
      <b:Author>
        <b:Corporate>4sight &amp; ME</b:Corporate>
      </b:Author>
    </b:Author>
    <b:Title>National policy statement for indigenous biodiversity - section 32 evaluation and cost benefit analysis</b:Title>
    <b:Year>2019</b:Year>
    <b:Publisher>Department of Conservation &amp; Ministry for the Environment</b:Publisher>
    <b:City>Wellington</b:City>
    <b:RefOrder>28</b:RefOrder>
  </b:Source>
  <b:Source>
    <b:Tag>New19</b:Tag>
    <b:SourceType>InternetSite</b:SourceType>
    <b:Guid>{23D1291E-78F5-442D-9A80-71E6EA678BEC}</b:Guid>
    <b:Title>NZ embracing renewable electricity future</b:Title>
    <b:Year>2019</b:Year>
    <b:Author>
      <b:Author>
        <b:Corporate>New Zealand Government</b:Corporate>
      </b:Author>
    </b:Author>
    <b:InternetSiteTitle>Beehive.govt.nz</b:InternetSiteTitle>
    <b:Month>July</b:Month>
    <b:Day>19</b:Day>
    <b:URL>https://www.beehive.govt.nz/release/nz-embracing-renewable-electricity-future</b:URL>
    <b:RefOrder>29</b:RefOrder>
  </b:Source>
  <b:Source>
    <b:Tag>Min201</b:Tag>
    <b:SourceType>Report</b:SourceType>
    <b:Guid>{521770D1-2A36-4795-87E9-8C10057490AF}</b:Guid>
    <b:Author>
      <b:Author>
        <b:Corporate>Ministry of Business, Innovation &amp; Employment</b:Corporate>
      </b:Author>
    </b:Author>
    <b:Title>Energy in New Zealand 2020</b:Title>
    <b:Year>2020</b:Year>
    <b:URL>https://www.mbie.govt.nz/dmsdocument/11679-energy-in-new-zealand-2020</b:URL>
    <b:Publisher>Ministry of Business, Innovation &amp; Employment</b:Publisher>
    <b:City>Wellington</b:City>
    <b:RefOrder>30</b:RefOrder>
  </b:Source>
  <b:Source>
    <b:Tag>Qua13</b:Tag>
    <b:SourceType>Report</b:SourceType>
    <b:Guid>{F101A1A2-5980-4C72-9265-6C3BDF7FAD2B}</b:Guid>
    <b:Author>
      <b:Author>
        <b:Corporate>Quality Planning</b:Corporate>
      </b:Author>
    </b:Author>
    <b:Title>Plan steps: writing provisions for regional and district plans</b:Title>
    <b:Year>2013</b:Year>
    <b:Publisher>Quality Planning</b:Publisher>
    <b:City>Wellington</b:City>
    <b:URL>https://qualityplanning.org.nz/sites/default/files/2018-11/Writing%20Provisions%20for%20Plans.pdf</b:URL>
    <b:RefOrder>3</b:RefOrder>
  </b:Source>
  <b:Source>
    <b:Tag>Inf19</b:Tag>
    <b:SourceType>InternetSite</b:SourceType>
    <b:Guid>{C45359CC-2581-4848-9341-4FDE763BFFB8}</b:Guid>
    <b:Title>Structure of tourism spending</b:Title>
    <b:Year>2019</b:Year>
    <b:Author>
      <b:Author>
        <b:Corporate>Infometrics</b:Corporate>
      </b:Author>
    </b:Author>
    <b:InternetSiteTitle>Infometrics</b:InternetSiteTitle>
    <b:URL>https://ecoprofile.infometrics.co.nz/Dunedin%20City/Tourism/TourismSpendStructure</b:URL>
    <b:RefOrder>37</b:RefOrder>
  </b:Source>
  <b:Source>
    <b:Tag>JMo201</b:Tag>
    <b:SourceType>Report</b:SourceType>
    <b:Guid>{C5CE6558-E2CA-4F7A-9DD4-DADD66103093}</b:Guid>
    <b:Title>Regional policy statement heritage advice - Otago Regional Council.</b:Title>
    <b:Year>2020</b:Year>
    <b:Author>
      <b:Author>
        <b:NameList>
          <b:Person>
            <b:Last>Moyle</b:Last>
            <b:First>J</b:First>
          </b:Person>
        </b:NameList>
      </b:Author>
    </b:Author>
    <b:Publisher>Origin Consultants</b:Publisher>
    <b:City>Dunedin</b:City>
    <b:RefOrder>38</b:RefOrder>
  </b:Source>
  <b:Source>
    <b:Tag>Sha19</b:Tag>
    <b:SourceType>Report</b:SourceType>
    <b:Guid>{EDFCA735-218D-49F5-BD0D-EA8B01A096C7}</b:Guid>
    <b:Author>
      <b:Author>
        <b:Corporate>Shaping Our Future</b:Corporate>
      </b:Author>
    </b:Author>
    <b:Title>Upper Clutha Freshwater Taskforce Report</b:Title>
    <b:Year>2019</b:Year>
    <b:Publisher>Shaping Our Future</b:Publisher>
    <b:City>Queenstown</b:City>
    <b:URL>https://www.shapingourfuture.org.nz/assets/Water-Forum/SoF-Final-Upper-Clutha-Freshwater-Report-2019.pdf</b:URL>
    <b:RefOrder>2</b:RefOrder>
  </b:Source>
  <b:Source>
    <b:Tag>Min17</b:Tag>
    <b:SourceType>Report</b:SourceType>
    <b:Guid>{15E03641-3236-4784-B65F-DF07D4272FF4}</b:Guid>
    <b:Author>
      <b:Author>
        <b:Corporate>Ministry for the Environment</b:Corporate>
      </b:Author>
    </b:Author>
    <b:Title>A guide to section 32 of the Resource Management Act: incorporating changes as a result of the Resource Legislation Amendments Act 2017</b:Title>
    <b:Year>2017</b:Year>
    <b:Publisher>Ministry for the Environment</b:Publisher>
    <b:City>Wellington</b:City>
    <b:URL>https://www.mfe.govt.nz/sites/default/files/media/RMA/guide-to-section-32-of-resource-manangemnt-amendment-act-1991.pdf</b:URL>
    <b:RefOrder>4</b:RefOrder>
  </b:Source>
  <b:Source>
    <b:Tag>Rat11</b:Tag>
    <b:SourceType>Case</b:SourceType>
    <b:Guid>{7A109FF8-0A70-4524-9CC2-936E29FC18E1}</b:Guid>
    <b:Title>Rational Transport Soc Inc v New Zealand Transport Agency</b:Title>
    <b:Year>2011</b:Year>
    <b:CaseNumber>CIV-2011-485-2259</b:CaseNumber>
    <b:Court>High Court</b:Court>
    <b:Month>December</b:Month>
    <b:Day>15</b:Day>
    <b:RefOrder>39</b:RefOrder>
  </b:Source>
  <b:Source>
    <b:Tag>Eve20</b:Tag>
    <b:SourceType>Report</b:SourceType>
    <b:Guid>{59B7266B-6B96-4E2E-B46E-D8D7604F61F5}</b:Guid>
    <b:Title>Plan Change 7 - Statement of evidence of Dr Julie Marie Everett-Hincks on behalf of the Otago Regional Council</b:Title>
    <b:Year>2020</b:Year>
    <b:Author>
      <b:Author>
        <b:NameList>
          <b:Person>
            <b:Last>Everett-Hincks</b:Last>
            <b:First>Julie</b:First>
          </b:Person>
        </b:NameList>
      </b:Author>
    </b:Author>
    <b:Publisher>Otago Regional Council</b:Publisher>
    <b:City>Dunedin</b:City>
    <b:URL>https://environmentcourt.govt.nz/assets/Documents/Publications/2020-12-07-Statement-of-Evidence-of-Julie-Everett-Hincks-on-behalf-of-the-ORC.pdf</b:URL>
    <b:RefOrder>5</b:RefOrder>
  </b:Source>
  <b:Source>
    <b:Tag>Wil21</b:Tag>
    <b:SourceType>Report</b:SourceType>
    <b:Guid>{EB5A2399-AC29-4213-96C4-494214062B96}</b:Guid>
    <b:Author>
      <b:Author>
        <b:Corporate>Wildlands</b:Corporate>
      </b:Author>
    </b:Author>
    <b:Title>Ecological advice on indigenous biodiversity provisions in the proposed Otago Regional Policy Statement</b:Title>
    <b:Year>2021a</b:Year>
    <b:Publisher>Wildlands</b:Publisher>
    <b:City>Dunedin</b:City>
    <b:StandardNumber>Contract Report No. 5704</b:StandardNumber>
    <b:RefOrder>27</b:RefOrder>
  </b:Source>
  <b:Source>
    <b:Tag>Wil21b</b:Tag>
    <b:SourceType>Report</b:SourceType>
    <b:Guid>{FFF617C7-48B8-493F-B59E-98381A71CF29}</b:Guid>
    <b:Author>
      <b:Author>
        <b:Corporate>Wildlands</b:Corporate>
      </b:Author>
    </b:Author>
    <b:Title>An overview of the state of indigenous biodiversity in the Otago region</b:Title>
    <b:Year>2021b</b:Year>
    <b:City>Dunedin</b:City>
    <b:Publisher>Wildlands</b:Publisher>
    <b:RefOrder>21</b:RefOrder>
  </b:Source>
  <b:Source>
    <b:Tag>Kus12</b:Tag>
    <b:SourceType>Report</b:SourceType>
    <b:Guid>{ED750CEE-5346-4658-B580-19199E6DB012}</b:Guid>
    <b:Title>Updated Health and Air Pollution in New Zealand Study Volume 1: Summary Report </b:Title>
    <b:Year>March 2012</b:Year>
    <b:City>Wellington </b:City>
    <b:Publisher>Health Research Council of New Zealand, Ministry of Transport, Ministry for the Environment and New Zealand Transport Agency</b:Publisher>
    <b:Author>
      <b:Author>
        <b:NameList>
          <b:Person>
            <b:Last>Kuschel</b:Last>
            <b:First>G</b:First>
          </b:Person>
          <b:Person>
            <b:Last>al.</b:Last>
            <b:First>et</b:First>
          </b:Person>
        </b:NameList>
      </b:Author>
    </b:Author>
    <b:RefOrder>10</b:RefOrder>
  </b:Source>
  <b:Source>
    <b:Tag>Con14</b:Tag>
    <b:SourceType>JournalArticle</b:SourceType>
    <b:Guid>{1BBB8BD8-1789-4685-9F41-491BEC620F0C}</b:Guid>
    <b:Author>
      <b:Author>
        <b:Corporate>Constanza et al</b:Corporate>
      </b:Author>
    </b:Author>
    <b:Title>Changes in the global value of ecosystem services</b:Title>
    <b:Year>2014</b:Year>
    <b:JournalName>Global Environmental Change 26</b:JournalName>
    <b:Pages>152-158</b:Pages>
    <b:RefOrder>6</b:RefOrder>
  </b:Source>
  <b:Source>
    <b:Tag>Mue19</b:Tag>
    <b:SourceType>JournalArticle</b:SourceType>
    <b:Guid>{0B8B6B0F-33A6-45D6-86A1-9B061D1D41F8}</b:Guid>
    <b:Author>
      <b:Author>
        <b:Corporate>Mueller et al</b:Corporate>
      </b:Author>
    </b:Author>
    <b:Title>Economic and ecosystem costs and benefits of alternative land use and management scenarios in Lake Rotorua, New Zealand, catchment</b:Title>
    <b:JournalName>Global Environmental Change 54</b:JournalName>
    <b:Year>2019</b:Year>
    <b:Pages>102-112</b:Pages>
    <b:RefOrder>7</b:RefOrder>
  </b:Source>
  <b:Source>
    <b:Tag>Cli21</b:Tag>
    <b:SourceType>Report</b:SourceType>
    <b:Guid>{089E8474-DE61-42B0-8CF9-7978C280B186}</b:Guid>
    <b:Author>
      <b:Author>
        <b:Corporate>Climate Change Commission</b:Corporate>
      </b:Author>
    </b:Author>
    <b:Title>2021 Draft advice for consultation</b:Title>
    <b:Year>2021</b:Year>
    <b:Publisher>Climate Change Commission</b:Publisher>
    <b:City>Wellington</b:City>
    <b:URL>https://haveyoursay.climatecommission.govt.nz/comms-and-engagement/future-climate-action-for-aotearoa/supporting_documents/CCCADVICETOGOVT31JAN2021pdf.pdf</b:URL>
    <b:RefOrder>8</b:RefOrder>
  </b:Source>
  <b:Source>
    <b:Tag>Min202</b:Tag>
    <b:SourceType>InternetSite</b:SourceType>
    <b:Guid>{42C31FCA-1150-4839-BE0B-84E99649AA3C}</b:Guid>
    <b:Title>National direction instruments under the Resource Management Act 1991</b:Title>
    <b:Year>2020</b:Year>
    <b:Author>
      <b:Author>
        <b:Corporate>Ministry for the Environment</b:Corporate>
      </b:Author>
    </b:Author>
    <b:InternetSiteTitle>Ministry for the Environment</b:InternetSiteTitle>
    <b:Month>August</b:Month>
    <b:Day>19</b:Day>
    <b:URL>https://www.mfe.govt.nz/rma/national-direction/national-direction-instruments</b:URL>
    <b:RefOrder>34</b:RefOrder>
  </b:Source>
  <b:Source>
    <b:Tag>Sta18</b:Tag>
    <b:SourceType>InternetSite</b:SourceType>
    <b:Guid>{6900FD01-81CE-49C3-A716-5A61FF572C67}</b:Guid>
    <b:Author>
      <b:Author>
        <b:Corporate>Stats NZ</b:Corporate>
      </b:Author>
    </b:Author>
    <b:Title>Helath imapcts of PM10</b:Title>
    <b:InternetSiteTitle>Stats NZ</b:InternetSiteTitle>
    <b:Year>2018</b:Year>
    <b:Month>October</b:Month>
    <b:Day>18</b:Day>
    <b:URL>http://www.stats.govt.nz/indicators/health-impacts-of-pm10</b:URL>
    <b:RefOrder>14</b:RefOrder>
  </b:Source>
  <b:Source>
    <b:Tag>Wil17</b:Tag>
    <b:SourceType>Report</b:SourceType>
    <b:Guid>{9DBFDE20-D854-4D0B-9742-DDFB4B732751}</b:Guid>
    <b:Title>Strategic analysis of options to improve management of ecosystems and biodiversity for the Otago Region </b:Title>
    <b:Year>2017</b:Year>
    <b:City>Dunedin</b:City>
    <b:Publisher>Wildlands</b:Publisher>
    <b:Author>
      <b:Author>
        <b:NameList>
          <b:Person>
            <b:Last>Wildlands</b:Last>
          </b:Person>
        </b:NameList>
      </b:Author>
    </b:Author>
    <b:RefOrder>15</b:RefOrder>
  </b:Source>
  <b:Source>
    <b:Tag>Atk19</b:Tag>
    <b:SourceType>Report</b:SourceType>
    <b:Guid>{271D25E0-92BD-4283-BED0-43B725B00A5F}</b:Guid>
    <b:Author>
      <b:Author>
        <b:NameList>
          <b:Person>
            <b:Last>Atkin</b:Last>
            <b:First>E.,</b:First>
            <b:Middle>Bryan, K., Hume, T., Mead, S. T., and Waiti, J</b:Middle>
          </b:Person>
        </b:NameList>
      </b:Author>
    </b:Author>
    <b:Title>Management Guidelines for Surfing Resources</b:Title>
    <b:Year>2019</b:Year>
    <b:Publisher>Aotearoa New Zealand Association for Surfing Research </b:Publisher>
    <b:City>Raglan, Aotearoa New Zealand</b:City>
    <b:RefOrder>18</b:RefOrder>
  </b:Source>
  <b:Source>
    <b:Tag>Min203</b:Tag>
    <b:SourceType>Report</b:SourceType>
    <b:Guid>{D30D5CEE-CB6F-4E1C-8D36-AA8255566036}</b:Guid>
    <b:Author>
      <b:Author>
        <b:Corporate>Ministry for the Environment &amp; Stats NZ</b:Corporate>
      </b:Author>
    </b:Author>
    <b:Title>Our freshwater 2020</b:Title>
    <b:Year>2020</b:Year>
    <b:Publisher>Ministry for the Environment &amp; Stats NZ</b:Publisher>
    <b:City>Wellington</b:City>
    <b:URL>https://environment.govt.nz/assets/Publications/Files/our-freshwater-report-2020.pdf</b:URL>
    <b:RefOrder>22</b:RefOrder>
  </b:Source>
  <b:Source>
    <b:Tag>WSA13</b:Tag>
    <b:SourceType>Report</b:SourceType>
    <b:Guid>{5D350B37-0F4C-4F15-8F3E-EA75F2BFF1B8}</b:Guid>
    <b:Author>
      <b:Author>
        <b:NameList>
          <b:Person>
            <b:Last>Saunders</b:Last>
            <b:Middle>S. A.</b:Middle>
            <b:First>W.</b:First>
          </b:Person>
          <b:Person>
            <b:Last>Beban</b:Last>
            <b:Middle>G.</b:Middle>
            <b:First>J.</b:First>
          </b:Person>
          <b:Person>
            <b:Last>Kilvington</b:Last>
            <b:First>M.</b:First>
          </b:Person>
        </b:NameList>
      </b:Author>
    </b:Author>
    <b:Title>Risk-based land use planning for natural hazard risk reduction</b:Title>
    <b:Year>2013</b:Year>
    <b:Publisher>GNS Science Miscellaneous Series 67</b:Publisher>
    <b:City>Lower Hutt</b:City>
    <b:URL>https://www.gns.cri.nz/content/download/9904/53127/file/MS67_Riskbased_planning_report.pdf</b:URL>
    <b:RefOrder>31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etadata xmlns="http://www.objective.com/ecm/document/metadata/4B413F916FD443D397C32D1E531FC4F9" version="1.0.0">
  <systemFields>
    <field name="Objective-Id">
      <value order="0">A1274574</value>
    </field>
    <field name="Objective-Title">
      <value order="0">Appendix 2 to Council report - Section 32 Evaluation Report Plan Change 6AA</value>
    </field>
    <field name="Objective-Description">
      <value order="0"/>
    </field>
    <field name="Objective-CreationStamp">
      <value order="0">2019-09-18T02:33:14Z</value>
    </field>
    <field name="Objective-IsApproved">
      <value order="0">false</value>
    </field>
    <field name="Objective-IsPublished">
      <value order="0">true</value>
    </field>
    <field name="Objective-DatePublished">
      <value order="0">2019-09-20T00:57:14Z</value>
    </field>
    <field name="Objective-ModificationStamp">
      <value order="0">2019-09-20T00:57:14Z</value>
    </field>
    <field name="Objective-Owner">
      <value order="0">Tom De Pelsemaeker</value>
    </field>
    <field name="Objective-Path">
      <value order="0">ORC Global Folder:File Plan:Strategy, Policy and Science:Policy Development:Water Plan:Plan Change 6AA:03 - Notification</value>
    </field>
    <field name="Objective-Parent">
      <value order="0">03 - Notification</value>
    </field>
    <field name="Objective-State">
      <value order="0">Published</value>
    </field>
    <field name="Objective-VersionId">
      <value order="0">vA2143628</value>
    </field>
    <field name="Objective-Version">
      <value order="0">6.0</value>
    </field>
    <field name="Objective-VersionNumber">
      <value order="0">7</value>
    </field>
    <field name="Objective-VersionComment">
      <value order="0"/>
    </field>
    <field name="Objective-FileNumber">
      <value order="0">qA69789</value>
    </field>
    <field name="Objective-Classification">
      <value order="0">Restricted</value>
    </field>
    <field name="Objective-Caveats">
      <value order="0"/>
    </field>
  </systemFields>
  <catalogues>
    <catalogue name="Administrative Document Type Catalogue" type="type" ori="id:cA18">
      <field name="Objective-Council Function">
        <value order="0">Policy and Planning</value>
      </field>
      <field name="Objective-Administrative Type">
        <value order="0">Summary</value>
      </field>
      <field name="Objective-Consent File Number">
        <value order="0"/>
      </field>
      <field name="Objective-Compliance Category">
        <value order="0"/>
      </field>
      <field name="Objective-Consent Category">
        <value order="0"/>
      </field>
    </catalogue>
  </catalogues>
</metadata>
</file>

<file path=customXml/item6.xml>��< ? x m l   v e r s i o n = " 1 . 0 "   e n c o d i n g = " u t f - 1 6 " ? > < p r o p e r t i e s   x m l n s = " h t t p : / / w w w . i m a n a g e . c o m / w o r k / x m l s c h e m a " >  
     < d o c u m e n t i d > A c t i v e ! 4 5 0 4 8 3 4 . 1 < / d o c u m e n t i d >  
     < s e n d e r i d > P H I L I P . M A W @ W Y N N W I L L I A M S . C O . N Z < / s e n d e r i d >  
     < s e n d e r e m a i l > P H I L I P . M A W @ W Y N N W I L L I A M S . C O . N Z < / s e n d e r e m a i l >  
     < l a s t m o d i f i e d > 2 0 2 0 - 0 3 - 1 5 T 2 0 : 3 1 : 0 0 . 0 0 0 0 0 0 0 + 1 3 : 0 0 < / l a s t m o d i f i e d >  
     < d a t a b a s e > A c t i v e < / d a t a b a s e >  
 < / p r o p e r t i e s > 
</file>

<file path=customXml/itemProps1.xml><?xml version="1.0" encoding="utf-8"?>
<ds:datastoreItem xmlns:ds="http://schemas.openxmlformats.org/officeDocument/2006/customXml" ds:itemID="{AD9836F5-C571-4F29-9F1A-282662AAE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33d5c-c910-4180-9543-d98f4375e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465531-BAFD-4FB8-81D7-347EFEB1518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6566DD0-0376-4817-AEA8-39D7E95D3A91}">
  <ds:schemaRefs>
    <ds:schemaRef ds:uri="http://schemas.openxmlformats.org/officeDocument/2006/bibliography"/>
  </ds:schemaRefs>
</ds:datastoreItem>
</file>

<file path=customXml/itemProps4.xml><?xml version="1.0" encoding="utf-8"?>
<ds:datastoreItem xmlns:ds="http://schemas.openxmlformats.org/officeDocument/2006/customXml" ds:itemID="{3F69D9B6-02DE-4444-AF73-DA0FB542E1DA}">
  <ds:schemaRefs>
    <ds:schemaRef ds:uri="http://schemas.microsoft.com/sharepoint/v3/contenttype/forms"/>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4B413F916FD443D397C32D1E531FC4F9"/>
  </ds:schemaRefs>
</ds:datastoreItem>
</file>

<file path=customXml/itemProps6.xml><?xml version="1.0" encoding="utf-8"?>
<ds:datastoreItem xmlns:ds="http://schemas.openxmlformats.org/officeDocument/2006/customXml" ds:itemID="{88E0EA96-3A70-4BAD-B190-1439B4F82BD7}">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241</Pages>
  <Words>106766</Words>
  <Characters>608568</Characters>
  <Application>Microsoft Office Word</Application>
  <DocSecurity>0</DocSecurity>
  <Lines>5071</Lines>
  <Paragraphs>1427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713907</CharactersWithSpaces>
  <SharedDoc>false</SharedDoc>
  <HLinks>
    <vt:vector size="354" baseType="variant">
      <vt:variant>
        <vt:i4>1441843</vt:i4>
      </vt:variant>
      <vt:variant>
        <vt:i4>314</vt:i4>
      </vt:variant>
      <vt:variant>
        <vt:i4>0</vt:i4>
      </vt:variant>
      <vt:variant>
        <vt:i4>5</vt:i4>
      </vt:variant>
      <vt:variant>
        <vt:lpwstr/>
      </vt:variant>
      <vt:variant>
        <vt:lpwstr>_Toc72507665</vt:lpwstr>
      </vt:variant>
      <vt:variant>
        <vt:i4>1507379</vt:i4>
      </vt:variant>
      <vt:variant>
        <vt:i4>308</vt:i4>
      </vt:variant>
      <vt:variant>
        <vt:i4>0</vt:i4>
      </vt:variant>
      <vt:variant>
        <vt:i4>5</vt:i4>
      </vt:variant>
      <vt:variant>
        <vt:lpwstr/>
      </vt:variant>
      <vt:variant>
        <vt:lpwstr>_Toc72507664</vt:lpwstr>
      </vt:variant>
      <vt:variant>
        <vt:i4>1048627</vt:i4>
      </vt:variant>
      <vt:variant>
        <vt:i4>302</vt:i4>
      </vt:variant>
      <vt:variant>
        <vt:i4>0</vt:i4>
      </vt:variant>
      <vt:variant>
        <vt:i4>5</vt:i4>
      </vt:variant>
      <vt:variant>
        <vt:lpwstr/>
      </vt:variant>
      <vt:variant>
        <vt:lpwstr>_Toc72507663</vt:lpwstr>
      </vt:variant>
      <vt:variant>
        <vt:i4>1114163</vt:i4>
      </vt:variant>
      <vt:variant>
        <vt:i4>296</vt:i4>
      </vt:variant>
      <vt:variant>
        <vt:i4>0</vt:i4>
      </vt:variant>
      <vt:variant>
        <vt:i4>5</vt:i4>
      </vt:variant>
      <vt:variant>
        <vt:lpwstr/>
      </vt:variant>
      <vt:variant>
        <vt:lpwstr>_Toc72507662</vt:lpwstr>
      </vt:variant>
      <vt:variant>
        <vt:i4>1179699</vt:i4>
      </vt:variant>
      <vt:variant>
        <vt:i4>290</vt:i4>
      </vt:variant>
      <vt:variant>
        <vt:i4>0</vt:i4>
      </vt:variant>
      <vt:variant>
        <vt:i4>5</vt:i4>
      </vt:variant>
      <vt:variant>
        <vt:lpwstr/>
      </vt:variant>
      <vt:variant>
        <vt:lpwstr>_Toc72507661</vt:lpwstr>
      </vt:variant>
      <vt:variant>
        <vt:i4>1245235</vt:i4>
      </vt:variant>
      <vt:variant>
        <vt:i4>284</vt:i4>
      </vt:variant>
      <vt:variant>
        <vt:i4>0</vt:i4>
      </vt:variant>
      <vt:variant>
        <vt:i4>5</vt:i4>
      </vt:variant>
      <vt:variant>
        <vt:lpwstr/>
      </vt:variant>
      <vt:variant>
        <vt:lpwstr>_Toc72507660</vt:lpwstr>
      </vt:variant>
      <vt:variant>
        <vt:i4>1703984</vt:i4>
      </vt:variant>
      <vt:variant>
        <vt:i4>278</vt:i4>
      </vt:variant>
      <vt:variant>
        <vt:i4>0</vt:i4>
      </vt:variant>
      <vt:variant>
        <vt:i4>5</vt:i4>
      </vt:variant>
      <vt:variant>
        <vt:lpwstr/>
      </vt:variant>
      <vt:variant>
        <vt:lpwstr>_Toc72507659</vt:lpwstr>
      </vt:variant>
      <vt:variant>
        <vt:i4>1769520</vt:i4>
      </vt:variant>
      <vt:variant>
        <vt:i4>272</vt:i4>
      </vt:variant>
      <vt:variant>
        <vt:i4>0</vt:i4>
      </vt:variant>
      <vt:variant>
        <vt:i4>5</vt:i4>
      </vt:variant>
      <vt:variant>
        <vt:lpwstr/>
      </vt:variant>
      <vt:variant>
        <vt:lpwstr>_Toc72507658</vt:lpwstr>
      </vt:variant>
      <vt:variant>
        <vt:i4>1310768</vt:i4>
      </vt:variant>
      <vt:variant>
        <vt:i4>266</vt:i4>
      </vt:variant>
      <vt:variant>
        <vt:i4>0</vt:i4>
      </vt:variant>
      <vt:variant>
        <vt:i4>5</vt:i4>
      </vt:variant>
      <vt:variant>
        <vt:lpwstr/>
      </vt:variant>
      <vt:variant>
        <vt:lpwstr>_Toc72507657</vt:lpwstr>
      </vt:variant>
      <vt:variant>
        <vt:i4>1376304</vt:i4>
      </vt:variant>
      <vt:variant>
        <vt:i4>260</vt:i4>
      </vt:variant>
      <vt:variant>
        <vt:i4>0</vt:i4>
      </vt:variant>
      <vt:variant>
        <vt:i4>5</vt:i4>
      </vt:variant>
      <vt:variant>
        <vt:lpwstr/>
      </vt:variant>
      <vt:variant>
        <vt:lpwstr>_Toc72507656</vt:lpwstr>
      </vt:variant>
      <vt:variant>
        <vt:i4>1441840</vt:i4>
      </vt:variant>
      <vt:variant>
        <vt:i4>254</vt:i4>
      </vt:variant>
      <vt:variant>
        <vt:i4>0</vt:i4>
      </vt:variant>
      <vt:variant>
        <vt:i4>5</vt:i4>
      </vt:variant>
      <vt:variant>
        <vt:lpwstr/>
      </vt:variant>
      <vt:variant>
        <vt:lpwstr>_Toc72507655</vt:lpwstr>
      </vt:variant>
      <vt:variant>
        <vt:i4>1507376</vt:i4>
      </vt:variant>
      <vt:variant>
        <vt:i4>248</vt:i4>
      </vt:variant>
      <vt:variant>
        <vt:i4>0</vt:i4>
      </vt:variant>
      <vt:variant>
        <vt:i4>5</vt:i4>
      </vt:variant>
      <vt:variant>
        <vt:lpwstr/>
      </vt:variant>
      <vt:variant>
        <vt:lpwstr>_Toc72507654</vt:lpwstr>
      </vt:variant>
      <vt:variant>
        <vt:i4>1048624</vt:i4>
      </vt:variant>
      <vt:variant>
        <vt:i4>242</vt:i4>
      </vt:variant>
      <vt:variant>
        <vt:i4>0</vt:i4>
      </vt:variant>
      <vt:variant>
        <vt:i4>5</vt:i4>
      </vt:variant>
      <vt:variant>
        <vt:lpwstr/>
      </vt:variant>
      <vt:variant>
        <vt:lpwstr>_Toc72507653</vt:lpwstr>
      </vt:variant>
      <vt:variant>
        <vt:i4>1114160</vt:i4>
      </vt:variant>
      <vt:variant>
        <vt:i4>236</vt:i4>
      </vt:variant>
      <vt:variant>
        <vt:i4>0</vt:i4>
      </vt:variant>
      <vt:variant>
        <vt:i4>5</vt:i4>
      </vt:variant>
      <vt:variant>
        <vt:lpwstr/>
      </vt:variant>
      <vt:variant>
        <vt:lpwstr>_Toc72507652</vt:lpwstr>
      </vt:variant>
      <vt:variant>
        <vt:i4>1179696</vt:i4>
      </vt:variant>
      <vt:variant>
        <vt:i4>230</vt:i4>
      </vt:variant>
      <vt:variant>
        <vt:i4>0</vt:i4>
      </vt:variant>
      <vt:variant>
        <vt:i4>5</vt:i4>
      </vt:variant>
      <vt:variant>
        <vt:lpwstr/>
      </vt:variant>
      <vt:variant>
        <vt:lpwstr>_Toc72507651</vt:lpwstr>
      </vt:variant>
      <vt:variant>
        <vt:i4>1245232</vt:i4>
      </vt:variant>
      <vt:variant>
        <vt:i4>224</vt:i4>
      </vt:variant>
      <vt:variant>
        <vt:i4>0</vt:i4>
      </vt:variant>
      <vt:variant>
        <vt:i4>5</vt:i4>
      </vt:variant>
      <vt:variant>
        <vt:lpwstr/>
      </vt:variant>
      <vt:variant>
        <vt:lpwstr>_Toc72507650</vt:lpwstr>
      </vt:variant>
      <vt:variant>
        <vt:i4>1703985</vt:i4>
      </vt:variant>
      <vt:variant>
        <vt:i4>218</vt:i4>
      </vt:variant>
      <vt:variant>
        <vt:i4>0</vt:i4>
      </vt:variant>
      <vt:variant>
        <vt:i4>5</vt:i4>
      </vt:variant>
      <vt:variant>
        <vt:lpwstr/>
      </vt:variant>
      <vt:variant>
        <vt:lpwstr>_Toc72507649</vt:lpwstr>
      </vt:variant>
      <vt:variant>
        <vt:i4>1769521</vt:i4>
      </vt:variant>
      <vt:variant>
        <vt:i4>212</vt:i4>
      </vt:variant>
      <vt:variant>
        <vt:i4>0</vt:i4>
      </vt:variant>
      <vt:variant>
        <vt:i4>5</vt:i4>
      </vt:variant>
      <vt:variant>
        <vt:lpwstr/>
      </vt:variant>
      <vt:variant>
        <vt:lpwstr>_Toc72507648</vt:lpwstr>
      </vt:variant>
      <vt:variant>
        <vt:i4>1310769</vt:i4>
      </vt:variant>
      <vt:variant>
        <vt:i4>206</vt:i4>
      </vt:variant>
      <vt:variant>
        <vt:i4>0</vt:i4>
      </vt:variant>
      <vt:variant>
        <vt:i4>5</vt:i4>
      </vt:variant>
      <vt:variant>
        <vt:lpwstr/>
      </vt:variant>
      <vt:variant>
        <vt:lpwstr>_Toc72507647</vt:lpwstr>
      </vt:variant>
      <vt:variant>
        <vt:i4>1376305</vt:i4>
      </vt:variant>
      <vt:variant>
        <vt:i4>200</vt:i4>
      </vt:variant>
      <vt:variant>
        <vt:i4>0</vt:i4>
      </vt:variant>
      <vt:variant>
        <vt:i4>5</vt:i4>
      </vt:variant>
      <vt:variant>
        <vt:lpwstr/>
      </vt:variant>
      <vt:variant>
        <vt:lpwstr>_Toc72507646</vt:lpwstr>
      </vt:variant>
      <vt:variant>
        <vt:i4>1441841</vt:i4>
      </vt:variant>
      <vt:variant>
        <vt:i4>194</vt:i4>
      </vt:variant>
      <vt:variant>
        <vt:i4>0</vt:i4>
      </vt:variant>
      <vt:variant>
        <vt:i4>5</vt:i4>
      </vt:variant>
      <vt:variant>
        <vt:lpwstr/>
      </vt:variant>
      <vt:variant>
        <vt:lpwstr>_Toc72507645</vt:lpwstr>
      </vt:variant>
      <vt:variant>
        <vt:i4>1507377</vt:i4>
      </vt:variant>
      <vt:variant>
        <vt:i4>188</vt:i4>
      </vt:variant>
      <vt:variant>
        <vt:i4>0</vt:i4>
      </vt:variant>
      <vt:variant>
        <vt:i4>5</vt:i4>
      </vt:variant>
      <vt:variant>
        <vt:lpwstr/>
      </vt:variant>
      <vt:variant>
        <vt:lpwstr>_Toc72507644</vt:lpwstr>
      </vt:variant>
      <vt:variant>
        <vt:i4>1048625</vt:i4>
      </vt:variant>
      <vt:variant>
        <vt:i4>182</vt:i4>
      </vt:variant>
      <vt:variant>
        <vt:i4>0</vt:i4>
      </vt:variant>
      <vt:variant>
        <vt:i4>5</vt:i4>
      </vt:variant>
      <vt:variant>
        <vt:lpwstr/>
      </vt:variant>
      <vt:variant>
        <vt:lpwstr>_Toc72507643</vt:lpwstr>
      </vt:variant>
      <vt:variant>
        <vt:i4>1114161</vt:i4>
      </vt:variant>
      <vt:variant>
        <vt:i4>176</vt:i4>
      </vt:variant>
      <vt:variant>
        <vt:i4>0</vt:i4>
      </vt:variant>
      <vt:variant>
        <vt:i4>5</vt:i4>
      </vt:variant>
      <vt:variant>
        <vt:lpwstr/>
      </vt:variant>
      <vt:variant>
        <vt:lpwstr>_Toc72507642</vt:lpwstr>
      </vt:variant>
      <vt:variant>
        <vt:i4>1179697</vt:i4>
      </vt:variant>
      <vt:variant>
        <vt:i4>170</vt:i4>
      </vt:variant>
      <vt:variant>
        <vt:i4>0</vt:i4>
      </vt:variant>
      <vt:variant>
        <vt:i4>5</vt:i4>
      </vt:variant>
      <vt:variant>
        <vt:lpwstr/>
      </vt:variant>
      <vt:variant>
        <vt:lpwstr>_Toc72507641</vt:lpwstr>
      </vt:variant>
      <vt:variant>
        <vt:i4>1245233</vt:i4>
      </vt:variant>
      <vt:variant>
        <vt:i4>164</vt:i4>
      </vt:variant>
      <vt:variant>
        <vt:i4>0</vt:i4>
      </vt:variant>
      <vt:variant>
        <vt:i4>5</vt:i4>
      </vt:variant>
      <vt:variant>
        <vt:lpwstr/>
      </vt:variant>
      <vt:variant>
        <vt:lpwstr>_Toc72507640</vt:lpwstr>
      </vt:variant>
      <vt:variant>
        <vt:i4>1703990</vt:i4>
      </vt:variant>
      <vt:variant>
        <vt:i4>158</vt:i4>
      </vt:variant>
      <vt:variant>
        <vt:i4>0</vt:i4>
      </vt:variant>
      <vt:variant>
        <vt:i4>5</vt:i4>
      </vt:variant>
      <vt:variant>
        <vt:lpwstr/>
      </vt:variant>
      <vt:variant>
        <vt:lpwstr>_Toc72507639</vt:lpwstr>
      </vt:variant>
      <vt:variant>
        <vt:i4>1769526</vt:i4>
      </vt:variant>
      <vt:variant>
        <vt:i4>152</vt:i4>
      </vt:variant>
      <vt:variant>
        <vt:i4>0</vt:i4>
      </vt:variant>
      <vt:variant>
        <vt:i4>5</vt:i4>
      </vt:variant>
      <vt:variant>
        <vt:lpwstr/>
      </vt:variant>
      <vt:variant>
        <vt:lpwstr>_Toc72507638</vt:lpwstr>
      </vt:variant>
      <vt:variant>
        <vt:i4>1310774</vt:i4>
      </vt:variant>
      <vt:variant>
        <vt:i4>146</vt:i4>
      </vt:variant>
      <vt:variant>
        <vt:i4>0</vt:i4>
      </vt:variant>
      <vt:variant>
        <vt:i4>5</vt:i4>
      </vt:variant>
      <vt:variant>
        <vt:lpwstr/>
      </vt:variant>
      <vt:variant>
        <vt:lpwstr>_Toc72507637</vt:lpwstr>
      </vt:variant>
      <vt:variant>
        <vt:i4>1376310</vt:i4>
      </vt:variant>
      <vt:variant>
        <vt:i4>140</vt:i4>
      </vt:variant>
      <vt:variant>
        <vt:i4>0</vt:i4>
      </vt:variant>
      <vt:variant>
        <vt:i4>5</vt:i4>
      </vt:variant>
      <vt:variant>
        <vt:lpwstr/>
      </vt:variant>
      <vt:variant>
        <vt:lpwstr>_Toc72507636</vt:lpwstr>
      </vt:variant>
      <vt:variant>
        <vt:i4>1441846</vt:i4>
      </vt:variant>
      <vt:variant>
        <vt:i4>134</vt:i4>
      </vt:variant>
      <vt:variant>
        <vt:i4>0</vt:i4>
      </vt:variant>
      <vt:variant>
        <vt:i4>5</vt:i4>
      </vt:variant>
      <vt:variant>
        <vt:lpwstr/>
      </vt:variant>
      <vt:variant>
        <vt:lpwstr>_Toc72507635</vt:lpwstr>
      </vt:variant>
      <vt:variant>
        <vt:i4>1507382</vt:i4>
      </vt:variant>
      <vt:variant>
        <vt:i4>128</vt:i4>
      </vt:variant>
      <vt:variant>
        <vt:i4>0</vt:i4>
      </vt:variant>
      <vt:variant>
        <vt:i4>5</vt:i4>
      </vt:variant>
      <vt:variant>
        <vt:lpwstr/>
      </vt:variant>
      <vt:variant>
        <vt:lpwstr>_Toc72507634</vt:lpwstr>
      </vt:variant>
      <vt:variant>
        <vt:i4>1048630</vt:i4>
      </vt:variant>
      <vt:variant>
        <vt:i4>122</vt:i4>
      </vt:variant>
      <vt:variant>
        <vt:i4>0</vt:i4>
      </vt:variant>
      <vt:variant>
        <vt:i4>5</vt:i4>
      </vt:variant>
      <vt:variant>
        <vt:lpwstr/>
      </vt:variant>
      <vt:variant>
        <vt:lpwstr>_Toc72507633</vt:lpwstr>
      </vt:variant>
      <vt:variant>
        <vt:i4>1114166</vt:i4>
      </vt:variant>
      <vt:variant>
        <vt:i4>116</vt:i4>
      </vt:variant>
      <vt:variant>
        <vt:i4>0</vt:i4>
      </vt:variant>
      <vt:variant>
        <vt:i4>5</vt:i4>
      </vt:variant>
      <vt:variant>
        <vt:lpwstr/>
      </vt:variant>
      <vt:variant>
        <vt:lpwstr>_Toc72507632</vt:lpwstr>
      </vt:variant>
      <vt:variant>
        <vt:i4>1179702</vt:i4>
      </vt:variant>
      <vt:variant>
        <vt:i4>110</vt:i4>
      </vt:variant>
      <vt:variant>
        <vt:i4>0</vt:i4>
      </vt:variant>
      <vt:variant>
        <vt:i4>5</vt:i4>
      </vt:variant>
      <vt:variant>
        <vt:lpwstr/>
      </vt:variant>
      <vt:variant>
        <vt:lpwstr>_Toc72507631</vt:lpwstr>
      </vt:variant>
      <vt:variant>
        <vt:i4>1245238</vt:i4>
      </vt:variant>
      <vt:variant>
        <vt:i4>104</vt:i4>
      </vt:variant>
      <vt:variant>
        <vt:i4>0</vt:i4>
      </vt:variant>
      <vt:variant>
        <vt:i4>5</vt:i4>
      </vt:variant>
      <vt:variant>
        <vt:lpwstr/>
      </vt:variant>
      <vt:variant>
        <vt:lpwstr>_Toc72507630</vt:lpwstr>
      </vt:variant>
      <vt:variant>
        <vt:i4>1703991</vt:i4>
      </vt:variant>
      <vt:variant>
        <vt:i4>98</vt:i4>
      </vt:variant>
      <vt:variant>
        <vt:i4>0</vt:i4>
      </vt:variant>
      <vt:variant>
        <vt:i4>5</vt:i4>
      </vt:variant>
      <vt:variant>
        <vt:lpwstr/>
      </vt:variant>
      <vt:variant>
        <vt:lpwstr>_Toc72507629</vt:lpwstr>
      </vt:variant>
      <vt:variant>
        <vt:i4>1769527</vt:i4>
      </vt:variant>
      <vt:variant>
        <vt:i4>92</vt:i4>
      </vt:variant>
      <vt:variant>
        <vt:i4>0</vt:i4>
      </vt:variant>
      <vt:variant>
        <vt:i4>5</vt:i4>
      </vt:variant>
      <vt:variant>
        <vt:lpwstr/>
      </vt:variant>
      <vt:variant>
        <vt:lpwstr>_Toc72507628</vt:lpwstr>
      </vt:variant>
      <vt:variant>
        <vt:i4>1310775</vt:i4>
      </vt:variant>
      <vt:variant>
        <vt:i4>86</vt:i4>
      </vt:variant>
      <vt:variant>
        <vt:i4>0</vt:i4>
      </vt:variant>
      <vt:variant>
        <vt:i4>5</vt:i4>
      </vt:variant>
      <vt:variant>
        <vt:lpwstr/>
      </vt:variant>
      <vt:variant>
        <vt:lpwstr>_Toc72507627</vt:lpwstr>
      </vt:variant>
      <vt:variant>
        <vt:i4>1376311</vt:i4>
      </vt:variant>
      <vt:variant>
        <vt:i4>80</vt:i4>
      </vt:variant>
      <vt:variant>
        <vt:i4>0</vt:i4>
      </vt:variant>
      <vt:variant>
        <vt:i4>5</vt:i4>
      </vt:variant>
      <vt:variant>
        <vt:lpwstr/>
      </vt:variant>
      <vt:variant>
        <vt:lpwstr>_Toc72507626</vt:lpwstr>
      </vt:variant>
      <vt:variant>
        <vt:i4>1441847</vt:i4>
      </vt:variant>
      <vt:variant>
        <vt:i4>74</vt:i4>
      </vt:variant>
      <vt:variant>
        <vt:i4>0</vt:i4>
      </vt:variant>
      <vt:variant>
        <vt:i4>5</vt:i4>
      </vt:variant>
      <vt:variant>
        <vt:lpwstr/>
      </vt:variant>
      <vt:variant>
        <vt:lpwstr>_Toc72507625</vt:lpwstr>
      </vt:variant>
      <vt:variant>
        <vt:i4>1507383</vt:i4>
      </vt:variant>
      <vt:variant>
        <vt:i4>68</vt:i4>
      </vt:variant>
      <vt:variant>
        <vt:i4>0</vt:i4>
      </vt:variant>
      <vt:variant>
        <vt:i4>5</vt:i4>
      </vt:variant>
      <vt:variant>
        <vt:lpwstr/>
      </vt:variant>
      <vt:variant>
        <vt:lpwstr>_Toc72507624</vt:lpwstr>
      </vt:variant>
      <vt:variant>
        <vt:i4>1048631</vt:i4>
      </vt:variant>
      <vt:variant>
        <vt:i4>62</vt:i4>
      </vt:variant>
      <vt:variant>
        <vt:i4>0</vt:i4>
      </vt:variant>
      <vt:variant>
        <vt:i4>5</vt:i4>
      </vt:variant>
      <vt:variant>
        <vt:lpwstr/>
      </vt:variant>
      <vt:variant>
        <vt:lpwstr>_Toc72507623</vt:lpwstr>
      </vt:variant>
      <vt:variant>
        <vt:i4>1114167</vt:i4>
      </vt:variant>
      <vt:variant>
        <vt:i4>56</vt:i4>
      </vt:variant>
      <vt:variant>
        <vt:i4>0</vt:i4>
      </vt:variant>
      <vt:variant>
        <vt:i4>5</vt:i4>
      </vt:variant>
      <vt:variant>
        <vt:lpwstr/>
      </vt:variant>
      <vt:variant>
        <vt:lpwstr>_Toc72507622</vt:lpwstr>
      </vt:variant>
      <vt:variant>
        <vt:i4>1179703</vt:i4>
      </vt:variant>
      <vt:variant>
        <vt:i4>50</vt:i4>
      </vt:variant>
      <vt:variant>
        <vt:i4>0</vt:i4>
      </vt:variant>
      <vt:variant>
        <vt:i4>5</vt:i4>
      </vt:variant>
      <vt:variant>
        <vt:lpwstr/>
      </vt:variant>
      <vt:variant>
        <vt:lpwstr>_Toc72507621</vt:lpwstr>
      </vt:variant>
      <vt:variant>
        <vt:i4>1245239</vt:i4>
      </vt:variant>
      <vt:variant>
        <vt:i4>44</vt:i4>
      </vt:variant>
      <vt:variant>
        <vt:i4>0</vt:i4>
      </vt:variant>
      <vt:variant>
        <vt:i4>5</vt:i4>
      </vt:variant>
      <vt:variant>
        <vt:lpwstr/>
      </vt:variant>
      <vt:variant>
        <vt:lpwstr>_Toc72507620</vt:lpwstr>
      </vt:variant>
      <vt:variant>
        <vt:i4>1703988</vt:i4>
      </vt:variant>
      <vt:variant>
        <vt:i4>38</vt:i4>
      </vt:variant>
      <vt:variant>
        <vt:i4>0</vt:i4>
      </vt:variant>
      <vt:variant>
        <vt:i4>5</vt:i4>
      </vt:variant>
      <vt:variant>
        <vt:lpwstr/>
      </vt:variant>
      <vt:variant>
        <vt:lpwstr>_Toc72507619</vt:lpwstr>
      </vt:variant>
      <vt:variant>
        <vt:i4>1769524</vt:i4>
      </vt:variant>
      <vt:variant>
        <vt:i4>32</vt:i4>
      </vt:variant>
      <vt:variant>
        <vt:i4>0</vt:i4>
      </vt:variant>
      <vt:variant>
        <vt:i4>5</vt:i4>
      </vt:variant>
      <vt:variant>
        <vt:lpwstr/>
      </vt:variant>
      <vt:variant>
        <vt:lpwstr>_Toc72507618</vt:lpwstr>
      </vt:variant>
      <vt:variant>
        <vt:i4>1310772</vt:i4>
      </vt:variant>
      <vt:variant>
        <vt:i4>26</vt:i4>
      </vt:variant>
      <vt:variant>
        <vt:i4>0</vt:i4>
      </vt:variant>
      <vt:variant>
        <vt:i4>5</vt:i4>
      </vt:variant>
      <vt:variant>
        <vt:lpwstr/>
      </vt:variant>
      <vt:variant>
        <vt:lpwstr>_Toc72507617</vt:lpwstr>
      </vt:variant>
      <vt:variant>
        <vt:i4>1376308</vt:i4>
      </vt:variant>
      <vt:variant>
        <vt:i4>20</vt:i4>
      </vt:variant>
      <vt:variant>
        <vt:i4>0</vt:i4>
      </vt:variant>
      <vt:variant>
        <vt:i4>5</vt:i4>
      </vt:variant>
      <vt:variant>
        <vt:lpwstr/>
      </vt:variant>
      <vt:variant>
        <vt:lpwstr>_Toc72507616</vt:lpwstr>
      </vt:variant>
      <vt:variant>
        <vt:i4>1441844</vt:i4>
      </vt:variant>
      <vt:variant>
        <vt:i4>14</vt:i4>
      </vt:variant>
      <vt:variant>
        <vt:i4>0</vt:i4>
      </vt:variant>
      <vt:variant>
        <vt:i4>5</vt:i4>
      </vt:variant>
      <vt:variant>
        <vt:lpwstr/>
      </vt:variant>
      <vt:variant>
        <vt:lpwstr>_Toc72507615</vt:lpwstr>
      </vt:variant>
      <vt:variant>
        <vt:i4>1507380</vt:i4>
      </vt:variant>
      <vt:variant>
        <vt:i4>8</vt:i4>
      </vt:variant>
      <vt:variant>
        <vt:i4>0</vt:i4>
      </vt:variant>
      <vt:variant>
        <vt:i4>5</vt:i4>
      </vt:variant>
      <vt:variant>
        <vt:lpwstr/>
      </vt:variant>
      <vt:variant>
        <vt:lpwstr>_Toc72507614</vt:lpwstr>
      </vt:variant>
      <vt:variant>
        <vt:i4>1048628</vt:i4>
      </vt:variant>
      <vt:variant>
        <vt:i4>2</vt:i4>
      </vt:variant>
      <vt:variant>
        <vt:i4>0</vt:i4>
      </vt:variant>
      <vt:variant>
        <vt:i4>5</vt:i4>
      </vt:variant>
      <vt:variant>
        <vt:lpwstr/>
      </vt:variant>
      <vt:variant>
        <vt:lpwstr>_Toc72507613</vt:lpwstr>
      </vt:variant>
      <vt:variant>
        <vt:i4>3342390</vt:i4>
      </vt:variant>
      <vt:variant>
        <vt:i4>15</vt:i4>
      </vt:variant>
      <vt:variant>
        <vt:i4>0</vt:i4>
      </vt:variant>
      <vt:variant>
        <vt:i4>5</vt:i4>
      </vt:variant>
      <vt:variant>
        <vt:lpwstr>https://www.mfe.govt.nz/sites/default/files/nps-electricity-transmission-mar08.pdf</vt:lpwstr>
      </vt:variant>
      <vt:variant>
        <vt:lpwstr/>
      </vt:variant>
      <vt:variant>
        <vt:i4>2031682</vt:i4>
      </vt:variant>
      <vt:variant>
        <vt:i4>12</vt:i4>
      </vt:variant>
      <vt:variant>
        <vt:i4>0</vt:i4>
      </vt:variant>
      <vt:variant>
        <vt:i4>5</vt:i4>
      </vt:variant>
      <vt:variant>
        <vt:lpwstr>https://www.mfe.govt.nz/sites/default/files/nps-reg-2011.pdf</vt:lpwstr>
      </vt:variant>
      <vt:variant>
        <vt:lpwstr/>
      </vt:variant>
      <vt:variant>
        <vt:i4>327748</vt:i4>
      </vt:variant>
      <vt:variant>
        <vt:i4>9</vt:i4>
      </vt:variant>
      <vt:variant>
        <vt:i4>0</vt:i4>
      </vt:variant>
      <vt:variant>
        <vt:i4>5</vt:i4>
      </vt:variant>
      <vt:variant>
        <vt:lpwstr>https://www.mfe.govt.nz/sites/default/files/media/Towns and cities/AA Gazetted - NPSUD 17.07.2020 pdf.pdf</vt:lpwstr>
      </vt:variant>
      <vt:variant>
        <vt:lpwstr/>
      </vt:variant>
      <vt:variant>
        <vt:i4>4325440</vt:i4>
      </vt:variant>
      <vt:variant>
        <vt:i4>6</vt:i4>
      </vt:variant>
      <vt:variant>
        <vt:i4>0</vt:i4>
      </vt:variant>
      <vt:variant>
        <vt:i4>5</vt:i4>
      </vt:variant>
      <vt:variant>
        <vt:lpwstr>https://www.doc.govt.nz/globalassets/documents/conservation/marine-and-coastal/coastal-management/guidance/policy-15.pdf</vt:lpwstr>
      </vt:variant>
      <vt:variant>
        <vt:lpwstr/>
      </vt:variant>
      <vt:variant>
        <vt:i4>8126517</vt:i4>
      </vt:variant>
      <vt:variant>
        <vt:i4>3</vt:i4>
      </vt:variant>
      <vt:variant>
        <vt:i4>0</vt:i4>
      </vt:variant>
      <vt:variant>
        <vt:i4>5</vt:i4>
      </vt:variant>
      <vt:variant>
        <vt:lpwstr>https://www.orc.govt.nz/media/8479/rps-reference-groups-tor.pdf</vt:lpwstr>
      </vt:variant>
      <vt:variant>
        <vt:lpwstr/>
      </vt:variant>
      <vt:variant>
        <vt:i4>5832799</vt:i4>
      </vt:variant>
      <vt:variant>
        <vt:i4>0</vt:i4>
      </vt:variant>
      <vt:variant>
        <vt:i4>0</vt:i4>
      </vt:variant>
      <vt:variant>
        <vt:i4>5</vt:i4>
      </vt:variant>
      <vt:variant>
        <vt:lpwstr>https://www.orc.govt.nz/plans-policies-reports/regional-plans-and-policies/regional-policy-statement/regional-policy-statement-review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Leduc</dc:creator>
  <cp:keywords/>
  <dc:description/>
  <cp:lastModifiedBy>Felicity Boyd</cp:lastModifiedBy>
  <cp:revision>6</cp:revision>
  <cp:lastPrinted>2021-05-28T03:14:00Z</cp:lastPrinted>
  <dcterms:created xsi:type="dcterms:W3CDTF">2022-09-01T21:47:00Z</dcterms:created>
  <dcterms:modified xsi:type="dcterms:W3CDTF">2022-09-05T23:28:00Z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A1274574</vt:lpwstr>
  </property>
  <property fmtid="{D5CDD505-2E9C-101B-9397-08002B2CF9AE}" pid="4" name="Objective-Title">
    <vt:lpwstr>Appendix 2 to Council report - Section 32 Evaluation Report Plan Change 6AA</vt:lpwstr>
  </property>
  <property fmtid="{D5CDD505-2E9C-101B-9397-08002B2CF9AE}" pid="5" name="Objective-Description">
    <vt:lpwstr/>
  </property>
  <property fmtid="{D5CDD505-2E9C-101B-9397-08002B2CF9AE}" pid="6" name="Objective-CreationStamp">
    <vt:filetime>2019-09-18T02:33:26Z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2019-09-20T00:57:14Z</vt:filetime>
  </property>
  <property fmtid="{D5CDD505-2E9C-101B-9397-08002B2CF9AE}" pid="10" name="Objective-ModificationStamp">
    <vt:filetime>2019-09-20T00:57:14Z</vt:filetime>
  </property>
  <property fmtid="{D5CDD505-2E9C-101B-9397-08002B2CF9AE}" pid="11" name="Objective-Owner">
    <vt:lpwstr>Tom De Pelsemaeker</vt:lpwstr>
  </property>
  <property fmtid="{D5CDD505-2E9C-101B-9397-08002B2CF9AE}" pid="12" name="Objective-Path">
    <vt:lpwstr>ORC Global Folder:File Plan:Strategy, Policy and Science:Policy Development:Water Plan:Plan Change 6AA:03 - Notification:</vt:lpwstr>
  </property>
  <property fmtid="{D5CDD505-2E9C-101B-9397-08002B2CF9AE}" pid="13" name="Objective-Parent">
    <vt:lpwstr>03 - Notification</vt:lpwstr>
  </property>
  <property fmtid="{D5CDD505-2E9C-101B-9397-08002B2CF9AE}" pid="14" name="Objective-State">
    <vt:lpwstr>Published</vt:lpwstr>
  </property>
  <property fmtid="{D5CDD505-2E9C-101B-9397-08002B2CF9AE}" pid="15" name="Objective-VersionId">
    <vt:lpwstr>vA2143628</vt:lpwstr>
  </property>
  <property fmtid="{D5CDD505-2E9C-101B-9397-08002B2CF9AE}" pid="16" name="Objective-Version">
    <vt:lpwstr>6.0</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qA69789</vt:lpwstr>
  </property>
  <property fmtid="{D5CDD505-2E9C-101B-9397-08002B2CF9AE}" pid="20" name="Objective-Classification">
    <vt:lpwstr>[Inherited - Restricted]</vt:lpwstr>
  </property>
  <property fmtid="{D5CDD505-2E9C-101B-9397-08002B2CF9AE}" pid="21" name="Objective-Caveats">
    <vt:lpwstr/>
  </property>
  <property fmtid="{D5CDD505-2E9C-101B-9397-08002B2CF9AE}" pid="22" name="Objective-Council Function">
    <vt:lpwstr>Policy and Planning</vt:lpwstr>
  </property>
  <property fmtid="{D5CDD505-2E9C-101B-9397-08002B2CF9AE}" pid="23" name="Objective-Administrative Type">
    <vt:lpwstr>Summary</vt:lpwstr>
  </property>
  <property fmtid="{D5CDD505-2E9C-101B-9397-08002B2CF9AE}" pid="24" name="Objective-Consent File Number">
    <vt:lpwstr/>
  </property>
  <property fmtid="{D5CDD505-2E9C-101B-9397-08002B2CF9AE}" pid="25" name="Objective-Compliance Category">
    <vt:lpwstr/>
  </property>
  <property fmtid="{D5CDD505-2E9C-101B-9397-08002B2CF9AE}" pid="26" name="Objective-Consent Category">
    <vt:lpwstr/>
  </property>
  <property fmtid="{D5CDD505-2E9C-101B-9397-08002B2CF9AE}" pid="27" name="Objective-Comment">
    <vt:lpwstr/>
  </property>
  <property fmtid="{D5CDD505-2E9C-101B-9397-08002B2CF9AE}" pid="28" name="iManageFooter">
    <vt:lpwstr>447585.13#4261337v1</vt:lpwstr>
  </property>
  <property fmtid="{D5CDD505-2E9C-101B-9397-08002B2CF9AE}" pid="29" name="ContentTypeId">
    <vt:lpwstr>0x01010013B48EA0D5DE5D47B0645DA09193BCEC</vt:lpwstr>
  </property>
</Properties>
</file>